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1BAE" w14:textId="77777777" w:rsidR="001C3A32" w:rsidRPr="003A115E" w:rsidRDefault="00FA495F" w:rsidP="00075677">
      <w:pPr>
        <w:pStyle w:val="cuadroCabe"/>
      </w:pPr>
      <w:r>
        <w:rPr>
          <w:noProof/>
        </w:rPr>
        <mc:AlternateContent>
          <mc:Choice Requires="wps">
            <w:drawing>
              <wp:anchor distT="0" distB="0" distL="114300" distR="114300" simplePos="0" relativeHeight="251658240" behindDoc="0" locked="0" layoutInCell="1" allowOverlap="1" wp14:anchorId="44865297" wp14:editId="701B31BC">
                <wp:simplePos x="0" y="0"/>
                <wp:positionH relativeFrom="column">
                  <wp:posOffset>-156588</wp:posOffset>
                </wp:positionH>
                <wp:positionV relativeFrom="paragraph">
                  <wp:posOffset>-816377</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AA5F62" w:rsidRPr="003A7956" w:rsidRDefault="00AA5F62" w:rsidP="004C3423">
                            <w:pPr>
                              <w:jc w:val="center"/>
                              <w:rPr>
                                <w:sz w:val="18"/>
                                <w:szCs w:val="18"/>
                              </w:rPr>
                            </w:pPr>
                            <w:r>
                              <w:rPr>
                                <w:sz w:val="18"/>
                              </w:rPr>
                              <w:t>CAMARA DE</w:t>
                            </w:r>
                          </w:p>
                          <w:p w14:paraId="014AEEE6" w14:textId="77777777" w:rsidR="00AA5F62" w:rsidRPr="003A7956" w:rsidRDefault="00AA5F62" w:rsidP="004C3423">
                            <w:pPr>
                              <w:jc w:val="center"/>
                              <w:rPr>
                                <w:sz w:val="18"/>
                                <w:szCs w:val="18"/>
                              </w:rPr>
                            </w:pPr>
                            <w:r>
                              <w:rPr>
                                <w:sz w:val="18"/>
                              </w:rPr>
                              <w:t>COMPTOS</w:t>
                            </w:r>
                          </w:p>
                          <w:p w14:paraId="44471B96" w14:textId="77777777" w:rsidR="00AA5F62" w:rsidRPr="003A7956" w:rsidRDefault="00AA5F62" w:rsidP="004C3423">
                            <w:pPr>
                              <w:jc w:val="center"/>
                              <w:rPr>
                                <w:sz w:val="18"/>
                                <w:szCs w:val="18"/>
                              </w:rPr>
                            </w:pPr>
                            <w:r>
                              <w:rPr>
                                <w:sz w:val="18"/>
                              </w:rPr>
                              <w:t>DE NAVARRA</w:t>
                            </w:r>
                          </w:p>
                          <w:p w14:paraId="07A085F6" w14:textId="77777777" w:rsidR="00AA5F62" w:rsidRPr="003A7956" w:rsidRDefault="00AA5F62" w:rsidP="004C3423">
                            <w:pPr>
                              <w:jc w:val="center"/>
                              <w:rPr>
                                <w:color w:val="808080"/>
                                <w:sz w:val="18"/>
                                <w:szCs w:val="18"/>
                              </w:rPr>
                            </w:pPr>
                            <w:r>
                              <w:rPr>
                                <w:color w:val="808080"/>
                                <w:sz w:val="18"/>
                              </w:rPr>
                              <w:t>NAFARROAKO</w:t>
                            </w:r>
                          </w:p>
                          <w:p w14:paraId="0496B026" w14:textId="77777777" w:rsidR="00AA5F62" w:rsidRPr="003A7956" w:rsidRDefault="00AA5F62" w:rsidP="004C3423">
                            <w:pPr>
                              <w:jc w:val="center"/>
                              <w:rPr>
                                <w:color w:val="808080"/>
                                <w:sz w:val="18"/>
                                <w:szCs w:val="18"/>
                              </w:rPr>
                            </w:pPr>
                            <w:r>
                              <w:rPr>
                                <w:color w:val="808080"/>
                                <w:sz w:val="18"/>
                              </w:rPr>
                              <w:t>KONTUEN</w:t>
                            </w:r>
                          </w:p>
                          <w:p w14:paraId="376CDB4B" w14:textId="77777777" w:rsidR="00AA5F62" w:rsidRPr="003A7956" w:rsidRDefault="00AA5F62" w:rsidP="004C3423">
                            <w:pPr>
                              <w:jc w:val="center"/>
                              <w:rPr>
                                <w:color w:val="808080"/>
                                <w:sz w:val="18"/>
                                <w:szCs w:val="18"/>
                              </w:rPr>
                            </w:pPr>
                            <w:r>
                              <w:rPr>
                                <w:color w:val="808080"/>
                                <w:sz w:val="18"/>
                              </w:rPr>
                              <w:t>GANBERA</w:t>
                            </w:r>
                          </w:p>
                          <w:p w14:paraId="672A6659" w14:textId="77777777" w:rsidR="00AA5F62" w:rsidRPr="002C7026" w:rsidRDefault="00AA5F62" w:rsidP="002C7026">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35pt;margin-top:-64.3pt;width:91.15pt;height: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GfbwE+IAAAALAQAADwAAAGRycy9kb3du&#10;cmV2LnhtbEyPwU7DMAyG70i8Q2Qkblvaau1GaTpNCITggjaGxG5ZY9qOxqmabCtvj3eC22/50+/P&#10;xXK0nTjh4FtHCuJpBAKpcqalWsH2/WmyAOGDJqM7R6jgBz0sy+urQufGnWmNp02oBZeQz7WCJoQ+&#10;l9JXDVrtp65H4t2XG6wOPA61NIM+c7ntZBJFmbS6Jb7Q6B4fGqy+N0er4HX7lg2Hl/Uufdz1K3r+&#10;cDN3+FTq9mZc3YMIOIY/GC76rA4lO+3dkYwXnYJJMpszyiFOFhmIC5LOOewVpPEdyLKQ/38ofwEA&#10;AP//AwBQSwECLQAUAAYACAAAACEAtoM4kv4AAADhAQAAEwAAAAAAAAAAAAAAAAAAAAAAW0NvbnRl&#10;bnRfVHlwZXNdLnhtbFBLAQItABQABgAIAAAAIQA4/SH/1gAAAJQBAAALAAAAAAAAAAAAAAAAAC8B&#10;AABfcmVscy8ucmVsc1BLAQItABQABgAIAAAAIQBYTZ6d9AEAAMsDAAAOAAAAAAAAAAAAAAAAAC4C&#10;AABkcnMvZTJvRG9jLnhtbFBLAQItABQABgAIAAAAIQAZ9vAT4gAAAAsBAAAPAAAAAAAAAAAAAAAA&#10;AE4EAABkcnMvZG93bnJldi54bWxQSwUGAAAAAAQABADzAAAAXQUAAAAA&#10;" stroked="f" strokecolor="white">
                <v:textbox>
                  <w:txbxContent>
                    <w:p w14:paraId="7CE9EDB8" w14:textId="77777777" w:rsidR="00AA5F62" w:rsidRPr="003A7956" w:rsidRDefault="00AA5F62" w:rsidP="004C3423">
                      <w:pPr>
                        <w:jc w:val="center"/>
                        <w:rPr>
                          <w:sz w:val="18"/>
                          <w:szCs w:val="18"/>
                        </w:rPr>
                      </w:pPr>
                      <w:r>
                        <w:rPr>
                          <w:sz w:val="18"/>
                        </w:rPr>
                        <w:t>CAMARA DE</w:t>
                      </w:r>
                    </w:p>
                    <w:p w14:paraId="014AEEE6" w14:textId="77777777" w:rsidR="00AA5F62" w:rsidRPr="003A7956" w:rsidRDefault="00AA5F62" w:rsidP="004C3423">
                      <w:pPr>
                        <w:jc w:val="center"/>
                        <w:rPr>
                          <w:sz w:val="18"/>
                          <w:szCs w:val="18"/>
                        </w:rPr>
                      </w:pPr>
                      <w:r>
                        <w:rPr>
                          <w:sz w:val="18"/>
                        </w:rPr>
                        <w:t>COMPTOS</w:t>
                      </w:r>
                    </w:p>
                    <w:p w14:paraId="44471B96" w14:textId="77777777" w:rsidR="00AA5F62" w:rsidRPr="003A7956" w:rsidRDefault="00AA5F62" w:rsidP="004C3423">
                      <w:pPr>
                        <w:jc w:val="center"/>
                        <w:rPr>
                          <w:sz w:val="18"/>
                          <w:szCs w:val="18"/>
                        </w:rPr>
                      </w:pPr>
                      <w:r>
                        <w:rPr>
                          <w:sz w:val="18"/>
                        </w:rPr>
                        <w:t>DE NAVARRA</w:t>
                      </w:r>
                    </w:p>
                    <w:p w14:paraId="07A085F6" w14:textId="77777777" w:rsidR="00AA5F62" w:rsidRPr="003A7956" w:rsidRDefault="00AA5F62" w:rsidP="004C3423">
                      <w:pPr>
                        <w:jc w:val="center"/>
                        <w:rPr>
                          <w:color w:val="808080"/>
                          <w:sz w:val="18"/>
                          <w:szCs w:val="18"/>
                        </w:rPr>
                      </w:pPr>
                      <w:r>
                        <w:rPr>
                          <w:color w:val="808080"/>
                          <w:sz w:val="18"/>
                        </w:rPr>
                        <w:t>NAFARROAKO</w:t>
                      </w:r>
                    </w:p>
                    <w:p w14:paraId="0496B026" w14:textId="77777777" w:rsidR="00AA5F62" w:rsidRPr="003A7956" w:rsidRDefault="00AA5F62" w:rsidP="004C3423">
                      <w:pPr>
                        <w:jc w:val="center"/>
                        <w:rPr>
                          <w:color w:val="808080"/>
                          <w:sz w:val="18"/>
                          <w:szCs w:val="18"/>
                        </w:rPr>
                      </w:pPr>
                      <w:r>
                        <w:rPr>
                          <w:color w:val="808080"/>
                          <w:sz w:val="18"/>
                        </w:rPr>
                        <w:t>KONTUEN</w:t>
                      </w:r>
                    </w:p>
                    <w:p w14:paraId="376CDB4B" w14:textId="77777777" w:rsidR="00AA5F62" w:rsidRPr="003A7956" w:rsidRDefault="00AA5F62" w:rsidP="004C3423">
                      <w:pPr>
                        <w:jc w:val="center"/>
                        <w:rPr>
                          <w:color w:val="808080"/>
                          <w:sz w:val="18"/>
                          <w:szCs w:val="18"/>
                        </w:rPr>
                      </w:pPr>
                      <w:r>
                        <w:rPr>
                          <w:color w:val="808080"/>
                          <w:sz w:val="18"/>
                        </w:rPr>
                        <w:t>GANBERA</w:t>
                      </w:r>
                    </w:p>
                    <w:p w14:paraId="672A6659" w14:textId="77777777" w:rsidR="00AA5F62" w:rsidRPr="002C7026" w:rsidRDefault="00AA5F62" w:rsidP="002C7026">
                      <w:pPr>
                        <w:jc w:val="center"/>
                        <w:rPr>
                          <w:rFonts w:ascii="Trajan" w:hAnsi="Trajan"/>
                          <w:color w:val="808080"/>
                          <w:sz w:val="18"/>
                          <w:szCs w:val="18"/>
                        </w:rPr>
                      </w:pPr>
                    </w:p>
                  </w:txbxContent>
                </v:textbox>
              </v:shape>
            </w:pict>
          </mc:Fallback>
        </mc:AlternateContent>
      </w:r>
      <w:r>
        <w:t>Azken zirriborroa</w:t>
      </w:r>
    </w:p>
    <w:p w14:paraId="5DAB6C7B" w14:textId="77777777" w:rsidR="00345C6C" w:rsidRPr="003A115E" w:rsidRDefault="00345C6C" w:rsidP="00075677">
      <w:pPr>
        <w:pStyle w:val="cuadroCabe"/>
      </w:pPr>
    </w:p>
    <w:p w14:paraId="02EB378F" w14:textId="77777777" w:rsidR="00345C6C" w:rsidRPr="003A115E" w:rsidRDefault="00345C6C" w:rsidP="00075677">
      <w:pPr>
        <w:pStyle w:val="cuadroCabe"/>
      </w:pPr>
    </w:p>
    <w:p w14:paraId="29689F1E" w14:textId="435FBE22" w:rsidR="00345C6C" w:rsidRPr="003A115E" w:rsidRDefault="009D1EFE" w:rsidP="00551BB3">
      <w:pPr>
        <w:pStyle w:val="EstiloPortada"/>
        <w:ind w:left="3969" w:right="0" w:hanging="1417"/>
        <w:jc w:val="right"/>
        <w:rPr>
          <w:sz w:val="42"/>
          <w:szCs w:val="42"/>
        </w:rPr>
      </w:pPr>
      <w:r>
        <w:rPr>
          <w:sz w:val="42"/>
        </w:rPr>
        <w:t xml:space="preserve">Behin betiko txostena </w:t>
      </w:r>
    </w:p>
    <w:p w14:paraId="200A98B4" w14:textId="77777777" w:rsidR="00107C61" w:rsidRPr="003A115E" w:rsidRDefault="00107C61" w:rsidP="00345C6C">
      <w:pPr>
        <w:pStyle w:val="EstiloPortada"/>
        <w:ind w:left="3780"/>
        <w:rPr>
          <w:sz w:val="56"/>
          <w:szCs w:val="56"/>
        </w:rPr>
      </w:pPr>
    </w:p>
    <w:p w14:paraId="4AFAD1CD" w14:textId="0FEFBC25" w:rsidR="00345C6C" w:rsidRPr="002F26DD" w:rsidRDefault="00551BB3" w:rsidP="002F26DD">
      <w:pPr>
        <w:pStyle w:val="EstiloPortada"/>
        <w:ind w:left="3969" w:right="-142"/>
        <w:rPr>
          <w:sz w:val="56"/>
          <w:szCs w:val="56"/>
        </w:rPr>
      </w:pPr>
      <w:r>
        <w:rPr>
          <w:sz w:val="56"/>
        </w:rPr>
        <w:t xml:space="preserve"> Nafarroako toki-sektore publikoa, 2022ko ekitaldia</w:t>
      </w:r>
    </w:p>
    <w:p w14:paraId="0346A4EA" w14:textId="65176280" w:rsidR="00345C6C" w:rsidRPr="002F26DD" w:rsidRDefault="00345C6C" w:rsidP="002F26DD">
      <w:pPr>
        <w:pStyle w:val="EstiloPortada"/>
        <w:ind w:left="3828" w:right="-142"/>
        <w:rPr>
          <w:sz w:val="56"/>
          <w:szCs w:val="56"/>
        </w:rPr>
      </w:pPr>
    </w:p>
    <w:p w14:paraId="6A05A809" w14:textId="78814292" w:rsidR="001C3A32" w:rsidRPr="002F26DD" w:rsidRDefault="001C3A32" w:rsidP="002F26DD">
      <w:pPr>
        <w:pStyle w:val="texto"/>
        <w:tabs>
          <w:tab w:val="clear" w:pos="2835"/>
          <w:tab w:val="clear" w:pos="3969"/>
          <w:tab w:val="clear" w:pos="5103"/>
          <w:tab w:val="clear" w:pos="6237"/>
          <w:tab w:val="clear" w:pos="7371"/>
        </w:tabs>
        <w:ind w:left="3969" w:firstLine="0"/>
        <w:jc w:val="right"/>
        <w:rPr>
          <w:b/>
          <w:sz w:val="56"/>
          <w:szCs w:val="56"/>
        </w:rPr>
      </w:pPr>
    </w:p>
    <w:p w14:paraId="5A39BBE3" w14:textId="77777777" w:rsidR="001C3A32" w:rsidRPr="003A115E" w:rsidRDefault="001C3A32" w:rsidP="00891D73">
      <w:pPr>
        <w:pStyle w:val="texto"/>
      </w:pPr>
    </w:p>
    <w:p w14:paraId="41C8F396" w14:textId="77777777" w:rsidR="002F2530" w:rsidRPr="003A115E" w:rsidRDefault="002F2530" w:rsidP="00891D73">
      <w:pPr>
        <w:pStyle w:val="texto"/>
      </w:pPr>
    </w:p>
    <w:p w14:paraId="72A3D3EC" w14:textId="77777777" w:rsidR="002F2530" w:rsidRPr="003A115E" w:rsidRDefault="002F2530" w:rsidP="00891D73">
      <w:pPr>
        <w:pStyle w:val="texto"/>
      </w:pPr>
    </w:p>
    <w:p w14:paraId="0D0B940D" w14:textId="77777777" w:rsidR="001C3A32" w:rsidRPr="003A115E" w:rsidRDefault="001C3A32" w:rsidP="00891D73">
      <w:pPr>
        <w:pStyle w:val="texto"/>
      </w:pPr>
    </w:p>
    <w:p w14:paraId="0E27B00A" w14:textId="77777777" w:rsidR="001C3A32" w:rsidRPr="003A115E" w:rsidRDefault="001C3A32" w:rsidP="00891D73">
      <w:pPr>
        <w:pStyle w:val="texto"/>
      </w:pPr>
    </w:p>
    <w:p w14:paraId="60061E4C" w14:textId="77777777" w:rsidR="001C3A32" w:rsidRPr="003A115E" w:rsidRDefault="001C3A32" w:rsidP="00891D73">
      <w:pPr>
        <w:pStyle w:val="texto"/>
      </w:pPr>
    </w:p>
    <w:p w14:paraId="44EAFD9C" w14:textId="77777777" w:rsidR="001C3A32" w:rsidRPr="003A115E" w:rsidRDefault="001C3A32" w:rsidP="00891D73">
      <w:pPr>
        <w:pStyle w:val="texto"/>
      </w:pPr>
    </w:p>
    <w:p w14:paraId="4B94D5A5" w14:textId="77777777" w:rsidR="001C3A32" w:rsidRPr="003A115E" w:rsidRDefault="001C3A32" w:rsidP="00891D73">
      <w:pPr>
        <w:pStyle w:val="texto"/>
      </w:pPr>
    </w:p>
    <w:p w14:paraId="3DEEC669" w14:textId="77777777" w:rsidR="001C3A32" w:rsidRPr="003A115E" w:rsidRDefault="001C3A32" w:rsidP="00891D73">
      <w:pPr>
        <w:pStyle w:val="texto"/>
      </w:pPr>
    </w:p>
    <w:p w14:paraId="3656B9AB" w14:textId="77777777" w:rsidR="001C3A32" w:rsidRPr="003A115E" w:rsidRDefault="001C3A32" w:rsidP="00891D73">
      <w:pPr>
        <w:pStyle w:val="texto"/>
      </w:pPr>
    </w:p>
    <w:p w14:paraId="45FB0818" w14:textId="77777777" w:rsidR="001C3A32" w:rsidRPr="003A115E" w:rsidRDefault="001C3A32" w:rsidP="00891D73">
      <w:pPr>
        <w:pStyle w:val="texto"/>
      </w:pPr>
    </w:p>
    <w:p w14:paraId="049F31CB" w14:textId="77777777" w:rsidR="001C3A32" w:rsidRPr="003A115E" w:rsidRDefault="001C3A32" w:rsidP="00891D73">
      <w:pPr>
        <w:pStyle w:val="texto"/>
      </w:pPr>
    </w:p>
    <w:p w14:paraId="53128261" w14:textId="77777777" w:rsidR="001C3A32" w:rsidRPr="003A115E" w:rsidRDefault="001C3A32" w:rsidP="00891D73">
      <w:pPr>
        <w:pStyle w:val="texto"/>
      </w:pPr>
    </w:p>
    <w:p w14:paraId="62486C05" w14:textId="77777777" w:rsidR="001C3A32" w:rsidRPr="003A115E" w:rsidRDefault="001C3A32" w:rsidP="00891D73">
      <w:pPr>
        <w:pStyle w:val="texto"/>
      </w:pPr>
    </w:p>
    <w:p w14:paraId="4101652C" w14:textId="77777777" w:rsidR="001C3A32" w:rsidRPr="003A115E" w:rsidRDefault="001C3A32" w:rsidP="00891D73">
      <w:pPr>
        <w:pStyle w:val="texto"/>
      </w:pPr>
    </w:p>
    <w:p w14:paraId="4B99056E" w14:textId="77777777" w:rsidR="001C3A32" w:rsidRPr="003A115E" w:rsidRDefault="001C3A32" w:rsidP="00891D73">
      <w:pPr>
        <w:pStyle w:val="texto"/>
      </w:pPr>
    </w:p>
    <w:p w14:paraId="0C410262" w14:textId="6FF8A2D4" w:rsidR="00716463" w:rsidRDefault="003E5F52" w:rsidP="0186A00D">
      <w:pPr>
        <w:pStyle w:val="Fechaportada"/>
      </w:pPr>
      <w:r>
        <w:lastRenderedPageBreak/>
        <w:t>2024ko abendua</w:t>
      </w:r>
    </w:p>
    <w:p w14:paraId="308B855E" w14:textId="79E62C3B" w:rsidR="003E5F52" w:rsidRDefault="003E5F52" w:rsidP="0186A00D">
      <w:pPr>
        <w:pStyle w:val="Fechaportada"/>
        <w:rPr>
          <w:lang w:val="es-ES"/>
        </w:rPr>
      </w:pPr>
    </w:p>
    <w:p w14:paraId="0E3BDFB4" w14:textId="4229B70B" w:rsidR="003E5F52" w:rsidRDefault="003E5F52" w:rsidP="0186A00D">
      <w:pPr>
        <w:pStyle w:val="Fechaportada"/>
        <w:rPr>
          <w:lang w:val="es-ES"/>
        </w:rPr>
      </w:pPr>
    </w:p>
    <w:p w14:paraId="55600300" w14:textId="2148BD74" w:rsidR="003E5F52" w:rsidRDefault="003E5F52" w:rsidP="0186A00D">
      <w:pPr>
        <w:pStyle w:val="Fechaportada"/>
        <w:rPr>
          <w:lang w:val="es-ES"/>
        </w:rPr>
      </w:pPr>
    </w:p>
    <w:p w14:paraId="7E98C821" w14:textId="4D9AEFDB" w:rsidR="003E5F52" w:rsidRDefault="003E5F52" w:rsidP="0186A00D">
      <w:pPr>
        <w:pStyle w:val="Fechaportada"/>
        <w:rPr>
          <w:lang w:val="es-ES"/>
        </w:rPr>
      </w:pPr>
    </w:p>
    <w:p w14:paraId="4BF07328" w14:textId="77777777" w:rsidR="003E5F52" w:rsidRPr="003A115E" w:rsidRDefault="003E5F52" w:rsidP="0186A00D">
      <w:pPr>
        <w:pStyle w:val="Fechaportada"/>
        <w:rPr>
          <w:lang w:val="es-ES"/>
        </w:rPr>
      </w:pPr>
    </w:p>
    <w:p w14:paraId="0562CB0E" w14:textId="59EC0D84" w:rsidR="005A2FD2" w:rsidRDefault="00AA5F62" w:rsidP="00891D73">
      <w:pPr>
        <w:pStyle w:val="ndice"/>
        <w:rPr>
          <w:rFonts w:ascii="Times New Roman" w:hAnsi="Times New Roman"/>
          <w:color w:val="auto"/>
        </w:rPr>
      </w:pPr>
      <w:r>
        <w:rPr>
          <w:rFonts w:ascii="Times New Roman" w:hAnsi="Times New Roman"/>
          <w:noProof/>
          <w:color w:val="auto"/>
        </w:rPr>
        <w:drawing>
          <wp:inline distT="0" distB="0" distL="0" distR="0" wp14:anchorId="59D2B86E" wp14:editId="08145E6B">
            <wp:extent cx="5581015" cy="4971237"/>
            <wp:effectExtent l="0" t="0" r="635" b="1270"/>
            <wp:docPr id="1" name="Imagen 1" descr="C:\Users\D611338\AppData\Local\Microsoft\Windows\INetCache\Content.Outlook\9F41F60Y\Sector local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611338\AppData\Local\Microsoft\Windows\INetCache\Content.Outlook\9F41F60Y\Sector local 202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015" cy="4971237"/>
                    </a:xfrm>
                    <a:prstGeom prst="rect">
                      <a:avLst/>
                    </a:prstGeom>
                    <a:noFill/>
                    <a:ln>
                      <a:noFill/>
                    </a:ln>
                  </pic:spPr>
                </pic:pic>
              </a:graphicData>
            </a:graphic>
          </wp:inline>
        </w:drawing>
      </w:r>
    </w:p>
    <w:p w14:paraId="65C4A63E" w14:textId="7E3655D0" w:rsidR="00AA5F62" w:rsidRDefault="00AA5F62" w:rsidP="00891D73">
      <w:pPr>
        <w:pStyle w:val="ndice"/>
        <w:rPr>
          <w:rFonts w:ascii="Times New Roman" w:hAnsi="Times New Roman"/>
          <w:color w:val="auto"/>
        </w:rPr>
      </w:pPr>
    </w:p>
    <w:p w14:paraId="0586FF82" w14:textId="77777777" w:rsidR="00AA5F62" w:rsidRPr="003A115E" w:rsidRDefault="00AA5F62" w:rsidP="00891D73">
      <w:pPr>
        <w:pStyle w:val="ndice"/>
        <w:rPr>
          <w:rFonts w:ascii="Times New Roman" w:hAnsi="Times New Roman"/>
          <w:color w:val="auto"/>
        </w:rPr>
        <w:sectPr w:rsidR="00AA5F62" w:rsidRPr="003A115E" w:rsidSect="0019660E">
          <w:headerReference w:type="even" r:id="rId12"/>
          <w:headerReference w:type="default" r:id="rId13"/>
          <w:footerReference w:type="even" r:id="rId14"/>
          <w:footerReference w:type="default" r:id="rId15"/>
          <w:headerReference w:type="first" r:id="rId16"/>
          <w:footerReference w:type="first" r:id="rId17"/>
          <w:pgSz w:w="11907" w:h="16840" w:code="9"/>
          <w:pgMar w:top="2835" w:right="1559" w:bottom="1644" w:left="1559" w:header="369" w:footer="136" w:gutter="0"/>
          <w:pgNumType w:start="1"/>
          <w:cols w:space="720"/>
          <w:titlePg/>
          <w:docGrid w:linePitch="360"/>
        </w:sectPr>
      </w:pPr>
    </w:p>
    <w:p w14:paraId="6EC93065" w14:textId="6A1E09A3" w:rsidR="00345C6C" w:rsidRPr="00E0010B" w:rsidRDefault="00E0010B" w:rsidP="00CA055D">
      <w:pPr>
        <w:pStyle w:val="ndice"/>
        <w:spacing w:before="20"/>
        <w:ind w:right="-1"/>
        <w:jc w:val="right"/>
        <w:rPr>
          <w:b w:val="0"/>
          <w:i/>
          <w:color w:val="auto"/>
          <w:sz w:val="22"/>
          <w:szCs w:val="22"/>
        </w:rPr>
      </w:pPr>
      <w:r>
        <w:rPr>
          <w:b w:val="0"/>
          <w:i/>
          <w:color w:val="auto"/>
          <w:sz w:val="16"/>
        </w:rPr>
        <w:lastRenderedPageBreak/>
        <w:t>Orrialdea</w:t>
      </w:r>
    </w:p>
    <w:p w14:paraId="06861E9B" w14:textId="6B6538B3" w:rsidR="00C30F5C" w:rsidRDefault="00345C6C">
      <w:pPr>
        <w:pStyle w:val="TDC1"/>
        <w:rPr>
          <w:rFonts w:asciiTheme="minorHAnsi" w:eastAsiaTheme="minorEastAsia" w:hAnsiTheme="minorHAnsi" w:cstheme="minorBidi"/>
          <w:smallCaps w:val="0"/>
          <w:noProof/>
          <w:kern w:val="2"/>
          <w:sz w:val="24"/>
          <w:szCs w:val="24"/>
          <w:lang w:val="es-ES" w:eastAsia="es-ES"/>
          <w14:ligatures w14:val="standardContextual"/>
        </w:rPr>
      </w:pPr>
      <w:r w:rsidRPr="003A115E">
        <w:fldChar w:fldCharType="begin"/>
      </w:r>
      <w:r w:rsidRPr="003A115E">
        <w:instrText xml:space="preserve"> TOC \o "1-3" \h \z \t "atitulo1;1;atitulo2;2" </w:instrText>
      </w:r>
      <w:r w:rsidRPr="003A115E">
        <w:fldChar w:fldCharType="separate"/>
      </w:r>
      <w:hyperlink w:anchor="_Toc188511775" w:history="1">
        <w:r w:rsidR="00C30F5C" w:rsidRPr="00C930B9">
          <w:rPr>
            <w:rStyle w:val="Hipervnculo"/>
            <w:noProof/>
          </w:rPr>
          <w:t>I. Sarrera</w:t>
        </w:r>
        <w:r w:rsidR="00C30F5C">
          <w:rPr>
            <w:noProof/>
            <w:webHidden/>
          </w:rPr>
          <w:tab/>
        </w:r>
        <w:r w:rsidR="00C30F5C">
          <w:rPr>
            <w:noProof/>
            <w:webHidden/>
          </w:rPr>
          <w:fldChar w:fldCharType="begin"/>
        </w:r>
        <w:r w:rsidR="00C30F5C">
          <w:rPr>
            <w:noProof/>
            <w:webHidden/>
          </w:rPr>
          <w:instrText xml:space="preserve"> PAGEREF _Toc188511775 \h </w:instrText>
        </w:r>
        <w:r w:rsidR="00C30F5C">
          <w:rPr>
            <w:noProof/>
            <w:webHidden/>
          </w:rPr>
        </w:r>
        <w:r w:rsidR="00C30F5C">
          <w:rPr>
            <w:noProof/>
            <w:webHidden/>
          </w:rPr>
          <w:fldChar w:fldCharType="separate"/>
        </w:r>
        <w:r w:rsidR="00C30F5C">
          <w:rPr>
            <w:noProof/>
            <w:webHidden/>
          </w:rPr>
          <w:t>3</w:t>
        </w:r>
        <w:r w:rsidR="00C30F5C">
          <w:rPr>
            <w:noProof/>
            <w:webHidden/>
          </w:rPr>
          <w:fldChar w:fldCharType="end"/>
        </w:r>
      </w:hyperlink>
    </w:p>
    <w:p w14:paraId="6250DCB3" w14:textId="070855E7"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76" w:history="1">
        <w:r w:rsidRPr="00C930B9">
          <w:rPr>
            <w:rStyle w:val="Hipervnculo"/>
            <w:noProof/>
          </w:rPr>
          <w:t>II. Helburua, norainokoa eta mugak</w:t>
        </w:r>
        <w:r>
          <w:rPr>
            <w:noProof/>
            <w:webHidden/>
          </w:rPr>
          <w:tab/>
        </w:r>
        <w:r>
          <w:rPr>
            <w:noProof/>
            <w:webHidden/>
          </w:rPr>
          <w:fldChar w:fldCharType="begin"/>
        </w:r>
        <w:r>
          <w:rPr>
            <w:noProof/>
            <w:webHidden/>
          </w:rPr>
          <w:instrText xml:space="preserve"> PAGEREF _Toc188511776 \h </w:instrText>
        </w:r>
        <w:r>
          <w:rPr>
            <w:noProof/>
            <w:webHidden/>
          </w:rPr>
        </w:r>
        <w:r>
          <w:rPr>
            <w:noProof/>
            <w:webHidden/>
          </w:rPr>
          <w:fldChar w:fldCharType="separate"/>
        </w:r>
        <w:r>
          <w:rPr>
            <w:noProof/>
            <w:webHidden/>
          </w:rPr>
          <w:t>3</w:t>
        </w:r>
        <w:r>
          <w:rPr>
            <w:noProof/>
            <w:webHidden/>
          </w:rPr>
          <w:fldChar w:fldCharType="end"/>
        </w:r>
      </w:hyperlink>
    </w:p>
    <w:p w14:paraId="532FA84D" w14:textId="32AFFE5B"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77" w:history="1">
        <w:r w:rsidRPr="00C930B9">
          <w:rPr>
            <w:rStyle w:val="Hipervnculo"/>
            <w:noProof/>
          </w:rPr>
          <w:t>III. Konklusioak eta gomendioak</w:t>
        </w:r>
        <w:r>
          <w:rPr>
            <w:noProof/>
            <w:webHidden/>
          </w:rPr>
          <w:tab/>
        </w:r>
        <w:r>
          <w:rPr>
            <w:noProof/>
            <w:webHidden/>
          </w:rPr>
          <w:fldChar w:fldCharType="begin"/>
        </w:r>
        <w:r>
          <w:rPr>
            <w:noProof/>
            <w:webHidden/>
          </w:rPr>
          <w:instrText xml:space="preserve"> PAGEREF _Toc188511777 \h </w:instrText>
        </w:r>
        <w:r>
          <w:rPr>
            <w:noProof/>
            <w:webHidden/>
          </w:rPr>
        </w:r>
        <w:r>
          <w:rPr>
            <w:noProof/>
            <w:webHidden/>
          </w:rPr>
          <w:fldChar w:fldCharType="separate"/>
        </w:r>
        <w:r>
          <w:rPr>
            <w:noProof/>
            <w:webHidden/>
          </w:rPr>
          <w:t>3</w:t>
        </w:r>
        <w:r>
          <w:rPr>
            <w:noProof/>
            <w:webHidden/>
          </w:rPr>
          <w:fldChar w:fldCharType="end"/>
        </w:r>
      </w:hyperlink>
    </w:p>
    <w:p w14:paraId="665873AD" w14:textId="68C76057"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78" w:history="1">
        <w:r w:rsidRPr="00C930B9">
          <w:rPr>
            <w:rStyle w:val="Hipervnculo"/>
            <w:noProof/>
          </w:rPr>
          <w:t>III.1 Konklusioak</w:t>
        </w:r>
        <w:r>
          <w:rPr>
            <w:noProof/>
            <w:webHidden/>
          </w:rPr>
          <w:tab/>
        </w:r>
        <w:r>
          <w:rPr>
            <w:noProof/>
            <w:webHidden/>
          </w:rPr>
          <w:fldChar w:fldCharType="begin"/>
        </w:r>
        <w:r>
          <w:rPr>
            <w:noProof/>
            <w:webHidden/>
          </w:rPr>
          <w:instrText xml:space="preserve"> PAGEREF _Toc188511778 \h </w:instrText>
        </w:r>
        <w:r>
          <w:rPr>
            <w:noProof/>
            <w:webHidden/>
          </w:rPr>
        </w:r>
        <w:r>
          <w:rPr>
            <w:noProof/>
            <w:webHidden/>
          </w:rPr>
          <w:fldChar w:fldCharType="separate"/>
        </w:r>
        <w:r>
          <w:rPr>
            <w:noProof/>
            <w:webHidden/>
          </w:rPr>
          <w:t>3</w:t>
        </w:r>
        <w:r>
          <w:rPr>
            <w:noProof/>
            <w:webHidden/>
          </w:rPr>
          <w:fldChar w:fldCharType="end"/>
        </w:r>
      </w:hyperlink>
    </w:p>
    <w:p w14:paraId="6A5AAEA7" w14:textId="163260CF"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79" w:history="1">
        <w:r w:rsidRPr="00C930B9">
          <w:rPr>
            <w:rStyle w:val="Hipervnculo"/>
            <w:noProof/>
          </w:rPr>
          <w:t>III.2. Gomendioak</w:t>
        </w:r>
        <w:r>
          <w:rPr>
            <w:noProof/>
            <w:webHidden/>
          </w:rPr>
          <w:tab/>
        </w:r>
        <w:r>
          <w:rPr>
            <w:noProof/>
            <w:webHidden/>
          </w:rPr>
          <w:fldChar w:fldCharType="begin"/>
        </w:r>
        <w:r>
          <w:rPr>
            <w:noProof/>
            <w:webHidden/>
          </w:rPr>
          <w:instrText xml:space="preserve"> PAGEREF _Toc188511779 \h </w:instrText>
        </w:r>
        <w:r>
          <w:rPr>
            <w:noProof/>
            <w:webHidden/>
          </w:rPr>
        </w:r>
        <w:r>
          <w:rPr>
            <w:noProof/>
            <w:webHidden/>
          </w:rPr>
          <w:fldChar w:fldCharType="separate"/>
        </w:r>
        <w:r>
          <w:rPr>
            <w:noProof/>
            <w:webHidden/>
          </w:rPr>
          <w:t>3</w:t>
        </w:r>
        <w:r>
          <w:rPr>
            <w:noProof/>
            <w:webHidden/>
          </w:rPr>
          <w:fldChar w:fldCharType="end"/>
        </w:r>
      </w:hyperlink>
    </w:p>
    <w:p w14:paraId="33EB31B5" w14:textId="147AF3B1"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80" w:history="1">
        <w:r w:rsidRPr="00C930B9">
          <w:rPr>
            <w:rStyle w:val="Hipervnculo"/>
            <w:noProof/>
          </w:rPr>
          <w:t>IV. Toki-sektore publikoaren antolaketa-egitura eta araudia</w:t>
        </w:r>
        <w:r>
          <w:rPr>
            <w:noProof/>
            <w:webHidden/>
          </w:rPr>
          <w:tab/>
        </w:r>
        <w:r>
          <w:rPr>
            <w:noProof/>
            <w:webHidden/>
          </w:rPr>
          <w:fldChar w:fldCharType="begin"/>
        </w:r>
        <w:r>
          <w:rPr>
            <w:noProof/>
            <w:webHidden/>
          </w:rPr>
          <w:instrText xml:space="preserve"> PAGEREF _Toc188511780 \h </w:instrText>
        </w:r>
        <w:r>
          <w:rPr>
            <w:noProof/>
            <w:webHidden/>
          </w:rPr>
        </w:r>
        <w:r>
          <w:rPr>
            <w:noProof/>
            <w:webHidden/>
          </w:rPr>
          <w:fldChar w:fldCharType="separate"/>
        </w:r>
        <w:r>
          <w:rPr>
            <w:noProof/>
            <w:webHidden/>
          </w:rPr>
          <w:t>3</w:t>
        </w:r>
        <w:r>
          <w:rPr>
            <w:noProof/>
            <w:webHidden/>
          </w:rPr>
          <w:fldChar w:fldCharType="end"/>
        </w:r>
      </w:hyperlink>
    </w:p>
    <w:p w14:paraId="60DEBBF4" w14:textId="66CD44FE"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1" w:history="1">
        <w:r w:rsidRPr="00C930B9">
          <w:rPr>
            <w:rStyle w:val="Hipervnculo"/>
            <w:noProof/>
          </w:rPr>
          <w:t>IV.1 Antolaketa-egitura</w:t>
        </w:r>
        <w:r>
          <w:rPr>
            <w:noProof/>
            <w:webHidden/>
          </w:rPr>
          <w:tab/>
        </w:r>
        <w:r>
          <w:rPr>
            <w:noProof/>
            <w:webHidden/>
          </w:rPr>
          <w:fldChar w:fldCharType="begin"/>
        </w:r>
        <w:r>
          <w:rPr>
            <w:noProof/>
            <w:webHidden/>
          </w:rPr>
          <w:instrText xml:space="preserve"> PAGEREF _Toc188511781 \h </w:instrText>
        </w:r>
        <w:r>
          <w:rPr>
            <w:noProof/>
            <w:webHidden/>
          </w:rPr>
        </w:r>
        <w:r>
          <w:rPr>
            <w:noProof/>
            <w:webHidden/>
          </w:rPr>
          <w:fldChar w:fldCharType="separate"/>
        </w:r>
        <w:r>
          <w:rPr>
            <w:noProof/>
            <w:webHidden/>
          </w:rPr>
          <w:t>3</w:t>
        </w:r>
        <w:r>
          <w:rPr>
            <w:noProof/>
            <w:webHidden/>
          </w:rPr>
          <w:fldChar w:fldCharType="end"/>
        </w:r>
      </w:hyperlink>
    </w:p>
    <w:p w14:paraId="5BDD5941" w14:textId="6AE2A3DF"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2" w:history="1">
        <w:r w:rsidRPr="00C930B9">
          <w:rPr>
            <w:rStyle w:val="Hipervnculo"/>
            <w:noProof/>
          </w:rPr>
          <w:t>IV.2 Toki-sektore publikoaren arrazionalizazioa</w:t>
        </w:r>
        <w:r>
          <w:rPr>
            <w:noProof/>
            <w:webHidden/>
          </w:rPr>
          <w:tab/>
        </w:r>
        <w:r>
          <w:rPr>
            <w:noProof/>
            <w:webHidden/>
          </w:rPr>
          <w:fldChar w:fldCharType="begin"/>
        </w:r>
        <w:r>
          <w:rPr>
            <w:noProof/>
            <w:webHidden/>
          </w:rPr>
          <w:instrText xml:space="preserve"> PAGEREF _Toc188511782 \h </w:instrText>
        </w:r>
        <w:r>
          <w:rPr>
            <w:noProof/>
            <w:webHidden/>
          </w:rPr>
        </w:r>
        <w:r>
          <w:rPr>
            <w:noProof/>
            <w:webHidden/>
          </w:rPr>
          <w:fldChar w:fldCharType="separate"/>
        </w:r>
        <w:r>
          <w:rPr>
            <w:noProof/>
            <w:webHidden/>
          </w:rPr>
          <w:t>3</w:t>
        </w:r>
        <w:r>
          <w:rPr>
            <w:noProof/>
            <w:webHidden/>
          </w:rPr>
          <w:fldChar w:fldCharType="end"/>
        </w:r>
      </w:hyperlink>
    </w:p>
    <w:p w14:paraId="55B5F5BE" w14:textId="007A7DD9"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3" w:history="1">
        <w:r w:rsidRPr="00C930B9">
          <w:rPr>
            <w:rStyle w:val="Hipervnculo"/>
            <w:noProof/>
          </w:rPr>
          <w:t>IV.3 Nafarroako toki-entitateei aplikatzekoa zaien araudia</w:t>
        </w:r>
        <w:r>
          <w:rPr>
            <w:noProof/>
            <w:webHidden/>
          </w:rPr>
          <w:tab/>
        </w:r>
        <w:r>
          <w:rPr>
            <w:noProof/>
            <w:webHidden/>
          </w:rPr>
          <w:fldChar w:fldCharType="begin"/>
        </w:r>
        <w:r>
          <w:rPr>
            <w:noProof/>
            <w:webHidden/>
          </w:rPr>
          <w:instrText xml:space="preserve"> PAGEREF _Toc188511783 \h </w:instrText>
        </w:r>
        <w:r>
          <w:rPr>
            <w:noProof/>
            <w:webHidden/>
          </w:rPr>
        </w:r>
        <w:r>
          <w:rPr>
            <w:noProof/>
            <w:webHidden/>
          </w:rPr>
          <w:fldChar w:fldCharType="separate"/>
        </w:r>
        <w:r>
          <w:rPr>
            <w:noProof/>
            <w:webHidden/>
          </w:rPr>
          <w:t>3</w:t>
        </w:r>
        <w:r>
          <w:rPr>
            <w:noProof/>
            <w:webHidden/>
          </w:rPr>
          <w:fldChar w:fldCharType="end"/>
        </w:r>
      </w:hyperlink>
    </w:p>
    <w:p w14:paraId="40A15FC7" w14:textId="34EEDAA6"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84" w:history="1">
        <w:r w:rsidRPr="00C930B9">
          <w:rPr>
            <w:rStyle w:val="Hipervnculo"/>
            <w:noProof/>
          </w:rPr>
          <w:t>V. 2022ko ekitaldiari dagozkion fiskalizazio-jarduketen laburpen-oroitidazkia</w:t>
        </w:r>
        <w:r>
          <w:rPr>
            <w:noProof/>
            <w:webHidden/>
          </w:rPr>
          <w:tab/>
        </w:r>
        <w:r>
          <w:rPr>
            <w:noProof/>
            <w:webHidden/>
          </w:rPr>
          <w:fldChar w:fldCharType="begin"/>
        </w:r>
        <w:r>
          <w:rPr>
            <w:noProof/>
            <w:webHidden/>
          </w:rPr>
          <w:instrText xml:space="preserve"> PAGEREF _Toc188511784 \h </w:instrText>
        </w:r>
        <w:r>
          <w:rPr>
            <w:noProof/>
            <w:webHidden/>
          </w:rPr>
        </w:r>
        <w:r>
          <w:rPr>
            <w:noProof/>
            <w:webHidden/>
          </w:rPr>
          <w:fldChar w:fldCharType="separate"/>
        </w:r>
        <w:r>
          <w:rPr>
            <w:noProof/>
            <w:webHidden/>
          </w:rPr>
          <w:t>3</w:t>
        </w:r>
        <w:r>
          <w:rPr>
            <w:noProof/>
            <w:webHidden/>
          </w:rPr>
          <w:fldChar w:fldCharType="end"/>
        </w:r>
      </w:hyperlink>
    </w:p>
    <w:p w14:paraId="09E42266" w14:textId="17A42082"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85" w:history="1">
        <w:r w:rsidRPr="00C930B9">
          <w:rPr>
            <w:rStyle w:val="Hipervnculo"/>
            <w:noProof/>
          </w:rPr>
          <w:t>VI. Toki-sektore publikoaren finantza-egoera</w:t>
        </w:r>
        <w:r>
          <w:rPr>
            <w:noProof/>
            <w:webHidden/>
          </w:rPr>
          <w:tab/>
        </w:r>
        <w:r>
          <w:rPr>
            <w:noProof/>
            <w:webHidden/>
          </w:rPr>
          <w:fldChar w:fldCharType="begin"/>
        </w:r>
        <w:r>
          <w:rPr>
            <w:noProof/>
            <w:webHidden/>
          </w:rPr>
          <w:instrText xml:space="preserve"> PAGEREF _Toc188511785 \h </w:instrText>
        </w:r>
        <w:r>
          <w:rPr>
            <w:noProof/>
            <w:webHidden/>
          </w:rPr>
        </w:r>
        <w:r>
          <w:rPr>
            <w:noProof/>
            <w:webHidden/>
          </w:rPr>
          <w:fldChar w:fldCharType="separate"/>
        </w:r>
        <w:r>
          <w:rPr>
            <w:noProof/>
            <w:webHidden/>
          </w:rPr>
          <w:t>3</w:t>
        </w:r>
        <w:r>
          <w:rPr>
            <w:noProof/>
            <w:webHidden/>
          </w:rPr>
          <w:fldChar w:fldCharType="end"/>
        </w:r>
      </w:hyperlink>
    </w:p>
    <w:p w14:paraId="10085303" w14:textId="6357DF0D"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6" w:history="1">
        <w:r w:rsidRPr="00C930B9">
          <w:rPr>
            <w:rStyle w:val="Hipervnculo"/>
            <w:noProof/>
          </w:rPr>
          <w:t>VI.1 Diru-sarrerak</w:t>
        </w:r>
        <w:r>
          <w:rPr>
            <w:noProof/>
            <w:webHidden/>
          </w:rPr>
          <w:tab/>
        </w:r>
        <w:r>
          <w:rPr>
            <w:noProof/>
            <w:webHidden/>
          </w:rPr>
          <w:fldChar w:fldCharType="begin"/>
        </w:r>
        <w:r>
          <w:rPr>
            <w:noProof/>
            <w:webHidden/>
          </w:rPr>
          <w:instrText xml:space="preserve"> PAGEREF _Toc188511786 \h </w:instrText>
        </w:r>
        <w:r>
          <w:rPr>
            <w:noProof/>
            <w:webHidden/>
          </w:rPr>
        </w:r>
        <w:r>
          <w:rPr>
            <w:noProof/>
            <w:webHidden/>
          </w:rPr>
          <w:fldChar w:fldCharType="separate"/>
        </w:r>
        <w:r>
          <w:rPr>
            <w:noProof/>
            <w:webHidden/>
          </w:rPr>
          <w:t>3</w:t>
        </w:r>
        <w:r>
          <w:rPr>
            <w:noProof/>
            <w:webHidden/>
          </w:rPr>
          <w:fldChar w:fldCharType="end"/>
        </w:r>
      </w:hyperlink>
    </w:p>
    <w:p w14:paraId="2A655728" w14:textId="63B29E20"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7" w:history="1">
        <w:r w:rsidRPr="00C930B9">
          <w:rPr>
            <w:rStyle w:val="Hipervnculo"/>
            <w:noProof/>
          </w:rPr>
          <w:t>VI.2 Gastuak</w:t>
        </w:r>
        <w:r>
          <w:rPr>
            <w:noProof/>
            <w:webHidden/>
          </w:rPr>
          <w:tab/>
        </w:r>
        <w:r>
          <w:rPr>
            <w:noProof/>
            <w:webHidden/>
          </w:rPr>
          <w:fldChar w:fldCharType="begin"/>
        </w:r>
        <w:r>
          <w:rPr>
            <w:noProof/>
            <w:webHidden/>
          </w:rPr>
          <w:instrText xml:space="preserve"> PAGEREF _Toc188511787 \h </w:instrText>
        </w:r>
        <w:r>
          <w:rPr>
            <w:noProof/>
            <w:webHidden/>
          </w:rPr>
        </w:r>
        <w:r>
          <w:rPr>
            <w:noProof/>
            <w:webHidden/>
          </w:rPr>
          <w:fldChar w:fldCharType="separate"/>
        </w:r>
        <w:r>
          <w:rPr>
            <w:noProof/>
            <w:webHidden/>
          </w:rPr>
          <w:t>3</w:t>
        </w:r>
        <w:r>
          <w:rPr>
            <w:noProof/>
            <w:webHidden/>
          </w:rPr>
          <w:fldChar w:fldCharType="end"/>
        </w:r>
      </w:hyperlink>
    </w:p>
    <w:p w14:paraId="0CCD74CC" w14:textId="6EDE1920"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8" w:history="1">
        <w:r w:rsidRPr="00C930B9">
          <w:rPr>
            <w:rStyle w:val="Hipervnculo"/>
            <w:noProof/>
          </w:rPr>
          <w:t>VI.3 Suspertze eta Erresilientziarako Mekanismoaren funtsak</w:t>
        </w:r>
        <w:r>
          <w:rPr>
            <w:noProof/>
            <w:webHidden/>
          </w:rPr>
          <w:tab/>
        </w:r>
        <w:r>
          <w:rPr>
            <w:noProof/>
            <w:webHidden/>
          </w:rPr>
          <w:fldChar w:fldCharType="begin"/>
        </w:r>
        <w:r>
          <w:rPr>
            <w:noProof/>
            <w:webHidden/>
          </w:rPr>
          <w:instrText xml:space="preserve"> PAGEREF _Toc188511788 \h </w:instrText>
        </w:r>
        <w:r>
          <w:rPr>
            <w:noProof/>
            <w:webHidden/>
          </w:rPr>
        </w:r>
        <w:r>
          <w:rPr>
            <w:noProof/>
            <w:webHidden/>
          </w:rPr>
          <w:fldChar w:fldCharType="separate"/>
        </w:r>
        <w:r>
          <w:rPr>
            <w:noProof/>
            <w:webHidden/>
          </w:rPr>
          <w:t>3</w:t>
        </w:r>
        <w:r>
          <w:rPr>
            <w:noProof/>
            <w:webHidden/>
          </w:rPr>
          <w:fldChar w:fldCharType="end"/>
        </w:r>
      </w:hyperlink>
    </w:p>
    <w:p w14:paraId="410672BA" w14:textId="77985E56"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89" w:history="1">
        <w:r w:rsidRPr="00C930B9">
          <w:rPr>
            <w:rStyle w:val="Hipervnculo"/>
            <w:noProof/>
          </w:rPr>
          <w:t>VI.4 Adierazleak</w:t>
        </w:r>
        <w:r>
          <w:rPr>
            <w:noProof/>
            <w:webHidden/>
          </w:rPr>
          <w:tab/>
        </w:r>
        <w:r>
          <w:rPr>
            <w:noProof/>
            <w:webHidden/>
          </w:rPr>
          <w:fldChar w:fldCharType="begin"/>
        </w:r>
        <w:r>
          <w:rPr>
            <w:noProof/>
            <w:webHidden/>
          </w:rPr>
          <w:instrText xml:space="preserve"> PAGEREF _Toc188511789 \h </w:instrText>
        </w:r>
        <w:r>
          <w:rPr>
            <w:noProof/>
            <w:webHidden/>
          </w:rPr>
        </w:r>
        <w:r>
          <w:rPr>
            <w:noProof/>
            <w:webHidden/>
          </w:rPr>
          <w:fldChar w:fldCharType="separate"/>
        </w:r>
        <w:r>
          <w:rPr>
            <w:noProof/>
            <w:webHidden/>
          </w:rPr>
          <w:t>3</w:t>
        </w:r>
        <w:r>
          <w:rPr>
            <w:noProof/>
            <w:webHidden/>
          </w:rPr>
          <w:fldChar w:fldCharType="end"/>
        </w:r>
      </w:hyperlink>
    </w:p>
    <w:p w14:paraId="2F6C2163" w14:textId="7A178F45"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0" w:history="1">
        <w:r w:rsidRPr="00C930B9">
          <w:rPr>
            <w:rStyle w:val="Hipervnculo"/>
            <w:noProof/>
          </w:rPr>
          <w:t>VI.5 Nafarroako udalen arteko konparaziozko analisia, biztanleria-tarteen araberakoa</w:t>
        </w:r>
        <w:r>
          <w:rPr>
            <w:noProof/>
            <w:webHidden/>
          </w:rPr>
          <w:tab/>
        </w:r>
        <w:r>
          <w:rPr>
            <w:noProof/>
            <w:webHidden/>
          </w:rPr>
          <w:fldChar w:fldCharType="begin"/>
        </w:r>
        <w:r>
          <w:rPr>
            <w:noProof/>
            <w:webHidden/>
          </w:rPr>
          <w:instrText xml:space="preserve"> PAGEREF _Toc188511790 \h </w:instrText>
        </w:r>
        <w:r>
          <w:rPr>
            <w:noProof/>
            <w:webHidden/>
          </w:rPr>
        </w:r>
        <w:r>
          <w:rPr>
            <w:noProof/>
            <w:webHidden/>
          </w:rPr>
          <w:fldChar w:fldCharType="separate"/>
        </w:r>
        <w:r>
          <w:rPr>
            <w:noProof/>
            <w:webHidden/>
          </w:rPr>
          <w:t>3</w:t>
        </w:r>
        <w:r>
          <w:rPr>
            <w:noProof/>
            <w:webHidden/>
          </w:rPr>
          <w:fldChar w:fldCharType="end"/>
        </w:r>
      </w:hyperlink>
    </w:p>
    <w:p w14:paraId="6249A84E" w14:textId="08A9EF21"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1" w:history="1">
        <w:r w:rsidRPr="00C930B9">
          <w:rPr>
            <w:rStyle w:val="Hipervnculo"/>
            <w:noProof/>
          </w:rPr>
          <w:t>VI.6 Aurrekontu egonkortasuneko eta finantza iraunkortasuneko helburuak</w:t>
        </w:r>
        <w:r>
          <w:rPr>
            <w:noProof/>
            <w:webHidden/>
          </w:rPr>
          <w:tab/>
        </w:r>
        <w:r>
          <w:rPr>
            <w:noProof/>
            <w:webHidden/>
          </w:rPr>
          <w:fldChar w:fldCharType="begin"/>
        </w:r>
        <w:r>
          <w:rPr>
            <w:noProof/>
            <w:webHidden/>
          </w:rPr>
          <w:instrText xml:space="preserve"> PAGEREF _Toc188511791 \h </w:instrText>
        </w:r>
        <w:r>
          <w:rPr>
            <w:noProof/>
            <w:webHidden/>
          </w:rPr>
        </w:r>
        <w:r>
          <w:rPr>
            <w:noProof/>
            <w:webHidden/>
          </w:rPr>
          <w:fldChar w:fldCharType="separate"/>
        </w:r>
        <w:r>
          <w:rPr>
            <w:noProof/>
            <w:webHidden/>
          </w:rPr>
          <w:t>3</w:t>
        </w:r>
        <w:r>
          <w:rPr>
            <w:noProof/>
            <w:webHidden/>
          </w:rPr>
          <w:fldChar w:fldCharType="end"/>
        </w:r>
      </w:hyperlink>
    </w:p>
    <w:p w14:paraId="3ECAB445" w14:textId="47B215CE"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92" w:history="1">
        <w:r w:rsidRPr="00C930B9">
          <w:rPr>
            <w:rStyle w:val="Hipervnculo"/>
            <w:noProof/>
          </w:rPr>
          <w:t>VII. Kontratazio administratiboa</w:t>
        </w:r>
        <w:r>
          <w:rPr>
            <w:noProof/>
            <w:webHidden/>
          </w:rPr>
          <w:tab/>
        </w:r>
        <w:r>
          <w:rPr>
            <w:noProof/>
            <w:webHidden/>
          </w:rPr>
          <w:fldChar w:fldCharType="begin"/>
        </w:r>
        <w:r>
          <w:rPr>
            <w:noProof/>
            <w:webHidden/>
          </w:rPr>
          <w:instrText xml:space="preserve"> PAGEREF _Toc188511792 \h </w:instrText>
        </w:r>
        <w:r>
          <w:rPr>
            <w:noProof/>
            <w:webHidden/>
          </w:rPr>
        </w:r>
        <w:r>
          <w:rPr>
            <w:noProof/>
            <w:webHidden/>
          </w:rPr>
          <w:fldChar w:fldCharType="separate"/>
        </w:r>
        <w:r>
          <w:rPr>
            <w:noProof/>
            <w:webHidden/>
          </w:rPr>
          <w:t>3</w:t>
        </w:r>
        <w:r>
          <w:rPr>
            <w:noProof/>
            <w:webHidden/>
          </w:rPr>
          <w:fldChar w:fldCharType="end"/>
        </w:r>
      </w:hyperlink>
    </w:p>
    <w:p w14:paraId="01727F2E" w14:textId="158B839B"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93" w:history="1">
        <w:r w:rsidRPr="00C930B9">
          <w:rPr>
            <w:rStyle w:val="Hipervnculo"/>
            <w:noProof/>
          </w:rPr>
          <w:t>VIII. Kontu-ematea eta aurrekontuen onespena</w:t>
        </w:r>
        <w:r>
          <w:rPr>
            <w:noProof/>
            <w:webHidden/>
          </w:rPr>
          <w:tab/>
        </w:r>
        <w:r>
          <w:rPr>
            <w:noProof/>
            <w:webHidden/>
          </w:rPr>
          <w:fldChar w:fldCharType="begin"/>
        </w:r>
        <w:r>
          <w:rPr>
            <w:noProof/>
            <w:webHidden/>
          </w:rPr>
          <w:instrText xml:space="preserve"> PAGEREF _Toc188511793 \h </w:instrText>
        </w:r>
        <w:r>
          <w:rPr>
            <w:noProof/>
            <w:webHidden/>
          </w:rPr>
        </w:r>
        <w:r>
          <w:rPr>
            <w:noProof/>
            <w:webHidden/>
          </w:rPr>
          <w:fldChar w:fldCharType="separate"/>
        </w:r>
        <w:r>
          <w:rPr>
            <w:noProof/>
            <w:webHidden/>
          </w:rPr>
          <w:t>3</w:t>
        </w:r>
        <w:r>
          <w:rPr>
            <w:noProof/>
            <w:webHidden/>
          </w:rPr>
          <w:fldChar w:fldCharType="end"/>
        </w:r>
      </w:hyperlink>
    </w:p>
    <w:p w14:paraId="2085BF76" w14:textId="4297771C"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4" w:history="1">
        <w:r w:rsidRPr="00C930B9">
          <w:rPr>
            <w:rStyle w:val="Hipervnculo"/>
            <w:noProof/>
          </w:rPr>
          <w:t>VIII.1 Kontuak emateko betebeharra betetzea</w:t>
        </w:r>
        <w:r>
          <w:rPr>
            <w:noProof/>
            <w:webHidden/>
          </w:rPr>
          <w:tab/>
        </w:r>
        <w:r>
          <w:rPr>
            <w:noProof/>
            <w:webHidden/>
          </w:rPr>
          <w:fldChar w:fldCharType="begin"/>
        </w:r>
        <w:r>
          <w:rPr>
            <w:noProof/>
            <w:webHidden/>
          </w:rPr>
          <w:instrText xml:space="preserve"> PAGEREF _Toc188511794 \h </w:instrText>
        </w:r>
        <w:r>
          <w:rPr>
            <w:noProof/>
            <w:webHidden/>
          </w:rPr>
        </w:r>
        <w:r>
          <w:rPr>
            <w:noProof/>
            <w:webHidden/>
          </w:rPr>
          <w:fldChar w:fldCharType="separate"/>
        </w:r>
        <w:r>
          <w:rPr>
            <w:noProof/>
            <w:webHidden/>
          </w:rPr>
          <w:t>3</w:t>
        </w:r>
        <w:r>
          <w:rPr>
            <w:noProof/>
            <w:webHidden/>
          </w:rPr>
          <w:fldChar w:fldCharType="end"/>
        </w:r>
      </w:hyperlink>
    </w:p>
    <w:p w14:paraId="460ECABD" w14:textId="413CCB19"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5" w:history="1">
        <w:r w:rsidRPr="00C930B9">
          <w:rPr>
            <w:rStyle w:val="Hipervnculo"/>
            <w:noProof/>
          </w:rPr>
          <w:t>VIII.2. Aurrekontuaren onespena eta igorpena</w:t>
        </w:r>
        <w:r>
          <w:rPr>
            <w:noProof/>
            <w:webHidden/>
          </w:rPr>
          <w:tab/>
        </w:r>
        <w:r>
          <w:rPr>
            <w:noProof/>
            <w:webHidden/>
          </w:rPr>
          <w:fldChar w:fldCharType="begin"/>
        </w:r>
        <w:r>
          <w:rPr>
            <w:noProof/>
            <w:webHidden/>
          </w:rPr>
          <w:instrText xml:space="preserve"> PAGEREF _Toc188511795 \h </w:instrText>
        </w:r>
        <w:r>
          <w:rPr>
            <w:noProof/>
            <w:webHidden/>
          </w:rPr>
        </w:r>
        <w:r>
          <w:rPr>
            <w:noProof/>
            <w:webHidden/>
          </w:rPr>
          <w:fldChar w:fldCharType="separate"/>
        </w:r>
        <w:r>
          <w:rPr>
            <w:noProof/>
            <w:webHidden/>
          </w:rPr>
          <w:t>3</w:t>
        </w:r>
        <w:r>
          <w:rPr>
            <w:noProof/>
            <w:webHidden/>
          </w:rPr>
          <w:fldChar w:fldCharType="end"/>
        </w:r>
      </w:hyperlink>
    </w:p>
    <w:p w14:paraId="408494D5" w14:textId="3296A17F"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796" w:history="1">
        <w:r w:rsidRPr="00C930B9">
          <w:rPr>
            <w:rStyle w:val="Hipervnculo"/>
            <w:noProof/>
          </w:rPr>
          <w:t>IX. Barne-kontrola eta kontu-hartze organoek jaulkitako eragozpen oharrak</w:t>
        </w:r>
        <w:r>
          <w:rPr>
            <w:noProof/>
            <w:webHidden/>
          </w:rPr>
          <w:tab/>
        </w:r>
        <w:r>
          <w:rPr>
            <w:noProof/>
            <w:webHidden/>
          </w:rPr>
          <w:fldChar w:fldCharType="begin"/>
        </w:r>
        <w:r>
          <w:rPr>
            <w:noProof/>
            <w:webHidden/>
          </w:rPr>
          <w:instrText xml:space="preserve"> PAGEREF _Toc188511796 \h </w:instrText>
        </w:r>
        <w:r>
          <w:rPr>
            <w:noProof/>
            <w:webHidden/>
          </w:rPr>
        </w:r>
        <w:r>
          <w:rPr>
            <w:noProof/>
            <w:webHidden/>
          </w:rPr>
          <w:fldChar w:fldCharType="separate"/>
        </w:r>
        <w:r>
          <w:rPr>
            <w:noProof/>
            <w:webHidden/>
          </w:rPr>
          <w:t>3</w:t>
        </w:r>
        <w:r>
          <w:rPr>
            <w:noProof/>
            <w:webHidden/>
          </w:rPr>
          <w:fldChar w:fldCharType="end"/>
        </w:r>
      </w:hyperlink>
    </w:p>
    <w:p w14:paraId="394E7B35" w14:textId="03874188"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7" w:history="1">
        <w:r w:rsidRPr="00C930B9">
          <w:rPr>
            <w:rStyle w:val="Hipervnculo"/>
            <w:noProof/>
          </w:rPr>
          <w:t>IX.1 Eskatutako informazioa igortzeko betebeharra betetzea</w:t>
        </w:r>
        <w:r>
          <w:rPr>
            <w:noProof/>
            <w:webHidden/>
          </w:rPr>
          <w:tab/>
        </w:r>
        <w:r>
          <w:rPr>
            <w:noProof/>
            <w:webHidden/>
          </w:rPr>
          <w:fldChar w:fldCharType="begin"/>
        </w:r>
        <w:r>
          <w:rPr>
            <w:noProof/>
            <w:webHidden/>
          </w:rPr>
          <w:instrText xml:space="preserve"> PAGEREF _Toc188511797 \h </w:instrText>
        </w:r>
        <w:r>
          <w:rPr>
            <w:noProof/>
            <w:webHidden/>
          </w:rPr>
        </w:r>
        <w:r>
          <w:rPr>
            <w:noProof/>
            <w:webHidden/>
          </w:rPr>
          <w:fldChar w:fldCharType="separate"/>
        </w:r>
        <w:r>
          <w:rPr>
            <w:noProof/>
            <w:webHidden/>
          </w:rPr>
          <w:t>3</w:t>
        </w:r>
        <w:r>
          <w:rPr>
            <w:noProof/>
            <w:webHidden/>
          </w:rPr>
          <w:fldChar w:fldCharType="end"/>
        </w:r>
      </w:hyperlink>
    </w:p>
    <w:p w14:paraId="12D97334" w14:textId="38081E38"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8" w:history="1">
        <w:r w:rsidRPr="00C930B9">
          <w:rPr>
            <w:rStyle w:val="Hipervnculo"/>
            <w:noProof/>
          </w:rPr>
          <w:t>IX.2 Barne-kontrola</w:t>
        </w:r>
        <w:r>
          <w:rPr>
            <w:noProof/>
            <w:webHidden/>
          </w:rPr>
          <w:tab/>
        </w:r>
        <w:r>
          <w:rPr>
            <w:noProof/>
            <w:webHidden/>
          </w:rPr>
          <w:fldChar w:fldCharType="begin"/>
        </w:r>
        <w:r>
          <w:rPr>
            <w:noProof/>
            <w:webHidden/>
          </w:rPr>
          <w:instrText xml:space="preserve"> PAGEREF _Toc188511798 \h </w:instrText>
        </w:r>
        <w:r>
          <w:rPr>
            <w:noProof/>
            <w:webHidden/>
          </w:rPr>
        </w:r>
        <w:r>
          <w:rPr>
            <w:noProof/>
            <w:webHidden/>
          </w:rPr>
          <w:fldChar w:fldCharType="separate"/>
        </w:r>
        <w:r>
          <w:rPr>
            <w:noProof/>
            <w:webHidden/>
          </w:rPr>
          <w:t>3</w:t>
        </w:r>
        <w:r>
          <w:rPr>
            <w:noProof/>
            <w:webHidden/>
          </w:rPr>
          <w:fldChar w:fldCharType="end"/>
        </w:r>
      </w:hyperlink>
    </w:p>
    <w:p w14:paraId="3B25484A" w14:textId="4DFA7596"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799" w:history="1">
        <w:r w:rsidRPr="00C930B9">
          <w:rPr>
            <w:rStyle w:val="Hipervnculo"/>
            <w:noProof/>
          </w:rPr>
          <w:t>IX.3 Eragozpen-oharrak</w:t>
        </w:r>
        <w:r>
          <w:rPr>
            <w:noProof/>
            <w:webHidden/>
          </w:rPr>
          <w:tab/>
        </w:r>
        <w:r>
          <w:rPr>
            <w:noProof/>
            <w:webHidden/>
          </w:rPr>
          <w:fldChar w:fldCharType="begin"/>
        </w:r>
        <w:r>
          <w:rPr>
            <w:noProof/>
            <w:webHidden/>
          </w:rPr>
          <w:instrText xml:space="preserve"> PAGEREF _Toc188511799 \h </w:instrText>
        </w:r>
        <w:r>
          <w:rPr>
            <w:noProof/>
            <w:webHidden/>
          </w:rPr>
        </w:r>
        <w:r>
          <w:rPr>
            <w:noProof/>
            <w:webHidden/>
          </w:rPr>
          <w:fldChar w:fldCharType="separate"/>
        </w:r>
        <w:r>
          <w:rPr>
            <w:noProof/>
            <w:webHidden/>
          </w:rPr>
          <w:t>3</w:t>
        </w:r>
        <w:r>
          <w:rPr>
            <w:noProof/>
            <w:webHidden/>
          </w:rPr>
          <w:fldChar w:fldCharType="end"/>
        </w:r>
      </w:hyperlink>
    </w:p>
    <w:p w14:paraId="205313C7" w14:textId="6080E286" w:rsidR="00C30F5C" w:rsidRDefault="00C30F5C">
      <w:pPr>
        <w:pStyle w:val="TDC2"/>
        <w:rPr>
          <w:rFonts w:asciiTheme="minorHAnsi" w:eastAsiaTheme="minorEastAsia" w:hAnsiTheme="minorHAnsi" w:cstheme="minorBidi"/>
          <w:noProof/>
          <w:kern w:val="2"/>
          <w:sz w:val="24"/>
          <w:szCs w:val="24"/>
          <w:lang w:val="es-ES" w:eastAsia="es-ES"/>
          <w14:ligatures w14:val="standardContextual"/>
        </w:rPr>
      </w:pPr>
      <w:hyperlink w:anchor="_Toc188511800" w:history="1">
        <w:r w:rsidRPr="00C930B9">
          <w:rPr>
            <w:rStyle w:val="Hipervnculo"/>
            <w:noProof/>
          </w:rPr>
          <w:t>IX.4 Diru-sarreren arloko anomalia nagusiak</w:t>
        </w:r>
        <w:r>
          <w:rPr>
            <w:noProof/>
            <w:webHidden/>
          </w:rPr>
          <w:tab/>
        </w:r>
        <w:r>
          <w:rPr>
            <w:noProof/>
            <w:webHidden/>
          </w:rPr>
          <w:fldChar w:fldCharType="begin"/>
        </w:r>
        <w:r>
          <w:rPr>
            <w:noProof/>
            <w:webHidden/>
          </w:rPr>
          <w:instrText xml:space="preserve"> PAGEREF _Toc188511800 \h </w:instrText>
        </w:r>
        <w:r>
          <w:rPr>
            <w:noProof/>
            <w:webHidden/>
          </w:rPr>
        </w:r>
        <w:r>
          <w:rPr>
            <w:noProof/>
            <w:webHidden/>
          </w:rPr>
          <w:fldChar w:fldCharType="separate"/>
        </w:r>
        <w:r>
          <w:rPr>
            <w:noProof/>
            <w:webHidden/>
          </w:rPr>
          <w:t>3</w:t>
        </w:r>
        <w:r>
          <w:rPr>
            <w:noProof/>
            <w:webHidden/>
          </w:rPr>
          <w:fldChar w:fldCharType="end"/>
        </w:r>
      </w:hyperlink>
    </w:p>
    <w:p w14:paraId="2E2A8B6A" w14:textId="426AF1C9"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801" w:history="1">
        <w:r w:rsidRPr="00C930B9">
          <w:rPr>
            <w:rStyle w:val="Hipervnculo"/>
            <w:noProof/>
          </w:rPr>
          <w:t>Eranskinak</w:t>
        </w:r>
        <w:r>
          <w:rPr>
            <w:noProof/>
            <w:webHidden/>
          </w:rPr>
          <w:tab/>
        </w:r>
        <w:r>
          <w:rPr>
            <w:noProof/>
            <w:webHidden/>
          </w:rPr>
          <w:fldChar w:fldCharType="begin"/>
        </w:r>
        <w:r>
          <w:rPr>
            <w:noProof/>
            <w:webHidden/>
          </w:rPr>
          <w:instrText xml:space="preserve"> PAGEREF _Toc188511801 \h </w:instrText>
        </w:r>
        <w:r>
          <w:rPr>
            <w:noProof/>
            <w:webHidden/>
          </w:rPr>
        </w:r>
        <w:r>
          <w:rPr>
            <w:noProof/>
            <w:webHidden/>
          </w:rPr>
          <w:fldChar w:fldCharType="separate"/>
        </w:r>
        <w:r>
          <w:rPr>
            <w:noProof/>
            <w:webHidden/>
          </w:rPr>
          <w:t>3</w:t>
        </w:r>
        <w:r>
          <w:rPr>
            <w:noProof/>
            <w:webHidden/>
          </w:rPr>
          <w:fldChar w:fldCharType="end"/>
        </w:r>
      </w:hyperlink>
    </w:p>
    <w:p w14:paraId="31333E58" w14:textId="1CCE86FC"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802" w:history="1">
        <w:r w:rsidRPr="00C930B9">
          <w:rPr>
            <w:rStyle w:val="Hipervnculo"/>
            <w:noProof/>
          </w:rPr>
          <w:t>I. eranskina. Toki-entitateei aplikatzekoa zaien araudia</w:t>
        </w:r>
        <w:r>
          <w:rPr>
            <w:noProof/>
            <w:webHidden/>
          </w:rPr>
          <w:tab/>
        </w:r>
        <w:r>
          <w:rPr>
            <w:noProof/>
            <w:webHidden/>
          </w:rPr>
          <w:fldChar w:fldCharType="begin"/>
        </w:r>
        <w:r>
          <w:rPr>
            <w:noProof/>
            <w:webHidden/>
          </w:rPr>
          <w:instrText xml:space="preserve"> PAGEREF _Toc188511802 \h </w:instrText>
        </w:r>
        <w:r>
          <w:rPr>
            <w:noProof/>
            <w:webHidden/>
          </w:rPr>
        </w:r>
        <w:r>
          <w:rPr>
            <w:noProof/>
            <w:webHidden/>
          </w:rPr>
          <w:fldChar w:fldCharType="separate"/>
        </w:r>
        <w:r>
          <w:rPr>
            <w:noProof/>
            <w:webHidden/>
          </w:rPr>
          <w:t>3</w:t>
        </w:r>
        <w:r>
          <w:rPr>
            <w:noProof/>
            <w:webHidden/>
          </w:rPr>
          <w:fldChar w:fldCharType="end"/>
        </w:r>
      </w:hyperlink>
    </w:p>
    <w:p w14:paraId="15EB91D5" w14:textId="59B4FD6B" w:rsidR="00C30F5C" w:rsidRDefault="00C30F5C">
      <w:pPr>
        <w:pStyle w:val="TDC1"/>
        <w:rPr>
          <w:rFonts w:asciiTheme="minorHAnsi" w:eastAsiaTheme="minorEastAsia" w:hAnsiTheme="minorHAnsi" w:cstheme="minorBidi"/>
          <w:smallCaps w:val="0"/>
          <w:noProof/>
          <w:kern w:val="2"/>
          <w:sz w:val="24"/>
          <w:szCs w:val="24"/>
          <w:lang w:val="es-ES" w:eastAsia="es-ES"/>
          <w14:ligatures w14:val="standardContextual"/>
        </w:rPr>
      </w:pPr>
      <w:hyperlink w:anchor="_Toc188511803" w:history="1">
        <w:r w:rsidRPr="00C930B9">
          <w:rPr>
            <w:rStyle w:val="Hipervnculo"/>
            <w:noProof/>
          </w:rPr>
          <w:t>2022an Nafarroako toki-sektore publikoan aplikatzekoak diren arau nagusiak</w:t>
        </w:r>
        <w:r>
          <w:rPr>
            <w:noProof/>
            <w:webHidden/>
          </w:rPr>
          <w:tab/>
        </w:r>
        <w:r>
          <w:rPr>
            <w:noProof/>
            <w:webHidden/>
          </w:rPr>
          <w:fldChar w:fldCharType="begin"/>
        </w:r>
        <w:r>
          <w:rPr>
            <w:noProof/>
            <w:webHidden/>
          </w:rPr>
          <w:instrText xml:space="preserve"> PAGEREF _Toc188511803 \h </w:instrText>
        </w:r>
        <w:r>
          <w:rPr>
            <w:noProof/>
            <w:webHidden/>
          </w:rPr>
        </w:r>
        <w:r>
          <w:rPr>
            <w:noProof/>
            <w:webHidden/>
          </w:rPr>
          <w:fldChar w:fldCharType="separate"/>
        </w:r>
        <w:r>
          <w:rPr>
            <w:noProof/>
            <w:webHidden/>
          </w:rPr>
          <w:t>3</w:t>
        </w:r>
        <w:r>
          <w:rPr>
            <w:noProof/>
            <w:webHidden/>
          </w:rPr>
          <w:fldChar w:fldCharType="end"/>
        </w:r>
      </w:hyperlink>
    </w:p>
    <w:p w14:paraId="6D98A12B" w14:textId="2541C377" w:rsidR="00345C6C" w:rsidRPr="003A115E" w:rsidRDefault="00345C6C" w:rsidP="00345C6C">
      <w:pPr>
        <w:pStyle w:val="texto"/>
      </w:pPr>
      <w:r w:rsidRPr="003A115E">
        <w:fldChar w:fldCharType="end"/>
      </w:r>
    </w:p>
    <w:p w14:paraId="1292D628" w14:textId="77777777" w:rsidR="000E5DE1" w:rsidRPr="003A115E" w:rsidRDefault="000E5DE1" w:rsidP="00345C6C">
      <w:pPr>
        <w:pStyle w:val="texto"/>
        <w:sectPr w:rsidR="000E5DE1" w:rsidRPr="003A115E" w:rsidSect="000E5DE1">
          <w:headerReference w:type="even" r:id="rId18"/>
          <w:footerReference w:type="default" r:id="rId19"/>
          <w:type w:val="oddPage"/>
          <w:pgSz w:w="11907" w:h="16840" w:code="9"/>
          <w:pgMar w:top="2109" w:right="1559" w:bottom="1644" w:left="1560" w:header="369" w:footer="136" w:gutter="0"/>
          <w:pgNumType w:start="2"/>
          <w:cols w:space="720"/>
          <w:docGrid w:linePitch="360"/>
        </w:sectPr>
      </w:pPr>
    </w:p>
    <w:p w14:paraId="38D4FC4A" w14:textId="16EFED74" w:rsidR="00345C6C" w:rsidRPr="003A115E" w:rsidRDefault="00345C6C" w:rsidP="00345C6C">
      <w:pPr>
        <w:pStyle w:val="atitulo1"/>
        <w:rPr>
          <w:color w:val="auto"/>
        </w:rPr>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188511775"/>
      <w:r>
        <w:rPr>
          <w:color w:val="auto"/>
        </w:rPr>
        <w:lastRenderedPageBreak/>
        <w:t>I. Sarrera</w:t>
      </w:r>
      <w:bookmarkEnd w:id="0"/>
      <w:bookmarkEnd w:id="1"/>
      <w:bookmarkEnd w:id="2"/>
      <w:bookmarkEnd w:id="3"/>
      <w:bookmarkEnd w:id="4"/>
      <w:bookmarkEnd w:id="5"/>
      <w:bookmarkEnd w:id="6"/>
      <w:bookmarkEnd w:id="7"/>
      <w:bookmarkEnd w:id="8"/>
    </w:p>
    <w:p w14:paraId="6FE33F63" w14:textId="51F02BA0" w:rsidR="009A7A48" w:rsidRPr="003A115E" w:rsidRDefault="009A7A48" w:rsidP="009A7A48">
      <w:pPr>
        <w:pStyle w:val="texto"/>
      </w:pPr>
      <w:r>
        <w:t>Nafarroako toki-sektore publikoari buruzko txosten hau egin da, Kontuen Ganbera arautzen duen abenduaren 20ko 19/1984 Foru Legearekin bat, Nafarroako Toki Administrazioari buruzko uztailaren 2ko 6/1990 Foru Legea betetzeko, zeinaren 350.2 artikuluak ezartzen baitu derrigorrezkoa dela urtero Nafarroako Parlamentuari eta Gobernuari bidaltzea Kontuen Ganberak Nafarroako toki-entitateen esparruan egin dituen fiskalizazio- eta kontrol-jarduketen berri ematen duen laburpen-oroitidazki bat.</w:t>
      </w:r>
    </w:p>
    <w:p w14:paraId="62863064" w14:textId="394C9EA5" w:rsidR="009A7A48" w:rsidRPr="003A115E" w:rsidRDefault="009A7A48" w:rsidP="31020D79">
      <w:pPr>
        <w:pStyle w:val="texto"/>
      </w:pPr>
      <w:r>
        <w:t>Toki Ogasunei buruzko martxoaren 10eko 2/1995 Foru Legeak  (TOFL, aurrerantzean) toki-entitateentzat ezartzen dituen epeak, ekitaldi bakoitzeko kontu orokorra onetsi eta Nafarroako Foru Komunitateko Administrazioari (NFKA, aurrerantzean) bidaltzekoak, bai eta informazio horren trataeraren konplexutasunak ere, esplikatzen dute 2022ko ekitaldiari buruzko txostena ezin lehenago egin izana.</w:t>
      </w:r>
    </w:p>
    <w:p w14:paraId="2D38D3E4" w14:textId="5E64B1D7" w:rsidR="009A7A48" w:rsidRPr="003A115E" w:rsidRDefault="00BB1B40" w:rsidP="00D20DD4">
      <w:pPr>
        <w:pStyle w:val="texto"/>
      </w:pPr>
      <w:r>
        <w:t>Txostenari erantsi zaio</w:t>
      </w:r>
      <w:r w:rsidRPr="003A115E">
        <w:rPr>
          <w:rStyle w:val="Refdenotaalpie"/>
        </w:rPr>
        <w:footnoteReference w:id="2"/>
      </w:r>
      <w:r>
        <w:t xml:space="preserve"> Lurralde Kohesiorako Departamentuak (aurrerantzean, "departamentua") eginiko dokumentua, toki-sektore publikoaren 2022ko egoera finantzarioari buruzkoa.</w:t>
      </w:r>
    </w:p>
    <w:p w14:paraId="20A4A702" w14:textId="05AD592F" w:rsidR="009A7A48" w:rsidRPr="003A115E" w:rsidRDefault="009A7A48" w:rsidP="009A7A48">
      <w:pPr>
        <w:pStyle w:val="texto"/>
      </w:pPr>
      <w:r>
        <w:t xml:space="preserve">Lana 2024ko maiatz eta abuztuan egin du </w:t>
      </w:r>
      <w:proofErr w:type="spellStart"/>
      <w:r>
        <w:t>auditoriako</w:t>
      </w:r>
      <w:proofErr w:type="spellEnd"/>
      <w:r>
        <w:t xml:space="preserve"> bi teknikarik eta </w:t>
      </w:r>
      <w:proofErr w:type="spellStart"/>
      <w:r>
        <w:t>auditore</w:t>
      </w:r>
      <w:proofErr w:type="spellEnd"/>
      <w:r>
        <w:t xml:space="preserve"> batek osatutako lantalde batek, Kontuen Ganberaren zerbitzu juridikoekin, informatikoekin eta administratiboekin lankidetzan.</w:t>
      </w:r>
    </w:p>
    <w:p w14:paraId="13F08D3B" w14:textId="72D8145E" w:rsidR="009A7A48" w:rsidRPr="003A115E" w:rsidRDefault="009A7A48" w:rsidP="009A7A48">
      <w:pPr>
        <w:pStyle w:val="texto"/>
      </w:pPr>
      <w:r>
        <w:t xml:space="preserve">Toki Ogasunei buruzko martxoaren 10eko 2/1995 Foru Legeak  (TOFL, aurrerantzean) toki-entitateentzat ezartzen dituen epeak, ekitaldi bakoitzeko kontu orokorra onetsi eta Nafarroako Foru Komunitateko Administrazioari (NFKA, aurrerantzean) bidaltzekoak, bai eta informazio horren trataeraren konplexutasunak ere, esplikatzen dute 2022ko ekitaldiari </w:t>
      </w:r>
      <w:proofErr w:type="spellStart"/>
      <w:r>
        <w:t>burutzko</w:t>
      </w:r>
      <w:proofErr w:type="spellEnd"/>
      <w:r>
        <w:t xml:space="preserve"> txostena ezin lehenago egin izana.</w:t>
      </w:r>
    </w:p>
    <w:p w14:paraId="10C6D643" w14:textId="77777777" w:rsidR="009A7A48" w:rsidRPr="003A115E" w:rsidRDefault="009A7A48" w:rsidP="009A7A48">
      <w:pPr>
        <w:pStyle w:val="texto"/>
      </w:pPr>
      <w:r>
        <w:t>Txosteneko diru kopuruak biribildu egin dira, zentimorik ez agertzearren. Aurkezten diren datuek beti adierazten dute balio zehatz bakoitza biribilduta, eta ez datu biribilduen batura. Ehunekoak ere balio zehatzen gainean daude kalkulatuta, eta ez, ordea, balio biribilduen gainean.</w:t>
      </w:r>
    </w:p>
    <w:p w14:paraId="110FFD37" w14:textId="72BE30C7" w:rsidR="001D196E" w:rsidRPr="003A115E" w:rsidRDefault="001D196E">
      <w:pPr>
        <w:rPr>
          <w:spacing w:val="6"/>
          <w:sz w:val="26"/>
        </w:rPr>
      </w:pPr>
      <w:r>
        <w:br w:type="page"/>
      </w:r>
    </w:p>
    <w:p w14:paraId="6753B2EF" w14:textId="77777777" w:rsidR="00683931" w:rsidRPr="003A115E" w:rsidRDefault="00683931" w:rsidP="00683931">
      <w:pPr>
        <w:pStyle w:val="atitulo1"/>
        <w:rPr>
          <w:color w:val="auto"/>
        </w:rPr>
      </w:pPr>
      <w:bookmarkStart w:id="9" w:name="_Toc217455261"/>
      <w:bookmarkStart w:id="10" w:name="_Toc527634608"/>
      <w:bookmarkStart w:id="11" w:name="_Toc529773875"/>
      <w:bookmarkStart w:id="12" w:name="_Toc531088341"/>
      <w:bookmarkStart w:id="13" w:name="_Toc24100140"/>
      <w:bookmarkStart w:id="14" w:name="_Toc52348288"/>
      <w:bookmarkStart w:id="15" w:name="_Toc121292759"/>
      <w:bookmarkStart w:id="16" w:name="_Toc121293082"/>
      <w:bookmarkStart w:id="17" w:name="_Toc291067875"/>
      <w:bookmarkStart w:id="18" w:name="_Toc399916258"/>
      <w:bookmarkStart w:id="19" w:name="_Toc465686681"/>
      <w:bookmarkStart w:id="20" w:name="_Toc188511776"/>
      <w:r>
        <w:rPr>
          <w:color w:val="auto"/>
        </w:rPr>
        <w:lastRenderedPageBreak/>
        <w:t>II. Helburua,</w:t>
      </w:r>
      <w:bookmarkEnd w:id="9"/>
      <w:r>
        <w:rPr>
          <w:color w:val="auto"/>
        </w:rPr>
        <w:t xml:space="preserve"> norainokoa eta mugak</w:t>
      </w:r>
      <w:bookmarkEnd w:id="10"/>
      <w:bookmarkEnd w:id="11"/>
      <w:bookmarkEnd w:id="12"/>
      <w:bookmarkEnd w:id="13"/>
      <w:bookmarkEnd w:id="14"/>
      <w:bookmarkEnd w:id="20"/>
      <w:r>
        <w:rPr>
          <w:color w:val="auto"/>
        </w:rPr>
        <w:t xml:space="preserve"> </w:t>
      </w:r>
    </w:p>
    <w:p w14:paraId="6957FF19" w14:textId="77777777" w:rsidR="009A7A48" w:rsidRPr="003A115E" w:rsidRDefault="009A7A48" w:rsidP="009A7A48">
      <w:pPr>
        <w:pStyle w:val="texto"/>
        <w:rPr>
          <w:szCs w:val="26"/>
        </w:rPr>
      </w:pPr>
      <w:r>
        <w:t>Lan honen helburuak hauexek dira:</w:t>
      </w:r>
    </w:p>
    <w:p w14:paraId="422C5567" w14:textId="743C8462"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Ganbera honek Nafarroako toki-entitateen esparruan 2022ko ekitaldiari buruz egin dituen fiskalizazio-jarduketak laburbiltzea.</w:t>
      </w:r>
    </w:p>
    <w:p w14:paraId="50377D50" w14:textId="53D6CE5E"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Ikuspegi bat ematea Parlamentuari, administrazio publikoei eta Nafarroako gizarteari Nafarroako toki-entitateen 2022ko egoera finantzarioari eta antolamenduari buruz.</w:t>
      </w:r>
    </w:p>
    <w:p w14:paraId="2C9DE746" w14:textId="3F20BC82" w:rsidR="009A7A48" w:rsidRPr="003A115E" w:rsidRDefault="00C95EBA"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2"/>
        </w:rPr>
      </w:pPr>
      <w:r>
        <w:t>Toki-entitateek ekitaldi horretan egin duten kontratazioa aztertzea.</w:t>
      </w:r>
    </w:p>
    <w:p w14:paraId="7361C6DF" w14:textId="77777777"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Toki-erakundeen kontu-hartzailetzak diru-sarrerei dagokienez jakinarazitako barne kontrola, eragozpenak eta anomaliak aztertzea.</w:t>
      </w:r>
    </w:p>
    <w:p w14:paraId="066FB059" w14:textId="290E1B31"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Populazio-tarte desberdinei buruzko adierazle batzuk konparatzea Nafarroako udalen artean.</w:t>
      </w:r>
    </w:p>
    <w:p w14:paraId="0A251D37" w14:textId="77777777" w:rsidR="00683603" w:rsidRPr="003A115E" w:rsidRDefault="009A7A48" w:rsidP="00321FB2">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rPr>
      </w:pPr>
      <w:r>
        <w:t>Lanaren norainokoa honako hau da:</w:t>
      </w:r>
    </w:p>
    <w:p w14:paraId="1BA32584" w14:textId="69E96BD7" w:rsidR="00321FB2" w:rsidRPr="003A115E" w:rsidRDefault="00683603" w:rsidP="0068360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Toki-entitateen 2022ko ekitaldiko kontu orokorra, zeinaren osagai baitira toki-entitatearena berarena eta haren erakunde autonomoena (EE-AA., aurrerantzean), osoki toki-entitatearen jabetzakoa den kapitaleko merkataritza-sozietateena, eta kasuan kasuko eranskinak. </w:t>
      </w:r>
    </w:p>
    <w:p w14:paraId="58502668" w14:textId="77777777" w:rsidR="00321FB2" w:rsidRPr="003A115E" w:rsidRDefault="001B4B71" w:rsidP="00321FB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Zuzendaritza nagusi horrek berak kudeaturiko Toki Entitateen Erregistroko datuak, bai eta Kontratazio Publikorako Batzordearen menpeko Kontratu Erregistrotik lorturiko informazioa ere. </w:t>
      </w:r>
    </w:p>
    <w:p w14:paraId="27662142" w14:textId="0378C7D4" w:rsidR="009A7A48" w:rsidRPr="003A115E" w:rsidRDefault="00321FB2" w:rsidP="00321FB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Aipatu ekitaldiari buruz Ganbera honek jaulki dituen fiskalizazio-txostenak, eta Ganbera honek barne kontrolari buruzko informaziorako eginiko eskaerei bai eta eginiko eragozpen-oharrei ere toki-entitateetako kontu-hartze organoek eman dizkieten erantzunak.</w:t>
      </w:r>
    </w:p>
    <w:p w14:paraId="2E5A0293" w14:textId="12DBE459" w:rsidR="00482AB6" w:rsidRPr="003A115E" w:rsidRDefault="00683603" w:rsidP="00FB673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Toki-sektore publikoaren 2022ko egoera finantzarioari buruz departamentu honek eginiko txostena. Funtsean, toki-entitateen eta haien </w:t>
      </w:r>
      <w:proofErr w:type="spellStart"/>
      <w:r>
        <w:t>EE.AA.en</w:t>
      </w:r>
      <w:proofErr w:type="spellEnd"/>
      <w:r>
        <w:t xml:space="preserve"> aurrekontu-datu </w:t>
      </w:r>
      <w:proofErr w:type="spellStart"/>
      <w:r>
        <w:t>bateginetan</w:t>
      </w:r>
      <w:proofErr w:type="spellEnd"/>
      <w:r>
        <w:t xml:space="preserve"> oinarrituz prestatzen da. Hala ere, zenbait alderditan informazioa aurkezten da, barne hartzen duena, halaber, Iruñerriko Zerbitzuak SA sozietatea (SCPSA, aurrerantzean). Zorpetzearen azterketan bai sartu dela udalen eta mankomunitateen menpeko sozietate guztien bat-egitea. Fundazio publikoak eta partzuergoak, berriz, ez dira sartuak izan inongo informazio </w:t>
      </w:r>
      <w:proofErr w:type="spellStart"/>
      <w:r>
        <w:t>bateginetan</w:t>
      </w:r>
      <w:proofErr w:type="spellEnd"/>
      <w:r>
        <w:t xml:space="preserve">. </w:t>
      </w:r>
    </w:p>
    <w:p w14:paraId="323F7D34" w14:textId="53644891" w:rsidR="009A7A48" w:rsidRPr="003A115E" w:rsidRDefault="001C7FBC" w:rsidP="00EE51C3">
      <w:pPr>
        <w:pStyle w:val="texto"/>
        <w:rPr>
          <w:szCs w:val="26"/>
        </w:rPr>
      </w:pPr>
      <w:r>
        <w:lastRenderedPageBreak/>
        <w:t>Txosten horrek ez du informazio ekonomiko-finantzariorik ez eta aurrekontukorik ere jasotzen 2022ko ekitaldiko beren kontu orokorra edo aurrekontu-likidazioa departamentuari 2024ko martxoaren 19rako bidali ez zioten toki-entitateei buruz</w:t>
      </w:r>
      <w:r w:rsidR="21B8DB18" w:rsidRPr="003A115E">
        <w:rPr>
          <w:rStyle w:val="Refdenotaalpie"/>
        </w:rPr>
        <w:footnoteReference w:id="3"/>
      </w:r>
      <w:r>
        <w:t xml:space="preserve">, zeinak baitira: </w:t>
      </w:r>
    </w:p>
    <w:p w14:paraId="4FA575D3" w14:textId="65609529" w:rsidR="00C84D07" w:rsidRPr="003A115E" w:rsidRDefault="2C7397AF" w:rsidP="00D77CF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272 udalerrietatik 20: Abaurregaina, Abaurrepea, Aras, Azagra, Cabredo, Desoio, El Busto, Eratsun, Ezkurra, Fitero, Genevilla, </w:t>
      </w:r>
      <w:proofErr w:type="spellStart"/>
      <w:r>
        <w:t>OImotz</w:t>
      </w:r>
      <w:proofErr w:type="spellEnd"/>
      <w:r>
        <w:t xml:space="preserve">, Itzaltzu, Marañón, Martzilla, Olatzagutia, Saldias, San Martin Unx, Urzainki eta Zugarramurdi.  </w:t>
      </w:r>
    </w:p>
    <w:p w14:paraId="29AC7595" w14:textId="77777777" w:rsidR="00B02CA0" w:rsidRPr="003A115E" w:rsidRDefault="2C7397AF" w:rsidP="00B02CA0">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rPr>
      </w:pPr>
      <w:r>
        <w:t>Udalerri horiek 12.345 biztanle dituzte guztira; alegia, Nafarroak 2022ko urtarrilaren 1ean zituen biztanleen ehuneko 1,86.</w:t>
      </w:r>
    </w:p>
    <w:p w14:paraId="5527F5D5" w14:textId="2DCC7490" w:rsidR="00C031FC" w:rsidRPr="003A115E" w:rsidRDefault="00B02CA0" w:rsidP="00D3350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 346 kontzejuetatik 54: Aizpun, Allotz, </w:t>
      </w:r>
      <w:proofErr w:type="spellStart"/>
      <w:r>
        <w:t>Amillao</w:t>
      </w:r>
      <w:proofErr w:type="spellEnd"/>
      <w:r>
        <w:t xml:space="preserve">, Arandigoien, Argiñao, Artabia, Artazkotz, </w:t>
      </w:r>
      <w:proofErr w:type="spellStart"/>
      <w:r>
        <w:t>Asterain</w:t>
      </w:r>
      <w:proofErr w:type="spellEnd"/>
      <w:r>
        <w:t xml:space="preserve">, Azantza, </w:t>
      </w:r>
      <w:proofErr w:type="spellStart"/>
      <w:r>
        <w:t>Bakedao</w:t>
      </w:r>
      <w:proofErr w:type="spellEnd"/>
      <w:r>
        <w:t xml:space="preserve">, </w:t>
      </w:r>
      <w:proofErr w:type="spellStart"/>
      <w:r>
        <w:t>Biotzari</w:t>
      </w:r>
      <w:proofErr w:type="spellEnd"/>
      <w:r>
        <w:t xml:space="preserve">, Bizkarreta, Zizur Txikia, Eraul, Erro, Esnotz, Eultz, </w:t>
      </w:r>
      <w:proofErr w:type="spellStart"/>
      <w:r>
        <w:t>Figarol</w:t>
      </w:r>
      <w:proofErr w:type="spellEnd"/>
      <w:r>
        <w:t xml:space="preserve">, </w:t>
      </w:r>
      <w:proofErr w:type="spellStart"/>
      <w:r>
        <w:t>Galdio</w:t>
      </w:r>
      <w:proofErr w:type="spellEnd"/>
      <w:r>
        <w:t xml:space="preserve">, Gazolatz, Goldaratz, Goñi, Gorza, Ibiriku Deierri, Igoa, Inbuluzketa, Iragi, </w:t>
      </w:r>
      <w:proofErr w:type="spellStart"/>
      <w:r>
        <w:t>Iruñela</w:t>
      </w:r>
      <w:proofErr w:type="spellEnd"/>
      <w:r>
        <w:t xml:space="preserve">, Iturgoien, Labeaga, Lakar, Larraintzar, Larraia, Larraiotz, Larrion, Lintzoain, </w:t>
      </w:r>
      <w:proofErr w:type="spellStart"/>
      <w:r>
        <w:t>Lizarragabengoa</w:t>
      </w:r>
      <w:proofErr w:type="spellEnd"/>
      <w:r>
        <w:t xml:space="preserve">, </w:t>
      </w:r>
      <w:proofErr w:type="spellStart"/>
      <w:r>
        <w:t>Lorka</w:t>
      </w:r>
      <w:proofErr w:type="spellEnd"/>
      <w:r>
        <w:t xml:space="preserve">, Muneta, </w:t>
      </w:r>
      <w:proofErr w:type="spellStart"/>
      <w:r>
        <w:t>Murelu</w:t>
      </w:r>
      <w:proofErr w:type="spellEnd"/>
      <w:r>
        <w:t xml:space="preserve"> Deierri, Muru-</w:t>
      </w:r>
      <w:proofErr w:type="spellStart"/>
      <w:r>
        <w:t>Asterain</w:t>
      </w:r>
      <w:proofErr w:type="spellEnd"/>
      <w:r>
        <w:t xml:space="preserve">, Murugarren, </w:t>
      </w:r>
      <w:proofErr w:type="spellStart"/>
      <w:r>
        <w:t>Orondritz</w:t>
      </w:r>
      <w:proofErr w:type="spellEnd"/>
      <w:r>
        <w:t xml:space="preserve">, Otsakar, Paternain, </w:t>
      </w:r>
      <w:proofErr w:type="spellStart"/>
      <w:r>
        <w:t>Getze</w:t>
      </w:r>
      <w:proofErr w:type="spellEnd"/>
      <w:r>
        <w:t xml:space="preserve"> Ibargoiti, Sartze, Subitza, Torres, Undio, </w:t>
      </w:r>
      <w:proofErr w:type="spellStart"/>
      <w:r>
        <w:t>Urdotz</w:t>
      </w:r>
      <w:proofErr w:type="spellEnd"/>
      <w:r>
        <w:t xml:space="preserve">, Zarikiegi, Zubielki, </w:t>
      </w:r>
      <w:proofErr w:type="spellStart"/>
      <w:r>
        <w:t>Zurukuain</w:t>
      </w:r>
      <w:proofErr w:type="spellEnd"/>
      <w:r>
        <w:t xml:space="preserve">. </w:t>
      </w:r>
    </w:p>
    <w:p w14:paraId="30982AD6" w14:textId="6D4DDC64" w:rsidR="009A7A48" w:rsidRPr="003A115E" w:rsidRDefault="21B8DB18" w:rsidP="0BC76529">
      <w:pPr>
        <w:pStyle w:val="texto"/>
        <w:rPr>
          <w:rFonts w:cs="Arial"/>
        </w:rPr>
      </w:pPr>
      <w:r>
        <w:t xml:space="preserve">Kontzeju horien biztanleria 7.436 pertsonakoa da. Nafarroako guztizko biztanleriaren ehuneko 1,12 egiten du, eta kontzejuetako biztanleriaren ehuneko 17,73.  </w:t>
      </w:r>
    </w:p>
    <w:p w14:paraId="0448C694" w14:textId="5291E73D" w:rsidR="00C84D07" w:rsidRPr="003A115E" w:rsidRDefault="00420C6D" w:rsidP="009F5307">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Hamaika, 84 mankomunitate eta batasunetatik: </w:t>
      </w:r>
      <w:proofErr w:type="spellStart"/>
      <w:r>
        <w:t>Calibus</w:t>
      </w:r>
      <w:proofErr w:type="spellEnd"/>
      <w:r>
        <w:t xml:space="preserve"> Administrazio Zerbitzuen Batasuna, Faltzes eta Miranda Arga udalerrietako Administrazio Zerbitzuen Batasuna, Aberin-Arellano-</w:t>
      </w:r>
      <w:proofErr w:type="spellStart"/>
      <w:r>
        <w:t>Morentingo</w:t>
      </w:r>
      <w:proofErr w:type="spellEnd"/>
      <w:r>
        <w:t xml:space="preserve"> Langileriaren Mankomunitatea, Beire-Pitillasko Langileriaren Mankomunitatea, Liburutegi Zerbitzuen </w:t>
      </w:r>
      <w:proofErr w:type="spellStart"/>
      <w:r>
        <w:t>Berragu</w:t>
      </w:r>
      <w:proofErr w:type="spellEnd"/>
      <w:r>
        <w:t xml:space="preserve"> Mankomunitatea, Nafarroako Erdialdeko Kirol eta Zerbitzu Soziokulturalen Mankomunitatea, Malerrekako Zerbitzu Orokorren Mankomunitatea, Erriberriko Eskualdeko Oinarrizko Gizarte Zerbitzuen Mankomunitatea, Araxes Garaiko Zaborren Mankomunitatea, Euskara kudeatzeko Nafarroako Iparraldeko Mankomunitatea eta Orreaga Kirol Mankomunitatea. </w:t>
      </w:r>
    </w:p>
    <w:p w14:paraId="44FBB7B8" w14:textId="6879CD4D" w:rsidR="009A7A48" w:rsidRPr="003A115E" w:rsidRDefault="007A55CE" w:rsidP="00C84D07">
      <w:pPr>
        <w:pStyle w:val="texto"/>
      </w:pPr>
      <w:r>
        <w:t>Nahiz eta informazio hori ez dugun eskueran izan, jotzen dugu ezen gure lanean iritsi ditugun konklusioak ez ziratekeela nabarmenki aldatuko.</w:t>
      </w:r>
    </w:p>
    <w:p w14:paraId="07459315" w14:textId="77777777" w:rsidR="00683931" w:rsidRPr="003A115E" w:rsidRDefault="00683931" w:rsidP="00543D5A">
      <w:pPr>
        <w:rPr>
          <w:rFonts w:cs="Arial"/>
          <w:spacing w:val="6"/>
          <w:sz w:val="26"/>
        </w:rPr>
      </w:pPr>
      <w:r>
        <w:br w:type="page"/>
      </w:r>
      <w:bookmarkEnd w:id="15"/>
      <w:bookmarkEnd w:id="16"/>
      <w:bookmarkEnd w:id="17"/>
      <w:bookmarkEnd w:id="18"/>
      <w:bookmarkEnd w:id="19"/>
    </w:p>
    <w:p w14:paraId="1326DB96" w14:textId="77777777" w:rsidR="00683931" w:rsidRPr="003A115E" w:rsidRDefault="00683931" w:rsidP="00796A87">
      <w:pPr>
        <w:pStyle w:val="atitulo1"/>
        <w:rPr>
          <w:color w:val="auto"/>
        </w:rPr>
      </w:pPr>
      <w:bookmarkStart w:id="21" w:name="_Toc24100149"/>
      <w:bookmarkStart w:id="22" w:name="_Toc52348327"/>
      <w:bookmarkStart w:id="23" w:name="_Toc188511777"/>
      <w:r>
        <w:rPr>
          <w:color w:val="auto"/>
        </w:rPr>
        <w:lastRenderedPageBreak/>
        <w:t>III. Konklusioak eta gomendioak</w:t>
      </w:r>
      <w:bookmarkEnd w:id="21"/>
      <w:bookmarkEnd w:id="22"/>
      <w:bookmarkEnd w:id="23"/>
    </w:p>
    <w:p w14:paraId="3B56117B" w14:textId="77777777" w:rsidR="009A7A48" w:rsidRPr="003A115E" w:rsidRDefault="009A7A48" w:rsidP="004A2F4D">
      <w:pPr>
        <w:pStyle w:val="atitulo2"/>
        <w:rPr>
          <w:color w:val="auto"/>
        </w:rPr>
      </w:pPr>
      <w:bookmarkStart w:id="24" w:name="_Toc123547399"/>
      <w:bookmarkStart w:id="25" w:name="_Toc311633164"/>
      <w:bookmarkStart w:id="26" w:name="_Toc311633173"/>
      <w:bookmarkStart w:id="27" w:name="_Toc399916259"/>
      <w:bookmarkStart w:id="28" w:name="_Toc465686682"/>
      <w:bookmarkStart w:id="29" w:name="_Toc529773876"/>
      <w:bookmarkStart w:id="30" w:name="_Toc24100136"/>
      <w:bookmarkStart w:id="31" w:name="_Toc52348284"/>
      <w:bookmarkStart w:id="32" w:name="_Toc188511778"/>
      <w:r>
        <w:rPr>
          <w:color w:val="auto"/>
        </w:rPr>
        <w:t>III.1 Konklusioak</w:t>
      </w:r>
      <w:bookmarkEnd w:id="24"/>
      <w:bookmarkEnd w:id="32"/>
    </w:p>
    <w:p w14:paraId="42A06408" w14:textId="5187F46A" w:rsidR="009A7A48" w:rsidRPr="003A115E" w:rsidRDefault="009A7A48" w:rsidP="002B51BC">
      <w:pPr>
        <w:pStyle w:val="atitulo3"/>
        <w:rPr>
          <w:color w:val="auto"/>
        </w:rPr>
      </w:pPr>
      <w:r>
        <w:rPr>
          <w:color w:val="auto"/>
        </w:rPr>
        <w:t>Toki-sektore publikoaren osaera 2022an</w:t>
      </w:r>
    </w:p>
    <w:p w14:paraId="01FC537A" w14:textId="35A9BFD9" w:rsidR="00F008D9" w:rsidRPr="003A115E" w:rsidRDefault="00F008D9" w:rsidP="0BC76529">
      <w:pPr>
        <w:pStyle w:val="texto"/>
        <w:rPr>
          <w:w w:val="103"/>
        </w:rPr>
      </w:pPr>
      <w:r>
        <w:t>Toki-sektore publikoak 702 toki-entitate biltzen ditu: 272 udal, 346 kontzeju, 62 mankomunitate eta 22 udal-batasun. Zerbitzuak emateko, erakunde horiek mendeko 119 erakunde dituzte guztira, eta 16 partzuergo osatzen dituzte.</w:t>
      </w:r>
    </w:p>
    <w:p w14:paraId="7F698B66" w14:textId="2B7FB0B1" w:rsidR="00F008D9" w:rsidRPr="003A115E" w:rsidRDefault="7343BDE8" w:rsidP="31020D79">
      <w:pPr>
        <w:pStyle w:val="texto"/>
        <w:rPr>
          <w:w w:val="103"/>
        </w:rPr>
      </w:pPr>
      <w:r>
        <w:t>Aurreko txostenetan bezala, Nafarroaren gaur egungo toki-plantaren arrazionalizazio-ezaren arazoa azpimarratu nahi dugu. Udalerri gehienak biztanle gutxikoak izateak eragina du baliabide-horniduran, bai eta eskumen propioen egikaritzera bideratutako administrazio-egitura egoki bat apailatzeko ahalmenean; halaber, zaildu egiten du legezko betebehar batzuen betetzea eta zerbitzu publikoak eraginkortasunez, efizientziaz eta kalitatez ematea.</w:t>
      </w:r>
    </w:p>
    <w:p w14:paraId="6537F28F" w14:textId="5EEDE61E" w:rsidR="009A7A48" w:rsidRPr="003A115E" w:rsidRDefault="7343BDE8" w:rsidP="00D77CFE">
      <w:pPr>
        <w:pStyle w:val="texto"/>
      </w:pPr>
      <w:r>
        <w:t>Nafarroako Toki Administrazioaren erreformarako otsailaren 4ko 4/2019 Foru Legeak tokiko maparen erreforma aurreikusi zuen, eskualdeak diren figura paratuz eta finantzaketa-sistema berri bat ezarriz. Tokiko maparen erreforma ez da garatu. Aldiz, tankeratu da, bai, finantzaketa-sistema berri bat, 2022an onetsitako hiru foru legeren bitartez arautua.</w:t>
      </w:r>
    </w:p>
    <w:p w14:paraId="21F4389F" w14:textId="4CF58FDF" w:rsidR="009A7A48" w:rsidRPr="003A115E" w:rsidRDefault="009A7A48" w:rsidP="002B51BC">
      <w:pPr>
        <w:pStyle w:val="atitulo3"/>
        <w:rPr>
          <w:color w:val="auto"/>
        </w:rPr>
      </w:pPr>
      <w:r>
        <w:rPr>
          <w:color w:val="auto"/>
        </w:rPr>
        <w:t>Toki-eremuaren fiskalizaziorako lanak, 2022. urteari buruzkoak.</w:t>
      </w:r>
    </w:p>
    <w:p w14:paraId="7739C885" w14:textId="081E2733" w:rsidR="00511918" w:rsidRPr="003A115E" w:rsidRDefault="6C54C311" w:rsidP="0BC76529">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strike/>
        </w:rPr>
      </w:pPr>
      <w:r>
        <w:t xml:space="preserve">Ganbera honek finantza- eta legezkotasun-fiskalizazioa egin zuen Iruñeko Udalaren 2022ko jarduera ekonomiko-finantzarioari buruz. Finantza-auditoretzako iritzia aldekoa izan zen, baita legezkotasun-betetzeari buruzkoa ere, bi salbuespenekin. </w:t>
      </w:r>
    </w:p>
    <w:p w14:paraId="434ED387" w14:textId="77777777" w:rsidR="00174471" w:rsidRPr="003A115E" w:rsidRDefault="3D28AFDF"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Lizarrako, Tuterako, </w:t>
      </w:r>
      <w:proofErr w:type="spellStart"/>
      <w:r>
        <w:t>Arangurengo</w:t>
      </w:r>
      <w:proofErr w:type="spellEnd"/>
      <w:r>
        <w:t xml:space="preserve">, Eguesibarko, Zizur Nagusiko, Tafallako, Burlatako, Antsoaingo, Atarrabiako, Barañaingo eta Corellako udaletan legezkotasun-betetzeari buruzko fiskalizazioa egin genuen langileriaren, kontratazio publikoaren eta dirulaguntzen alorretan. Horrez gain, Corellan, "Corella </w:t>
      </w:r>
      <w:proofErr w:type="spellStart"/>
      <w:r>
        <w:t>Music</w:t>
      </w:r>
      <w:proofErr w:type="spellEnd"/>
      <w:r>
        <w:t xml:space="preserve"> </w:t>
      </w:r>
      <w:proofErr w:type="spellStart"/>
      <w:r>
        <w:t>Fest</w:t>
      </w:r>
      <w:proofErr w:type="spellEnd"/>
      <w:r>
        <w:t xml:space="preserve">" jaialdiaren fiskalizazio finantzarioa egin zen; eta Tafallan, fiskalizazioa "Ciudad </w:t>
      </w:r>
      <w:proofErr w:type="spellStart"/>
      <w:r>
        <w:t>deportiva</w:t>
      </w:r>
      <w:proofErr w:type="spellEnd"/>
      <w:r>
        <w:t xml:space="preserve"> de Tafalla" udal-sozietate publikoraino hedatu da, kontratazioaren alorrean. </w:t>
      </w:r>
    </w:p>
    <w:p w14:paraId="14CF79F0" w14:textId="77777777" w:rsidR="00184DF9" w:rsidRPr="003A115E" w:rsidRDefault="00511918"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Legezkotasun-betetzeari buruzko fiskalizazioak aldekoak izan ziren Eguesibarren; eta gainerakoak, aldekoak baina salbuespenekin, salbu eta Corellakoa, zeina aurkakoa izan baitzen. </w:t>
      </w:r>
    </w:p>
    <w:p w14:paraId="047A1258" w14:textId="087893EC" w:rsidR="00CD1876" w:rsidRPr="003A115E" w:rsidRDefault="00511918"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Corellari buruzko </w:t>
      </w:r>
      <w:proofErr w:type="spellStart"/>
      <w:r>
        <w:t>auditoria</w:t>
      </w:r>
      <w:proofErr w:type="spellEnd"/>
      <w:r>
        <w:t xml:space="preserve"> finantzarioko iritzia aldekoa izan zen, salbuespen batekin. </w:t>
      </w:r>
    </w:p>
    <w:p w14:paraId="6DFB9E20" w14:textId="36F6BA16" w:rsidR="00A90022" w:rsidRPr="003A115E" w:rsidRDefault="00A90022" w:rsidP="00736D0B">
      <w:pPr>
        <w:pStyle w:val="texto"/>
        <w:spacing w:after="0"/>
        <w:rPr>
          <w:rFonts w:cs="Arial"/>
        </w:rPr>
      </w:pPr>
    </w:p>
    <w:p w14:paraId="357A130C" w14:textId="77777777" w:rsidR="00C46BA1" w:rsidRPr="003A115E" w:rsidRDefault="00C46BA1" w:rsidP="00736D0B">
      <w:pPr>
        <w:pStyle w:val="texto"/>
        <w:spacing w:after="0"/>
        <w:rPr>
          <w:rFonts w:cs="Arial"/>
        </w:rPr>
      </w:pPr>
    </w:p>
    <w:p w14:paraId="22B4DD61" w14:textId="4A16A259" w:rsidR="009A7A48" w:rsidRPr="003A115E" w:rsidRDefault="009A7A48" w:rsidP="002B51BC">
      <w:pPr>
        <w:pStyle w:val="atitulo3"/>
        <w:rPr>
          <w:color w:val="auto"/>
        </w:rPr>
      </w:pPr>
      <w:r>
        <w:rPr>
          <w:color w:val="auto"/>
        </w:rPr>
        <w:lastRenderedPageBreak/>
        <w:t>Toki-sektore publikoaren 2022ko egoera finantzarioa</w:t>
      </w:r>
    </w:p>
    <w:p w14:paraId="607B88D6" w14:textId="77777777" w:rsidR="009D5351" w:rsidRPr="003A115E" w:rsidRDefault="745FF654" w:rsidP="00D06B5D">
      <w:pPr>
        <w:pStyle w:val="texto"/>
        <w:rPr>
          <w:w w:val="103"/>
        </w:rPr>
      </w:pPr>
      <w:r>
        <w:t xml:space="preserve">Toki-entitateen eta menpeko </w:t>
      </w:r>
      <w:proofErr w:type="spellStart"/>
      <w:r>
        <w:t>EE.AA.en</w:t>
      </w:r>
      <w:proofErr w:type="spellEnd"/>
      <w:r>
        <w:t xml:space="preserve"> multzoak 2022an 1.041 milioiko diru-sarrerak lortu zituen. Horien ehuneko 48 transferentzien bidez, eta ehuneko 42, tributuen bitartezko diru-sarreretatik. </w:t>
      </w:r>
    </w:p>
    <w:p w14:paraId="196F5F97" w14:textId="722A6BEE" w:rsidR="0089597D" w:rsidRPr="003A115E" w:rsidRDefault="745FF654" w:rsidP="00D06B5D">
      <w:pPr>
        <w:pStyle w:val="texto"/>
        <w:rPr>
          <w:w w:val="103"/>
        </w:rPr>
      </w:pPr>
      <w:r>
        <w:t>Gastuak 965 milioikoak izan ziren: horien ehuneko 80 funtzionamendu-gastuak izan ziren, batez ere ondasun arrunt eta zerbitzuetan egindakoak (ehuneko 36) eta langileriakoak (ehuneko 35).</w:t>
      </w:r>
    </w:p>
    <w:p w14:paraId="6384A12A" w14:textId="7D67BEB1" w:rsidR="0089597D" w:rsidRPr="003A115E" w:rsidRDefault="0089597D" w:rsidP="0089597D">
      <w:pPr>
        <w:pStyle w:val="texto"/>
        <w:rPr>
          <w:w w:val="103"/>
        </w:rPr>
      </w:pPr>
      <w:r>
        <w:t>Aurreko ekitaldiarekin alderatuta, guztizko diru-sarrera eta gastuak hurrenez hurren ehuneko hamasei eta ehuneko zortzi igo ziren.</w:t>
      </w:r>
    </w:p>
    <w:p w14:paraId="5ADEE954" w14:textId="521D049A" w:rsidR="00952EF6" w:rsidRPr="003A115E" w:rsidRDefault="00141327" w:rsidP="7A999140">
      <w:pPr>
        <w:pStyle w:val="texto"/>
        <w:rPr>
          <w:w w:val="103"/>
        </w:rPr>
      </w:pPr>
      <w:r>
        <w:t xml:space="preserve">Guztizko diru-sarrerek gora egin zuten, orokortasunez. Diru-sarrera arrunten gehikuntzarik handienak transferentzia arruntetan, tasa eta prezio publikoetan eta zuzeneko zergetan izan ziren: haien gorakadak 32, 18 eta 12 milioikoak izan ziren, hurrenez hurren. Kapitaleko diru-sarrerek nabarmen egin zuten gora. Azpimarratzekoa da kapitaleko transferentziek izandako 49 milioiko igoera. Diru-sarrera finantzarioek 16 milioi egin zuten gora; gehienbat, Iruñeko Udalak bi mailegu hitzartzearen ondorioz. Transferentzien gorakada esplikatzen da toki-entitateek Nafarroako tributuetan parte hartzeko funtsaren gorakadagatik (korronteak eta kapitalekoak), 18 eta 33 milioikoa, eta Ukrainako gerraren ondorioak samurtzeko aparteko funtsarengatik. </w:t>
      </w:r>
    </w:p>
    <w:p w14:paraId="31E88DDA" w14:textId="7BEF15D5" w:rsidR="00141327" w:rsidRPr="003A115E" w:rsidRDefault="450814B0" w:rsidP="3710BB4A">
      <w:pPr>
        <w:pStyle w:val="texto"/>
      </w:pPr>
      <w:r>
        <w:t>Guztizko gastuaren gorakadaren zergatia da funtzionamendu-gastuak 84 milioi igo direla. Aipagarriak dira ondasun arrunt eta zerbitzuetako gastuen 59 milioiko gorakada, herrietako jaietarako gastuek gora egin izanaren ondoriozkoa (kasu askotan bertan behera geratu ziren 2021ean, COVID-19aren pandemia zela-eta) eta energia-kostuen gorakada. 22 eta 21 milioikoak, hurrenez hurren.</w:t>
      </w:r>
    </w:p>
    <w:p w14:paraId="31A89553" w14:textId="51B4B9D4" w:rsidR="00F04F7B" w:rsidRPr="003A115E" w:rsidRDefault="00830BB7" w:rsidP="0089597D">
      <w:pPr>
        <w:pStyle w:val="texto"/>
        <w:rPr>
          <w:w w:val="103"/>
        </w:rPr>
      </w:pPr>
      <w:r>
        <w:t>Toki-entitateen 2022ko aurrezki garbia, funtzionamendu-gastuei eta finantza-zamari aurre egin ondoren, 107 milioikoa izan da. Egonkor mantendu da azken lau ekitaldietan.</w:t>
      </w:r>
    </w:p>
    <w:p w14:paraId="2C0C7227" w14:textId="63A50DC4" w:rsidR="00F04F7B" w:rsidRPr="003A115E" w:rsidRDefault="00FD3275" w:rsidP="00BE580B">
      <w:pPr>
        <w:pStyle w:val="texto"/>
        <w:rPr>
          <w:w w:val="103"/>
        </w:rPr>
      </w:pPr>
      <w:r>
        <w:t xml:space="preserve">Toki-sektore publikoaren zor bizia, kontuan harturik toki-entitateak, haien mendeko erakunde publikoak eta haiek partaidetza osoa duten sozietate publikoak, ehuneko hiru murriztu da, 2022aren amaieran 119 milioikoa izateraino. Zor biziaren batez besteko interes-tasa ehuneko 1,3koa da, eta batez besteko mugaeguneratze-epea, 8,96 urtekoa. Diru-sarrera arrunten ehuneko 13 egiten du; oso urrun, alegia, arauak ezartzen duen ehuneko 110etik. </w:t>
      </w:r>
    </w:p>
    <w:p w14:paraId="586A433A" w14:textId="4AFC88A5" w:rsidR="00FD3275" w:rsidRPr="003A115E" w:rsidRDefault="00FD3275" w:rsidP="0089597D">
      <w:pPr>
        <w:pStyle w:val="texto"/>
        <w:rPr>
          <w:w w:val="103"/>
        </w:rPr>
      </w:pPr>
      <w:r>
        <w:t xml:space="preserve">Bestalde, gastu orokorretarako diruzaintza-gerakina 374 milioikoa zen; alegia, aurreko urtearen amaieran baino ehuneko zazpi gehiagokoa. </w:t>
      </w:r>
    </w:p>
    <w:p w14:paraId="4334A843" w14:textId="77777777" w:rsidR="00F3754E" w:rsidRPr="003A115E" w:rsidRDefault="00AE1D5B" w:rsidP="002B51B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Biztanleria tarte desberdinetako udalen adierazle finantzario nagusiak aztertuz gero, ikus daiteke ezen, Iruñean izan ezik, udalerria zenbat eta handiagoa izan orduan eta txikiagoak direla diru-sarrera arruntak, funtzionamendu gastuak eta biztanle bakoitzeko aurrezki gordina. </w:t>
      </w:r>
    </w:p>
    <w:p w14:paraId="7A2991FA" w14:textId="35C829DE" w:rsidR="0089597D" w:rsidRPr="003A115E" w:rsidRDefault="3CA4BE8C" w:rsidP="00CD0A7C">
      <w:pPr>
        <w:pStyle w:val="texto"/>
        <w:rPr>
          <w:w w:val="103"/>
        </w:rPr>
      </w:pPr>
      <w:r>
        <w:lastRenderedPageBreak/>
        <w:t xml:space="preserve">Azken batean, toki-sektore publikoaren 2022ko egoera ekonomiko globala ona da. Bestalde, zor biziak beherantz jarraitu zuen, eta gastu orokorretarako diruzaintza-gerakinak gorantz, aurreko urteetako hoberanzko joerari eutsiz. </w:t>
      </w:r>
    </w:p>
    <w:p w14:paraId="306A9CB6" w14:textId="77777777" w:rsidR="009A7A48" w:rsidRPr="003A115E" w:rsidRDefault="009A7A48" w:rsidP="004A2F4D">
      <w:pPr>
        <w:pStyle w:val="atitulo3"/>
        <w:spacing w:before="240"/>
        <w:rPr>
          <w:color w:val="auto"/>
        </w:rPr>
      </w:pPr>
      <w:r>
        <w:rPr>
          <w:color w:val="auto"/>
        </w:rPr>
        <w:t>Kontratazio publikoa</w:t>
      </w:r>
    </w:p>
    <w:p w14:paraId="0C6D36CC" w14:textId="7F400317" w:rsidR="00FA5548" w:rsidRPr="003A115E" w:rsidRDefault="1ADFC0D5" w:rsidP="00FA5548">
      <w:pPr>
        <w:pStyle w:val="texto"/>
      </w:pPr>
      <w:r>
        <w:t xml:space="preserve">Kontratu-erregistroaren arabera, toki-entitateek eta haien menpeko </w:t>
      </w:r>
      <w:proofErr w:type="spellStart"/>
      <w:r>
        <w:t>enteek</w:t>
      </w:r>
      <w:proofErr w:type="spellEnd"/>
      <w:r>
        <w:t xml:space="preserve"> 679 kontratu esleitu zituzten, guztizko zenbatekoa 145,98 milioikoa zeukatenak, kontuan hartu gabe munta txikiko araubidearen bitartezko kontratazioak. Kontratazio-bolumena oso kontzentratuta dago: zenbateko handieneko 37 kontratuek esleitua izan den zenbateko osoaren ehuneko 58 egiten dute.  </w:t>
      </w:r>
    </w:p>
    <w:p w14:paraId="7EFE8FA5" w14:textId="41D47D9C" w:rsidR="00FA5548" w:rsidRPr="003A115E" w:rsidRDefault="1ADFC0D5" w:rsidP="00FA5548">
      <w:pPr>
        <w:pStyle w:val="texto"/>
      </w:pPr>
      <w:r>
        <w:t xml:space="preserve">Udalek kontratuen ehuneko 79 eta zenbateko osoaren ehuneko 73 esleitu zituzten. Bestalde, sozietate publikoek kontratuen ehuneko 11 eta zenbateko osoaren ehuneko 20 esleitu zituzten. </w:t>
      </w:r>
    </w:p>
    <w:p w14:paraId="0FE3B353" w14:textId="26C6AF49" w:rsidR="00F96A5F" w:rsidRPr="003A115E" w:rsidRDefault="0054536D" w:rsidP="004B49BD">
      <w:pPr>
        <w:pStyle w:val="texto"/>
      </w:pPr>
      <w:r>
        <w:t>Gailentzen dira obra-kontratuak eta zerbitzu-kontratuak, zeinek guztizko zenbatekoaren ehuneko 63 eta 25 egiten baitute, hurrenez hurren.</w:t>
      </w:r>
    </w:p>
    <w:p w14:paraId="144A5D23" w14:textId="392E4B94" w:rsidR="00EC4C05" w:rsidRPr="003A115E" w:rsidRDefault="00603D03" w:rsidP="00A75E8B">
      <w:pPr>
        <w:pStyle w:val="texto"/>
        <w:rPr>
          <w:w w:val="103"/>
        </w:rPr>
      </w:pPr>
      <w:r>
        <w:t xml:space="preserve">Gehien erabiltzen den esleipen prozedura irekia da, kontratuen ehuneko 71 eta haien zenbatekoaren ehuneko 91 bideratzen baitu. </w:t>
      </w:r>
    </w:p>
    <w:p w14:paraId="334CB46B" w14:textId="77777777" w:rsidR="009A7A48" w:rsidRPr="003A115E" w:rsidRDefault="009A7A48" w:rsidP="00D77CFE">
      <w:pPr>
        <w:pStyle w:val="atitulo3"/>
        <w:spacing w:before="240"/>
        <w:rPr>
          <w:color w:val="auto"/>
        </w:rPr>
      </w:pPr>
      <w:r>
        <w:rPr>
          <w:color w:val="auto"/>
        </w:rPr>
        <w:t>Kontu-ematea eta aurrekontuak</w:t>
      </w:r>
    </w:p>
    <w:p w14:paraId="0ABBE9E6" w14:textId="77777777" w:rsidR="00CA5A9B" w:rsidRPr="003A115E" w:rsidRDefault="009A7A48" w:rsidP="00BB427D">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rPr>
      </w:pPr>
      <w:r>
        <w:t xml:space="preserve">Oro har, toki-entitateek beren kontuak onetsi eta </w:t>
      </w:r>
      <w:proofErr w:type="spellStart"/>
      <w:r>
        <w:t>NFKAri</w:t>
      </w:r>
      <w:proofErr w:type="spellEnd"/>
      <w:r>
        <w:t xml:space="preserve"> igortzen dizkiote, baina askotan ez dute egiten legezko epeetan, nahiko atzeratuta baizik. Zehazki, toki-entitateen ehuneko 61 eta 50 dira, hurrenez hurren, onesteko eta igortzeko betebehar horiek legezko gehieneko epearen barnean bete dituztenak. Nolanahi ere, txosten honen datan toki-entitateen ehuneko 87k jada igorri dituzte 2022ko beren kontuak.</w:t>
      </w:r>
    </w:p>
    <w:p w14:paraId="1FE9DF8B" w14:textId="247286B7" w:rsidR="009A7A48" w:rsidRPr="003A115E" w:rsidRDefault="21B8DB18" w:rsidP="00BB427D">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Aurrekontuari dagokionez, toki-entitateen ehuneko 23k soilik onetsi dute aurrekontua kasuko ekitaldia hasi baino lehen, eta ehuneko hiruk bakarrik igorri diote legezko gehieneko epean Toki Administrazioaren eta Despopulazioaren Zuzendaritza Nagusiari. </w:t>
      </w:r>
    </w:p>
    <w:p w14:paraId="22F43A71" w14:textId="321AE3CD" w:rsidR="009A7A48" w:rsidRPr="003A115E" w:rsidRDefault="009A7A48" w:rsidP="00D77CFE">
      <w:pPr>
        <w:pStyle w:val="atitulo3"/>
        <w:spacing w:before="240"/>
        <w:rPr>
          <w:color w:val="auto"/>
        </w:rPr>
      </w:pPr>
      <w:r>
        <w:rPr>
          <w:color w:val="auto"/>
        </w:rPr>
        <w:t xml:space="preserve">Barne kontrola </w:t>
      </w:r>
    </w:p>
    <w:p w14:paraId="4C518210" w14:textId="1CF5A29B" w:rsidR="0023366C" w:rsidRPr="003A115E" w:rsidRDefault="00BB427D"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Araudiak ezarritako barne kontroleko hiru modalitateetatik, kontu-hartzailetza soilik gauzatzen da modu orokorrean. Kontrol finantzarioaren eta eraginkortasun-kontrolaren funtzioez denaz bezainbatean, hurrenez hurren toki-entitateen ehuneko 59k eta 44k adierazten dute betetzen dituztela. </w:t>
      </w:r>
    </w:p>
    <w:p w14:paraId="28C6685C" w14:textId="77777777" w:rsidR="00144023" w:rsidRPr="003A115E" w:rsidRDefault="00144023" w:rsidP="31020D79">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Horri dagokionez, nabarmendu beharra dago Nafarroan ez dela erregelamenduz garatu barne kontrolaren araubide juridikoa, Estatuan ez bezala, non apirilaren 28ko 424/2017 Errege Dekretua onetsi baitzen, toki-sektore publikoko entitateen barne kontrolaren araubide juridikoa arautzen duena.</w:t>
      </w:r>
    </w:p>
    <w:p w14:paraId="3B7B4B86" w14:textId="76B0F133" w:rsidR="00EC4C05" w:rsidRPr="003A115E" w:rsidRDefault="08678C8D" w:rsidP="00EC6718">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lastRenderedPageBreak/>
        <w:t xml:space="preserve">2022an, 30 toki-entitatetako kontu-hartzailetza organoek 188 eragozpen-ohar egin zituzten, zeinek guztira 7,15 milioiko zenbatekoa ukitzen baitute. Eragozpen gehien izandako arloa kontratazio publikoarena da, 141 eragozpen jarri baitira, gastuko 5,53 milioi ukitzen dituztenak. </w:t>
      </w:r>
    </w:p>
    <w:p w14:paraId="2FB5DBF5" w14:textId="77777777" w:rsidR="009A7A48" w:rsidRPr="003A115E" w:rsidRDefault="009A7A48" w:rsidP="00D77CFE">
      <w:pPr>
        <w:pStyle w:val="atitulo3"/>
        <w:spacing w:before="240"/>
        <w:rPr>
          <w:color w:val="auto"/>
        </w:rPr>
      </w:pPr>
      <w:r>
        <w:rPr>
          <w:color w:val="auto"/>
        </w:rPr>
        <w:t>Aurrekontu eta kontabilitate araudia</w:t>
      </w:r>
    </w:p>
    <w:p w14:paraId="5630AD66" w14:textId="605E922B" w:rsidR="009A7A48" w:rsidRPr="003A115E" w:rsidRDefault="002120E8" w:rsidP="00D77CFE">
      <w:pPr>
        <w:pStyle w:val="texto"/>
      </w:pPr>
      <w:r>
        <w:t xml:space="preserve">Nafarroako toki-kontabilitatea irailaren 21eko 272/1998 eta 273/1998 foru dekretuek arautzen dute, 1990eko uztailaren 17ko Ministro Aginduaren bidez onetsitako toki-administrazioari egokitutako Kontabilitate Publikoko Plan Orokorrean oinarrituta. Araubide hori ez da moldatua izan 2010eko Kontabilitate Publikoaren Plan Orokorrera; eta, era berean, toki-entitateen eta haien menpeko </w:t>
      </w:r>
      <w:proofErr w:type="spellStart"/>
      <w:r>
        <w:t>enteen</w:t>
      </w:r>
      <w:proofErr w:type="spellEnd"/>
      <w:r>
        <w:t xml:space="preserve"> kontabilitateko egoera-orriak bateratzeari buruzko araurik ere ez da egin.</w:t>
      </w:r>
    </w:p>
    <w:p w14:paraId="636B80B5" w14:textId="2485DBD9" w:rsidR="009A7A48" w:rsidRPr="003A115E" w:rsidRDefault="009A7A48" w:rsidP="00D77CFE">
      <w:pPr>
        <w:pStyle w:val="atitulo2"/>
        <w:spacing w:before="240"/>
        <w:rPr>
          <w:b/>
          <w:i/>
          <w:color w:val="auto"/>
        </w:rPr>
      </w:pPr>
      <w:bookmarkStart w:id="33" w:name="_Toc123547400"/>
      <w:bookmarkStart w:id="34" w:name="_Toc188511779"/>
      <w:r>
        <w:rPr>
          <w:color w:val="auto"/>
        </w:rPr>
        <w:t>III.2. Gomendioak</w:t>
      </w:r>
      <w:bookmarkEnd w:id="33"/>
      <w:bookmarkEnd w:id="34"/>
    </w:p>
    <w:p w14:paraId="4DE81923" w14:textId="6C63E866" w:rsidR="009A7A48" w:rsidRPr="003A115E" w:rsidRDefault="009A7A48"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t xml:space="preserve">Kontuan izanik azaldutako konklusioak eta aurreko txostenetan jasotako gomendio batzuk, indarrean dirautenak, honako gomendio hauek egiten ditugu: </w:t>
      </w:r>
    </w:p>
    <w:p w14:paraId="2CC07A36" w14:textId="488C1C74" w:rsidR="009A7A48" w:rsidRPr="003A115E" w:rsidRDefault="009A7A48" w:rsidP="0023366C">
      <w:pPr>
        <w:pStyle w:val="texto"/>
        <w:spacing w:before="240"/>
        <w:ind w:firstLine="0"/>
        <w:rPr>
          <w:b/>
          <w:i/>
        </w:rPr>
      </w:pPr>
      <w:r>
        <w:rPr>
          <w:b/>
          <w:i/>
        </w:rPr>
        <w:t>Nafarroako Foru Komunitateko Administrazioari eta Parlamentuari</w:t>
      </w:r>
    </w:p>
    <w:p w14:paraId="2B4FF219" w14:textId="0FE2D4E4" w:rsidR="0034719C" w:rsidRPr="003A115E" w:rsidRDefault="000F7D8C" w:rsidP="0034719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rPr>
      </w:pPr>
      <w:r>
        <w:rPr>
          <w:i/>
        </w:rPr>
        <w:t>Behar diren legegintza- eta administrazio-neurriak onestea, erabat burutzearren Nafarroako toki-administrazioaren berregituraketa, Nafarroako Toki Administrazioaren Erreformarako otsailaren 4ko 4/2019 Foru Legean ezarritakoa, kudeaketa publiko efiziente eta eraginkorra lortzeko.</w:t>
      </w:r>
    </w:p>
    <w:p w14:paraId="796CE187" w14:textId="615C41AA" w:rsidR="00EC3B45" w:rsidRPr="003A115E" w:rsidRDefault="00EC3B45" w:rsidP="00EC3B45">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rPr>
      </w:pPr>
      <w:r>
        <w:rPr>
          <w:i/>
        </w:rPr>
        <w:t xml:space="preserve">Toki-entitateen barne kontrolaren araubide juridikoaren erregelamenduzko garapena urgentziaz onestea, kudeaketaren bizkortasuna uztarturik barne-kontrolak behar duen zorroztasunarekin.  </w:t>
      </w:r>
    </w:p>
    <w:p w14:paraId="6067E084" w14:textId="78562157" w:rsidR="0034719C" w:rsidRPr="003A115E" w:rsidRDefault="0034719C" w:rsidP="0034719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spacing w:val="4"/>
        </w:rPr>
      </w:pPr>
      <w:r>
        <w:rPr>
          <w:i/>
        </w:rPr>
        <w:t xml:space="preserve">Urgentziaz heltzea toki-kontabilitatearen erreformari, hura doituz Kontabilitate Publikoaren Plan Orokor indardunari, zeina 2010ekoa baita. Halaber, toki-entitateen eta haien menpeko erakundeen kontabilitateko egoera-orriak bateratzeko arauak prestatzeari ekitea. </w:t>
      </w:r>
    </w:p>
    <w:p w14:paraId="56A32FD2" w14:textId="48C6B881" w:rsidR="008E04A7" w:rsidRPr="003A115E" w:rsidRDefault="00A8133B"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rPr>
      </w:pPr>
      <w:r>
        <w:rPr>
          <w:i/>
        </w:rPr>
        <w:t>Langileen plantilla organikoaren eredu bat egitea, halakoa zeinak argi eta zehatz jasoko baititu dokumentu horrek bete behar dituen baldintzak eta eduki behar duen informazioa. Barne hartuko du entitatearekin lotura duen langileria guztia, zein ere den bere araubide juridikoa.</w:t>
      </w:r>
    </w:p>
    <w:p w14:paraId="24BDE7DC" w14:textId="799BB4BF" w:rsidR="00260CF2" w:rsidRPr="003A115E" w:rsidRDefault="00260CF2" w:rsidP="00260CF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Abuztuaren 30eko 251/1993 Legegintzako Foru-dekretua aldatzea, zeinaren bitartez onesten baita Nafarroako Administrazio Publikoen zerbitzuko langileen Estatutuaren testu bategina, toki-entitateetan diharduten langileenganaino hedatzearren urriaren 24ko 1/2018 Foru Lege-dekretuak xedatua, langileria alorreko neurriei buruzkoa, zeinaren bitartez Nafarroako Foru Komunitateko Ad</w:t>
      </w:r>
      <w:r>
        <w:rPr>
          <w:i/>
        </w:rPr>
        <w:lastRenderedPageBreak/>
        <w:t>ministrazioaren eta haren erakunde autonomoen zerbitzuko langileen kolektiboa, E maila/taldekoa, zuzenean kokatu baitzen D maila/taldean, halatan Nafarroako administrazio publiko guztietako langileen baldintzak parekaturik.</w:t>
      </w:r>
    </w:p>
    <w:p w14:paraId="7317AD6F" w14:textId="197C5004" w:rsidR="00A8133B" w:rsidRPr="003A115E" w:rsidRDefault="00381032"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rPr>
      </w:pPr>
      <w:r>
        <w:rPr>
          <w:i/>
        </w:rPr>
        <w:t>Munta txikiko kontratuak Nafarroako Kontratazioaren Atarian argitaratzeko eredu normalizatua ezartzea, informazioa modu egituratuan aurkeztu eta gorde dadin, datuen tratamendu automatizatua ahalbidetuko duen formatu batean.</w:t>
      </w:r>
    </w:p>
    <w:p w14:paraId="4A4938C4" w14:textId="0C027DDD" w:rsidR="2B38951E" w:rsidRPr="003A115E" w:rsidRDefault="2B38951E"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rPr>
      </w:pPr>
      <w:r>
        <w:rPr>
          <w:i/>
        </w:rPr>
        <w:t>Foru legeria aldatzea, Nafarroako toki-entitateek modua izan dezaten, behar bezala justifikatuta dagoenean, eta behar adinako segurtasun juridikoarekin, banakako ebaluazioaren araubideko dirulaguntza-emate prozedura.</w:t>
      </w:r>
    </w:p>
    <w:p w14:paraId="6544FC49" w14:textId="6C2DAC0D" w:rsidR="00B21B32" w:rsidRPr="003A115E" w:rsidRDefault="16E7D7EA" w:rsidP="00364DAD">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rPr>
      </w:pPr>
      <w:r>
        <w:rPr>
          <w:i/>
        </w:rPr>
        <w:t>Legez arautzea hirugarrenek egindako prestazioak ordaintzeko kasuak, baldintzak eta prozedura, noiz eginak eta, kasuko kontratua amaituta dagoelarik, prestazioaren jarraipena bermatzeko beste bat formalizatu ez denean, interesa publikoaren arabera beharrezkoa denean hura ez etetea.</w:t>
      </w:r>
    </w:p>
    <w:p w14:paraId="7BD65F71" w14:textId="0110316E" w:rsidR="00D33F04" w:rsidRPr="003A115E" w:rsidRDefault="00D33F04" w:rsidP="00B21B3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i/>
        </w:rPr>
      </w:pPr>
      <w:r>
        <w:t>Txosten hau egiteko unean, hauexek dira aurreko gure txostenean egiten ziren gomendioetatik jaramon egin zaienak:</w:t>
      </w:r>
    </w:p>
    <w:p w14:paraId="699D76FC" w14:textId="6CBA858C" w:rsidR="00D33F04" w:rsidRPr="003A115E" w:rsidRDefault="00D33F04" w:rsidP="00D33F0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pPr>
      <w:r>
        <w:rPr>
          <w:i/>
        </w:rPr>
        <w:t xml:space="preserve">Toki-zerbitzuen kostuak kalkulatzeko sistema bat taxutzea eta hura ezar dadin sustatzea, bai eta kudeaketaren adierazleak ere, horrela beteko baita Toki Administrazioaren Arrazionalizazioari eta Iraunkortasunari buruzko Legean eta Nafarroako Toki Administrazioaren Erreformarako Foru Legean xedatutakoa. </w:t>
      </w:r>
    </w:p>
    <w:p w14:paraId="58EA9FBA" w14:textId="77777777" w:rsidR="00D33F04" w:rsidRPr="003A115E" w:rsidRDefault="00D33F04" w:rsidP="00D33F0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spacing w:val="4"/>
        </w:rPr>
      </w:pPr>
      <w:r>
        <w:rPr>
          <w:i/>
        </w:rPr>
        <w:t>Administrazio elektronikoko zerbitzuak toki-entitateetan ezar daitezen sustatzea, estrategia orokorra zehaztuz, eta zerbitzu horiek eraginkortasunez eta bete-betean inplementatzeko behar diren giza baliabideak eta baliabide ekonomikoak eta teknologikoak toki-entitateen eskura jartzea, eskalako ekonomien lorpena ahalbidetuz.</w:t>
      </w:r>
      <w:r>
        <w:rPr>
          <w:rStyle w:val="Refdenotaalpie"/>
          <w:i/>
        </w:rPr>
        <w:t xml:space="preserve"> </w:t>
      </w:r>
    </w:p>
    <w:p w14:paraId="097A99D8" w14:textId="32CF5692" w:rsidR="00E91524" w:rsidRPr="003A115E" w:rsidRDefault="009A7A48" w:rsidP="0011402C">
      <w:pPr>
        <w:pStyle w:val="texto"/>
        <w:spacing w:before="240"/>
        <w:ind w:firstLine="0"/>
        <w:rPr>
          <w:bCs/>
          <w:i/>
          <w:iCs/>
        </w:rPr>
      </w:pPr>
      <w:r>
        <w:rPr>
          <w:b/>
          <w:i/>
        </w:rPr>
        <w:t xml:space="preserve">Toki-entitateei </w:t>
      </w:r>
    </w:p>
    <w:p w14:paraId="0E2F0A0F" w14:textId="3714E8E0" w:rsidR="0011402C" w:rsidRPr="003A115E" w:rsidRDefault="0011402C" w:rsidP="001140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rPr>
      </w:pPr>
      <w:r>
        <w:rPr>
          <w:i/>
        </w:rPr>
        <w:t>Aurrekontua, aurrekontu-likidazioa eta kontu orokorra onestea ezarritako epeetan, eta haien guztien kontuak ematea 15 eguneko epean, onesten direnetik hasita.</w:t>
      </w:r>
    </w:p>
    <w:p w14:paraId="5F473C34" w14:textId="0EA5EAD8" w:rsidR="00E91524" w:rsidRPr="003A115E" w:rsidRDefault="00E91524"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Udalaren barne kontrola egitea, aplikatzekoa den legerian ezarritako hedadurarekin, bere eginkizun hirukoitzaren arabera: kontu-hartzailetza, finantza-kontrola eta eraginkortasunaren kontrola. </w:t>
      </w:r>
    </w:p>
    <w:p w14:paraId="692172D1" w14:textId="6F4F7B7B" w:rsidR="0011402C" w:rsidRPr="003A115E" w:rsidRDefault="0011402C"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Toki-entitateek beren burua antolatzeko duten ahalmena erabiliz, tokiko zerbitzu publikoak eraginkortasunez, ekonomiaz eta efizientziaz kudeatzeko antolamendu-egitura arrazoizkoena diseinatzea. </w:t>
      </w:r>
    </w:p>
    <w:p w14:paraId="41C91B7B" w14:textId="55840F7D" w:rsidR="00DE264D" w:rsidRPr="003A115E" w:rsidRDefault="00DE264D"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Balorazio-ponentzietarako epea gaurkotzea. </w:t>
      </w:r>
    </w:p>
    <w:p w14:paraId="104D500E" w14:textId="0D02DC46" w:rsidR="21B8DB1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lastRenderedPageBreak/>
        <w:t xml:space="preserve">Kontratazio administratiboko prozeduretan denbora-plangintza egokia ezartzea, kontratuen gehieneko indarraldia gainditu ez dadin. </w:t>
      </w:r>
    </w:p>
    <w:p w14:paraId="2439021E" w14:textId="77777777" w:rsidR="009A7A4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Udal ondasun eta eskubideen inbentario </w:t>
      </w:r>
      <w:proofErr w:type="spellStart"/>
      <w:r>
        <w:rPr>
          <w:i/>
        </w:rPr>
        <w:t>balioetsia</w:t>
      </w:r>
      <w:proofErr w:type="spellEnd"/>
      <w:r>
        <w:rPr>
          <w:i/>
        </w:rPr>
        <w:t xml:space="preserve"> eta eguneratua ezartzeko prozesua osatzea, eta hura ibilgetuaren kontuekin lotzea. </w:t>
      </w:r>
    </w:p>
    <w:p w14:paraId="74A9E73E" w14:textId="77777777" w:rsidR="009A7A4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Lurzoruaren udal ondarearen erregistroa eta inbentarioa sortzea, bai eta hirigintzako hitzarmenen erregistroa ere.</w:t>
      </w:r>
    </w:p>
    <w:p w14:paraId="12FFDB78" w14:textId="247DB440" w:rsidR="00736D0B"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rPr>
      </w:pPr>
      <w:r>
        <w:rPr>
          <w:i/>
        </w:rPr>
        <w:t xml:space="preserve">Hornitzaileei ordaintzeko batez besteko epea argitaratzea, </w:t>
      </w:r>
      <w:proofErr w:type="spellStart"/>
      <w:r>
        <w:rPr>
          <w:i/>
        </w:rPr>
        <w:t>AEFILOn</w:t>
      </w:r>
      <w:proofErr w:type="spellEnd"/>
      <w:r>
        <w:rPr>
          <w:i/>
        </w:rPr>
        <w:t xml:space="preserve"> xedatutakoarekin bat.</w:t>
      </w:r>
    </w:p>
    <w:p w14:paraId="0578C1FC" w14:textId="25B75D2F" w:rsidR="00796D89" w:rsidRPr="003A115E" w:rsidRDefault="00796D89"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Partzuergoak kasuko administrazio publikoaren menpe paratzea eta toki-entitateen erregistroan jasotzea horiei buruzko informazioa. </w:t>
      </w:r>
    </w:p>
    <w:p w14:paraId="5CBF1CA4" w14:textId="1000EEDF" w:rsidR="00EC4C05" w:rsidRPr="003A115E" w:rsidRDefault="005E6C0D"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rPr>
          <w:rFonts w:cs="Arial"/>
          <w:i/>
        </w:rPr>
      </w:pPr>
      <w:r>
        <w:t>Txosten hau egiteko unean, aurreko gure txostenean egiten ziren gomendio honi jaramon egiten ari zaio:</w:t>
      </w:r>
    </w:p>
    <w:p w14:paraId="1BD6DBE2" w14:textId="7980F61D" w:rsidR="00EC4C05" w:rsidRPr="003A115E" w:rsidRDefault="6A28BBB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Pr>
          <w:i/>
        </w:rPr>
        <w:t xml:space="preserve">Egiturazko lanpostu guztiak plantilla organikoan sartzea, eta gutxitzea, deialdi egokien bitartez, toki-entitateetako langilerian ikusten den behin-behinekotasun maila handia. Hain zuzen ere, arau hauek bete behar dira: 20/2021 Legea, enplegu publikoan behin-behinekotasuna murrizteko premiazko neurriei buruzkoa, eta 19/2022 Foru Legea, uztailaren 1ekoa, zeinaren bidez neurriak hartzen baitira Nafarroako administrazio publikoetan egonkortze prozesuak gauzatzeko, Enplegu publikoan behin-behinekotasuna murrizteko premiazko neurriei buruzko 20/2021 Legearen ondorioz. </w:t>
      </w:r>
    </w:p>
    <w:p w14:paraId="17F0ED68" w14:textId="77777777" w:rsidR="00692AC6" w:rsidRPr="003A115E" w:rsidRDefault="6A28BBB8"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pPr>
      <w:r>
        <w:t xml:space="preserve">2022an, aipatu araudia aplikaturik, toki-entitateek kasuko lan-eskaintza publikoak eta </w:t>
      </w:r>
      <w:proofErr w:type="spellStart"/>
      <w:r>
        <w:t>hautaprozedura</w:t>
      </w:r>
      <w:proofErr w:type="spellEnd"/>
      <w:r>
        <w:t xml:space="preserve">-deialdiak egin dituzte. </w:t>
      </w:r>
    </w:p>
    <w:p w14:paraId="520EE781" w14:textId="68E2595D" w:rsidR="00FB00C2" w:rsidRPr="003A115E" w:rsidRDefault="6A28BBB8"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pPr>
      <w:r>
        <w:t xml:space="preserve">Halaber, departamentuak </w:t>
      </w:r>
      <w:proofErr w:type="spellStart"/>
      <w:r>
        <w:t>hautaprozedurak</w:t>
      </w:r>
      <w:proofErr w:type="spellEnd"/>
      <w:r>
        <w:t xml:space="preserve"> deitu zituen foru gaikuntzaren lorpenerako eta idazkaritza eta kontu-hartzailetza lanpostuak betetzeko. </w:t>
      </w:r>
    </w:p>
    <w:p w14:paraId="17AD93B2" w14:textId="683B4E8F" w:rsidR="009A7A48" w:rsidRPr="003A115E" w:rsidRDefault="0D080138" w:rsidP="00020D42">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pPr>
      <w:r>
        <w:t xml:space="preserve">2023an eta 2024an zehar, Kontuen Ganberak hamaika fiskalizazio-lan egin ditu, 2022ko ekitaldiari buruzkoak, eta horien helburuen artean jaso zen 10.000 biztanle baino gehiagoko udalerrietan enplegu publikoa egonkortzeko eginiko prozesu horiek fiskalizatzea. </w:t>
      </w:r>
      <w:r>
        <w:br w:type="page"/>
      </w:r>
    </w:p>
    <w:p w14:paraId="3A3351A3" w14:textId="0DB230C3" w:rsidR="00345C6C" w:rsidRPr="003A115E" w:rsidRDefault="00683931" w:rsidP="002B51BC">
      <w:pPr>
        <w:pStyle w:val="atitulo1"/>
        <w:rPr>
          <w:color w:val="auto"/>
        </w:rPr>
      </w:pPr>
      <w:bookmarkStart w:id="35" w:name="_Toc188511780"/>
      <w:r>
        <w:rPr>
          <w:color w:val="auto"/>
        </w:rPr>
        <w:lastRenderedPageBreak/>
        <w:t>IV. Toki-sektore publikoaren antolaketa-egitura eta araudia</w:t>
      </w:r>
      <w:bookmarkEnd w:id="25"/>
      <w:bookmarkEnd w:id="26"/>
      <w:bookmarkEnd w:id="27"/>
      <w:bookmarkEnd w:id="28"/>
      <w:bookmarkEnd w:id="29"/>
      <w:bookmarkEnd w:id="30"/>
      <w:bookmarkEnd w:id="31"/>
      <w:bookmarkEnd w:id="35"/>
      <w:r>
        <w:rPr>
          <w:color w:val="auto"/>
        </w:rPr>
        <w:t xml:space="preserve"> </w:t>
      </w:r>
    </w:p>
    <w:p w14:paraId="276AEF10" w14:textId="1BD397B4" w:rsidR="00345C6C" w:rsidRPr="003A115E" w:rsidRDefault="00345C6C" w:rsidP="009A7A48">
      <w:pPr>
        <w:pStyle w:val="atitulo2"/>
        <w:rPr>
          <w:color w:val="auto"/>
        </w:rPr>
      </w:pPr>
      <w:bookmarkStart w:id="36" w:name="_Toc291067877"/>
      <w:bookmarkStart w:id="37" w:name="_Toc399916260"/>
      <w:bookmarkStart w:id="38" w:name="_Toc465686683"/>
      <w:bookmarkStart w:id="39" w:name="_Toc529773877"/>
      <w:bookmarkStart w:id="40" w:name="_Toc531088343"/>
      <w:bookmarkStart w:id="41" w:name="_Toc24100137"/>
      <w:bookmarkStart w:id="42" w:name="_Toc52348285"/>
      <w:bookmarkStart w:id="43" w:name="_Toc188511781"/>
      <w:r>
        <w:rPr>
          <w:color w:val="auto"/>
        </w:rPr>
        <w:t>IV.1 Antolaketa-egitura</w:t>
      </w:r>
      <w:bookmarkEnd w:id="36"/>
      <w:bookmarkEnd w:id="37"/>
      <w:bookmarkEnd w:id="38"/>
      <w:bookmarkEnd w:id="39"/>
      <w:bookmarkEnd w:id="40"/>
      <w:bookmarkEnd w:id="41"/>
      <w:bookmarkEnd w:id="42"/>
      <w:bookmarkEnd w:id="43"/>
    </w:p>
    <w:p w14:paraId="072E9C6D" w14:textId="77777777" w:rsidR="00EC4C05" w:rsidRPr="003A115E" w:rsidRDefault="00EC4C05" w:rsidP="002B51BC">
      <w:pPr>
        <w:pStyle w:val="texto"/>
      </w:pPr>
      <w:bookmarkStart w:id="44" w:name="_Toc399916263"/>
      <w:bookmarkStart w:id="45" w:name="_Toc465686686"/>
      <w:bookmarkStart w:id="46" w:name="_Toc529773880"/>
      <w:bookmarkStart w:id="47" w:name="_Toc24100141"/>
      <w:bookmarkStart w:id="48" w:name="_Toc52348289"/>
      <w:r>
        <w:t>Toki-sektore publikoa Toki Administrazioari buruzko Foru Legean ezarritakoaren arabera antolatuta dago.</w:t>
      </w:r>
    </w:p>
    <w:p w14:paraId="39F54BFB" w14:textId="59547A68" w:rsidR="00334432" w:rsidRPr="003A115E" w:rsidRDefault="00EC4C05" w:rsidP="00EC4C05">
      <w:pPr>
        <w:pStyle w:val="texto"/>
        <w:spacing w:after="240"/>
      </w:pPr>
      <w:r>
        <w:t>Udalak dira lurralde-antolamenduko oinarrizko toki-entitateak. Nafarroan 272 udalerri daude, eta horien guztizko populazioa, 2022ko urtarrilaren 1ekoa, 664.117 biztanlekoa zen, honako taula honetan agertzen den moduan banatua:</w:t>
      </w:r>
    </w:p>
    <w:tbl>
      <w:tblPr>
        <w:tblW w:w="5000" w:type="pct"/>
        <w:tblCellMar>
          <w:left w:w="70" w:type="dxa"/>
          <w:right w:w="70" w:type="dxa"/>
        </w:tblCellMar>
        <w:tblLook w:val="04A0" w:firstRow="1" w:lastRow="0" w:firstColumn="1" w:lastColumn="0" w:noHBand="0" w:noVBand="1"/>
      </w:tblPr>
      <w:tblGrid>
        <w:gridCol w:w="2411"/>
        <w:gridCol w:w="1595"/>
        <w:gridCol w:w="1594"/>
        <w:gridCol w:w="1594"/>
        <w:gridCol w:w="1594"/>
      </w:tblGrid>
      <w:tr w:rsidR="000A742F" w:rsidRPr="003A115E" w14:paraId="08901E1D" w14:textId="77777777" w:rsidTr="00DF0CF9">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56847FEF" w14:textId="77777777" w:rsidR="00334432" w:rsidRPr="003A115E" w:rsidRDefault="573E3ACD" w:rsidP="00D2773D">
            <w:pPr>
              <w:pStyle w:val="cuatexto"/>
              <w:rPr>
                <w:rFonts w:ascii="Arial" w:hAnsi="Arial" w:cs="Arial"/>
                <w:sz w:val="18"/>
                <w:szCs w:val="18"/>
              </w:rPr>
            </w:pPr>
            <w:r>
              <w:rPr>
                <w:rFonts w:ascii="Arial" w:hAnsi="Arial"/>
                <w:sz w:val="18"/>
              </w:rPr>
              <w:t>Populazio-tartea</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57061D06" w14:textId="77777777" w:rsidR="00DF0CF9" w:rsidRDefault="00334432" w:rsidP="00D2773D">
            <w:pPr>
              <w:pStyle w:val="cuatexto"/>
              <w:jc w:val="right"/>
              <w:rPr>
                <w:rFonts w:ascii="Arial" w:hAnsi="Arial" w:cs="Arial"/>
                <w:sz w:val="18"/>
                <w:szCs w:val="18"/>
              </w:rPr>
            </w:pPr>
            <w:r>
              <w:rPr>
                <w:rFonts w:ascii="Arial" w:hAnsi="Arial"/>
                <w:sz w:val="18"/>
              </w:rPr>
              <w:t>Udalerri-kopurua</w:t>
            </w:r>
          </w:p>
          <w:p w14:paraId="342CC5DF" w14:textId="6D0AEBD4" w:rsidR="00334432" w:rsidRPr="003A115E" w:rsidRDefault="00334432" w:rsidP="00D2773D">
            <w:pPr>
              <w:pStyle w:val="cuatexto"/>
              <w:jc w:val="right"/>
              <w:rPr>
                <w:rFonts w:ascii="Arial" w:hAnsi="Arial" w:cs="Arial"/>
                <w:sz w:val="18"/>
                <w:szCs w:val="18"/>
              </w:rPr>
            </w:pPr>
            <w:r>
              <w:rPr>
                <w:rFonts w:ascii="Arial" w:hAnsi="Arial"/>
                <w:sz w:val="18"/>
              </w:rPr>
              <w:t xml:space="preserve"> </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34AFD1E1" w14:textId="77777777" w:rsidR="00334432" w:rsidRPr="003A115E" w:rsidRDefault="00334432" w:rsidP="00D2773D">
            <w:pPr>
              <w:pStyle w:val="cuatexto"/>
              <w:jc w:val="right"/>
              <w:rPr>
                <w:rFonts w:ascii="Arial" w:hAnsi="Arial" w:cs="Arial"/>
                <w:sz w:val="18"/>
                <w:szCs w:val="18"/>
              </w:rPr>
            </w:pPr>
            <w:r>
              <w:rPr>
                <w:rFonts w:ascii="Arial" w:hAnsi="Arial"/>
                <w:sz w:val="18"/>
              </w:rPr>
              <w:t>Udalerrien portzentajea guztizkoaren gainean</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581384B8" w14:textId="77777777" w:rsidR="00334432" w:rsidRPr="003A115E" w:rsidRDefault="00334432" w:rsidP="00D2773D">
            <w:pPr>
              <w:pStyle w:val="cuatexto"/>
              <w:jc w:val="right"/>
              <w:rPr>
                <w:rFonts w:ascii="Arial" w:hAnsi="Arial" w:cs="Arial"/>
                <w:sz w:val="18"/>
                <w:szCs w:val="18"/>
              </w:rPr>
            </w:pPr>
            <w:r>
              <w:rPr>
                <w:rFonts w:ascii="Arial" w:hAnsi="Arial"/>
                <w:sz w:val="18"/>
              </w:rPr>
              <w:t>Populazioa 2022-01-01ean</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63136FC1" w14:textId="77777777" w:rsidR="00DF0CF9" w:rsidRDefault="00334432" w:rsidP="00D2773D">
            <w:pPr>
              <w:pStyle w:val="cuatexto"/>
              <w:jc w:val="right"/>
              <w:rPr>
                <w:rFonts w:ascii="Arial" w:hAnsi="Arial" w:cs="Arial"/>
                <w:sz w:val="18"/>
                <w:szCs w:val="18"/>
              </w:rPr>
            </w:pPr>
            <w:r>
              <w:rPr>
                <w:rFonts w:ascii="Arial" w:hAnsi="Arial"/>
                <w:sz w:val="18"/>
              </w:rPr>
              <w:t>Populazioaren portzentajea guztizkoaren gainean</w:t>
            </w:r>
          </w:p>
          <w:p w14:paraId="7FD77AD4" w14:textId="4C368830" w:rsidR="00334432" w:rsidRPr="003A115E" w:rsidRDefault="00334432" w:rsidP="00D2773D">
            <w:pPr>
              <w:pStyle w:val="cuatexto"/>
              <w:jc w:val="right"/>
              <w:rPr>
                <w:rFonts w:ascii="Arial" w:hAnsi="Arial" w:cs="Arial"/>
                <w:sz w:val="18"/>
                <w:szCs w:val="18"/>
              </w:rPr>
            </w:pPr>
            <w:r>
              <w:rPr>
                <w:rFonts w:ascii="Arial" w:hAnsi="Arial"/>
                <w:sz w:val="18"/>
              </w:rPr>
              <w:t xml:space="preserve"> </w:t>
            </w:r>
          </w:p>
        </w:tc>
      </w:tr>
      <w:tr w:rsidR="000A742F" w:rsidRPr="003A115E" w14:paraId="36FF6798" w14:textId="77777777" w:rsidTr="00DF0CF9">
        <w:trPr>
          <w:trHeight w:val="198"/>
        </w:trPr>
        <w:tc>
          <w:tcPr>
            <w:tcW w:w="1371" w:type="pct"/>
            <w:tcBorders>
              <w:top w:val="single" w:sz="4" w:space="0" w:color="auto"/>
              <w:left w:val="nil"/>
              <w:bottom w:val="single" w:sz="2" w:space="0" w:color="auto"/>
              <w:right w:val="nil"/>
            </w:tcBorders>
            <w:shd w:val="clear" w:color="auto" w:fill="FFFFFF" w:themeFill="background1"/>
            <w:vAlign w:val="center"/>
            <w:hideMark/>
          </w:tcPr>
          <w:p w14:paraId="1BE00532" w14:textId="77777777" w:rsidR="00334432" w:rsidRPr="003A115E" w:rsidRDefault="00334432" w:rsidP="00D2773D">
            <w:pPr>
              <w:pStyle w:val="cuatexto"/>
            </w:pPr>
            <w:r>
              <w:t>&lt;101</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7C340DA7" w14:textId="77777777" w:rsidR="00334432" w:rsidRPr="003A115E" w:rsidRDefault="00334432" w:rsidP="00D2773D">
            <w:pPr>
              <w:pStyle w:val="cuatexto"/>
              <w:jc w:val="right"/>
            </w:pPr>
            <w:r>
              <w:t>45</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73FCAC3C" w14:textId="77777777" w:rsidR="00334432" w:rsidRPr="003A115E" w:rsidRDefault="00334432" w:rsidP="00D2773D">
            <w:pPr>
              <w:pStyle w:val="cuatexto"/>
              <w:jc w:val="right"/>
            </w:pPr>
            <w:r>
              <w:t>17</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3F6881A4" w14:textId="77777777" w:rsidR="00334432" w:rsidRPr="003A115E" w:rsidRDefault="00334432" w:rsidP="00D2773D">
            <w:pPr>
              <w:pStyle w:val="cuatexto"/>
              <w:jc w:val="right"/>
            </w:pPr>
            <w:r>
              <w:t>2.583</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2742568F" w14:textId="77777777" w:rsidR="00334432" w:rsidRPr="003A115E" w:rsidRDefault="00334432" w:rsidP="00D2773D">
            <w:pPr>
              <w:pStyle w:val="cuatexto"/>
              <w:jc w:val="right"/>
            </w:pPr>
            <w:r>
              <w:t>0</w:t>
            </w:r>
          </w:p>
        </w:tc>
      </w:tr>
      <w:tr w:rsidR="000A742F" w:rsidRPr="003A115E" w14:paraId="665B5B34"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7F35FC2B" w14:textId="77777777" w:rsidR="00334432" w:rsidRPr="003A115E" w:rsidRDefault="00334432" w:rsidP="00D2773D">
            <w:pPr>
              <w:pStyle w:val="cuatexto"/>
            </w:pPr>
            <w:r>
              <w:t>101-500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518088A" w14:textId="77777777" w:rsidR="00334432" w:rsidRPr="003A115E" w:rsidRDefault="00334432" w:rsidP="00D2773D">
            <w:pPr>
              <w:pStyle w:val="cuatexto"/>
              <w:jc w:val="right"/>
            </w:pPr>
            <w:r>
              <w:t>107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60C66FC" w14:textId="77777777" w:rsidR="00334432" w:rsidRPr="003A115E" w:rsidRDefault="00334432" w:rsidP="00D2773D">
            <w:pPr>
              <w:pStyle w:val="cuatexto"/>
              <w:jc w:val="right"/>
            </w:pPr>
            <w:r>
              <w:t>39</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D784A5" w14:textId="77777777" w:rsidR="00334432" w:rsidRPr="003A115E" w:rsidRDefault="00334432" w:rsidP="00D2773D">
            <w:pPr>
              <w:pStyle w:val="cuatexto"/>
              <w:jc w:val="right"/>
            </w:pPr>
            <w:r>
              <w:t>25.446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B08A980" w14:textId="77777777" w:rsidR="00334432" w:rsidRPr="003A115E" w:rsidRDefault="00334432" w:rsidP="00D2773D">
            <w:pPr>
              <w:pStyle w:val="cuatexto"/>
              <w:jc w:val="right"/>
            </w:pPr>
            <w:r>
              <w:t>4</w:t>
            </w:r>
          </w:p>
        </w:tc>
      </w:tr>
      <w:tr w:rsidR="000A742F" w:rsidRPr="003A115E" w14:paraId="3C2CC05D"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9C6D393" w14:textId="77777777" w:rsidR="00334432" w:rsidRPr="003A115E" w:rsidRDefault="00334432" w:rsidP="00D2773D">
            <w:pPr>
              <w:pStyle w:val="cuatexto"/>
            </w:pPr>
            <w:r>
              <w:t>501-1000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BAF87A4" w14:textId="77777777" w:rsidR="00334432" w:rsidRPr="003A115E" w:rsidRDefault="00334432" w:rsidP="00D2773D">
            <w:pPr>
              <w:pStyle w:val="cuatexto"/>
              <w:jc w:val="right"/>
            </w:pPr>
            <w:r>
              <w:t>36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7F3853B" w14:textId="77777777" w:rsidR="00334432" w:rsidRPr="003A115E" w:rsidRDefault="00334432" w:rsidP="00D2773D">
            <w:pPr>
              <w:pStyle w:val="cuatexto"/>
              <w:jc w:val="right"/>
            </w:pPr>
            <w:r>
              <w:t>13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44AFC6E" w14:textId="77777777" w:rsidR="00334432" w:rsidRPr="003A115E" w:rsidRDefault="00334432" w:rsidP="00D2773D">
            <w:pPr>
              <w:pStyle w:val="cuatexto"/>
              <w:jc w:val="right"/>
            </w:pPr>
            <w:r>
              <w:t>25.766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BC2D331" w14:textId="77777777" w:rsidR="00334432" w:rsidRPr="003A115E" w:rsidRDefault="00334432" w:rsidP="00D2773D">
            <w:pPr>
              <w:pStyle w:val="cuatexto"/>
              <w:jc w:val="right"/>
            </w:pPr>
            <w:r>
              <w:t>4</w:t>
            </w:r>
          </w:p>
        </w:tc>
      </w:tr>
      <w:tr w:rsidR="000A742F" w:rsidRPr="003A115E" w14:paraId="732A3E37"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1BDC8727" w14:textId="77777777" w:rsidR="00334432" w:rsidRPr="003A115E" w:rsidRDefault="00334432" w:rsidP="00D2773D">
            <w:pPr>
              <w:pStyle w:val="cuatexto"/>
            </w:pPr>
            <w:r>
              <w:t>1001-2000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639B510" w14:textId="77777777" w:rsidR="00334432" w:rsidRPr="003A115E" w:rsidRDefault="00334432" w:rsidP="00D2773D">
            <w:pPr>
              <w:pStyle w:val="cuatexto"/>
              <w:jc w:val="right"/>
            </w:pPr>
            <w:r>
              <w:t>23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EE4151C" w14:textId="77777777" w:rsidR="00334432" w:rsidRPr="003A115E" w:rsidRDefault="00334432" w:rsidP="00D2773D">
            <w:pPr>
              <w:pStyle w:val="cuatexto"/>
              <w:jc w:val="right"/>
            </w:pPr>
            <w:r>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F0A9509" w14:textId="77777777" w:rsidR="00334432" w:rsidRPr="003A115E" w:rsidRDefault="00334432" w:rsidP="00D2773D">
            <w:pPr>
              <w:pStyle w:val="cuatexto"/>
              <w:jc w:val="right"/>
            </w:pPr>
            <w:r>
              <w:t>32.110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4044725" w14:textId="77777777" w:rsidR="00334432" w:rsidRPr="003A115E" w:rsidRDefault="00334432" w:rsidP="00D2773D">
            <w:pPr>
              <w:pStyle w:val="cuatexto"/>
              <w:jc w:val="right"/>
            </w:pPr>
            <w:r>
              <w:t>5</w:t>
            </w:r>
          </w:p>
        </w:tc>
      </w:tr>
      <w:tr w:rsidR="000A742F" w:rsidRPr="003A115E" w14:paraId="7134AFC9"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36A1B3C6" w14:textId="77777777" w:rsidR="00334432" w:rsidRPr="003A115E" w:rsidRDefault="00334432" w:rsidP="00D2773D">
            <w:pPr>
              <w:pStyle w:val="cuatexto"/>
            </w:pPr>
            <w:r>
              <w:t>2001-3000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7A8D11" w14:textId="77777777" w:rsidR="00334432" w:rsidRPr="003A115E" w:rsidRDefault="00334432" w:rsidP="00D2773D">
            <w:pPr>
              <w:pStyle w:val="cuatexto"/>
              <w:jc w:val="right"/>
            </w:pPr>
            <w:r>
              <w:t>23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C82B2B9" w14:textId="77777777" w:rsidR="00334432" w:rsidRPr="003A115E" w:rsidRDefault="00334432" w:rsidP="00D2773D">
            <w:pPr>
              <w:pStyle w:val="cuatexto"/>
              <w:jc w:val="right"/>
            </w:pPr>
            <w:r>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D0F2C43" w14:textId="77777777" w:rsidR="00334432" w:rsidRPr="003A115E" w:rsidRDefault="00334432" w:rsidP="00D2773D">
            <w:pPr>
              <w:pStyle w:val="cuatexto"/>
              <w:jc w:val="right"/>
            </w:pPr>
            <w:r>
              <w:t>57.803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A21E400" w14:textId="77777777" w:rsidR="00334432" w:rsidRPr="003A115E" w:rsidRDefault="00334432" w:rsidP="00D2773D">
            <w:pPr>
              <w:pStyle w:val="cuatexto"/>
              <w:jc w:val="right"/>
            </w:pPr>
            <w:r>
              <w:t>9</w:t>
            </w:r>
          </w:p>
        </w:tc>
      </w:tr>
      <w:tr w:rsidR="000A742F" w:rsidRPr="003A115E" w14:paraId="2C053642"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0D489F6B" w14:textId="77777777" w:rsidR="00334432" w:rsidRPr="003A115E" w:rsidRDefault="00334432" w:rsidP="00D2773D">
            <w:pPr>
              <w:pStyle w:val="cuatexto"/>
            </w:pPr>
            <w:r>
              <w:t>3001-5000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61886D7" w14:textId="77777777" w:rsidR="00334432" w:rsidRPr="003A115E" w:rsidRDefault="00334432" w:rsidP="00D2773D">
            <w:pPr>
              <w:pStyle w:val="cuatexto"/>
              <w:jc w:val="right"/>
            </w:pPr>
            <w:r>
              <w:t>17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65F9BE12" w14:textId="77777777" w:rsidR="00334432" w:rsidRPr="003A115E" w:rsidRDefault="00334432" w:rsidP="00D2773D">
            <w:pPr>
              <w:pStyle w:val="cuatexto"/>
              <w:jc w:val="right"/>
            </w:pPr>
            <w:r>
              <w:t>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8FD9BD2" w14:textId="77777777" w:rsidR="00334432" w:rsidRPr="003A115E" w:rsidRDefault="00334432" w:rsidP="00D2773D">
            <w:pPr>
              <w:pStyle w:val="cuatexto"/>
              <w:jc w:val="right"/>
            </w:pPr>
            <w:r>
              <w:t>67.193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4F949D" w14:textId="77777777" w:rsidR="00334432" w:rsidRPr="003A115E" w:rsidRDefault="00334432" w:rsidP="00D2773D">
            <w:pPr>
              <w:pStyle w:val="cuatexto"/>
              <w:jc w:val="right"/>
            </w:pPr>
            <w:r>
              <w:t>10</w:t>
            </w:r>
          </w:p>
        </w:tc>
      </w:tr>
      <w:tr w:rsidR="000A742F" w:rsidRPr="003A115E" w14:paraId="21DE08DD"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EFF591E" w14:textId="77777777" w:rsidR="00334432" w:rsidRPr="003A115E" w:rsidRDefault="00334432" w:rsidP="00D2773D">
            <w:pPr>
              <w:pStyle w:val="cuatexto"/>
            </w:pPr>
            <w:r>
              <w:t>5001-10000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50AB742" w14:textId="77777777" w:rsidR="00334432" w:rsidRPr="003A115E" w:rsidRDefault="00334432" w:rsidP="00D2773D">
            <w:pPr>
              <w:pStyle w:val="cuatexto"/>
              <w:jc w:val="right"/>
            </w:pPr>
            <w:r>
              <w:t>9</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7250CE9" w14:textId="77777777" w:rsidR="00334432" w:rsidRPr="003A115E" w:rsidRDefault="00334432" w:rsidP="00D2773D">
            <w:pPr>
              <w:pStyle w:val="cuatexto"/>
              <w:jc w:val="right"/>
            </w:pPr>
            <w:r>
              <w:t>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36D0762" w14:textId="77777777" w:rsidR="00334432" w:rsidRPr="003A115E" w:rsidRDefault="00334432" w:rsidP="00D2773D">
            <w:pPr>
              <w:pStyle w:val="cuatexto"/>
              <w:jc w:val="right"/>
            </w:pPr>
            <w:r>
              <w:t>67.240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8C1120A" w14:textId="77777777" w:rsidR="00334432" w:rsidRPr="003A115E" w:rsidRDefault="00334432" w:rsidP="00D2773D">
            <w:pPr>
              <w:pStyle w:val="cuatexto"/>
              <w:jc w:val="right"/>
            </w:pPr>
            <w:r>
              <w:t>10</w:t>
            </w:r>
          </w:p>
        </w:tc>
      </w:tr>
      <w:tr w:rsidR="000A742F" w:rsidRPr="003A115E" w14:paraId="576CA1F3"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E06CA3E" w14:textId="77777777" w:rsidR="00334432" w:rsidRPr="003A115E" w:rsidRDefault="00334432" w:rsidP="00D2773D">
            <w:pPr>
              <w:pStyle w:val="cuatexto"/>
            </w:pPr>
            <w:r>
              <w:t>10001-20000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589A30F" w14:textId="77777777" w:rsidR="00334432" w:rsidRPr="003A115E" w:rsidRDefault="00334432" w:rsidP="00D2773D">
            <w:pPr>
              <w:pStyle w:val="cuatexto"/>
              <w:jc w:val="right"/>
            </w:pPr>
            <w:r>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C415DED" w14:textId="77777777" w:rsidR="00334432" w:rsidRPr="003A115E" w:rsidRDefault="00334432" w:rsidP="00D2773D">
            <w:pPr>
              <w:pStyle w:val="cuatexto"/>
              <w:jc w:val="right"/>
            </w:pPr>
            <w:r>
              <w:t>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2BD2105" w14:textId="77777777" w:rsidR="00334432" w:rsidRPr="003A115E" w:rsidRDefault="00334432" w:rsidP="00D2773D">
            <w:pPr>
              <w:pStyle w:val="cuatexto"/>
              <w:jc w:val="right"/>
            </w:pPr>
            <w:r>
              <w:t>103.118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CA88114" w14:textId="77777777" w:rsidR="00334432" w:rsidRPr="003A115E" w:rsidRDefault="00334432" w:rsidP="00D2773D">
            <w:pPr>
              <w:pStyle w:val="cuatexto"/>
              <w:jc w:val="right"/>
            </w:pPr>
            <w:r>
              <w:t>16</w:t>
            </w:r>
          </w:p>
        </w:tc>
      </w:tr>
      <w:tr w:rsidR="000A742F" w:rsidRPr="003A115E" w14:paraId="2A8E63D1"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7D8DD545" w14:textId="77777777" w:rsidR="00334432" w:rsidRPr="003A115E" w:rsidRDefault="00334432" w:rsidP="00D2773D">
            <w:pPr>
              <w:pStyle w:val="cuatexto"/>
            </w:pPr>
            <w:r>
              <w:t>20001-30000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53BAAC8" w14:textId="77777777" w:rsidR="00334432" w:rsidRPr="003A115E" w:rsidRDefault="00334432" w:rsidP="00D2773D">
            <w:pPr>
              <w:pStyle w:val="cuatexto"/>
              <w:jc w:val="right"/>
            </w:pPr>
            <w:r>
              <w:t>2</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D139818" w14:textId="77777777" w:rsidR="00334432" w:rsidRPr="003A115E" w:rsidRDefault="00334432" w:rsidP="00D2773D">
            <w:pPr>
              <w:pStyle w:val="cuatexto"/>
              <w:jc w:val="right"/>
            </w:pPr>
            <w:r>
              <w:t>1</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3BE979B" w14:textId="77777777" w:rsidR="00334432" w:rsidRPr="003A115E" w:rsidRDefault="00334432" w:rsidP="00D2773D">
            <w:pPr>
              <w:pStyle w:val="cuatexto"/>
              <w:jc w:val="right"/>
            </w:pPr>
            <w:r>
              <w:t>42.193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1CAC258" w14:textId="77777777" w:rsidR="00334432" w:rsidRPr="003A115E" w:rsidRDefault="00334432" w:rsidP="00D2773D">
            <w:pPr>
              <w:pStyle w:val="cuatexto"/>
              <w:jc w:val="right"/>
            </w:pPr>
            <w:r>
              <w:t>6</w:t>
            </w:r>
          </w:p>
        </w:tc>
      </w:tr>
      <w:tr w:rsidR="000A742F" w:rsidRPr="003A115E" w14:paraId="41C49595"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33980518" w14:textId="77777777" w:rsidR="00334432" w:rsidRPr="003A115E" w:rsidRDefault="00334432" w:rsidP="00D2773D">
            <w:pPr>
              <w:pStyle w:val="cuatexto"/>
            </w:pPr>
            <w:r>
              <w:t>30001-50000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6A083E16" w14:textId="77777777" w:rsidR="00334432" w:rsidRPr="003A115E" w:rsidRDefault="00334432" w:rsidP="00D2773D">
            <w:pPr>
              <w:pStyle w:val="cuatexto"/>
              <w:jc w:val="right"/>
            </w:pPr>
            <w:r>
              <w:t>1</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942C010" w14:textId="77777777" w:rsidR="00334432" w:rsidRPr="003A115E" w:rsidRDefault="00334432" w:rsidP="00D2773D">
            <w:pPr>
              <w:pStyle w:val="cuatexto"/>
              <w:jc w:val="right"/>
            </w:pPr>
            <w:r>
              <w:t>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0CEF921" w14:textId="77777777" w:rsidR="00334432" w:rsidRPr="003A115E" w:rsidRDefault="00334432" w:rsidP="00D2773D">
            <w:pPr>
              <w:pStyle w:val="cuatexto"/>
              <w:jc w:val="right"/>
            </w:pPr>
            <w:r>
              <w:t>37.247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F386697" w14:textId="77777777" w:rsidR="00334432" w:rsidRPr="003A115E" w:rsidRDefault="00334432" w:rsidP="00D2773D">
            <w:pPr>
              <w:pStyle w:val="cuatexto"/>
              <w:jc w:val="right"/>
            </w:pPr>
            <w:r>
              <w:t>6</w:t>
            </w:r>
          </w:p>
        </w:tc>
      </w:tr>
      <w:tr w:rsidR="000A742F" w:rsidRPr="003A115E" w14:paraId="55801C58" w14:textId="77777777" w:rsidTr="00DF0CF9">
        <w:trPr>
          <w:trHeight w:val="198"/>
        </w:trPr>
        <w:tc>
          <w:tcPr>
            <w:tcW w:w="1371" w:type="pct"/>
            <w:tcBorders>
              <w:top w:val="single" w:sz="2" w:space="0" w:color="auto"/>
              <w:left w:val="nil"/>
              <w:bottom w:val="single" w:sz="4" w:space="0" w:color="auto"/>
              <w:right w:val="nil"/>
            </w:tcBorders>
            <w:shd w:val="clear" w:color="auto" w:fill="FFFFFF" w:themeFill="background1"/>
            <w:vAlign w:val="center"/>
            <w:hideMark/>
          </w:tcPr>
          <w:p w14:paraId="2DAB5018" w14:textId="77777777" w:rsidR="00334432" w:rsidRPr="003A115E" w:rsidRDefault="00334432" w:rsidP="00D2773D">
            <w:pPr>
              <w:pStyle w:val="cuatexto"/>
            </w:pPr>
            <w:r>
              <w:t>50.000 baino gehiago</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202C6FD4" w14:textId="77777777" w:rsidR="00334432" w:rsidRPr="003A115E" w:rsidRDefault="00334432" w:rsidP="00D2773D">
            <w:pPr>
              <w:pStyle w:val="cuatexto"/>
              <w:jc w:val="right"/>
            </w:pPr>
            <w:r>
              <w:t>1</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63CAD9F3" w14:textId="77777777" w:rsidR="00334432" w:rsidRPr="003A115E" w:rsidRDefault="00334432" w:rsidP="00D2773D">
            <w:pPr>
              <w:pStyle w:val="cuatexto"/>
              <w:jc w:val="right"/>
            </w:pPr>
            <w:r>
              <w:t>0</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7818397B" w14:textId="77777777" w:rsidR="00334432" w:rsidRPr="003A115E" w:rsidRDefault="00334432" w:rsidP="00D2773D">
            <w:pPr>
              <w:pStyle w:val="cuatexto"/>
              <w:jc w:val="right"/>
            </w:pPr>
            <w:r>
              <w:t>203.418</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54622DB3" w14:textId="77777777" w:rsidR="00334432" w:rsidRPr="003A115E" w:rsidRDefault="00334432" w:rsidP="00D2773D">
            <w:pPr>
              <w:pStyle w:val="cuatexto"/>
              <w:jc w:val="right"/>
            </w:pPr>
            <w:r>
              <w:t>31</w:t>
            </w:r>
          </w:p>
        </w:tc>
      </w:tr>
      <w:tr w:rsidR="000A742F" w:rsidRPr="003A115E" w14:paraId="3ABF2943" w14:textId="77777777" w:rsidTr="00E235FE">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2ECC4086" w14:textId="77777777" w:rsidR="00334432" w:rsidRPr="003A115E" w:rsidRDefault="00334432" w:rsidP="00D2773D">
            <w:pPr>
              <w:pStyle w:val="cuadroCabe"/>
              <w:rPr>
                <w:rFonts w:cs="Arial"/>
                <w:szCs w:val="18"/>
              </w:rPr>
            </w:pPr>
            <w:r>
              <w:t>Guztira</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6CD42560" w14:textId="77777777" w:rsidR="00334432" w:rsidRPr="003A115E" w:rsidRDefault="00334432" w:rsidP="00E235FE">
            <w:pPr>
              <w:pStyle w:val="cuadroCabe"/>
              <w:jc w:val="right"/>
              <w:rPr>
                <w:rFonts w:cs="Arial"/>
                <w:szCs w:val="18"/>
              </w:rPr>
            </w:pPr>
            <w:r>
              <w:t>272</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21AAC5C5" w14:textId="77777777" w:rsidR="00334432" w:rsidRPr="003A115E" w:rsidRDefault="00334432" w:rsidP="00E235FE">
            <w:pPr>
              <w:pStyle w:val="cuadroCabe"/>
              <w:jc w:val="right"/>
              <w:rPr>
                <w:rFonts w:cs="Arial"/>
                <w:szCs w:val="18"/>
              </w:rPr>
            </w:pPr>
            <w:r>
              <w:t>100</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2F71CDA4" w14:textId="77777777" w:rsidR="00334432" w:rsidRPr="003A115E" w:rsidRDefault="00334432" w:rsidP="00E235FE">
            <w:pPr>
              <w:pStyle w:val="cuadroCabe"/>
              <w:jc w:val="right"/>
              <w:rPr>
                <w:rFonts w:cs="Arial"/>
                <w:szCs w:val="18"/>
              </w:rPr>
            </w:pPr>
            <w:r>
              <w:t>664.117</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3BEAD376" w14:textId="77777777" w:rsidR="00334432" w:rsidRPr="003A115E" w:rsidRDefault="00334432" w:rsidP="00E235FE">
            <w:pPr>
              <w:pStyle w:val="cuadroCabe"/>
              <w:jc w:val="right"/>
              <w:rPr>
                <w:rFonts w:cs="Arial"/>
                <w:szCs w:val="18"/>
              </w:rPr>
            </w:pPr>
            <w:r>
              <w:t>100</w:t>
            </w:r>
          </w:p>
        </w:tc>
      </w:tr>
    </w:tbl>
    <w:p w14:paraId="678B850C" w14:textId="610DA63B" w:rsidR="00EC4C05" w:rsidRPr="003A115E" w:rsidRDefault="00857D24" w:rsidP="00EC4C05">
      <w:pPr>
        <w:pStyle w:val="texto"/>
        <w:spacing w:before="240"/>
      </w:pPr>
      <w:r>
        <w:t>Nafarroako udalerrien ehuneko 69k (188 udalerri) 1.000 biztanle baino gutxiago dituzte eta, multzo osoan, biztanleriaren ehuneko zortzi osatzen dute. Bestalde, Iruñak eta 10.000 biztanle baino gehiago dituzten gainerako 11 udalek biztanleriaren ehuneko 58 hartzen dute.</w:t>
      </w:r>
    </w:p>
    <w:p w14:paraId="7FB9CC11" w14:textId="69D1338D" w:rsidR="00EC4C05" w:rsidRPr="003A115E" w:rsidRDefault="00EC4C05" w:rsidP="00EC4C05">
      <w:pPr>
        <w:pStyle w:val="texto"/>
      </w:pPr>
      <w:r>
        <w:t>Udalerriez gain, honakoak dira toki-entitate:</w:t>
      </w:r>
    </w:p>
    <w:p w14:paraId="6B6CA254" w14:textId="140FD67D"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Kontzejuak: udal baten dermioaren barrenean kokaturiko toki-entitateak dira, hark baino populazio eta lurralde esparru txikiagoa dutenak.</w:t>
      </w:r>
    </w:p>
    <w:p w14:paraId="69140CD8" w14:textId="77777777" w:rsidR="00EC4C05" w:rsidRPr="003A115E" w:rsidRDefault="6A28BBB8" w:rsidP="54515FE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Ohiturazko elkarteak: Errege Bardeako Komunitatea, Aezkoa Ibarreko Komunitatea, Erronkari Ibarreko Mankomunitatea, Zaraitzu Ibarreko Unibertsitatea, Aralarko Elkartea, eta </w:t>
      </w:r>
      <w:proofErr w:type="spellStart"/>
      <w:r>
        <w:t>TAFLk</w:t>
      </w:r>
      <w:proofErr w:type="spellEnd"/>
      <w:r>
        <w:t xml:space="preserve"> indarra hartzean herri ondasunen jabe edo administratzaile diren gainerako korporazio tradizionalak.</w:t>
      </w:r>
    </w:p>
    <w:p w14:paraId="0B6B891C" w14:textId="30DD06F8"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Udalen mankomunitateak: zenbait udalen elkarteak, obrak elkarrekin egin eta haien eskumenekoak diren zerbitzu jakin batzuk emateko.</w:t>
      </w:r>
    </w:p>
    <w:p w14:paraId="5B61C743" w14:textId="77777777"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proofErr w:type="spellStart"/>
      <w:r>
        <w:t>TAFLn</w:t>
      </w:r>
      <w:proofErr w:type="spellEnd"/>
      <w:r>
        <w:t xml:space="preserve"> aurreikusitako moduan udalez gaindiko tokiko lurralde-entitate gisa eratzen diren eskualdeak. </w:t>
      </w:r>
    </w:p>
    <w:p w14:paraId="75A2A64C" w14:textId="5E5C7C99"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lastRenderedPageBreak/>
        <w:t>Nafarroako toki-entitateek eta Foru Komunitateko Administrazioak (NFKA) eratzen ahal dituzten plangintza orokorreko mankomunitateak, toki-eskumeneko zenbait zerbitzuren ematea koordinatzea xede dutenak.</w:t>
      </w:r>
    </w:p>
    <w:p w14:paraId="5A3C8C45" w14:textId="51337CEF" w:rsidR="00EC4C05" w:rsidRPr="003A115E" w:rsidRDefault="4DAD9F9F" w:rsidP="797BD6F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 Nafarroako Toki Administrazioaren Erreformarako otsailaren 4ko 4/2019 Foru Legeak indarra hartu zuen egunean existitzen ziren administrazio zerbitzuen elkarteak, horien ordezko eskualdeak eratzen diren bitartean. </w:t>
      </w:r>
    </w:p>
    <w:p w14:paraId="7D127612" w14:textId="2D29FC30" w:rsidR="008B726B" w:rsidRPr="003A115E" w:rsidRDefault="008B726B" w:rsidP="00EC4C0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rPr>
      </w:pPr>
      <w:r>
        <w:t>Oraindik ez da eratu inongo eskualderik edo plangintza orokorrerako mankomunitaterik.</w:t>
      </w:r>
    </w:p>
    <w:p w14:paraId="63A703D1" w14:textId="0CD2A1FC" w:rsidR="00EC4C05" w:rsidRPr="003A115E" w:rsidRDefault="6A28BBB8" w:rsidP="00EC4C05">
      <w:pPr>
        <w:pStyle w:val="texto"/>
        <w:spacing w:after="240"/>
      </w:pPr>
      <w:r>
        <w:t>Toki-entitateen kopurua egonkor mantendu da azken urteotan:</w:t>
      </w:r>
    </w:p>
    <w:tbl>
      <w:tblPr>
        <w:tblW w:w="5000" w:type="pct"/>
        <w:tblCellMar>
          <w:left w:w="70" w:type="dxa"/>
          <w:right w:w="70" w:type="dxa"/>
        </w:tblCellMar>
        <w:tblLook w:val="04A0" w:firstRow="1" w:lastRow="0" w:firstColumn="1" w:lastColumn="0" w:noHBand="0" w:noVBand="1"/>
      </w:tblPr>
      <w:tblGrid>
        <w:gridCol w:w="2012"/>
        <w:gridCol w:w="2099"/>
        <w:gridCol w:w="1134"/>
        <w:gridCol w:w="1135"/>
        <w:gridCol w:w="1274"/>
        <w:gridCol w:w="1134"/>
      </w:tblGrid>
      <w:tr w:rsidR="000A742F" w:rsidRPr="003A115E" w14:paraId="702C5766" w14:textId="77777777" w:rsidTr="00CC28BD">
        <w:trPr>
          <w:trHeight w:val="255"/>
        </w:trPr>
        <w:tc>
          <w:tcPr>
            <w:tcW w:w="1145" w:type="pct"/>
            <w:tcBorders>
              <w:top w:val="single" w:sz="4" w:space="0" w:color="auto"/>
              <w:left w:val="nil"/>
              <w:bottom w:val="single" w:sz="4" w:space="0" w:color="auto"/>
              <w:right w:val="nil"/>
            </w:tcBorders>
            <w:shd w:val="clear" w:color="auto" w:fill="FABF8F" w:themeFill="accent6" w:themeFillTint="99"/>
            <w:vAlign w:val="center"/>
            <w:hideMark/>
          </w:tcPr>
          <w:p w14:paraId="77C061EA" w14:textId="77777777" w:rsidR="007251ED" w:rsidRPr="003A115E" w:rsidRDefault="007251ED" w:rsidP="00D2773D">
            <w:pPr>
              <w:pStyle w:val="cuadroCabe"/>
            </w:pPr>
            <w:r>
              <w:t>Toki-entitatea</w:t>
            </w:r>
          </w:p>
        </w:tc>
        <w:tc>
          <w:tcPr>
            <w:tcW w:w="1194" w:type="pct"/>
            <w:tcBorders>
              <w:top w:val="single" w:sz="4" w:space="0" w:color="auto"/>
              <w:left w:val="nil"/>
              <w:bottom w:val="single" w:sz="4" w:space="0" w:color="auto"/>
              <w:right w:val="nil"/>
            </w:tcBorders>
            <w:shd w:val="clear" w:color="auto" w:fill="FABF8F" w:themeFill="accent6" w:themeFillTint="99"/>
            <w:vAlign w:val="center"/>
            <w:hideMark/>
          </w:tcPr>
          <w:p w14:paraId="2A793A48" w14:textId="77777777" w:rsidR="007251ED" w:rsidRPr="003A115E" w:rsidRDefault="007251ED" w:rsidP="002B51BC">
            <w:pPr>
              <w:pStyle w:val="cuadroCabe"/>
              <w:jc w:val="right"/>
            </w:pPr>
            <w:r>
              <w:t>2018</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07BDA1C5" w14:textId="77777777" w:rsidR="007251ED" w:rsidRPr="003A115E" w:rsidRDefault="007251ED" w:rsidP="002B51BC">
            <w:pPr>
              <w:pStyle w:val="cuadroCabe"/>
              <w:jc w:val="right"/>
            </w:pPr>
            <w:r>
              <w:t>2019</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10F3AC3B" w14:textId="77777777" w:rsidR="007251ED" w:rsidRPr="003A115E" w:rsidRDefault="007251ED" w:rsidP="002B51BC">
            <w:pPr>
              <w:pStyle w:val="cuadroCabe"/>
              <w:jc w:val="right"/>
            </w:pPr>
            <w:r>
              <w:t>2020</w:t>
            </w:r>
          </w:p>
        </w:tc>
        <w:tc>
          <w:tcPr>
            <w:tcW w:w="725" w:type="pct"/>
            <w:tcBorders>
              <w:top w:val="single" w:sz="4" w:space="0" w:color="auto"/>
              <w:left w:val="nil"/>
              <w:bottom w:val="single" w:sz="4" w:space="0" w:color="auto"/>
              <w:right w:val="nil"/>
            </w:tcBorders>
            <w:shd w:val="clear" w:color="auto" w:fill="FABF8F" w:themeFill="accent6" w:themeFillTint="99"/>
            <w:vAlign w:val="center"/>
            <w:hideMark/>
          </w:tcPr>
          <w:p w14:paraId="6F23069B" w14:textId="77777777" w:rsidR="007251ED" w:rsidRPr="003A115E" w:rsidRDefault="007251ED" w:rsidP="002B51BC">
            <w:pPr>
              <w:pStyle w:val="cuadroCabe"/>
              <w:jc w:val="right"/>
            </w:pPr>
            <w:r>
              <w:t>2021</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2DC16AD6" w14:textId="77777777" w:rsidR="007251ED" w:rsidRPr="003A115E" w:rsidRDefault="007251ED" w:rsidP="002B51BC">
            <w:pPr>
              <w:pStyle w:val="cuadroCabe"/>
              <w:jc w:val="right"/>
            </w:pPr>
            <w:r>
              <w:t>2022</w:t>
            </w:r>
          </w:p>
        </w:tc>
      </w:tr>
      <w:tr w:rsidR="000A742F" w:rsidRPr="003A115E" w14:paraId="38339193" w14:textId="77777777" w:rsidTr="00CC28BD">
        <w:trPr>
          <w:trHeight w:val="198"/>
        </w:trPr>
        <w:tc>
          <w:tcPr>
            <w:tcW w:w="1145" w:type="pct"/>
            <w:tcBorders>
              <w:top w:val="single" w:sz="4" w:space="0" w:color="auto"/>
              <w:left w:val="nil"/>
              <w:bottom w:val="single" w:sz="2" w:space="0" w:color="auto"/>
              <w:right w:val="nil"/>
            </w:tcBorders>
            <w:shd w:val="clear" w:color="auto" w:fill="auto"/>
            <w:vAlign w:val="center"/>
            <w:hideMark/>
          </w:tcPr>
          <w:p w14:paraId="7021E514" w14:textId="77777777" w:rsidR="007251ED" w:rsidRPr="003A115E" w:rsidRDefault="007251ED" w:rsidP="00D2773D">
            <w:pPr>
              <w:pStyle w:val="cuatexto"/>
            </w:pPr>
            <w:r>
              <w:t>Udalak</w:t>
            </w:r>
            <w:r>
              <w:rPr>
                <w:vertAlign w:val="superscript"/>
              </w:rPr>
              <w:t xml:space="preserve"> (1)</w:t>
            </w:r>
          </w:p>
        </w:tc>
        <w:tc>
          <w:tcPr>
            <w:tcW w:w="1194" w:type="pct"/>
            <w:tcBorders>
              <w:top w:val="single" w:sz="4" w:space="0" w:color="auto"/>
              <w:left w:val="nil"/>
              <w:bottom w:val="single" w:sz="2" w:space="0" w:color="auto"/>
              <w:right w:val="nil"/>
            </w:tcBorders>
            <w:shd w:val="clear" w:color="auto" w:fill="auto"/>
            <w:vAlign w:val="center"/>
            <w:hideMark/>
          </w:tcPr>
          <w:p w14:paraId="5F5E2860" w14:textId="77777777" w:rsidR="007251ED" w:rsidRPr="003A115E" w:rsidRDefault="007251ED" w:rsidP="002B51BC">
            <w:pPr>
              <w:pStyle w:val="cuatexto"/>
              <w:jc w:val="right"/>
            </w:pPr>
            <w:r>
              <w:t>272</w:t>
            </w:r>
          </w:p>
        </w:tc>
        <w:tc>
          <w:tcPr>
            <w:tcW w:w="645" w:type="pct"/>
            <w:tcBorders>
              <w:top w:val="single" w:sz="4" w:space="0" w:color="auto"/>
              <w:left w:val="nil"/>
              <w:bottom w:val="single" w:sz="2" w:space="0" w:color="auto"/>
              <w:right w:val="nil"/>
            </w:tcBorders>
            <w:shd w:val="clear" w:color="auto" w:fill="auto"/>
            <w:vAlign w:val="center"/>
            <w:hideMark/>
          </w:tcPr>
          <w:p w14:paraId="3A3FCB4F" w14:textId="77777777" w:rsidR="007251ED" w:rsidRPr="003A115E" w:rsidRDefault="007251ED" w:rsidP="002B51BC">
            <w:pPr>
              <w:pStyle w:val="cuatexto"/>
              <w:jc w:val="right"/>
            </w:pPr>
            <w:r>
              <w:t>272</w:t>
            </w:r>
          </w:p>
        </w:tc>
        <w:tc>
          <w:tcPr>
            <w:tcW w:w="646" w:type="pct"/>
            <w:tcBorders>
              <w:top w:val="single" w:sz="4" w:space="0" w:color="auto"/>
              <w:left w:val="nil"/>
              <w:bottom w:val="single" w:sz="2" w:space="0" w:color="auto"/>
              <w:right w:val="nil"/>
            </w:tcBorders>
            <w:shd w:val="clear" w:color="auto" w:fill="auto"/>
            <w:vAlign w:val="center"/>
            <w:hideMark/>
          </w:tcPr>
          <w:p w14:paraId="3C6766C6" w14:textId="77777777" w:rsidR="007251ED" w:rsidRPr="003A115E" w:rsidRDefault="007251ED" w:rsidP="002B51BC">
            <w:pPr>
              <w:pStyle w:val="cuatexto"/>
              <w:jc w:val="right"/>
            </w:pPr>
            <w:r>
              <w:t>272</w:t>
            </w:r>
          </w:p>
        </w:tc>
        <w:tc>
          <w:tcPr>
            <w:tcW w:w="725" w:type="pct"/>
            <w:tcBorders>
              <w:top w:val="single" w:sz="4" w:space="0" w:color="auto"/>
              <w:left w:val="nil"/>
              <w:bottom w:val="single" w:sz="2" w:space="0" w:color="auto"/>
              <w:right w:val="nil"/>
            </w:tcBorders>
            <w:shd w:val="clear" w:color="auto" w:fill="auto"/>
            <w:vAlign w:val="center"/>
            <w:hideMark/>
          </w:tcPr>
          <w:p w14:paraId="65DE81EF" w14:textId="77777777" w:rsidR="007251ED" w:rsidRPr="003A115E" w:rsidRDefault="007251ED" w:rsidP="002B51BC">
            <w:pPr>
              <w:pStyle w:val="cuatexto"/>
              <w:jc w:val="right"/>
            </w:pPr>
            <w:r>
              <w:t>272</w:t>
            </w:r>
          </w:p>
        </w:tc>
        <w:tc>
          <w:tcPr>
            <w:tcW w:w="645" w:type="pct"/>
            <w:tcBorders>
              <w:top w:val="single" w:sz="4" w:space="0" w:color="auto"/>
              <w:left w:val="nil"/>
              <w:bottom w:val="single" w:sz="2" w:space="0" w:color="auto"/>
              <w:right w:val="nil"/>
            </w:tcBorders>
            <w:shd w:val="clear" w:color="auto" w:fill="auto"/>
            <w:vAlign w:val="center"/>
            <w:hideMark/>
          </w:tcPr>
          <w:p w14:paraId="242B9D05" w14:textId="77777777" w:rsidR="007251ED" w:rsidRPr="003A115E" w:rsidRDefault="007251ED" w:rsidP="002B51BC">
            <w:pPr>
              <w:pStyle w:val="cuatexto"/>
              <w:jc w:val="right"/>
            </w:pPr>
            <w:r>
              <w:t>272</w:t>
            </w:r>
          </w:p>
        </w:tc>
      </w:tr>
      <w:tr w:rsidR="000A742F" w:rsidRPr="003A115E" w14:paraId="05D95728" w14:textId="77777777" w:rsidTr="00CC28BD">
        <w:trPr>
          <w:trHeight w:val="198"/>
        </w:trPr>
        <w:tc>
          <w:tcPr>
            <w:tcW w:w="1145" w:type="pct"/>
            <w:tcBorders>
              <w:top w:val="single" w:sz="2" w:space="0" w:color="auto"/>
              <w:left w:val="nil"/>
              <w:bottom w:val="single" w:sz="2" w:space="0" w:color="auto"/>
              <w:right w:val="nil"/>
            </w:tcBorders>
            <w:shd w:val="clear" w:color="auto" w:fill="auto"/>
            <w:vAlign w:val="center"/>
            <w:hideMark/>
          </w:tcPr>
          <w:p w14:paraId="2D647631" w14:textId="77777777" w:rsidR="007251ED" w:rsidRPr="003A115E" w:rsidRDefault="007251ED" w:rsidP="00D2773D">
            <w:pPr>
              <w:pStyle w:val="cuatexto"/>
            </w:pPr>
            <w:r>
              <w:t>Kontzejuak</w:t>
            </w:r>
          </w:p>
        </w:tc>
        <w:tc>
          <w:tcPr>
            <w:tcW w:w="1194" w:type="pct"/>
            <w:tcBorders>
              <w:top w:val="single" w:sz="2" w:space="0" w:color="auto"/>
              <w:left w:val="nil"/>
              <w:bottom w:val="single" w:sz="2" w:space="0" w:color="auto"/>
              <w:right w:val="nil"/>
            </w:tcBorders>
            <w:shd w:val="clear" w:color="auto" w:fill="auto"/>
            <w:vAlign w:val="center"/>
            <w:hideMark/>
          </w:tcPr>
          <w:p w14:paraId="0216FBB7" w14:textId="77777777" w:rsidR="007251ED" w:rsidRPr="003A115E" w:rsidRDefault="007251ED" w:rsidP="002B51BC">
            <w:pPr>
              <w:pStyle w:val="cuatexto"/>
              <w:jc w:val="right"/>
            </w:pPr>
            <w:r>
              <w:t>346</w:t>
            </w:r>
          </w:p>
        </w:tc>
        <w:tc>
          <w:tcPr>
            <w:tcW w:w="645" w:type="pct"/>
            <w:tcBorders>
              <w:top w:val="single" w:sz="2" w:space="0" w:color="auto"/>
              <w:left w:val="nil"/>
              <w:bottom w:val="single" w:sz="2" w:space="0" w:color="auto"/>
              <w:right w:val="nil"/>
            </w:tcBorders>
            <w:shd w:val="clear" w:color="auto" w:fill="auto"/>
            <w:vAlign w:val="center"/>
            <w:hideMark/>
          </w:tcPr>
          <w:p w14:paraId="46C33AA7" w14:textId="77777777" w:rsidR="007251ED" w:rsidRPr="003A115E" w:rsidRDefault="007251ED" w:rsidP="002B51BC">
            <w:pPr>
              <w:pStyle w:val="cuatexto"/>
              <w:jc w:val="right"/>
            </w:pPr>
            <w:r>
              <w:t>346</w:t>
            </w:r>
          </w:p>
        </w:tc>
        <w:tc>
          <w:tcPr>
            <w:tcW w:w="646" w:type="pct"/>
            <w:tcBorders>
              <w:top w:val="single" w:sz="2" w:space="0" w:color="auto"/>
              <w:left w:val="nil"/>
              <w:bottom w:val="single" w:sz="2" w:space="0" w:color="auto"/>
              <w:right w:val="nil"/>
            </w:tcBorders>
            <w:shd w:val="clear" w:color="auto" w:fill="auto"/>
            <w:vAlign w:val="center"/>
            <w:hideMark/>
          </w:tcPr>
          <w:p w14:paraId="4AADE1BA" w14:textId="77777777" w:rsidR="007251ED" w:rsidRPr="003A115E" w:rsidRDefault="007251ED" w:rsidP="002B51BC">
            <w:pPr>
              <w:pStyle w:val="cuatexto"/>
              <w:jc w:val="right"/>
            </w:pPr>
            <w:r>
              <w:t>346</w:t>
            </w:r>
          </w:p>
        </w:tc>
        <w:tc>
          <w:tcPr>
            <w:tcW w:w="725" w:type="pct"/>
            <w:tcBorders>
              <w:top w:val="single" w:sz="2" w:space="0" w:color="auto"/>
              <w:left w:val="nil"/>
              <w:bottom w:val="single" w:sz="2" w:space="0" w:color="auto"/>
              <w:right w:val="nil"/>
            </w:tcBorders>
            <w:shd w:val="clear" w:color="auto" w:fill="auto"/>
            <w:vAlign w:val="center"/>
            <w:hideMark/>
          </w:tcPr>
          <w:p w14:paraId="0BB96AE0" w14:textId="77777777" w:rsidR="007251ED" w:rsidRPr="003A115E" w:rsidRDefault="007251ED" w:rsidP="002B51BC">
            <w:pPr>
              <w:pStyle w:val="cuatexto"/>
              <w:jc w:val="right"/>
            </w:pPr>
            <w:r>
              <w:t>346</w:t>
            </w:r>
          </w:p>
        </w:tc>
        <w:tc>
          <w:tcPr>
            <w:tcW w:w="645" w:type="pct"/>
            <w:tcBorders>
              <w:top w:val="single" w:sz="2" w:space="0" w:color="auto"/>
              <w:left w:val="nil"/>
              <w:bottom w:val="single" w:sz="2" w:space="0" w:color="auto"/>
              <w:right w:val="nil"/>
            </w:tcBorders>
            <w:shd w:val="clear" w:color="auto" w:fill="auto"/>
            <w:vAlign w:val="center"/>
            <w:hideMark/>
          </w:tcPr>
          <w:p w14:paraId="6345BFBB" w14:textId="28529AF7" w:rsidR="007251ED" w:rsidRPr="003A115E" w:rsidRDefault="50003C74" w:rsidP="002B51BC">
            <w:pPr>
              <w:pStyle w:val="cuatexto"/>
              <w:jc w:val="right"/>
            </w:pPr>
            <w:r>
              <w:t>346</w:t>
            </w:r>
          </w:p>
        </w:tc>
      </w:tr>
      <w:tr w:rsidR="000A742F" w:rsidRPr="003A115E" w14:paraId="4418CC66" w14:textId="77777777" w:rsidTr="00CC28BD">
        <w:trPr>
          <w:trHeight w:val="198"/>
        </w:trPr>
        <w:tc>
          <w:tcPr>
            <w:tcW w:w="1145" w:type="pct"/>
            <w:tcBorders>
              <w:top w:val="single" w:sz="2" w:space="0" w:color="auto"/>
              <w:left w:val="nil"/>
              <w:bottom w:val="single" w:sz="2" w:space="0" w:color="auto"/>
              <w:right w:val="nil"/>
            </w:tcBorders>
            <w:shd w:val="clear" w:color="auto" w:fill="auto"/>
            <w:vAlign w:val="center"/>
            <w:hideMark/>
          </w:tcPr>
          <w:p w14:paraId="7DF1546C" w14:textId="77777777" w:rsidR="007251ED" w:rsidRPr="003A115E" w:rsidRDefault="007251ED" w:rsidP="00D2773D">
            <w:pPr>
              <w:pStyle w:val="cuatexto"/>
            </w:pPr>
            <w:r>
              <w:t xml:space="preserve">Mankomunitateak </w:t>
            </w:r>
          </w:p>
        </w:tc>
        <w:tc>
          <w:tcPr>
            <w:tcW w:w="1194" w:type="pct"/>
            <w:tcBorders>
              <w:top w:val="single" w:sz="2" w:space="0" w:color="auto"/>
              <w:left w:val="nil"/>
              <w:bottom w:val="single" w:sz="2" w:space="0" w:color="auto"/>
              <w:right w:val="nil"/>
            </w:tcBorders>
            <w:shd w:val="clear" w:color="auto" w:fill="auto"/>
            <w:vAlign w:val="center"/>
            <w:hideMark/>
          </w:tcPr>
          <w:p w14:paraId="2E40AA99" w14:textId="77777777" w:rsidR="007251ED" w:rsidRPr="003A115E" w:rsidRDefault="007251ED" w:rsidP="002B51BC">
            <w:pPr>
              <w:pStyle w:val="cuatexto"/>
              <w:jc w:val="right"/>
            </w:pPr>
            <w:r>
              <w:t>62</w:t>
            </w:r>
          </w:p>
        </w:tc>
        <w:tc>
          <w:tcPr>
            <w:tcW w:w="645" w:type="pct"/>
            <w:tcBorders>
              <w:top w:val="single" w:sz="2" w:space="0" w:color="auto"/>
              <w:left w:val="nil"/>
              <w:bottom w:val="single" w:sz="2" w:space="0" w:color="auto"/>
              <w:right w:val="nil"/>
            </w:tcBorders>
            <w:shd w:val="clear" w:color="auto" w:fill="auto"/>
            <w:vAlign w:val="center"/>
            <w:hideMark/>
          </w:tcPr>
          <w:p w14:paraId="01DD70B3" w14:textId="77777777" w:rsidR="007251ED" w:rsidRPr="003A115E" w:rsidRDefault="007251ED" w:rsidP="002B51BC">
            <w:pPr>
              <w:pStyle w:val="cuatexto"/>
              <w:jc w:val="right"/>
            </w:pPr>
            <w:r>
              <w:t>62</w:t>
            </w:r>
          </w:p>
        </w:tc>
        <w:tc>
          <w:tcPr>
            <w:tcW w:w="646" w:type="pct"/>
            <w:tcBorders>
              <w:top w:val="single" w:sz="2" w:space="0" w:color="auto"/>
              <w:left w:val="nil"/>
              <w:bottom w:val="single" w:sz="2" w:space="0" w:color="auto"/>
              <w:right w:val="nil"/>
            </w:tcBorders>
            <w:shd w:val="clear" w:color="auto" w:fill="auto"/>
            <w:vAlign w:val="center"/>
            <w:hideMark/>
          </w:tcPr>
          <w:p w14:paraId="27393096" w14:textId="77777777" w:rsidR="007251ED" w:rsidRPr="003A115E" w:rsidRDefault="007251ED" w:rsidP="002B51BC">
            <w:pPr>
              <w:pStyle w:val="cuatexto"/>
              <w:jc w:val="right"/>
            </w:pPr>
            <w:r>
              <w:t>62</w:t>
            </w:r>
          </w:p>
        </w:tc>
        <w:tc>
          <w:tcPr>
            <w:tcW w:w="725" w:type="pct"/>
            <w:tcBorders>
              <w:top w:val="single" w:sz="2" w:space="0" w:color="auto"/>
              <w:left w:val="nil"/>
              <w:bottom w:val="single" w:sz="2" w:space="0" w:color="auto"/>
              <w:right w:val="nil"/>
            </w:tcBorders>
            <w:shd w:val="clear" w:color="auto" w:fill="auto"/>
            <w:vAlign w:val="center"/>
            <w:hideMark/>
          </w:tcPr>
          <w:p w14:paraId="5809AEC1" w14:textId="77777777" w:rsidR="007251ED" w:rsidRPr="003A115E" w:rsidRDefault="007251ED" w:rsidP="002B51BC">
            <w:pPr>
              <w:pStyle w:val="cuatexto"/>
              <w:jc w:val="right"/>
            </w:pPr>
            <w:r>
              <w:t>62</w:t>
            </w:r>
          </w:p>
        </w:tc>
        <w:tc>
          <w:tcPr>
            <w:tcW w:w="645" w:type="pct"/>
            <w:tcBorders>
              <w:top w:val="single" w:sz="2" w:space="0" w:color="auto"/>
              <w:left w:val="nil"/>
              <w:bottom w:val="single" w:sz="2" w:space="0" w:color="auto"/>
              <w:right w:val="nil"/>
            </w:tcBorders>
            <w:shd w:val="clear" w:color="auto" w:fill="auto"/>
            <w:vAlign w:val="center"/>
            <w:hideMark/>
          </w:tcPr>
          <w:p w14:paraId="0681FECE" w14:textId="77777777" w:rsidR="007251ED" w:rsidRPr="003A115E" w:rsidRDefault="007251ED" w:rsidP="002B51BC">
            <w:pPr>
              <w:pStyle w:val="cuatexto"/>
              <w:jc w:val="right"/>
            </w:pPr>
            <w:r>
              <w:t>62</w:t>
            </w:r>
          </w:p>
        </w:tc>
      </w:tr>
      <w:tr w:rsidR="000A742F" w:rsidRPr="003A115E" w14:paraId="73FE3531" w14:textId="77777777" w:rsidTr="00CC28BD">
        <w:trPr>
          <w:trHeight w:val="198"/>
        </w:trPr>
        <w:tc>
          <w:tcPr>
            <w:tcW w:w="1145" w:type="pct"/>
            <w:tcBorders>
              <w:top w:val="single" w:sz="2" w:space="0" w:color="auto"/>
              <w:left w:val="nil"/>
              <w:bottom w:val="single" w:sz="4" w:space="0" w:color="auto"/>
              <w:right w:val="nil"/>
            </w:tcBorders>
            <w:shd w:val="clear" w:color="auto" w:fill="auto"/>
            <w:vAlign w:val="center"/>
            <w:hideMark/>
          </w:tcPr>
          <w:p w14:paraId="06663B4D" w14:textId="77777777" w:rsidR="007251ED" w:rsidRPr="003A115E" w:rsidRDefault="007251ED" w:rsidP="00D2773D">
            <w:pPr>
              <w:pStyle w:val="cuatexto"/>
            </w:pPr>
            <w:r>
              <w:t xml:space="preserve">Elkarteak </w:t>
            </w:r>
            <w:r>
              <w:rPr>
                <w:vertAlign w:val="superscript"/>
              </w:rPr>
              <w:t>(2)</w:t>
            </w:r>
          </w:p>
        </w:tc>
        <w:tc>
          <w:tcPr>
            <w:tcW w:w="1194" w:type="pct"/>
            <w:tcBorders>
              <w:top w:val="single" w:sz="2" w:space="0" w:color="auto"/>
              <w:left w:val="nil"/>
              <w:bottom w:val="single" w:sz="4" w:space="0" w:color="auto"/>
              <w:right w:val="nil"/>
            </w:tcBorders>
            <w:shd w:val="clear" w:color="auto" w:fill="auto"/>
            <w:vAlign w:val="center"/>
            <w:hideMark/>
          </w:tcPr>
          <w:p w14:paraId="1AFDAF13" w14:textId="77777777" w:rsidR="007251ED" w:rsidRPr="003A115E" w:rsidRDefault="007251ED" w:rsidP="002B51BC">
            <w:pPr>
              <w:pStyle w:val="cuatexto"/>
              <w:jc w:val="right"/>
            </w:pPr>
            <w:r>
              <w:t>22</w:t>
            </w:r>
          </w:p>
        </w:tc>
        <w:tc>
          <w:tcPr>
            <w:tcW w:w="645" w:type="pct"/>
            <w:tcBorders>
              <w:top w:val="single" w:sz="2" w:space="0" w:color="auto"/>
              <w:left w:val="nil"/>
              <w:bottom w:val="single" w:sz="4" w:space="0" w:color="auto"/>
              <w:right w:val="nil"/>
            </w:tcBorders>
            <w:shd w:val="clear" w:color="auto" w:fill="auto"/>
            <w:vAlign w:val="center"/>
            <w:hideMark/>
          </w:tcPr>
          <w:p w14:paraId="113224ED" w14:textId="77777777" w:rsidR="007251ED" w:rsidRPr="003A115E" w:rsidRDefault="007251ED" w:rsidP="002B51BC">
            <w:pPr>
              <w:pStyle w:val="cuatexto"/>
              <w:jc w:val="right"/>
            </w:pPr>
            <w:r>
              <w:t>22</w:t>
            </w:r>
          </w:p>
        </w:tc>
        <w:tc>
          <w:tcPr>
            <w:tcW w:w="646" w:type="pct"/>
            <w:tcBorders>
              <w:top w:val="single" w:sz="2" w:space="0" w:color="auto"/>
              <w:left w:val="nil"/>
              <w:bottom w:val="single" w:sz="4" w:space="0" w:color="auto"/>
              <w:right w:val="nil"/>
            </w:tcBorders>
            <w:shd w:val="clear" w:color="auto" w:fill="auto"/>
            <w:vAlign w:val="center"/>
            <w:hideMark/>
          </w:tcPr>
          <w:p w14:paraId="4BBF5457" w14:textId="77777777" w:rsidR="007251ED" w:rsidRPr="003A115E" w:rsidRDefault="007251ED" w:rsidP="002B51BC">
            <w:pPr>
              <w:pStyle w:val="cuatexto"/>
              <w:jc w:val="right"/>
            </w:pPr>
            <w:r>
              <w:t>22</w:t>
            </w:r>
          </w:p>
        </w:tc>
        <w:tc>
          <w:tcPr>
            <w:tcW w:w="725" w:type="pct"/>
            <w:tcBorders>
              <w:top w:val="single" w:sz="2" w:space="0" w:color="auto"/>
              <w:left w:val="nil"/>
              <w:bottom w:val="single" w:sz="4" w:space="0" w:color="auto"/>
              <w:right w:val="nil"/>
            </w:tcBorders>
            <w:shd w:val="clear" w:color="auto" w:fill="auto"/>
            <w:vAlign w:val="center"/>
            <w:hideMark/>
          </w:tcPr>
          <w:p w14:paraId="061368F2" w14:textId="77777777" w:rsidR="007251ED" w:rsidRPr="003A115E" w:rsidRDefault="007251ED" w:rsidP="002B51BC">
            <w:pPr>
              <w:pStyle w:val="cuatexto"/>
              <w:jc w:val="right"/>
            </w:pPr>
            <w:r>
              <w:t>22</w:t>
            </w:r>
          </w:p>
        </w:tc>
        <w:tc>
          <w:tcPr>
            <w:tcW w:w="645" w:type="pct"/>
            <w:tcBorders>
              <w:top w:val="single" w:sz="2" w:space="0" w:color="auto"/>
              <w:left w:val="nil"/>
              <w:bottom w:val="single" w:sz="4" w:space="0" w:color="auto"/>
              <w:right w:val="nil"/>
            </w:tcBorders>
            <w:shd w:val="clear" w:color="auto" w:fill="auto"/>
            <w:vAlign w:val="center"/>
            <w:hideMark/>
          </w:tcPr>
          <w:p w14:paraId="31ADCF80" w14:textId="77777777" w:rsidR="007251ED" w:rsidRPr="003A115E" w:rsidRDefault="007251ED" w:rsidP="002B51BC">
            <w:pPr>
              <w:pStyle w:val="cuatexto"/>
              <w:jc w:val="right"/>
            </w:pPr>
            <w:r>
              <w:t>22</w:t>
            </w:r>
          </w:p>
        </w:tc>
      </w:tr>
      <w:tr w:rsidR="000A742F" w:rsidRPr="003A115E" w14:paraId="68365837" w14:textId="77777777" w:rsidTr="00CC28BD">
        <w:trPr>
          <w:trHeight w:val="255"/>
        </w:trPr>
        <w:tc>
          <w:tcPr>
            <w:tcW w:w="1145" w:type="pct"/>
            <w:tcBorders>
              <w:top w:val="single" w:sz="4" w:space="0" w:color="auto"/>
              <w:left w:val="nil"/>
              <w:bottom w:val="single" w:sz="4" w:space="0" w:color="auto"/>
              <w:right w:val="nil"/>
            </w:tcBorders>
            <w:shd w:val="clear" w:color="auto" w:fill="FABF8F" w:themeFill="accent6" w:themeFillTint="99"/>
            <w:vAlign w:val="center"/>
            <w:hideMark/>
          </w:tcPr>
          <w:p w14:paraId="7A4B94E1" w14:textId="77777777" w:rsidR="007251ED" w:rsidRPr="003A115E" w:rsidRDefault="007251ED" w:rsidP="00D2773D">
            <w:pPr>
              <w:pStyle w:val="cuadroCabe"/>
            </w:pPr>
            <w:r>
              <w:t>Guztira</w:t>
            </w:r>
          </w:p>
        </w:tc>
        <w:tc>
          <w:tcPr>
            <w:tcW w:w="1194" w:type="pct"/>
            <w:tcBorders>
              <w:top w:val="single" w:sz="4" w:space="0" w:color="auto"/>
              <w:left w:val="nil"/>
              <w:bottom w:val="single" w:sz="4" w:space="0" w:color="auto"/>
              <w:right w:val="nil"/>
            </w:tcBorders>
            <w:shd w:val="clear" w:color="auto" w:fill="FABF8F" w:themeFill="accent6" w:themeFillTint="99"/>
            <w:vAlign w:val="center"/>
            <w:hideMark/>
          </w:tcPr>
          <w:p w14:paraId="409B7426" w14:textId="77777777" w:rsidR="007251ED" w:rsidRPr="003A115E" w:rsidRDefault="007251ED" w:rsidP="002B51BC">
            <w:pPr>
              <w:pStyle w:val="cuadroCabe"/>
              <w:jc w:val="right"/>
            </w:pPr>
            <w:r>
              <w:t>702</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26C3ABC0" w14:textId="77777777" w:rsidR="007251ED" w:rsidRPr="003A115E" w:rsidRDefault="007251ED" w:rsidP="002B51BC">
            <w:pPr>
              <w:pStyle w:val="cuadroCabe"/>
              <w:jc w:val="right"/>
            </w:pPr>
            <w:r>
              <w:t>702</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3BA0A557" w14:textId="77777777" w:rsidR="007251ED" w:rsidRPr="003A115E" w:rsidRDefault="007251ED" w:rsidP="002B51BC">
            <w:pPr>
              <w:pStyle w:val="cuadroCabe"/>
              <w:jc w:val="right"/>
            </w:pPr>
            <w:r>
              <w:t>702</w:t>
            </w:r>
          </w:p>
        </w:tc>
        <w:tc>
          <w:tcPr>
            <w:tcW w:w="725" w:type="pct"/>
            <w:tcBorders>
              <w:top w:val="single" w:sz="4" w:space="0" w:color="auto"/>
              <w:left w:val="nil"/>
              <w:bottom w:val="single" w:sz="4" w:space="0" w:color="auto"/>
              <w:right w:val="nil"/>
            </w:tcBorders>
            <w:shd w:val="clear" w:color="auto" w:fill="FABF8F" w:themeFill="accent6" w:themeFillTint="99"/>
            <w:vAlign w:val="center"/>
            <w:hideMark/>
          </w:tcPr>
          <w:p w14:paraId="1CF3C41D" w14:textId="77777777" w:rsidR="007251ED" w:rsidRPr="003A115E" w:rsidRDefault="007251ED" w:rsidP="002B51BC">
            <w:pPr>
              <w:pStyle w:val="cuadroCabe"/>
              <w:jc w:val="right"/>
            </w:pPr>
            <w:r>
              <w:t>702</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4EB74747" w14:textId="15E2B3EF" w:rsidR="007251ED" w:rsidRPr="003A115E" w:rsidRDefault="50003C74" w:rsidP="002B51BC">
            <w:pPr>
              <w:pStyle w:val="cuadroCabe"/>
              <w:jc w:val="right"/>
            </w:pPr>
            <w:r>
              <w:t>702</w:t>
            </w:r>
          </w:p>
        </w:tc>
      </w:tr>
    </w:tbl>
    <w:p w14:paraId="6D129564" w14:textId="6917FA91" w:rsidR="00EC4C05" w:rsidRPr="003A115E" w:rsidRDefault="00787D6A" w:rsidP="00787D6A">
      <w:pPr>
        <w:pStyle w:val="recomen"/>
        <w:numPr>
          <w:ilvl w:val="0"/>
          <w:numId w:val="0"/>
        </w:numPr>
        <w:spacing w:before="60" w:after="60"/>
        <w:rPr>
          <w:rFonts w:ascii="Arial" w:hAnsi="Arial" w:cs="Arial"/>
          <w:i w:val="0"/>
          <w:sz w:val="14"/>
          <w:szCs w:val="14"/>
        </w:rPr>
      </w:pPr>
      <w:r>
        <w:rPr>
          <w:rFonts w:ascii="Arial" w:hAnsi="Arial"/>
          <w:i w:val="0"/>
          <w:sz w:val="14"/>
          <w:vertAlign w:val="superscript"/>
        </w:rPr>
        <w:t>(1)</w:t>
      </w:r>
      <w:r>
        <w:rPr>
          <w:rFonts w:ascii="Arial" w:hAnsi="Arial"/>
          <w:i w:val="0"/>
          <w:sz w:val="14"/>
        </w:rPr>
        <w:t xml:space="preserve"> 60 udal konposatuak dira.</w:t>
      </w:r>
    </w:p>
    <w:p w14:paraId="68FD1B87" w14:textId="2B2C70F1" w:rsidR="3710BB4A" w:rsidRPr="003A115E" w:rsidRDefault="00787D6A" w:rsidP="00AA2A74">
      <w:pPr>
        <w:pStyle w:val="recomen"/>
        <w:numPr>
          <w:ilvl w:val="0"/>
          <w:numId w:val="0"/>
        </w:numPr>
        <w:spacing w:after="60"/>
        <w:rPr>
          <w:rFonts w:ascii="Arial" w:hAnsi="Arial" w:cs="Arial"/>
          <w:i w:val="0"/>
          <w:sz w:val="14"/>
          <w:szCs w:val="14"/>
        </w:rPr>
      </w:pPr>
      <w:r>
        <w:rPr>
          <w:rFonts w:ascii="Arial" w:hAnsi="Arial"/>
          <w:i w:val="0"/>
          <w:sz w:val="14"/>
          <w:vertAlign w:val="superscript"/>
        </w:rPr>
        <w:t>(2)</w:t>
      </w:r>
      <w:r>
        <w:rPr>
          <w:rFonts w:ascii="Arial" w:hAnsi="Arial"/>
          <w:i w:val="0"/>
          <w:sz w:val="14"/>
        </w:rPr>
        <w:t xml:space="preserve"> Ohiturazko elkarteak eta udalerrietako elkarteak.</w:t>
      </w:r>
    </w:p>
    <w:p w14:paraId="28C31141" w14:textId="25D8A0C4" w:rsidR="00EC4C05" w:rsidRPr="003A115E" w:rsidRDefault="6A28BBB8" w:rsidP="009B5AB3">
      <w:pPr>
        <w:pStyle w:val="texto"/>
        <w:spacing w:before="240" w:after="240"/>
      </w:pPr>
      <w:r>
        <w:t>2018tik 2022ra bitarteko aldian honako hau da erakunde autonomoen, toki-entitate bat jabe bakarra duten merkataritza-sozietateen, toki-fundazio publikoen eta partzuergoen kopurua:</w:t>
      </w:r>
    </w:p>
    <w:tbl>
      <w:tblPr>
        <w:tblW w:w="5000" w:type="pct"/>
        <w:tblCellMar>
          <w:left w:w="70" w:type="dxa"/>
          <w:right w:w="70" w:type="dxa"/>
        </w:tblCellMar>
        <w:tblLook w:val="04A0" w:firstRow="1" w:lastRow="0" w:firstColumn="1" w:lastColumn="0" w:noHBand="0" w:noVBand="1"/>
      </w:tblPr>
      <w:tblGrid>
        <w:gridCol w:w="2500"/>
        <w:gridCol w:w="418"/>
        <w:gridCol w:w="1174"/>
        <w:gridCol w:w="1174"/>
        <w:gridCol w:w="1174"/>
        <w:gridCol w:w="1174"/>
        <w:gridCol w:w="1174"/>
      </w:tblGrid>
      <w:tr w:rsidR="000A742F" w:rsidRPr="003A115E" w14:paraId="73B458CE" w14:textId="77777777" w:rsidTr="00CC28BD">
        <w:trPr>
          <w:trHeight w:val="255"/>
        </w:trPr>
        <w:tc>
          <w:tcPr>
            <w:tcW w:w="1422" w:type="pct"/>
            <w:tcBorders>
              <w:top w:val="single" w:sz="4" w:space="0" w:color="auto"/>
              <w:left w:val="nil"/>
              <w:bottom w:val="single" w:sz="4" w:space="0" w:color="auto"/>
              <w:right w:val="nil"/>
            </w:tcBorders>
            <w:shd w:val="clear" w:color="000000" w:fill="FABF8F"/>
            <w:vAlign w:val="center"/>
            <w:hideMark/>
          </w:tcPr>
          <w:p w14:paraId="445C4E4E" w14:textId="77777777" w:rsidR="00112476" w:rsidRPr="003A115E" w:rsidRDefault="00112476" w:rsidP="00D2773D">
            <w:pPr>
              <w:pStyle w:val="cuadroCabe"/>
            </w:pPr>
            <w:r>
              <w:t>Entitatea</w:t>
            </w:r>
          </w:p>
        </w:tc>
        <w:tc>
          <w:tcPr>
            <w:tcW w:w="238" w:type="pct"/>
            <w:tcBorders>
              <w:top w:val="single" w:sz="4" w:space="0" w:color="auto"/>
              <w:left w:val="nil"/>
              <w:bottom w:val="single" w:sz="4" w:space="0" w:color="auto"/>
              <w:right w:val="nil"/>
            </w:tcBorders>
            <w:shd w:val="clear" w:color="000000" w:fill="FABF8F"/>
            <w:vAlign w:val="center"/>
            <w:hideMark/>
          </w:tcPr>
          <w:p w14:paraId="2434CECB" w14:textId="77777777" w:rsidR="00112476" w:rsidRPr="003A115E" w:rsidRDefault="00112476" w:rsidP="00D2773D">
            <w:pPr>
              <w:pStyle w:val="cuadroCabe"/>
            </w:pPr>
            <w:r>
              <w:t> </w:t>
            </w:r>
          </w:p>
        </w:tc>
        <w:tc>
          <w:tcPr>
            <w:tcW w:w="668" w:type="pct"/>
            <w:tcBorders>
              <w:top w:val="single" w:sz="4" w:space="0" w:color="auto"/>
              <w:left w:val="nil"/>
              <w:bottom w:val="single" w:sz="4" w:space="0" w:color="auto"/>
              <w:right w:val="nil"/>
            </w:tcBorders>
            <w:shd w:val="clear" w:color="000000" w:fill="FABF8F"/>
            <w:vAlign w:val="center"/>
            <w:hideMark/>
          </w:tcPr>
          <w:p w14:paraId="18EE0E07" w14:textId="77777777" w:rsidR="00112476" w:rsidRPr="003A115E" w:rsidRDefault="00112476" w:rsidP="00D2773D">
            <w:pPr>
              <w:pStyle w:val="cuadroCabe"/>
              <w:jc w:val="right"/>
            </w:pPr>
            <w:r>
              <w:t>2018</w:t>
            </w:r>
          </w:p>
        </w:tc>
        <w:tc>
          <w:tcPr>
            <w:tcW w:w="668" w:type="pct"/>
            <w:tcBorders>
              <w:top w:val="single" w:sz="4" w:space="0" w:color="auto"/>
              <w:left w:val="nil"/>
              <w:bottom w:val="single" w:sz="4" w:space="0" w:color="auto"/>
              <w:right w:val="nil"/>
            </w:tcBorders>
            <w:shd w:val="clear" w:color="000000" w:fill="FABF8F"/>
            <w:vAlign w:val="center"/>
            <w:hideMark/>
          </w:tcPr>
          <w:p w14:paraId="7F9CD292" w14:textId="77777777" w:rsidR="00112476" w:rsidRPr="003A115E" w:rsidRDefault="00112476" w:rsidP="00D2773D">
            <w:pPr>
              <w:pStyle w:val="cuadroCabe"/>
              <w:jc w:val="right"/>
            </w:pPr>
            <w:r>
              <w:t>2019</w:t>
            </w:r>
          </w:p>
        </w:tc>
        <w:tc>
          <w:tcPr>
            <w:tcW w:w="668" w:type="pct"/>
            <w:tcBorders>
              <w:top w:val="single" w:sz="4" w:space="0" w:color="auto"/>
              <w:left w:val="nil"/>
              <w:bottom w:val="single" w:sz="4" w:space="0" w:color="auto"/>
              <w:right w:val="nil"/>
            </w:tcBorders>
            <w:shd w:val="clear" w:color="000000" w:fill="FABF8F"/>
            <w:vAlign w:val="center"/>
            <w:hideMark/>
          </w:tcPr>
          <w:p w14:paraId="3E471570" w14:textId="77777777" w:rsidR="00112476" w:rsidRPr="003A115E" w:rsidRDefault="00112476" w:rsidP="00D2773D">
            <w:pPr>
              <w:pStyle w:val="cuadroCabe"/>
              <w:jc w:val="right"/>
            </w:pPr>
            <w:r>
              <w:t>2020</w:t>
            </w:r>
          </w:p>
        </w:tc>
        <w:tc>
          <w:tcPr>
            <w:tcW w:w="668" w:type="pct"/>
            <w:tcBorders>
              <w:top w:val="single" w:sz="4" w:space="0" w:color="auto"/>
              <w:left w:val="nil"/>
              <w:bottom w:val="single" w:sz="4" w:space="0" w:color="auto"/>
              <w:right w:val="nil"/>
            </w:tcBorders>
            <w:shd w:val="clear" w:color="000000" w:fill="FABF8F"/>
            <w:vAlign w:val="center"/>
            <w:hideMark/>
          </w:tcPr>
          <w:p w14:paraId="480E40D4" w14:textId="77777777" w:rsidR="00112476" w:rsidRPr="003A115E" w:rsidRDefault="00112476" w:rsidP="00D2773D">
            <w:pPr>
              <w:pStyle w:val="cuadroCabe"/>
              <w:jc w:val="right"/>
            </w:pPr>
            <w:r>
              <w:t>2021</w:t>
            </w:r>
          </w:p>
        </w:tc>
        <w:tc>
          <w:tcPr>
            <w:tcW w:w="668" w:type="pct"/>
            <w:tcBorders>
              <w:top w:val="single" w:sz="4" w:space="0" w:color="auto"/>
              <w:left w:val="nil"/>
              <w:bottom w:val="single" w:sz="4" w:space="0" w:color="auto"/>
              <w:right w:val="nil"/>
            </w:tcBorders>
            <w:shd w:val="clear" w:color="000000" w:fill="FABF8F"/>
            <w:vAlign w:val="center"/>
            <w:hideMark/>
          </w:tcPr>
          <w:p w14:paraId="65D9E85E" w14:textId="77777777" w:rsidR="00112476" w:rsidRPr="003A115E" w:rsidRDefault="00112476" w:rsidP="00D2773D">
            <w:pPr>
              <w:pStyle w:val="cuadroCabe"/>
              <w:jc w:val="right"/>
            </w:pPr>
            <w:r>
              <w:t>2022</w:t>
            </w:r>
          </w:p>
        </w:tc>
      </w:tr>
      <w:tr w:rsidR="000A742F" w:rsidRPr="003A115E" w14:paraId="0A887DDC" w14:textId="77777777" w:rsidTr="00CC28BD">
        <w:trPr>
          <w:trHeight w:val="198"/>
        </w:trPr>
        <w:tc>
          <w:tcPr>
            <w:tcW w:w="1422" w:type="pct"/>
            <w:tcBorders>
              <w:top w:val="single" w:sz="4" w:space="0" w:color="auto"/>
              <w:left w:val="nil"/>
              <w:bottom w:val="single" w:sz="2" w:space="0" w:color="auto"/>
              <w:right w:val="nil"/>
            </w:tcBorders>
            <w:shd w:val="clear" w:color="auto" w:fill="auto"/>
            <w:vAlign w:val="center"/>
            <w:hideMark/>
          </w:tcPr>
          <w:p w14:paraId="68BFBDEF" w14:textId="77777777" w:rsidR="00112476" w:rsidRPr="003A115E" w:rsidRDefault="00112476" w:rsidP="00D2773D">
            <w:pPr>
              <w:pStyle w:val="cuatexto"/>
            </w:pPr>
            <w:r>
              <w:t>Erakunde autonomoak</w:t>
            </w:r>
          </w:p>
        </w:tc>
        <w:tc>
          <w:tcPr>
            <w:tcW w:w="238" w:type="pct"/>
            <w:tcBorders>
              <w:top w:val="single" w:sz="4" w:space="0" w:color="auto"/>
              <w:left w:val="nil"/>
              <w:bottom w:val="single" w:sz="2" w:space="0" w:color="auto"/>
              <w:right w:val="nil"/>
            </w:tcBorders>
            <w:shd w:val="clear" w:color="auto" w:fill="auto"/>
            <w:vAlign w:val="center"/>
            <w:hideMark/>
          </w:tcPr>
          <w:p w14:paraId="1EE677A2" w14:textId="77777777" w:rsidR="00112476" w:rsidRPr="003A115E" w:rsidRDefault="00112476" w:rsidP="00D2773D">
            <w:pPr>
              <w:pStyle w:val="cuatexto"/>
            </w:pPr>
            <w:r>
              <w:t> </w:t>
            </w:r>
          </w:p>
        </w:tc>
        <w:tc>
          <w:tcPr>
            <w:tcW w:w="668" w:type="pct"/>
            <w:tcBorders>
              <w:top w:val="single" w:sz="4" w:space="0" w:color="auto"/>
              <w:left w:val="nil"/>
              <w:bottom w:val="single" w:sz="2" w:space="0" w:color="auto"/>
              <w:right w:val="nil"/>
            </w:tcBorders>
            <w:shd w:val="clear" w:color="auto" w:fill="auto"/>
            <w:vAlign w:val="center"/>
            <w:hideMark/>
          </w:tcPr>
          <w:p w14:paraId="0A88345B" w14:textId="77777777" w:rsidR="00112476" w:rsidRPr="003A115E" w:rsidRDefault="00112476" w:rsidP="00D2773D">
            <w:pPr>
              <w:pStyle w:val="cuatexto"/>
              <w:jc w:val="right"/>
            </w:pPr>
            <w:r>
              <w:t>61</w:t>
            </w:r>
          </w:p>
        </w:tc>
        <w:tc>
          <w:tcPr>
            <w:tcW w:w="668" w:type="pct"/>
            <w:tcBorders>
              <w:top w:val="single" w:sz="4" w:space="0" w:color="auto"/>
              <w:left w:val="nil"/>
              <w:bottom w:val="single" w:sz="2" w:space="0" w:color="auto"/>
              <w:right w:val="nil"/>
            </w:tcBorders>
            <w:shd w:val="clear" w:color="auto" w:fill="auto"/>
            <w:vAlign w:val="center"/>
            <w:hideMark/>
          </w:tcPr>
          <w:p w14:paraId="264D4ADF" w14:textId="77777777" w:rsidR="00112476" w:rsidRPr="003A115E" w:rsidRDefault="00112476" w:rsidP="00D2773D">
            <w:pPr>
              <w:pStyle w:val="cuatexto"/>
              <w:jc w:val="right"/>
            </w:pPr>
            <w:r>
              <w:t>59</w:t>
            </w:r>
          </w:p>
        </w:tc>
        <w:tc>
          <w:tcPr>
            <w:tcW w:w="668" w:type="pct"/>
            <w:tcBorders>
              <w:top w:val="single" w:sz="4" w:space="0" w:color="auto"/>
              <w:left w:val="nil"/>
              <w:bottom w:val="single" w:sz="2" w:space="0" w:color="auto"/>
              <w:right w:val="nil"/>
            </w:tcBorders>
            <w:shd w:val="clear" w:color="auto" w:fill="auto"/>
            <w:vAlign w:val="center"/>
            <w:hideMark/>
          </w:tcPr>
          <w:p w14:paraId="7E3E0F3F" w14:textId="77777777" w:rsidR="00112476" w:rsidRPr="003A115E" w:rsidRDefault="00112476" w:rsidP="00D2773D">
            <w:pPr>
              <w:pStyle w:val="cuatexto"/>
              <w:jc w:val="right"/>
            </w:pPr>
            <w:r>
              <w:t>57</w:t>
            </w:r>
          </w:p>
        </w:tc>
        <w:tc>
          <w:tcPr>
            <w:tcW w:w="668" w:type="pct"/>
            <w:tcBorders>
              <w:top w:val="single" w:sz="4" w:space="0" w:color="auto"/>
              <w:left w:val="nil"/>
              <w:bottom w:val="single" w:sz="2" w:space="0" w:color="auto"/>
              <w:right w:val="nil"/>
            </w:tcBorders>
            <w:shd w:val="clear" w:color="auto" w:fill="auto"/>
            <w:vAlign w:val="center"/>
            <w:hideMark/>
          </w:tcPr>
          <w:p w14:paraId="2DDBD39B" w14:textId="77777777" w:rsidR="00112476" w:rsidRPr="003A115E" w:rsidRDefault="00112476" w:rsidP="00D2773D">
            <w:pPr>
              <w:pStyle w:val="cuatexto"/>
              <w:jc w:val="right"/>
            </w:pPr>
            <w:r>
              <w:t>56</w:t>
            </w:r>
          </w:p>
        </w:tc>
        <w:tc>
          <w:tcPr>
            <w:tcW w:w="668" w:type="pct"/>
            <w:tcBorders>
              <w:top w:val="single" w:sz="4" w:space="0" w:color="auto"/>
              <w:left w:val="nil"/>
              <w:bottom w:val="single" w:sz="2" w:space="0" w:color="auto"/>
              <w:right w:val="nil"/>
            </w:tcBorders>
            <w:shd w:val="clear" w:color="auto" w:fill="auto"/>
            <w:vAlign w:val="center"/>
            <w:hideMark/>
          </w:tcPr>
          <w:p w14:paraId="6551B48D" w14:textId="77777777" w:rsidR="00112476" w:rsidRPr="003A115E" w:rsidRDefault="00112476" w:rsidP="00D2773D">
            <w:pPr>
              <w:pStyle w:val="cuatexto"/>
              <w:jc w:val="right"/>
            </w:pPr>
            <w:r>
              <w:t>53</w:t>
            </w:r>
          </w:p>
        </w:tc>
      </w:tr>
      <w:tr w:rsidR="000A742F" w:rsidRPr="003A115E" w14:paraId="3E519CCD" w14:textId="77777777" w:rsidTr="00CC28BD">
        <w:trPr>
          <w:trHeight w:val="198"/>
        </w:trPr>
        <w:tc>
          <w:tcPr>
            <w:tcW w:w="1422" w:type="pct"/>
            <w:tcBorders>
              <w:top w:val="single" w:sz="2" w:space="0" w:color="auto"/>
              <w:left w:val="nil"/>
              <w:bottom w:val="single" w:sz="2" w:space="0" w:color="auto"/>
              <w:right w:val="nil"/>
            </w:tcBorders>
            <w:shd w:val="clear" w:color="auto" w:fill="auto"/>
            <w:vAlign w:val="center"/>
            <w:hideMark/>
          </w:tcPr>
          <w:p w14:paraId="31512555" w14:textId="77777777" w:rsidR="00112476" w:rsidRPr="003A115E" w:rsidRDefault="00112476" w:rsidP="00D2773D">
            <w:pPr>
              <w:pStyle w:val="cuatexto"/>
            </w:pPr>
            <w:r>
              <w:t xml:space="preserve">Merkataritza sozietateak </w:t>
            </w:r>
          </w:p>
        </w:tc>
        <w:tc>
          <w:tcPr>
            <w:tcW w:w="238" w:type="pct"/>
            <w:tcBorders>
              <w:top w:val="single" w:sz="2" w:space="0" w:color="auto"/>
              <w:left w:val="nil"/>
              <w:bottom w:val="single" w:sz="2" w:space="0" w:color="auto"/>
              <w:right w:val="nil"/>
            </w:tcBorders>
            <w:shd w:val="clear" w:color="auto" w:fill="auto"/>
            <w:vAlign w:val="center"/>
            <w:hideMark/>
          </w:tcPr>
          <w:p w14:paraId="11120181" w14:textId="77777777" w:rsidR="00112476" w:rsidRPr="003A115E" w:rsidRDefault="00112476" w:rsidP="00D2773D">
            <w:pPr>
              <w:pStyle w:val="cuatexto"/>
            </w:pPr>
            <w:r>
              <w:t> </w:t>
            </w:r>
          </w:p>
        </w:tc>
        <w:tc>
          <w:tcPr>
            <w:tcW w:w="668" w:type="pct"/>
            <w:tcBorders>
              <w:top w:val="single" w:sz="2" w:space="0" w:color="auto"/>
              <w:left w:val="nil"/>
              <w:bottom w:val="single" w:sz="2" w:space="0" w:color="auto"/>
              <w:right w:val="nil"/>
            </w:tcBorders>
            <w:shd w:val="clear" w:color="auto" w:fill="auto"/>
            <w:vAlign w:val="center"/>
            <w:hideMark/>
          </w:tcPr>
          <w:p w14:paraId="7AD05A3F" w14:textId="77777777" w:rsidR="00112476" w:rsidRPr="003A115E" w:rsidRDefault="00112476" w:rsidP="00D2773D">
            <w:pPr>
              <w:pStyle w:val="cuatexto"/>
              <w:jc w:val="right"/>
            </w:pPr>
            <w:r>
              <w:t>57</w:t>
            </w:r>
          </w:p>
        </w:tc>
        <w:tc>
          <w:tcPr>
            <w:tcW w:w="668" w:type="pct"/>
            <w:tcBorders>
              <w:top w:val="single" w:sz="2" w:space="0" w:color="auto"/>
              <w:left w:val="nil"/>
              <w:bottom w:val="single" w:sz="2" w:space="0" w:color="auto"/>
              <w:right w:val="nil"/>
            </w:tcBorders>
            <w:shd w:val="clear" w:color="auto" w:fill="auto"/>
            <w:vAlign w:val="center"/>
            <w:hideMark/>
          </w:tcPr>
          <w:p w14:paraId="26231F6B" w14:textId="77777777" w:rsidR="00112476" w:rsidRPr="003A115E" w:rsidRDefault="00112476" w:rsidP="00D2773D">
            <w:pPr>
              <w:pStyle w:val="cuatexto"/>
              <w:jc w:val="right"/>
            </w:pPr>
            <w:r>
              <w:t>56</w:t>
            </w:r>
          </w:p>
        </w:tc>
        <w:tc>
          <w:tcPr>
            <w:tcW w:w="668" w:type="pct"/>
            <w:tcBorders>
              <w:top w:val="single" w:sz="2" w:space="0" w:color="auto"/>
              <w:left w:val="nil"/>
              <w:bottom w:val="single" w:sz="2" w:space="0" w:color="auto"/>
              <w:right w:val="nil"/>
            </w:tcBorders>
            <w:shd w:val="clear" w:color="auto" w:fill="auto"/>
            <w:vAlign w:val="center"/>
            <w:hideMark/>
          </w:tcPr>
          <w:p w14:paraId="2C792184" w14:textId="77777777" w:rsidR="00112476" w:rsidRPr="003A115E" w:rsidRDefault="00112476" w:rsidP="00D2773D">
            <w:pPr>
              <w:pStyle w:val="cuatexto"/>
              <w:jc w:val="right"/>
            </w:pPr>
            <w:r>
              <w:t>54</w:t>
            </w:r>
          </w:p>
        </w:tc>
        <w:tc>
          <w:tcPr>
            <w:tcW w:w="668" w:type="pct"/>
            <w:tcBorders>
              <w:top w:val="single" w:sz="2" w:space="0" w:color="auto"/>
              <w:left w:val="nil"/>
              <w:bottom w:val="single" w:sz="2" w:space="0" w:color="auto"/>
              <w:right w:val="nil"/>
            </w:tcBorders>
            <w:shd w:val="clear" w:color="auto" w:fill="auto"/>
            <w:vAlign w:val="center"/>
            <w:hideMark/>
          </w:tcPr>
          <w:p w14:paraId="3E079008" w14:textId="77777777" w:rsidR="00112476" w:rsidRPr="003A115E" w:rsidRDefault="00112476" w:rsidP="00D2773D">
            <w:pPr>
              <w:pStyle w:val="cuatexto"/>
              <w:jc w:val="right"/>
            </w:pPr>
            <w:r>
              <w:t>57</w:t>
            </w:r>
          </w:p>
        </w:tc>
        <w:tc>
          <w:tcPr>
            <w:tcW w:w="668" w:type="pct"/>
            <w:tcBorders>
              <w:top w:val="single" w:sz="2" w:space="0" w:color="auto"/>
              <w:left w:val="nil"/>
              <w:bottom w:val="single" w:sz="2" w:space="0" w:color="auto"/>
              <w:right w:val="nil"/>
            </w:tcBorders>
            <w:shd w:val="clear" w:color="auto" w:fill="auto"/>
            <w:vAlign w:val="center"/>
            <w:hideMark/>
          </w:tcPr>
          <w:p w14:paraId="432D5CE5" w14:textId="77777777" w:rsidR="00112476" w:rsidRPr="003A115E" w:rsidRDefault="00112476" w:rsidP="00D2773D">
            <w:pPr>
              <w:pStyle w:val="cuatexto"/>
              <w:jc w:val="right"/>
            </w:pPr>
            <w:r>
              <w:t>58</w:t>
            </w:r>
          </w:p>
        </w:tc>
      </w:tr>
      <w:tr w:rsidR="000A742F" w:rsidRPr="003A115E" w14:paraId="159680DE" w14:textId="77777777" w:rsidTr="00CC28BD">
        <w:trPr>
          <w:trHeight w:val="198"/>
        </w:trPr>
        <w:tc>
          <w:tcPr>
            <w:tcW w:w="1422" w:type="pct"/>
            <w:tcBorders>
              <w:top w:val="single" w:sz="2" w:space="0" w:color="auto"/>
              <w:left w:val="nil"/>
              <w:bottom w:val="single" w:sz="2" w:space="0" w:color="auto"/>
              <w:right w:val="nil"/>
            </w:tcBorders>
            <w:shd w:val="clear" w:color="auto" w:fill="auto"/>
            <w:vAlign w:val="center"/>
            <w:hideMark/>
          </w:tcPr>
          <w:p w14:paraId="5BF9359E" w14:textId="77777777" w:rsidR="00112476" w:rsidRPr="003A115E" w:rsidRDefault="00112476" w:rsidP="00D2773D">
            <w:pPr>
              <w:pStyle w:val="cuatexto"/>
            </w:pPr>
            <w:r>
              <w:t>Fundazio publikoak</w:t>
            </w:r>
          </w:p>
        </w:tc>
        <w:tc>
          <w:tcPr>
            <w:tcW w:w="238" w:type="pct"/>
            <w:tcBorders>
              <w:top w:val="single" w:sz="2" w:space="0" w:color="auto"/>
              <w:left w:val="nil"/>
              <w:bottom w:val="single" w:sz="2" w:space="0" w:color="auto"/>
              <w:right w:val="nil"/>
            </w:tcBorders>
            <w:shd w:val="clear" w:color="auto" w:fill="auto"/>
            <w:vAlign w:val="center"/>
            <w:hideMark/>
          </w:tcPr>
          <w:p w14:paraId="028AE3BD" w14:textId="77777777" w:rsidR="00112476" w:rsidRPr="003A115E" w:rsidRDefault="00112476" w:rsidP="00D2773D">
            <w:pPr>
              <w:pStyle w:val="cuatexto"/>
            </w:pPr>
            <w:r>
              <w:t> </w:t>
            </w:r>
          </w:p>
        </w:tc>
        <w:tc>
          <w:tcPr>
            <w:tcW w:w="668" w:type="pct"/>
            <w:tcBorders>
              <w:top w:val="single" w:sz="2" w:space="0" w:color="auto"/>
              <w:left w:val="nil"/>
              <w:bottom w:val="single" w:sz="2" w:space="0" w:color="auto"/>
              <w:right w:val="nil"/>
            </w:tcBorders>
            <w:shd w:val="clear" w:color="auto" w:fill="auto"/>
            <w:vAlign w:val="center"/>
            <w:hideMark/>
          </w:tcPr>
          <w:p w14:paraId="254F8E5F" w14:textId="77777777" w:rsidR="00112476" w:rsidRPr="003A115E" w:rsidRDefault="00112476" w:rsidP="00D2773D">
            <w:pPr>
              <w:pStyle w:val="cuatexto"/>
              <w:jc w:val="right"/>
            </w:pPr>
            <w:r>
              <w:t>8</w:t>
            </w:r>
          </w:p>
        </w:tc>
        <w:tc>
          <w:tcPr>
            <w:tcW w:w="668" w:type="pct"/>
            <w:tcBorders>
              <w:top w:val="single" w:sz="2" w:space="0" w:color="auto"/>
              <w:left w:val="nil"/>
              <w:bottom w:val="single" w:sz="2" w:space="0" w:color="auto"/>
              <w:right w:val="nil"/>
            </w:tcBorders>
            <w:shd w:val="clear" w:color="auto" w:fill="auto"/>
            <w:vAlign w:val="center"/>
            <w:hideMark/>
          </w:tcPr>
          <w:p w14:paraId="78159BA4" w14:textId="77777777" w:rsidR="00112476" w:rsidRPr="003A115E" w:rsidRDefault="00112476" w:rsidP="00D2773D">
            <w:pPr>
              <w:pStyle w:val="cuatexto"/>
              <w:jc w:val="right"/>
            </w:pPr>
            <w:r>
              <w:t>8</w:t>
            </w:r>
          </w:p>
        </w:tc>
        <w:tc>
          <w:tcPr>
            <w:tcW w:w="668" w:type="pct"/>
            <w:tcBorders>
              <w:top w:val="single" w:sz="2" w:space="0" w:color="auto"/>
              <w:left w:val="nil"/>
              <w:bottom w:val="single" w:sz="2" w:space="0" w:color="auto"/>
              <w:right w:val="nil"/>
            </w:tcBorders>
            <w:shd w:val="clear" w:color="auto" w:fill="auto"/>
            <w:vAlign w:val="center"/>
            <w:hideMark/>
          </w:tcPr>
          <w:p w14:paraId="7000DE35" w14:textId="77777777" w:rsidR="00112476" w:rsidRPr="003A115E" w:rsidRDefault="00112476" w:rsidP="00D2773D">
            <w:pPr>
              <w:pStyle w:val="cuatexto"/>
              <w:jc w:val="right"/>
            </w:pPr>
            <w:r>
              <w:t>8</w:t>
            </w:r>
          </w:p>
        </w:tc>
        <w:tc>
          <w:tcPr>
            <w:tcW w:w="668" w:type="pct"/>
            <w:tcBorders>
              <w:top w:val="single" w:sz="2" w:space="0" w:color="auto"/>
              <w:left w:val="nil"/>
              <w:bottom w:val="single" w:sz="2" w:space="0" w:color="auto"/>
              <w:right w:val="nil"/>
            </w:tcBorders>
            <w:shd w:val="clear" w:color="auto" w:fill="auto"/>
            <w:vAlign w:val="center"/>
            <w:hideMark/>
          </w:tcPr>
          <w:p w14:paraId="6C598C5D" w14:textId="77777777" w:rsidR="00112476" w:rsidRPr="003A115E" w:rsidRDefault="00112476" w:rsidP="00D2773D">
            <w:pPr>
              <w:pStyle w:val="cuatexto"/>
              <w:jc w:val="right"/>
            </w:pPr>
            <w:r>
              <w:t>8</w:t>
            </w:r>
          </w:p>
        </w:tc>
        <w:tc>
          <w:tcPr>
            <w:tcW w:w="668" w:type="pct"/>
            <w:tcBorders>
              <w:top w:val="single" w:sz="2" w:space="0" w:color="auto"/>
              <w:left w:val="nil"/>
              <w:bottom w:val="single" w:sz="2" w:space="0" w:color="auto"/>
              <w:right w:val="nil"/>
            </w:tcBorders>
            <w:shd w:val="clear" w:color="auto" w:fill="auto"/>
            <w:vAlign w:val="center"/>
            <w:hideMark/>
          </w:tcPr>
          <w:p w14:paraId="426AC864" w14:textId="77777777" w:rsidR="00112476" w:rsidRPr="003A115E" w:rsidRDefault="00112476" w:rsidP="00D2773D">
            <w:pPr>
              <w:pStyle w:val="cuatexto"/>
              <w:jc w:val="right"/>
            </w:pPr>
            <w:r>
              <w:t>8</w:t>
            </w:r>
          </w:p>
        </w:tc>
      </w:tr>
      <w:tr w:rsidR="000A742F" w:rsidRPr="003A115E" w14:paraId="7B27B630" w14:textId="77777777" w:rsidTr="00CC28BD">
        <w:trPr>
          <w:trHeight w:val="198"/>
        </w:trPr>
        <w:tc>
          <w:tcPr>
            <w:tcW w:w="1422" w:type="pct"/>
            <w:tcBorders>
              <w:top w:val="single" w:sz="2" w:space="0" w:color="auto"/>
              <w:left w:val="nil"/>
              <w:bottom w:val="single" w:sz="4" w:space="0" w:color="auto"/>
              <w:right w:val="nil"/>
            </w:tcBorders>
            <w:shd w:val="clear" w:color="auto" w:fill="auto"/>
            <w:vAlign w:val="center"/>
            <w:hideMark/>
          </w:tcPr>
          <w:p w14:paraId="49DA84A3" w14:textId="77777777" w:rsidR="00112476" w:rsidRPr="003A115E" w:rsidRDefault="00112476" w:rsidP="00D2773D">
            <w:pPr>
              <w:pStyle w:val="cuatexto"/>
            </w:pPr>
            <w:r>
              <w:t>Partzuergoak</w:t>
            </w:r>
          </w:p>
        </w:tc>
        <w:tc>
          <w:tcPr>
            <w:tcW w:w="238" w:type="pct"/>
            <w:tcBorders>
              <w:top w:val="single" w:sz="2" w:space="0" w:color="auto"/>
              <w:left w:val="nil"/>
              <w:bottom w:val="single" w:sz="4" w:space="0" w:color="auto"/>
              <w:right w:val="nil"/>
            </w:tcBorders>
            <w:shd w:val="clear" w:color="auto" w:fill="auto"/>
            <w:vAlign w:val="center"/>
            <w:hideMark/>
          </w:tcPr>
          <w:p w14:paraId="5F1F3FB3" w14:textId="77777777" w:rsidR="00112476" w:rsidRPr="003A115E" w:rsidRDefault="00112476" w:rsidP="00D2773D">
            <w:pPr>
              <w:pStyle w:val="cuatexto"/>
            </w:pPr>
            <w:r>
              <w:t> </w:t>
            </w:r>
          </w:p>
        </w:tc>
        <w:tc>
          <w:tcPr>
            <w:tcW w:w="668" w:type="pct"/>
            <w:tcBorders>
              <w:top w:val="single" w:sz="2" w:space="0" w:color="auto"/>
              <w:left w:val="nil"/>
              <w:bottom w:val="single" w:sz="4" w:space="0" w:color="auto"/>
              <w:right w:val="nil"/>
            </w:tcBorders>
            <w:shd w:val="clear" w:color="auto" w:fill="auto"/>
            <w:vAlign w:val="center"/>
            <w:hideMark/>
          </w:tcPr>
          <w:p w14:paraId="4CDB91BD" w14:textId="77777777" w:rsidR="00112476" w:rsidRPr="003A115E" w:rsidRDefault="00112476" w:rsidP="00D2773D">
            <w:pPr>
              <w:pStyle w:val="cuatexto"/>
              <w:jc w:val="right"/>
            </w:pPr>
            <w:r>
              <w:t>17</w:t>
            </w:r>
          </w:p>
        </w:tc>
        <w:tc>
          <w:tcPr>
            <w:tcW w:w="668" w:type="pct"/>
            <w:tcBorders>
              <w:top w:val="single" w:sz="2" w:space="0" w:color="auto"/>
              <w:left w:val="nil"/>
              <w:bottom w:val="single" w:sz="4" w:space="0" w:color="auto"/>
              <w:right w:val="nil"/>
            </w:tcBorders>
            <w:shd w:val="clear" w:color="auto" w:fill="auto"/>
            <w:vAlign w:val="center"/>
            <w:hideMark/>
          </w:tcPr>
          <w:p w14:paraId="1E72E617" w14:textId="77777777" w:rsidR="00112476" w:rsidRPr="003A115E" w:rsidRDefault="00112476" w:rsidP="00D2773D">
            <w:pPr>
              <w:pStyle w:val="cuatexto"/>
              <w:jc w:val="right"/>
            </w:pPr>
            <w:r>
              <w:t>17</w:t>
            </w:r>
          </w:p>
        </w:tc>
        <w:tc>
          <w:tcPr>
            <w:tcW w:w="668" w:type="pct"/>
            <w:tcBorders>
              <w:top w:val="single" w:sz="2" w:space="0" w:color="auto"/>
              <w:left w:val="nil"/>
              <w:bottom w:val="single" w:sz="4" w:space="0" w:color="auto"/>
              <w:right w:val="nil"/>
            </w:tcBorders>
            <w:shd w:val="clear" w:color="auto" w:fill="auto"/>
            <w:vAlign w:val="center"/>
            <w:hideMark/>
          </w:tcPr>
          <w:p w14:paraId="38F1BF72" w14:textId="77777777" w:rsidR="00112476" w:rsidRPr="003A115E" w:rsidRDefault="00112476" w:rsidP="00D2773D">
            <w:pPr>
              <w:pStyle w:val="cuatexto"/>
              <w:jc w:val="right"/>
            </w:pPr>
            <w:r>
              <w:t>17</w:t>
            </w:r>
          </w:p>
        </w:tc>
        <w:tc>
          <w:tcPr>
            <w:tcW w:w="668" w:type="pct"/>
            <w:tcBorders>
              <w:top w:val="single" w:sz="2" w:space="0" w:color="auto"/>
              <w:left w:val="nil"/>
              <w:bottom w:val="single" w:sz="4" w:space="0" w:color="auto"/>
              <w:right w:val="nil"/>
            </w:tcBorders>
            <w:shd w:val="clear" w:color="auto" w:fill="auto"/>
            <w:vAlign w:val="center"/>
            <w:hideMark/>
          </w:tcPr>
          <w:p w14:paraId="2D4A5002" w14:textId="77777777" w:rsidR="00112476" w:rsidRPr="003A115E" w:rsidRDefault="00112476" w:rsidP="00D2773D">
            <w:pPr>
              <w:pStyle w:val="cuatexto"/>
              <w:jc w:val="right"/>
            </w:pPr>
            <w:r>
              <w:t>17</w:t>
            </w:r>
          </w:p>
        </w:tc>
        <w:tc>
          <w:tcPr>
            <w:tcW w:w="668" w:type="pct"/>
            <w:tcBorders>
              <w:top w:val="single" w:sz="2" w:space="0" w:color="auto"/>
              <w:left w:val="nil"/>
              <w:bottom w:val="single" w:sz="4" w:space="0" w:color="auto"/>
              <w:right w:val="nil"/>
            </w:tcBorders>
            <w:shd w:val="clear" w:color="auto" w:fill="auto"/>
            <w:vAlign w:val="center"/>
            <w:hideMark/>
          </w:tcPr>
          <w:p w14:paraId="16EC1D2B" w14:textId="77777777" w:rsidR="00112476" w:rsidRPr="003A115E" w:rsidRDefault="00112476" w:rsidP="00D2773D">
            <w:pPr>
              <w:pStyle w:val="cuatexto"/>
              <w:jc w:val="right"/>
            </w:pPr>
            <w:r>
              <w:t>16</w:t>
            </w:r>
          </w:p>
        </w:tc>
      </w:tr>
      <w:tr w:rsidR="000A742F" w:rsidRPr="003A115E" w14:paraId="27EFCCA0" w14:textId="77777777" w:rsidTr="00CC28BD">
        <w:trPr>
          <w:trHeight w:val="255"/>
        </w:trPr>
        <w:tc>
          <w:tcPr>
            <w:tcW w:w="1422" w:type="pct"/>
            <w:tcBorders>
              <w:top w:val="single" w:sz="4" w:space="0" w:color="auto"/>
              <w:left w:val="nil"/>
              <w:bottom w:val="single" w:sz="4" w:space="0" w:color="auto"/>
              <w:right w:val="nil"/>
            </w:tcBorders>
            <w:shd w:val="clear" w:color="000000" w:fill="FABF8F"/>
            <w:vAlign w:val="center"/>
            <w:hideMark/>
          </w:tcPr>
          <w:p w14:paraId="3D8538CA" w14:textId="77777777" w:rsidR="00112476" w:rsidRPr="003A115E" w:rsidRDefault="00112476" w:rsidP="00D2773D">
            <w:pPr>
              <w:pStyle w:val="cuadroCabe"/>
            </w:pPr>
            <w:r>
              <w:t>Guztira</w:t>
            </w:r>
          </w:p>
        </w:tc>
        <w:tc>
          <w:tcPr>
            <w:tcW w:w="238" w:type="pct"/>
            <w:tcBorders>
              <w:top w:val="single" w:sz="4" w:space="0" w:color="auto"/>
              <w:left w:val="nil"/>
              <w:bottom w:val="single" w:sz="4" w:space="0" w:color="auto"/>
              <w:right w:val="nil"/>
            </w:tcBorders>
            <w:shd w:val="clear" w:color="000000" w:fill="FABF8F"/>
            <w:vAlign w:val="center"/>
            <w:hideMark/>
          </w:tcPr>
          <w:p w14:paraId="3AE05FD8" w14:textId="77777777" w:rsidR="00112476" w:rsidRPr="003A115E" w:rsidRDefault="00112476" w:rsidP="00D2773D">
            <w:pPr>
              <w:pStyle w:val="cuadroCabe"/>
            </w:pPr>
            <w:r>
              <w:t> </w:t>
            </w:r>
          </w:p>
        </w:tc>
        <w:tc>
          <w:tcPr>
            <w:tcW w:w="668" w:type="pct"/>
            <w:tcBorders>
              <w:top w:val="single" w:sz="4" w:space="0" w:color="auto"/>
              <w:left w:val="nil"/>
              <w:bottom w:val="single" w:sz="4" w:space="0" w:color="auto"/>
              <w:right w:val="nil"/>
            </w:tcBorders>
            <w:shd w:val="clear" w:color="000000" w:fill="FABF8F"/>
            <w:vAlign w:val="center"/>
            <w:hideMark/>
          </w:tcPr>
          <w:p w14:paraId="4CC9BFBA" w14:textId="77777777" w:rsidR="00112476" w:rsidRPr="003A115E" w:rsidRDefault="00112476" w:rsidP="00D2773D">
            <w:pPr>
              <w:pStyle w:val="cuadroCabe"/>
              <w:jc w:val="right"/>
            </w:pPr>
            <w:r>
              <w:t>143</w:t>
            </w:r>
          </w:p>
        </w:tc>
        <w:tc>
          <w:tcPr>
            <w:tcW w:w="668" w:type="pct"/>
            <w:tcBorders>
              <w:top w:val="single" w:sz="4" w:space="0" w:color="auto"/>
              <w:left w:val="nil"/>
              <w:bottom w:val="single" w:sz="4" w:space="0" w:color="auto"/>
              <w:right w:val="nil"/>
            </w:tcBorders>
            <w:shd w:val="clear" w:color="000000" w:fill="FABF8F"/>
            <w:vAlign w:val="center"/>
            <w:hideMark/>
          </w:tcPr>
          <w:p w14:paraId="72CD2FBD" w14:textId="77777777" w:rsidR="00112476" w:rsidRPr="003A115E" w:rsidRDefault="00112476" w:rsidP="00D2773D">
            <w:pPr>
              <w:pStyle w:val="cuadroCabe"/>
              <w:jc w:val="right"/>
            </w:pPr>
            <w:r>
              <w:t>140</w:t>
            </w:r>
          </w:p>
        </w:tc>
        <w:tc>
          <w:tcPr>
            <w:tcW w:w="668" w:type="pct"/>
            <w:tcBorders>
              <w:top w:val="single" w:sz="4" w:space="0" w:color="auto"/>
              <w:left w:val="nil"/>
              <w:bottom w:val="single" w:sz="4" w:space="0" w:color="auto"/>
              <w:right w:val="nil"/>
            </w:tcBorders>
            <w:shd w:val="clear" w:color="000000" w:fill="FABF8F"/>
            <w:vAlign w:val="center"/>
            <w:hideMark/>
          </w:tcPr>
          <w:p w14:paraId="44AD5873" w14:textId="77777777" w:rsidR="00112476" w:rsidRPr="003A115E" w:rsidRDefault="00112476" w:rsidP="00D2773D">
            <w:pPr>
              <w:pStyle w:val="cuadroCabe"/>
              <w:jc w:val="right"/>
            </w:pPr>
            <w:r>
              <w:t>136</w:t>
            </w:r>
          </w:p>
        </w:tc>
        <w:tc>
          <w:tcPr>
            <w:tcW w:w="668" w:type="pct"/>
            <w:tcBorders>
              <w:top w:val="single" w:sz="4" w:space="0" w:color="auto"/>
              <w:left w:val="nil"/>
              <w:bottom w:val="single" w:sz="4" w:space="0" w:color="auto"/>
              <w:right w:val="nil"/>
            </w:tcBorders>
            <w:shd w:val="clear" w:color="000000" w:fill="FABF8F"/>
            <w:vAlign w:val="center"/>
            <w:hideMark/>
          </w:tcPr>
          <w:p w14:paraId="4927181B" w14:textId="77777777" w:rsidR="00112476" w:rsidRPr="003A115E" w:rsidRDefault="00112476" w:rsidP="00D2773D">
            <w:pPr>
              <w:pStyle w:val="cuadroCabe"/>
              <w:jc w:val="right"/>
            </w:pPr>
            <w:r>
              <w:t>138</w:t>
            </w:r>
          </w:p>
        </w:tc>
        <w:tc>
          <w:tcPr>
            <w:tcW w:w="668" w:type="pct"/>
            <w:tcBorders>
              <w:top w:val="single" w:sz="4" w:space="0" w:color="auto"/>
              <w:left w:val="nil"/>
              <w:bottom w:val="single" w:sz="4" w:space="0" w:color="auto"/>
              <w:right w:val="nil"/>
            </w:tcBorders>
            <w:shd w:val="clear" w:color="000000" w:fill="FABF8F"/>
            <w:vAlign w:val="center"/>
            <w:hideMark/>
          </w:tcPr>
          <w:p w14:paraId="7BD4A5F6" w14:textId="77777777" w:rsidR="00112476" w:rsidRPr="003A115E" w:rsidRDefault="00112476" w:rsidP="00D2773D">
            <w:pPr>
              <w:pStyle w:val="cuadroCabe"/>
              <w:jc w:val="right"/>
            </w:pPr>
            <w:r>
              <w:t>135</w:t>
            </w:r>
          </w:p>
        </w:tc>
      </w:tr>
    </w:tbl>
    <w:p w14:paraId="3F4526EF" w14:textId="77777777" w:rsidR="0054497E" w:rsidRPr="003A115E" w:rsidRDefault="0054497E" w:rsidP="00C11B43">
      <w:pPr>
        <w:pStyle w:val="texto"/>
      </w:pPr>
    </w:p>
    <w:p w14:paraId="54CA4570" w14:textId="24836867" w:rsidR="00EC4C05" w:rsidRPr="003A115E" w:rsidRDefault="6A28BBB8" w:rsidP="00C11B43">
      <w:pPr>
        <w:pStyle w:val="texto"/>
      </w:pPr>
      <w:r>
        <w:t xml:space="preserve">Kopuruetan sartu diren erakunde autonomo bat eta zenbait sozietate eta fundazio ez dira ageri Toki Entitateen Erregistroan txosten honen datan, baina Ganbera honek identifikatu egin ditu bere fiskalizazio lanetan. Detektatu ez diren erregistratu gabeko beste erakunde batzuk ere egon daitezke. </w:t>
      </w:r>
    </w:p>
    <w:p w14:paraId="553F3F00" w14:textId="1A8C9318" w:rsidR="00EC4C05" w:rsidRPr="003A115E" w:rsidRDefault="00852474" w:rsidP="004A2F4D">
      <w:pPr>
        <w:pStyle w:val="texto"/>
        <w:spacing w:before="140"/>
      </w:pPr>
      <w:r>
        <w:t>2022an, Burlatako Udalaren mendeko bi erakunde autonomok baja eman zuten: Kulturako Udal Patronatuak eta Kiroletako Udal Patronatuak. "</w:t>
      </w:r>
      <w:proofErr w:type="spellStart"/>
      <w:r>
        <w:t>Villa</w:t>
      </w:r>
      <w:proofErr w:type="spellEnd"/>
      <w:r>
        <w:t xml:space="preserve"> de Funes" Udal Musika Eskola ere, herri horretako udalaren mendekoa zena, iraungi egin zen.</w:t>
      </w:r>
    </w:p>
    <w:p w14:paraId="1A688A72" w14:textId="2825122A" w:rsidR="00EC4C05" w:rsidRPr="003A115E" w:rsidRDefault="00EC4C05" w:rsidP="00C11B43">
      <w:pPr>
        <w:pStyle w:val="texto"/>
      </w:pPr>
      <w:r>
        <w:t xml:space="preserve">Sozietateei dagokienez, Lixura Baztan, S.L. sozietatearen alta erregistratu da (Baztango Udalaren mendekoa da). </w:t>
      </w:r>
    </w:p>
    <w:p w14:paraId="1822C537" w14:textId="37AA30E3" w:rsidR="00EC4C05" w:rsidRPr="003A115E" w:rsidRDefault="00EC4C05" w:rsidP="00C11B43">
      <w:pPr>
        <w:pStyle w:val="texto"/>
        <w:rPr>
          <w:szCs w:val="26"/>
        </w:rPr>
      </w:pPr>
      <w:r>
        <w:lastRenderedPageBreak/>
        <w:t>Ez da fundazio publikoen kopuruaren aldaketarik ageri, eta Iruñerriko Abiadura Handiaren Partzuergoaren baja gertatu da, zeina, Estatuko Administrazioaren Kontu-hartzailetza Nagusiaren aburuz, Foru Komunitatearen mendeko unitate instituzional publikoa baita.</w:t>
      </w:r>
    </w:p>
    <w:p w14:paraId="65940116" w14:textId="515EE82D" w:rsidR="00EC4C05" w:rsidRPr="003A115E" w:rsidRDefault="00EC4C05" w:rsidP="0186A00D">
      <w:pPr>
        <w:pStyle w:val="texto"/>
        <w:spacing w:after="120"/>
      </w:pPr>
      <w:r>
        <w:t xml:space="preserve">Aurreko datuen arabera, hona hemen Nafarroako toki-sektore publikoaren egitura 2022ko abenduaren 31n: </w:t>
      </w:r>
    </w:p>
    <w:p w14:paraId="296FEF7D" w14:textId="5B3F28A7" w:rsidR="00EC4C05" w:rsidRPr="003A115E" w:rsidRDefault="00EE44A3" w:rsidP="00C11B43">
      <w:pPr>
        <w:pStyle w:val="texto"/>
        <w:spacing w:after="0"/>
        <w:ind w:firstLine="0"/>
        <w:jc w:val="center"/>
      </w:pPr>
      <w:r>
        <w:rPr>
          <w:noProof/>
        </w:rPr>
        <w:drawing>
          <wp:inline distT="0" distB="0" distL="0" distR="0" wp14:anchorId="210764B0" wp14:editId="20C78D9B">
            <wp:extent cx="5580380" cy="198564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80380" cy="1985645"/>
                    </a:xfrm>
                    <a:prstGeom prst="rect">
                      <a:avLst/>
                    </a:prstGeom>
                  </pic:spPr>
                </pic:pic>
              </a:graphicData>
            </a:graphic>
          </wp:inline>
        </w:drawing>
      </w:r>
    </w:p>
    <w:p w14:paraId="01E09A13" w14:textId="6273FB30" w:rsidR="00EC4C05" w:rsidRPr="003A115E" w:rsidRDefault="00F83BD7" w:rsidP="00EC4C05">
      <w:pPr>
        <w:pStyle w:val="atitulo2"/>
        <w:rPr>
          <w:color w:val="auto"/>
        </w:rPr>
      </w:pPr>
      <w:bookmarkStart w:id="49" w:name="_Toc188511782"/>
      <w:r>
        <w:rPr>
          <w:color w:val="auto"/>
        </w:rPr>
        <w:t>IV.2 Toki-sektore publikoaren arrazionalizazioa</w:t>
      </w:r>
      <w:bookmarkEnd w:id="49"/>
    </w:p>
    <w:p w14:paraId="7D5611C4" w14:textId="2C6DBC62" w:rsidR="00EC4C05" w:rsidRPr="003A115E" w:rsidRDefault="00EC4C05" w:rsidP="00C11B43">
      <w:pPr>
        <w:pStyle w:val="texto"/>
        <w:rPr>
          <w:szCs w:val="26"/>
        </w:rPr>
      </w:pPr>
      <w:r>
        <w:t xml:space="preserve">Ganbera honek behin eta berriz adierazi du Nafarroako egungo udal antolaketan arrazionalizazio falta dagoela. Arazo horrek, bada, bere horretan dirau, Nafarroako udalerrien biztanleria-dimentsio murritzarekin batera. Gai horrek eragina du baliabideen horniduran eta eskumenak berak baliatzeko administrazio-egitura egokirik ezean; legezko hainbat betebehar betetzea oztopatzen du, eta halaber eragina du zerbitzu publikoak behar bezala, eraginkortasunez, efizientziaz eta kalitatez emateko. </w:t>
      </w:r>
    </w:p>
    <w:p w14:paraId="30A64584" w14:textId="59E2917C" w:rsidR="00EC4C05" w:rsidRPr="003A115E" w:rsidRDefault="00EC4C05" w:rsidP="00C11B43">
      <w:pPr>
        <w:pStyle w:val="texto"/>
        <w:tabs>
          <w:tab w:val="clear" w:pos="2835"/>
          <w:tab w:val="clear" w:pos="3969"/>
          <w:tab w:val="clear" w:pos="5103"/>
          <w:tab w:val="clear" w:pos="6237"/>
          <w:tab w:val="clear" w:pos="7371"/>
        </w:tabs>
        <w:rPr>
          <w:szCs w:val="26"/>
        </w:rPr>
      </w:pPr>
      <w:r>
        <w:t xml:space="preserve">Horri dagokionez, Nafarroako Toki Administrazioaren Erreformarako Foru Legeak aurreikusi zuen kasuko arauen onespenaren bitartez tokiko mapa erreformatzea eta finantzaketa-sistema berri bat ezartzea. </w:t>
      </w:r>
    </w:p>
    <w:p w14:paraId="783CCEF2" w14:textId="00B44276" w:rsidR="00EC4C05" w:rsidRPr="003A115E" w:rsidRDefault="00EC4C05" w:rsidP="00C11B43">
      <w:pPr>
        <w:pStyle w:val="texto"/>
      </w:pPr>
      <w:r>
        <w:t>Tokiko maparen erreformari dagokionez, foru lege horrek eskualdeak figura gisa ezartzen ditu, lurralde-izaerako eta udalez gaindiko esparruko toki-entitate gisa eta zerbitzu-ematearen nahiz jardueren kudeaketaren arduradun gisa.  Eskualdeen eratzea udalek edo Nafarroako Gobernuak proposaturikoa litzateke. Horretarako, 18 hilabeteko epe bat ezarri zen, zeina 2020ko abuztuan amaitu baitzen.. Txosten hau jaulki den egunean, ez dago eratutako eskualderik.</w:t>
      </w:r>
    </w:p>
    <w:p w14:paraId="43604680" w14:textId="17DE18A9" w:rsidR="00EC4C05" w:rsidRPr="003A115E" w:rsidRDefault="6A28BBB8" w:rsidP="00C11B43">
      <w:pPr>
        <w:pStyle w:val="texto"/>
        <w:spacing w:after="0"/>
      </w:pPr>
      <w:r>
        <w:t xml:space="preserve">Toki-finantzaketaren arloan, 2022an, martxoaren 22ko 6/2022 Foru Legea onetsi zen, eta horren bidez Nafarroako Toki Ogasunei buruzko 2/1995 Foru Legea aldatu zen. 2022ko legeak finantzaketa sistema berri bat ezarri zuen, eta, horren bidez, Toki Ogasunen Funtsaren zuzkidura zenbateko finko gisa ezarri zen, urtero eguneratzen dena Kontsumoko Prezioen Indizearen arabera. Transferentzia arrunten funts baten (TAF, aurrerantzean) eta kapital-transferentzien funts baten bidez egituratzen da, eta osagarri gisa urteko konpentsazio bat dauka, </w:t>
      </w:r>
      <w:r>
        <w:lastRenderedPageBreak/>
        <w:t xml:space="preserve">ekonomia-jardueren gaineko zergaren erreformaren ondoriozko diru-bilketa galerarako. </w:t>
      </w:r>
    </w:p>
    <w:p w14:paraId="26D9F05B" w14:textId="5DAC1858" w:rsidR="009A7A48" w:rsidRPr="003A115E" w:rsidRDefault="009A7A48" w:rsidP="003C45A1">
      <w:pPr>
        <w:pStyle w:val="atitulo2"/>
        <w:spacing w:before="240"/>
        <w:rPr>
          <w:color w:val="auto"/>
        </w:rPr>
      </w:pPr>
      <w:bookmarkStart w:id="50" w:name="_Toc24100139"/>
      <w:bookmarkStart w:id="51" w:name="_Toc52348287"/>
      <w:bookmarkStart w:id="52" w:name="_Toc123547404"/>
      <w:bookmarkStart w:id="53" w:name="_Toc188511783"/>
      <w:r>
        <w:rPr>
          <w:color w:val="auto"/>
        </w:rPr>
        <w:t xml:space="preserve">IV.3 Nafarroako </w:t>
      </w:r>
      <w:bookmarkEnd w:id="50"/>
      <w:bookmarkEnd w:id="51"/>
      <w:bookmarkEnd w:id="52"/>
      <w:r>
        <w:rPr>
          <w:color w:val="auto"/>
        </w:rPr>
        <w:t>toki-entitateei aplikatzekoa zaien araudia</w:t>
      </w:r>
      <w:bookmarkEnd w:id="53"/>
    </w:p>
    <w:p w14:paraId="1D0F13F3" w14:textId="5DB985BE" w:rsidR="00BB7161" w:rsidRPr="003A115E" w:rsidRDefault="3E974FF2" w:rsidP="003C45A1">
      <w:pPr>
        <w:pStyle w:val="texto"/>
      </w:pPr>
      <w:r>
        <w:t xml:space="preserve">Txosten honen I. eranskinean, Nafarroako toki-sektore publikoan 2022an aplikatu beharreko arau nagusiak zerrendatu dira, bai eta ekitaldi horretan onetsitako beste batzuk ere, geroago indarrean jarri arren. </w:t>
      </w:r>
    </w:p>
    <w:p w14:paraId="10D2FE32" w14:textId="17BBF218" w:rsidR="001E72DA" w:rsidRPr="003A115E" w:rsidRDefault="68463710" w:rsidP="003C45A1">
      <w:pPr>
        <w:pStyle w:val="texto"/>
      </w:pPr>
      <w:r>
        <w:t xml:space="preserve">Aurreko apartatuan aipaturiko 6/2022 Foru Legeaz gain, honako arau hauek nabarmentzen ditugu: </w:t>
      </w:r>
    </w:p>
    <w:p w14:paraId="609B9A4A" w14:textId="3B629876" w:rsidR="001E72DA" w:rsidRPr="003A115E" w:rsidRDefault="001E72DA"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4"/>
      </w:pPr>
      <w:r>
        <w:t xml:space="preserve">7/2022 Foru Legea, martxoaren 22koa, ezartzen duena nola banatu transferentzia arrunten bidez toki-erakundeek Nafarroako tributuetan parte hartzeko duten funtsa (FLTAP, aurrerantzean). Arau horrek parte-hartze funtsaren izaera ezaugarritzen du toki-entitateen baliabide bereki, partaidetzazko, dirulaguntzaz bestelako, xedatze askeko eta </w:t>
      </w:r>
      <w:proofErr w:type="spellStart"/>
      <w:r>
        <w:t>baldintzagabe</w:t>
      </w:r>
      <w:proofErr w:type="spellEnd"/>
      <w:r>
        <w:t xml:space="preserve"> bezala.  Bost apartatutan banatzen da: finantzaketa orokorreko funtsa, zerbitzuak finantzatzeko funtsa, montepioen defizita finantzatzeko funtsa, lurralde kohesiorako funtsa eta Nafarroako Udal eta Kontzejuen Federazioarentzako laguntza. 2022ko ekitaldirako urteko zenbatekoa 257,86 milioikoa izan zen, eta urtero gaurkotzen da, Kontsumo Prezioen Indizeari bi portzentaje-puntu gehituta. </w:t>
      </w:r>
    </w:p>
    <w:p w14:paraId="4C7AEEA3" w14:textId="27E4C422" w:rsidR="001E72DA" w:rsidRPr="003A115E" w:rsidRDefault="001E72DA"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8/2022 Foru Legea, martxoaren 22koa, Toki Inbertsioen Plana arautzen duena, zeinak zehazten baitu nola banatuko den kapital-transferentzien funtsa. Horrela, Toki Inbertsioen Plana definitzen da hiru apartatu hauetan sailkaturiko azpiegiturak eta zuzkidurak instalatu, hobetu eta berritzeko inbertsioen multzo gisa: inbertsio-programa, toki-programazioa eta determinazio librea. Bloke horiek hasieran izanen duten banaketa ehuneko 30, 40 eta 30ekoa izanen da, hurrenez hurren. Luzapenik ezean, Toki Inbertsioen Planaren denbora-programazioa hedatzen da 2022tik 2028ra arte, lege berri bat onetsi bitartean. 2022ko ekitaldirako hasierako zuzkidura 30 milioikoa da,</w:t>
      </w:r>
      <w:r w:rsidR="004921A5" w:rsidRPr="003A115E">
        <w:rPr>
          <w:rStyle w:val="Refdenotaalpie"/>
          <w:lang w:val="es-ES"/>
        </w:rPr>
        <w:footnoteReference w:id="4"/>
      </w:r>
      <w:r>
        <w:t xml:space="preserve"> eta kopuru hori </w:t>
      </w:r>
      <w:proofErr w:type="spellStart"/>
      <w:r>
        <w:t>KPIaren</w:t>
      </w:r>
      <w:proofErr w:type="spellEnd"/>
      <w:r>
        <w:t xml:space="preserve"> arabera handitzen da hurrengo ekitaldietan.</w:t>
      </w:r>
    </w:p>
    <w:p w14:paraId="72C30679" w14:textId="107B19E3" w:rsidR="00FD114C" w:rsidRPr="003A115E" w:rsidRDefault="00FD114C"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16/2022 Foru Legea, maiatzaren 30ekoa, Nafarroako Foru Komunitateko gaikuntzadun funtzionarioentzat erreserbatutako lanpostuetan aldibaterakotasuna murrizteko presako neurriei buruzkoa. Lege horrek salbuespenezko moduan arautzen ditu Nafarroako toki-entitateetako idazkari eta kontu-hartzaile postuetarako egonkortze-prozesuak. Gaur den egunean, idazkari eta kontu-hartzaileak merezimendu-lehiaketa bidez egonkortzeko prozesuak etenda daude, konstituzio-kontrakotasuneko arazo bat aurkeztu izanaren ondorioz.</w:t>
      </w:r>
    </w:p>
    <w:p w14:paraId="21F9A94E" w14:textId="57BD62C4" w:rsidR="003C45A1" w:rsidRDefault="06FF1095" w:rsidP="005C208F">
      <w:pPr>
        <w:pStyle w:val="texto"/>
        <w:spacing w:after="100"/>
      </w:pPr>
      <w:r>
        <w:t xml:space="preserve">Estatu mailan nabarmentzekoa da, duen garrantziagatik, Diputatuen Kongresuaren Erabakia, 2021eko irailaren 13koa, zeinaren bidez aitortzen baita badela </w:t>
      </w:r>
      <w:r>
        <w:lastRenderedPageBreak/>
        <w:t>ezohiko larrialdiko egoera bat, 2022an arau fiskalak etenda mantentzea justifikatzen duena.</w:t>
      </w:r>
    </w:p>
    <w:p w14:paraId="1782DC69" w14:textId="77777777" w:rsidR="003C45A1" w:rsidRDefault="003C45A1">
      <w:pPr>
        <w:rPr>
          <w:spacing w:val="6"/>
          <w:sz w:val="26"/>
        </w:rPr>
      </w:pPr>
      <w:r>
        <w:br w:type="page"/>
      </w:r>
    </w:p>
    <w:p w14:paraId="0EE23FC9" w14:textId="34D06337" w:rsidR="00345C6C" w:rsidRPr="003A115E" w:rsidRDefault="00345C6C" w:rsidP="00020D42">
      <w:pPr>
        <w:pStyle w:val="atitulo1"/>
        <w:spacing w:before="240"/>
        <w:rPr>
          <w:color w:val="auto"/>
        </w:rPr>
      </w:pPr>
      <w:bookmarkStart w:id="54" w:name="_Toc188511784"/>
      <w:r>
        <w:lastRenderedPageBreak/>
        <w:t xml:space="preserve">V. 2022ko ekitaldiari dagozkion fiskalizazio-jarduketen </w:t>
      </w:r>
      <w:bookmarkEnd w:id="44"/>
      <w:bookmarkEnd w:id="45"/>
      <w:bookmarkEnd w:id="46"/>
      <w:bookmarkEnd w:id="47"/>
      <w:bookmarkEnd w:id="48"/>
      <w:r>
        <w:t>laburpen-oroitidazkia</w:t>
      </w:r>
      <w:bookmarkEnd w:id="54"/>
    </w:p>
    <w:p w14:paraId="5BD503DF" w14:textId="08D7EB64" w:rsidR="00A170AD" w:rsidRPr="003A115E" w:rsidRDefault="00A170AD" w:rsidP="00020D42">
      <w:pPr>
        <w:pStyle w:val="texto"/>
        <w:spacing w:after="240"/>
      </w:pPr>
      <w:r>
        <w:t xml:space="preserve">Toki-sektore publikoaren alorrean, Kontuen Ganberak finantzen eta legezkotasunaren fiskalizazioko txostenak egin ditu, 2022ko ekitaldiari buruzkoak, honako toki-entitate hauetarako: </w:t>
      </w:r>
    </w:p>
    <w:tbl>
      <w:tblPr>
        <w:tblW w:w="5323" w:type="pct"/>
        <w:jc w:val="center"/>
        <w:tblLayout w:type="fixed"/>
        <w:tblCellMar>
          <w:left w:w="70" w:type="dxa"/>
          <w:right w:w="70" w:type="dxa"/>
        </w:tblCellMar>
        <w:tblLook w:val="04A0" w:firstRow="1" w:lastRow="0" w:firstColumn="1" w:lastColumn="0" w:noHBand="0" w:noVBand="1"/>
      </w:tblPr>
      <w:tblGrid>
        <w:gridCol w:w="1414"/>
        <w:gridCol w:w="993"/>
        <w:gridCol w:w="994"/>
        <w:gridCol w:w="1276"/>
        <w:gridCol w:w="992"/>
        <w:gridCol w:w="994"/>
        <w:gridCol w:w="1134"/>
        <w:gridCol w:w="1559"/>
      </w:tblGrid>
      <w:tr w:rsidR="00483F6E" w:rsidRPr="00483F6E" w14:paraId="39978B39" w14:textId="77777777" w:rsidTr="00483F6E">
        <w:trPr>
          <w:trHeight w:val="255"/>
          <w:jc w:val="center"/>
        </w:trPr>
        <w:tc>
          <w:tcPr>
            <w:tcW w:w="756"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324628D0" w14:textId="77777777" w:rsidR="005759FA" w:rsidRPr="00483F6E" w:rsidRDefault="005759FA">
            <w:pPr>
              <w:jc w:val="center"/>
              <w:rPr>
                <w:rFonts w:ascii="Arial" w:hAnsi="Arial" w:cs="Arial"/>
                <w:sz w:val="17"/>
                <w:szCs w:val="17"/>
              </w:rPr>
            </w:pPr>
            <w:r>
              <w:rPr>
                <w:rFonts w:ascii="Arial" w:hAnsi="Arial"/>
                <w:sz w:val="17"/>
              </w:rPr>
              <w:t>Toki-entitatea</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48987041" w14:textId="77777777" w:rsidR="005759FA" w:rsidRPr="00483F6E" w:rsidRDefault="005759FA" w:rsidP="005759FA">
            <w:pPr>
              <w:jc w:val="center"/>
              <w:rPr>
                <w:rFonts w:ascii="Arial" w:hAnsi="Arial" w:cs="Arial"/>
                <w:sz w:val="17"/>
                <w:szCs w:val="17"/>
              </w:rPr>
            </w:pPr>
            <w:r>
              <w:rPr>
                <w:rFonts w:ascii="Arial" w:hAnsi="Arial"/>
                <w:sz w:val="17"/>
              </w:rPr>
              <w:t>Txostenaren jaulkipen-data</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1B174C66" w14:textId="77777777" w:rsidR="005759FA" w:rsidRPr="00483F6E" w:rsidRDefault="005759FA" w:rsidP="00483F6E">
            <w:pPr>
              <w:jc w:val="right"/>
              <w:rPr>
                <w:rFonts w:ascii="Arial" w:hAnsi="Arial" w:cs="Arial"/>
                <w:sz w:val="17"/>
                <w:szCs w:val="17"/>
              </w:rPr>
            </w:pPr>
            <w:r>
              <w:rPr>
                <w:rFonts w:ascii="Arial" w:hAnsi="Arial"/>
                <w:sz w:val="17"/>
              </w:rPr>
              <w:t>2022/01/01eko biztanleria</w:t>
            </w:r>
          </w:p>
        </w:tc>
        <w:tc>
          <w:tcPr>
            <w:tcW w:w="682"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5FE007B2" w14:textId="77777777" w:rsidR="00483F6E" w:rsidRDefault="005759FA" w:rsidP="00483F6E">
            <w:pPr>
              <w:jc w:val="right"/>
              <w:rPr>
                <w:rFonts w:ascii="Arial" w:hAnsi="Arial" w:cs="Arial"/>
                <w:sz w:val="17"/>
                <w:szCs w:val="17"/>
              </w:rPr>
            </w:pPr>
            <w:r>
              <w:rPr>
                <w:rFonts w:ascii="Arial" w:hAnsi="Arial"/>
                <w:sz w:val="17"/>
              </w:rPr>
              <w:t>Betebehar aitortuak</w:t>
            </w:r>
          </w:p>
          <w:p w14:paraId="67DAB646" w14:textId="3491FE92" w:rsidR="005759FA" w:rsidRPr="00483F6E" w:rsidRDefault="005759FA" w:rsidP="00483F6E">
            <w:pPr>
              <w:jc w:val="right"/>
              <w:rPr>
                <w:rFonts w:ascii="Arial" w:hAnsi="Arial" w:cs="Arial"/>
                <w:sz w:val="17"/>
                <w:szCs w:val="17"/>
              </w:rPr>
            </w:pPr>
            <w:r>
              <w:rPr>
                <w:rFonts w:ascii="Arial" w:hAnsi="Arial"/>
                <w:sz w:val="17"/>
              </w:rPr>
              <w:t xml:space="preserve"> </w:t>
            </w:r>
          </w:p>
        </w:tc>
        <w:tc>
          <w:tcPr>
            <w:tcW w:w="530"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4743D9B5" w14:textId="77777777" w:rsidR="00483F6E" w:rsidRDefault="005759FA" w:rsidP="00483F6E">
            <w:pPr>
              <w:jc w:val="right"/>
              <w:rPr>
                <w:rFonts w:ascii="Arial" w:hAnsi="Arial" w:cs="Arial"/>
                <w:sz w:val="17"/>
                <w:szCs w:val="17"/>
              </w:rPr>
            </w:pPr>
            <w:r>
              <w:rPr>
                <w:rFonts w:ascii="Arial" w:hAnsi="Arial"/>
                <w:sz w:val="17"/>
              </w:rPr>
              <w:t>Eskubide aitortuak</w:t>
            </w:r>
          </w:p>
          <w:p w14:paraId="4C8F97BC" w14:textId="21C2BFC6" w:rsidR="005759FA" w:rsidRPr="00483F6E" w:rsidRDefault="005759FA" w:rsidP="00483F6E">
            <w:pPr>
              <w:jc w:val="right"/>
              <w:rPr>
                <w:rFonts w:ascii="Arial" w:hAnsi="Arial" w:cs="Arial"/>
                <w:sz w:val="17"/>
                <w:szCs w:val="17"/>
              </w:rPr>
            </w:pPr>
            <w:r>
              <w:rPr>
                <w:rFonts w:ascii="Arial" w:hAnsi="Arial"/>
                <w:sz w:val="17"/>
              </w:rPr>
              <w:t xml:space="preserve"> </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3BBCEE40" w14:textId="77777777" w:rsidR="005759FA" w:rsidRPr="00483F6E" w:rsidRDefault="005759FA" w:rsidP="00483F6E">
            <w:pPr>
              <w:jc w:val="right"/>
              <w:rPr>
                <w:rFonts w:ascii="Arial" w:hAnsi="Arial" w:cs="Arial"/>
                <w:sz w:val="17"/>
                <w:szCs w:val="17"/>
              </w:rPr>
            </w:pPr>
            <w:r>
              <w:rPr>
                <w:rFonts w:ascii="Arial" w:hAnsi="Arial"/>
                <w:sz w:val="17"/>
              </w:rPr>
              <w:t>Langileak 2022ko abenduaren 31n</w:t>
            </w:r>
          </w:p>
        </w:tc>
        <w:tc>
          <w:tcPr>
            <w:tcW w:w="1439" w:type="pct"/>
            <w:gridSpan w:val="2"/>
            <w:tcBorders>
              <w:top w:val="single" w:sz="4" w:space="0" w:color="auto"/>
              <w:left w:val="nil"/>
              <w:bottom w:val="single" w:sz="4" w:space="0" w:color="auto"/>
              <w:right w:val="nil"/>
            </w:tcBorders>
            <w:shd w:val="clear" w:color="000000" w:fill="FABF8F"/>
            <w:tcMar>
              <w:left w:w="0" w:type="dxa"/>
              <w:right w:w="0" w:type="dxa"/>
            </w:tcMar>
            <w:vAlign w:val="center"/>
            <w:hideMark/>
          </w:tcPr>
          <w:p w14:paraId="5A0CD6C1" w14:textId="77777777" w:rsidR="005759FA" w:rsidRPr="00483F6E" w:rsidRDefault="005759FA" w:rsidP="005759FA">
            <w:pPr>
              <w:jc w:val="center"/>
              <w:rPr>
                <w:rFonts w:ascii="Arial" w:hAnsi="Arial" w:cs="Arial"/>
                <w:sz w:val="17"/>
                <w:szCs w:val="17"/>
              </w:rPr>
            </w:pPr>
            <w:r>
              <w:rPr>
                <w:rFonts w:ascii="Arial" w:hAnsi="Arial"/>
                <w:sz w:val="17"/>
              </w:rPr>
              <w:t>Fiskalizazioaren emaitza*</w:t>
            </w:r>
          </w:p>
        </w:tc>
      </w:tr>
      <w:tr w:rsidR="00483F6E" w:rsidRPr="00483F6E" w14:paraId="53836D22" w14:textId="77777777" w:rsidTr="00483F6E">
        <w:trPr>
          <w:trHeight w:val="255"/>
          <w:jc w:val="center"/>
        </w:trPr>
        <w:tc>
          <w:tcPr>
            <w:tcW w:w="756" w:type="pct"/>
            <w:vMerge/>
            <w:tcBorders>
              <w:top w:val="single" w:sz="4" w:space="0" w:color="auto"/>
              <w:left w:val="nil"/>
              <w:bottom w:val="single" w:sz="4" w:space="0" w:color="auto"/>
              <w:right w:val="nil"/>
            </w:tcBorders>
            <w:tcMar>
              <w:left w:w="0" w:type="dxa"/>
              <w:right w:w="0" w:type="dxa"/>
            </w:tcMar>
            <w:vAlign w:val="center"/>
            <w:hideMark/>
          </w:tcPr>
          <w:p w14:paraId="05C4CCC6"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69F06AD8"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473FD309" w14:textId="77777777" w:rsidR="005759FA" w:rsidRPr="00483F6E" w:rsidRDefault="005759FA" w:rsidP="005759FA">
            <w:pPr>
              <w:rPr>
                <w:rFonts w:ascii="Arial" w:hAnsi="Arial" w:cs="Arial"/>
                <w:sz w:val="17"/>
                <w:szCs w:val="17"/>
              </w:rPr>
            </w:pPr>
          </w:p>
        </w:tc>
        <w:tc>
          <w:tcPr>
            <w:tcW w:w="682" w:type="pct"/>
            <w:vMerge/>
            <w:tcBorders>
              <w:top w:val="single" w:sz="4" w:space="0" w:color="auto"/>
              <w:left w:val="nil"/>
              <w:bottom w:val="single" w:sz="4" w:space="0" w:color="auto"/>
              <w:right w:val="nil"/>
            </w:tcBorders>
            <w:tcMar>
              <w:left w:w="0" w:type="dxa"/>
              <w:right w:w="0" w:type="dxa"/>
            </w:tcMar>
            <w:vAlign w:val="center"/>
            <w:hideMark/>
          </w:tcPr>
          <w:p w14:paraId="768FCFB1" w14:textId="77777777" w:rsidR="005759FA" w:rsidRPr="00483F6E" w:rsidRDefault="005759FA" w:rsidP="005759FA">
            <w:pPr>
              <w:rPr>
                <w:rFonts w:ascii="Arial" w:hAnsi="Arial" w:cs="Arial"/>
                <w:sz w:val="17"/>
                <w:szCs w:val="17"/>
              </w:rPr>
            </w:pPr>
          </w:p>
        </w:tc>
        <w:tc>
          <w:tcPr>
            <w:tcW w:w="530" w:type="pct"/>
            <w:vMerge/>
            <w:tcBorders>
              <w:top w:val="single" w:sz="4" w:space="0" w:color="auto"/>
              <w:left w:val="nil"/>
              <w:bottom w:val="single" w:sz="4" w:space="0" w:color="auto"/>
              <w:right w:val="nil"/>
            </w:tcBorders>
            <w:tcMar>
              <w:left w:w="0" w:type="dxa"/>
              <w:right w:w="0" w:type="dxa"/>
            </w:tcMar>
            <w:vAlign w:val="center"/>
            <w:hideMark/>
          </w:tcPr>
          <w:p w14:paraId="061FA7D3"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0775FA22" w14:textId="77777777" w:rsidR="005759FA" w:rsidRPr="00483F6E" w:rsidRDefault="005759FA" w:rsidP="005759FA">
            <w:pPr>
              <w:rPr>
                <w:rFonts w:ascii="Arial" w:hAnsi="Arial" w:cs="Arial"/>
                <w:sz w:val="17"/>
                <w:szCs w:val="17"/>
              </w:rPr>
            </w:pPr>
          </w:p>
        </w:tc>
        <w:tc>
          <w:tcPr>
            <w:tcW w:w="606" w:type="pct"/>
            <w:tcBorders>
              <w:top w:val="single" w:sz="4" w:space="0" w:color="auto"/>
              <w:left w:val="nil"/>
              <w:bottom w:val="single" w:sz="4" w:space="0" w:color="auto"/>
              <w:right w:val="nil"/>
            </w:tcBorders>
            <w:shd w:val="clear" w:color="000000" w:fill="FABF8F"/>
            <w:tcMar>
              <w:left w:w="0" w:type="dxa"/>
              <w:right w:w="0" w:type="dxa"/>
            </w:tcMar>
            <w:vAlign w:val="center"/>
            <w:hideMark/>
          </w:tcPr>
          <w:p w14:paraId="65FC9B59" w14:textId="77777777" w:rsidR="00FB74A6" w:rsidRPr="00483F6E" w:rsidRDefault="005759FA" w:rsidP="00483F6E">
            <w:pPr>
              <w:jc w:val="right"/>
              <w:rPr>
                <w:rFonts w:ascii="Arial" w:hAnsi="Arial" w:cs="Arial"/>
                <w:sz w:val="17"/>
                <w:szCs w:val="17"/>
              </w:rPr>
            </w:pPr>
            <w:r>
              <w:rPr>
                <w:rFonts w:ascii="Arial" w:hAnsi="Arial"/>
                <w:sz w:val="17"/>
              </w:rPr>
              <w:t xml:space="preserve">Betetzeari buruzko finantza-iritzia </w:t>
            </w:r>
          </w:p>
          <w:p w14:paraId="5409B1D5" w14:textId="2B368798" w:rsidR="005759FA" w:rsidRPr="00483F6E" w:rsidRDefault="005759FA" w:rsidP="00483F6E">
            <w:pPr>
              <w:jc w:val="right"/>
              <w:rPr>
                <w:rFonts w:ascii="Arial" w:hAnsi="Arial" w:cs="Arial"/>
                <w:sz w:val="17"/>
                <w:szCs w:val="17"/>
              </w:rPr>
            </w:pPr>
          </w:p>
        </w:tc>
        <w:tc>
          <w:tcPr>
            <w:tcW w:w="833" w:type="pct"/>
            <w:tcBorders>
              <w:top w:val="single" w:sz="4" w:space="0" w:color="auto"/>
              <w:left w:val="nil"/>
              <w:bottom w:val="single" w:sz="4" w:space="0" w:color="auto"/>
              <w:right w:val="nil"/>
            </w:tcBorders>
            <w:shd w:val="clear" w:color="000000" w:fill="FABF8F"/>
            <w:tcMar>
              <w:left w:w="0" w:type="dxa"/>
              <w:right w:w="0" w:type="dxa"/>
            </w:tcMar>
            <w:vAlign w:val="center"/>
            <w:hideMark/>
          </w:tcPr>
          <w:p w14:paraId="12F81D29" w14:textId="76ACF646" w:rsidR="005759FA" w:rsidRPr="00483F6E" w:rsidRDefault="005759FA" w:rsidP="00483F6E">
            <w:pPr>
              <w:jc w:val="right"/>
              <w:rPr>
                <w:rFonts w:ascii="Arial" w:hAnsi="Arial" w:cs="Arial"/>
                <w:sz w:val="17"/>
                <w:szCs w:val="17"/>
              </w:rPr>
            </w:pPr>
          </w:p>
        </w:tc>
      </w:tr>
      <w:tr w:rsidR="00483F6E" w:rsidRPr="003A115E" w14:paraId="4BAC7F37" w14:textId="77777777" w:rsidTr="00483F6E">
        <w:trPr>
          <w:trHeight w:val="198"/>
          <w:jc w:val="center"/>
        </w:trPr>
        <w:tc>
          <w:tcPr>
            <w:tcW w:w="756" w:type="pct"/>
            <w:tcBorders>
              <w:top w:val="single" w:sz="4" w:space="0" w:color="auto"/>
              <w:left w:val="nil"/>
              <w:bottom w:val="single" w:sz="2" w:space="0" w:color="auto"/>
              <w:right w:val="nil"/>
            </w:tcBorders>
            <w:shd w:val="clear" w:color="auto" w:fill="auto"/>
            <w:vAlign w:val="center"/>
            <w:hideMark/>
          </w:tcPr>
          <w:p w14:paraId="73FE96E0" w14:textId="77777777" w:rsidR="005759FA" w:rsidRPr="003A115E" w:rsidRDefault="005759FA" w:rsidP="005759FA">
            <w:pPr>
              <w:rPr>
                <w:rFonts w:ascii="Arial Narrow" w:hAnsi="Arial Narrow"/>
                <w:sz w:val="18"/>
                <w:szCs w:val="18"/>
              </w:rPr>
            </w:pPr>
            <w:r>
              <w:rPr>
                <w:rFonts w:ascii="Arial Narrow" w:hAnsi="Arial Narrow"/>
                <w:sz w:val="18"/>
              </w:rPr>
              <w:t>Iruña</w:t>
            </w:r>
          </w:p>
        </w:tc>
        <w:tc>
          <w:tcPr>
            <w:tcW w:w="531" w:type="pct"/>
            <w:tcBorders>
              <w:top w:val="single" w:sz="4" w:space="0" w:color="auto"/>
              <w:left w:val="nil"/>
              <w:bottom w:val="single" w:sz="2" w:space="0" w:color="auto"/>
              <w:right w:val="nil"/>
            </w:tcBorders>
            <w:shd w:val="clear" w:color="auto" w:fill="auto"/>
            <w:noWrap/>
            <w:vAlign w:val="center"/>
            <w:hideMark/>
          </w:tcPr>
          <w:p w14:paraId="08EF144D" w14:textId="77777777" w:rsidR="005759FA" w:rsidRPr="003A115E" w:rsidRDefault="005759FA" w:rsidP="005759FA">
            <w:pPr>
              <w:jc w:val="right"/>
              <w:rPr>
                <w:rFonts w:ascii="Arial Narrow" w:hAnsi="Arial Narrow"/>
                <w:sz w:val="18"/>
                <w:szCs w:val="18"/>
              </w:rPr>
            </w:pPr>
            <w:r>
              <w:rPr>
                <w:rFonts w:ascii="Arial Narrow" w:hAnsi="Arial Narrow"/>
                <w:sz w:val="18"/>
              </w:rPr>
              <w:t>2023/12/15</w:t>
            </w:r>
          </w:p>
        </w:tc>
        <w:tc>
          <w:tcPr>
            <w:tcW w:w="531" w:type="pct"/>
            <w:tcBorders>
              <w:top w:val="single" w:sz="4" w:space="0" w:color="auto"/>
              <w:left w:val="nil"/>
              <w:bottom w:val="single" w:sz="2" w:space="0" w:color="auto"/>
              <w:right w:val="nil"/>
            </w:tcBorders>
            <w:shd w:val="clear" w:color="auto" w:fill="auto"/>
            <w:noWrap/>
            <w:vAlign w:val="center"/>
            <w:hideMark/>
          </w:tcPr>
          <w:p w14:paraId="56EA8A70" w14:textId="77777777" w:rsidR="005759FA" w:rsidRPr="003A115E" w:rsidRDefault="005759FA" w:rsidP="005759FA">
            <w:pPr>
              <w:jc w:val="right"/>
              <w:rPr>
                <w:rFonts w:ascii="Arial Narrow" w:hAnsi="Arial Narrow"/>
                <w:sz w:val="18"/>
                <w:szCs w:val="18"/>
              </w:rPr>
            </w:pPr>
            <w:r>
              <w:rPr>
                <w:rFonts w:ascii="Arial Narrow" w:hAnsi="Arial Narrow"/>
                <w:sz w:val="18"/>
              </w:rPr>
              <w:t>203.418</w:t>
            </w:r>
          </w:p>
        </w:tc>
        <w:tc>
          <w:tcPr>
            <w:tcW w:w="682" w:type="pct"/>
            <w:tcBorders>
              <w:top w:val="single" w:sz="4" w:space="0" w:color="auto"/>
              <w:left w:val="nil"/>
              <w:bottom w:val="single" w:sz="2" w:space="0" w:color="auto"/>
              <w:right w:val="nil"/>
            </w:tcBorders>
            <w:shd w:val="clear" w:color="auto" w:fill="auto"/>
            <w:noWrap/>
            <w:vAlign w:val="center"/>
            <w:hideMark/>
          </w:tcPr>
          <w:p w14:paraId="7ECDDAED" w14:textId="77777777" w:rsidR="005759FA" w:rsidRPr="003A115E" w:rsidRDefault="005759FA" w:rsidP="005759FA">
            <w:pPr>
              <w:jc w:val="right"/>
              <w:rPr>
                <w:rFonts w:ascii="Arial Narrow" w:hAnsi="Arial Narrow"/>
                <w:sz w:val="18"/>
                <w:szCs w:val="18"/>
              </w:rPr>
            </w:pPr>
            <w:r>
              <w:rPr>
                <w:rFonts w:ascii="Arial Narrow" w:hAnsi="Arial Narrow"/>
                <w:sz w:val="18"/>
              </w:rPr>
              <w:t>250.626.509</w:t>
            </w:r>
          </w:p>
        </w:tc>
        <w:tc>
          <w:tcPr>
            <w:tcW w:w="530" w:type="pct"/>
            <w:tcBorders>
              <w:top w:val="single" w:sz="4" w:space="0" w:color="auto"/>
              <w:left w:val="nil"/>
              <w:bottom w:val="single" w:sz="2" w:space="0" w:color="auto"/>
              <w:right w:val="nil"/>
            </w:tcBorders>
            <w:shd w:val="clear" w:color="auto" w:fill="auto"/>
            <w:noWrap/>
            <w:vAlign w:val="center"/>
            <w:hideMark/>
          </w:tcPr>
          <w:p w14:paraId="3A54BA0C" w14:textId="1E87F81E" w:rsidR="005759FA" w:rsidRPr="003A115E" w:rsidRDefault="005759FA" w:rsidP="005C5EDC">
            <w:pPr>
              <w:jc w:val="right"/>
              <w:rPr>
                <w:rFonts w:ascii="Arial Narrow" w:hAnsi="Arial Narrow"/>
                <w:sz w:val="18"/>
                <w:szCs w:val="18"/>
              </w:rPr>
            </w:pPr>
            <w:r>
              <w:rPr>
                <w:rFonts w:ascii="Arial Narrow" w:hAnsi="Arial Narrow"/>
                <w:sz w:val="18"/>
              </w:rPr>
              <w:t>270.093.565</w:t>
            </w:r>
          </w:p>
        </w:tc>
        <w:tc>
          <w:tcPr>
            <w:tcW w:w="531" w:type="pct"/>
            <w:tcBorders>
              <w:top w:val="single" w:sz="4" w:space="0" w:color="auto"/>
              <w:left w:val="nil"/>
              <w:bottom w:val="single" w:sz="2" w:space="0" w:color="auto"/>
              <w:right w:val="nil"/>
            </w:tcBorders>
            <w:shd w:val="clear" w:color="auto" w:fill="auto"/>
            <w:vAlign w:val="center"/>
            <w:hideMark/>
          </w:tcPr>
          <w:p w14:paraId="5F723340" w14:textId="77777777" w:rsidR="005759FA" w:rsidRPr="003A115E" w:rsidRDefault="005759FA" w:rsidP="005759FA">
            <w:pPr>
              <w:jc w:val="right"/>
              <w:rPr>
                <w:rFonts w:ascii="Arial Narrow" w:hAnsi="Arial Narrow"/>
                <w:sz w:val="18"/>
                <w:szCs w:val="18"/>
              </w:rPr>
            </w:pPr>
            <w:r>
              <w:rPr>
                <w:rFonts w:ascii="Arial Narrow" w:hAnsi="Arial Narrow"/>
                <w:sz w:val="18"/>
              </w:rPr>
              <w:t>1.733</w:t>
            </w:r>
          </w:p>
        </w:tc>
        <w:tc>
          <w:tcPr>
            <w:tcW w:w="606" w:type="pct"/>
            <w:tcBorders>
              <w:top w:val="single" w:sz="4" w:space="0" w:color="auto"/>
              <w:left w:val="nil"/>
              <w:bottom w:val="single" w:sz="2" w:space="0" w:color="auto"/>
              <w:right w:val="nil"/>
            </w:tcBorders>
            <w:shd w:val="clear" w:color="auto" w:fill="auto"/>
            <w:vAlign w:val="center"/>
            <w:hideMark/>
          </w:tcPr>
          <w:p w14:paraId="3B2516BC" w14:textId="77777777" w:rsidR="005759FA" w:rsidRPr="003A115E" w:rsidRDefault="005759FA" w:rsidP="005759FA">
            <w:pPr>
              <w:jc w:val="right"/>
              <w:rPr>
                <w:rFonts w:ascii="Arial Narrow" w:hAnsi="Arial Narrow"/>
                <w:sz w:val="18"/>
                <w:szCs w:val="18"/>
              </w:rPr>
            </w:pPr>
            <w:r>
              <w:rPr>
                <w:rFonts w:ascii="Arial Narrow" w:hAnsi="Arial Narrow"/>
                <w:sz w:val="18"/>
              </w:rPr>
              <w:t>Aldekoa</w:t>
            </w:r>
          </w:p>
        </w:tc>
        <w:tc>
          <w:tcPr>
            <w:tcW w:w="833" w:type="pct"/>
            <w:tcBorders>
              <w:top w:val="single" w:sz="4" w:space="0" w:color="auto"/>
              <w:left w:val="nil"/>
              <w:bottom w:val="single" w:sz="2" w:space="0" w:color="auto"/>
              <w:right w:val="nil"/>
            </w:tcBorders>
            <w:shd w:val="clear" w:color="auto" w:fill="auto"/>
            <w:vAlign w:val="center"/>
            <w:hideMark/>
          </w:tcPr>
          <w:p w14:paraId="18E60723"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02B61E71"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33992EFB" w14:textId="77777777" w:rsidR="005759FA" w:rsidRPr="003A115E" w:rsidRDefault="005759FA" w:rsidP="005759FA">
            <w:pPr>
              <w:rPr>
                <w:rFonts w:ascii="Arial Narrow" w:hAnsi="Arial Narrow"/>
                <w:sz w:val="18"/>
                <w:szCs w:val="18"/>
              </w:rPr>
            </w:pPr>
            <w:r>
              <w:rPr>
                <w:rFonts w:ascii="Arial Narrow" w:hAnsi="Arial Narrow"/>
                <w:sz w:val="18"/>
              </w:rPr>
              <w:t>Lizarra</w:t>
            </w:r>
          </w:p>
        </w:tc>
        <w:tc>
          <w:tcPr>
            <w:tcW w:w="531" w:type="pct"/>
            <w:tcBorders>
              <w:top w:val="single" w:sz="2" w:space="0" w:color="auto"/>
              <w:left w:val="nil"/>
              <w:bottom w:val="single" w:sz="2" w:space="0" w:color="auto"/>
              <w:right w:val="nil"/>
            </w:tcBorders>
            <w:shd w:val="clear" w:color="auto" w:fill="auto"/>
            <w:noWrap/>
            <w:vAlign w:val="center"/>
            <w:hideMark/>
          </w:tcPr>
          <w:p w14:paraId="16AC3066" w14:textId="77777777" w:rsidR="005759FA" w:rsidRPr="003A115E" w:rsidRDefault="005759FA" w:rsidP="005759FA">
            <w:pPr>
              <w:jc w:val="right"/>
              <w:rPr>
                <w:rFonts w:ascii="Arial Narrow" w:hAnsi="Arial Narrow"/>
                <w:sz w:val="18"/>
                <w:szCs w:val="18"/>
              </w:rPr>
            </w:pPr>
            <w:r>
              <w:rPr>
                <w:rFonts w:ascii="Arial Narrow" w:hAnsi="Arial Narrow"/>
                <w:sz w:val="18"/>
              </w:rPr>
              <w:t>2023/12/21</w:t>
            </w:r>
          </w:p>
        </w:tc>
        <w:tc>
          <w:tcPr>
            <w:tcW w:w="531" w:type="pct"/>
            <w:tcBorders>
              <w:top w:val="single" w:sz="2" w:space="0" w:color="auto"/>
              <w:left w:val="nil"/>
              <w:bottom w:val="single" w:sz="2" w:space="0" w:color="auto"/>
              <w:right w:val="nil"/>
            </w:tcBorders>
            <w:shd w:val="clear" w:color="auto" w:fill="auto"/>
            <w:noWrap/>
            <w:vAlign w:val="center"/>
            <w:hideMark/>
          </w:tcPr>
          <w:p w14:paraId="66C96B08" w14:textId="77777777" w:rsidR="005759FA" w:rsidRPr="003A115E" w:rsidRDefault="005759FA" w:rsidP="005759FA">
            <w:pPr>
              <w:jc w:val="right"/>
              <w:rPr>
                <w:rFonts w:ascii="Arial Narrow" w:hAnsi="Arial Narrow"/>
                <w:sz w:val="18"/>
                <w:szCs w:val="18"/>
              </w:rPr>
            </w:pPr>
            <w:r>
              <w:rPr>
                <w:rFonts w:ascii="Arial Narrow" w:hAnsi="Arial Narrow"/>
                <w:sz w:val="18"/>
              </w:rPr>
              <w:t>13.977</w:t>
            </w:r>
          </w:p>
        </w:tc>
        <w:tc>
          <w:tcPr>
            <w:tcW w:w="682" w:type="pct"/>
            <w:tcBorders>
              <w:top w:val="single" w:sz="2" w:space="0" w:color="auto"/>
              <w:left w:val="nil"/>
              <w:bottom w:val="single" w:sz="2" w:space="0" w:color="auto"/>
              <w:right w:val="nil"/>
            </w:tcBorders>
            <w:shd w:val="clear" w:color="auto" w:fill="auto"/>
            <w:noWrap/>
            <w:vAlign w:val="center"/>
            <w:hideMark/>
          </w:tcPr>
          <w:p w14:paraId="581BF1AA" w14:textId="77777777" w:rsidR="005759FA" w:rsidRPr="003A115E" w:rsidRDefault="005759FA" w:rsidP="005759FA">
            <w:pPr>
              <w:jc w:val="right"/>
              <w:rPr>
                <w:rFonts w:ascii="Arial Narrow" w:hAnsi="Arial Narrow"/>
                <w:sz w:val="18"/>
                <w:szCs w:val="18"/>
              </w:rPr>
            </w:pPr>
            <w:r>
              <w:rPr>
                <w:rFonts w:ascii="Arial Narrow" w:hAnsi="Arial Narrow"/>
                <w:sz w:val="18"/>
              </w:rPr>
              <w:t>15.420.028</w:t>
            </w:r>
          </w:p>
        </w:tc>
        <w:tc>
          <w:tcPr>
            <w:tcW w:w="530" w:type="pct"/>
            <w:tcBorders>
              <w:top w:val="single" w:sz="2" w:space="0" w:color="auto"/>
              <w:left w:val="nil"/>
              <w:bottom w:val="single" w:sz="2" w:space="0" w:color="auto"/>
              <w:right w:val="nil"/>
            </w:tcBorders>
            <w:shd w:val="clear" w:color="auto" w:fill="auto"/>
            <w:vAlign w:val="center"/>
            <w:hideMark/>
          </w:tcPr>
          <w:p w14:paraId="4312E5D8" w14:textId="64FB645E" w:rsidR="005759FA" w:rsidRPr="003A115E" w:rsidRDefault="005759FA" w:rsidP="005C5EDC">
            <w:pPr>
              <w:jc w:val="right"/>
              <w:rPr>
                <w:rFonts w:ascii="Arial Narrow" w:hAnsi="Arial Narrow"/>
                <w:sz w:val="18"/>
                <w:szCs w:val="18"/>
              </w:rPr>
            </w:pPr>
            <w:r>
              <w:rPr>
                <w:rFonts w:ascii="Arial Narrow" w:hAnsi="Arial Narrow"/>
                <w:sz w:val="18"/>
              </w:rPr>
              <w:t>15.561.377</w:t>
            </w:r>
          </w:p>
        </w:tc>
        <w:tc>
          <w:tcPr>
            <w:tcW w:w="531" w:type="pct"/>
            <w:tcBorders>
              <w:top w:val="single" w:sz="2" w:space="0" w:color="auto"/>
              <w:left w:val="nil"/>
              <w:bottom w:val="single" w:sz="2" w:space="0" w:color="auto"/>
              <w:right w:val="nil"/>
            </w:tcBorders>
            <w:shd w:val="clear" w:color="auto" w:fill="auto"/>
            <w:vAlign w:val="center"/>
            <w:hideMark/>
          </w:tcPr>
          <w:p w14:paraId="47085633" w14:textId="77777777" w:rsidR="005759FA" w:rsidRPr="003A115E" w:rsidRDefault="005759FA" w:rsidP="005759FA">
            <w:pPr>
              <w:jc w:val="right"/>
              <w:rPr>
                <w:rFonts w:ascii="Arial Narrow" w:hAnsi="Arial Narrow"/>
                <w:sz w:val="18"/>
                <w:szCs w:val="18"/>
              </w:rPr>
            </w:pPr>
            <w:r>
              <w:rPr>
                <w:rFonts w:ascii="Arial Narrow" w:hAnsi="Arial Narrow"/>
                <w:sz w:val="18"/>
              </w:rPr>
              <w:t>182</w:t>
            </w:r>
          </w:p>
        </w:tc>
        <w:tc>
          <w:tcPr>
            <w:tcW w:w="606" w:type="pct"/>
            <w:tcBorders>
              <w:top w:val="single" w:sz="2" w:space="0" w:color="auto"/>
              <w:left w:val="nil"/>
              <w:bottom w:val="single" w:sz="2" w:space="0" w:color="auto"/>
              <w:right w:val="nil"/>
            </w:tcBorders>
            <w:shd w:val="clear" w:color="auto" w:fill="auto"/>
            <w:vAlign w:val="center"/>
            <w:hideMark/>
          </w:tcPr>
          <w:p w14:paraId="25DFCE5A"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15FC14C9"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2798C186"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1FBA8A1A" w14:textId="77777777" w:rsidR="005759FA" w:rsidRPr="003A115E" w:rsidRDefault="005759FA" w:rsidP="005759FA">
            <w:pPr>
              <w:rPr>
                <w:rFonts w:ascii="Arial Narrow" w:hAnsi="Arial Narrow"/>
                <w:sz w:val="18"/>
                <w:szCs w:val="18"/>
              </w:rPr>
            </w:pPr>
            <w:r>
              <w:rPr>
                <w:rFonts w:ascii="Arial Narrow" w:hAnsi="Arial Narrow"/>
                <w:sz w:val="18"/>
              </w:rPr>
              <w:t>Tutera</w:t>
            </w:r>
          </w:p>
        </w:tc>
        <w:tc>
          <w:tcPr>
            <w:tcW w:w="531" w:type="pct"/>
            <w:tcBorders>
              <w:top w:val="single" w:sz="2" w:space="0" w:color="auto"/>
              <w:left w:val="nil"/>
              <w:bottom w:val="single" w:sz="2" w:space="0" w:color="auto"/>
              <w:right w:val="nil"/>
            </w:tcBorders>
            <w:shd w:val="clear" w:color="auto" w:fill="auto"/>
            <w:noWrap/>
            <w:vAlign w:val="center"/>
            <w:hideMark/>
          </w:tcPr>
          <w:p w14:paraId="5250D200" w14:textId="77777777" w:rsidR="005759FA" w:rsidRPr="003A115E" w:rsidRDefault="005759FA" w:rsidP="005759FA">
            <w:pPr>
              <w:jc w:val="right"/>
              <w:rPr>
                <w:rFonts w:ascii="Arial Narrow" w:hAnsi="Arial Narrow"/>
                <w:sz w:val="18"/>
                <w:szCs w:val="18"/>
              </w:rPr>
            </w:pPr>
            <w:r>
              <w:rPr>
                <w:rFonts w:ascii="Arial Narrow" w:hAnsi="Arial Narrow"/>
                <w:sz w:val="18"/>
              </w:rPr>
              <w:t>2024/01/16</w:t>
            </w:r>
          </w:p>
        </w:tc>
        <w:tc>
          <w:tcPr>
            <w:tcW w:w="531" w:type="pct"/>
            <w:tcBorders>
              <w:top w:val="single" w:sz="2" w:space="0" w:color="auto"/>
              <w:left w:val="nil"/>
              <w:bottom w:val="single" w:sz="2" w:space="0" w:color="auto"/>
              <w:right w:val="nil"/>
            </w:tcBorders>
            <w:shd w:val="clear" w:color="auto" w:fill="auto"/>
            <w:noWrap/>
            <w:vAlign w:val="center"/>
            <w:hideMark/>
          </w:tcPr>
          <w:p w14:paraId="01953095" w14:textId="77777777" w:rsidR="005759FA" w:rsidRPr="003A115E" w:rsidRDefault="005759FA" w:rsidP="005759FA">
            <w:pPr>
              <w:jc w:val="right"/>
              <w:rPr>
                <w:rFonts w:ascii="Arial Narrow" w:hAnsi="Arial Narrow"/>
                <w:sz w:val="18"/>
                <w:szCs w:val="18"/>
              </w:rPr>
            </w:pPr>
            <w:r>
              <w:rPr>
                <w:rFonts w:ascii="Arial Narrow" w:hAnsi="Arial Narrow"/>
                <w:sz w:val="18"/>
              </w:rPr>
              <w:t>37.247</w:t>
            </w:r>
          </w:p>
        </w:tc>
        <w:tc>
          <w:tcPr>
            <w:tcW w:w="682" w:type="pct"/>
            <w:tcBorders>
              <w:top w:val="single" w:sz="2" w:space="0" w:color="auto"/>
              <w:left w:val="nil"/>
              <w:bottom w:val="single" w:sz="2" w:space="0" w:color="auto"/>
              <w:right w:val="nil"/>
            </w:tcBorders>
            <w:shd w:val="clear" w:color="auto" w:fill="auto"/>
            <w:noWrap/>
            <w:vAlign w:val="center"/>
            <w:hideMark/>
          </w:tcPr>
          <w:p w14:paraId="53756ACB" w14:textId="77777777" w:rsidR="005759FA" w:rsidRPr="003A115E" w:rsidRDefault="005759FA" w:rsidP="005759FA">
            <w:pPr>
              <w:jc w:val="right"/>
              <w:rPr>
                <w:rFonts w:ascii="Arial Narrow" w:hAnsi="Arial Narrow"/>
                <w:sz w:val="18"/>
                <w:szCs w:val="18"/>
              </w:rPr>
            </w:pPr>
            <w:r>
              <w:rPr>
                <w:rFonts w:ascii="Arial Narrow" w:hAnsi="Arial Narrow"/>
                <w:sz w:val="18"/>
              </w:rPr>
              <w:t>47.443.194</w:t>
            </w:r>
          </w:p>
        </w:tc>
        <w:tc>
          <w:tcPr>
            <w:tcW w:w="530" w:type="pct"/>
            <w:tcBorders>
              <w:top w:val="single" w:sz="2" w:space="0" w:color="auto"/>
              <w:left w:val="nil"/>
              <w:bottom w:val="single" w:sz="2" w:space="0" w:color="auto"/>
              <w:right w:val="nil"/>
            </w:tcBorders>
            <w:shd w:val="clear" w:color="auto" w:fill="auto"/>
            <w:vAlign w:val="center"/>
            <w:hideMark/>
          </w:tcPr>
          <w:p w14:paraId="5A8EBD18" w14:textId="73713E25" w:rsidR="005759FA" w:rsidRPr="003A115E" w:rsidRDefault="005759FA" w:rsidP="005C5EDC">
            <w:pPr>
              <w:jc w:val="right"/>
              <w:rPr>
                <w:rFonts w:ascii="Arial Narrow" w:hAnsi="Arial Narrow"/>
                <w:sz w:val="18"/>
                <w:szCs w:val="18"/>
              </w:rPr>
            </w:pPr>
            <w:r>
              <w:rPr>
                <w:rFonts w:ascii="Arial Narrow" w:hAnsi="Arial Narrow"/>
                <w:sz w:val="18"/>
              </w:rPr>
              <w:t>52.912.428</w:t>
            </w:r>
          </w:p>
        </w:tc>
        <w:tc>
          <w:tcPr>
            <w:tcW w:w="531" w:type="pct"/>
            <w:tcBorders>
              <w:top w:val="single" w:sz="2" w:space="0" w:color="auto"/>
              <w:left w:val="nil"/>
              <w:bottom w:val="single" w:sz="2" w:space="0" w:color="auto"/>
              <w:right w:val="nil"/>
            </w:tcBorders>
            <w:shd w:val="clear" w:color="auto" w:fill="auto"/>
            <w:vAlign w:val="center"/>
            <w:hideMark/>
          </w:tcPr>
          <w:p w14:paraId="30F934BC" w14:textId="77777777" w:rsidR="005759FA" w:rsidRPr="003A115E" w:rsidRDefault="005759FA" w:rsidP="005759FA">
            <w:pPr>
              <w:jc w:val="right"/>
              <w:rPr>
                <w:rFonts w:ascii="Arial Narrow" w:hAnsi="Arial Narrow"/>
                <w:sz w:val="18"/>
                <w:szCs w:val="18"/>
              </w:rPr>
            </w:pPr>
            <w:r>
              <w:rPr>
                <w:rFonts w:ascii="Arial Narrow" w:hAnsi="Arial Narrow"/>
                <w:sz w:val="18"/>
              </w:rPr>
              <w:t>353</w:t>
            </w:r>
          </w:p>
        </w:tc>
        <w:tc>
          <w:tcPr>
            <w:tcW w:w="606" w:type="pct"/>
            <w:tcBorders>
              <w:top w:val="single" w:sz="2" w:space="0" w:color="auto"/>
              <w:left w:val="nil"/>
              <w:bottom w:val="single" w:sz="2" w:space="0" w:color="auto"/>
              <w:right w:val="nil"/>
            </w:tcBorders>
            <w:shd w:val="clear" w:color="auto" w:fill="auto"/>
            <w:vAlign w:val="center"/>
            <w:hideMark/>
          </w:tcPr>
          <w:p w14:paraId="6368E32A"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49DFBE6A"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1D87992F"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2A45036E" w14:textId="77777777" w:rsidR="005759FA" w:rsidRPr="003A115E" w:rsidRDefault="005759FA" w:rsidP="005759FA">
            <w:pPr>
              <w:rPr>
                <w:rFonts w:ascii="Arial Narrow" w:hAnsi="Arial Narrow"/>
                <w:sz w:val="18"/>
                <w:szCs w:val="18"/>
              </w:rPr>
            </w:pPr>
            <w:proofErr w:type="spellStart"/>
            <w:r>
              <w:rPr>
                <w:rFonts w:ascii="Arial Narrow" w:hAnsi="Arial Narrow"/>
                <w:sz w:val="18"/>
              </w:rPr>
              <w:t>Arangurengo</w:t>
            </w:r>
            <w:proofErr w:type="spellEnd"/>
            <w:r>
              <w:rPr>
                <w:rFonts w:ascii="Arial Narrow" w:hAnsi="Arial Narrow"/>
                <w:sz w:val="18"/>
              </w:rPr>
              <w:t xml:space="preserve"> ibarra</w:t>
            </w:r>
          </w:p>
        </w:tc>
        <w:tc>
          <w:tcPr>
            <w:tcW w:w="531" w:type="pct"/>
            <w:tcBorders>
              <w:top w:val="single" w:sz="2" w:space="0" w:color="auto"/>
              <w:left w:val="nil"/>
              <w:bottom w:val="single" w:sz="2" w:space="0" w:color="auto"/>
              <w:right w:val="nil"/>
            </w:tcBorders>
            <w:shd w:val="clear" w:color="auto" w:fill="auto"/>
            <w:noWrap/>
            <w:vAlign w:val="center"/>
            <w:hideMark/>
          </w:tcPr>
          <w:p w14:paraId="34A14CF5" w14:textId="77777777" w:rsidR="005759FA" w:rsidRPr="003A115E" w:rsidRDefault="005759FA" w:rsidP="005759FA">
            <w:pPr>
              <w:jc w:val="right"/>
              <w:rPr>
                <w:rFonts w:ascii="Arial Narrow" w:hAnsi="Arial Narrow"/>
                <w:sz w:val="18"/>
                <w:szCs w:val="18"/>
              </w:rPr>
            </w:pPr>
            <w:r>
              <w:rPr>
                <w:rFonts w:ascii="Arial Narrow" w:hAnsi="Arial Narrow"/>
                <w:sz w:val="18"/>
              </w:rPr>
              <w:t>2024/01/25</w:t>
            </w:r>
          </w:p>
        </w:tc>
        <w:tc>
          <w:tcPr>
            <w:tcW w:w="531" w:type="pct"/>
            <w:tcBorders>
              <w:top w:val="single" w:sz="2" w:space="0" w:color="auto"/>
              <w:left w:val="nil"/>
              <w:bottom w:val="single" w:sz="2" w:space="0" w:color="auto"/>
              <w:right w:val="nil"/>
            </w:tcBorders>
            <w:shd w:val="clear" w:color="auto" w:fill="auto"/>
            <w:noWrap/>
            <w:vAlign w:val="center"/>
            <w:hideMark/>
          </w:tcPr>
          <w:p w14:paraId="2B121D1C" w14:textId="77777777" w:rsidR="005759FA" w:rsidRPr="003A115E" w:rsidRDefault="005759FA" w:rsidP="005759FA">
            <w:pPr>
              <w:jc w:val="right"/>
              <w:rPr>
                <w:rFonts w:ascii="Arial Narrow" w:hAnsi="Arial Narrow"/>
                <w:sz w:val="18"/>
                <w:szCs w:val="18"/>
              </w:rPr>
            </w:pPr>
            <w:r>
              <w:rPr>
                <w:rFonts w:ascii="Arial Narrow" w:hAnsi="Arial Narrow"/>
                <w:sz w:val="18"/>
              </w:rPr>
              <w:t>12.156</w:t>
            </w:r>
          </w:p>
        </w:tc>
        <w:tc>
          <w:tcPr>
            <w:tcW w:w="682" w:type="pct"/>
            <w:tcBorders>
              <w:top w:val="single" w:sz="2" w:space="0" w:color="auto"/>
              <w:left w:val="nil"/>
              <w:bottom w:val="single" w:sz="2" w:space="0" w:color="auto"/>
              <w:right w:val="nil"/>
            </w:tcBorders>
            <w:shd w:val="clear" w:color="auto" w:fill="auto"/>
            <w:noWrap/>
            <w:vAlign w:val="center"/>
            <w:hideMark/>
          </w:tcPr>
          <w:p w14:paraId="70F3874C" w14:textId="77777777" w:rsidR="005759FA" w:rsidRPr="003A115E" w:rsidRDefault="005759FA" w:rsidP="005759FA">
            <w:pPr>
              <w:jc w:val="right"/>
              <w:rPr>
                <w:rFonts w:ascii="Arial Narrow" w:hAnsi="Arial Narrow"/>
                <w:sz w:val="18"/>
                <w:szCs w:val="18"/>
              </w:rPr>
            </w:pPr>
            <w:r>
              <w:rPr>
                <w:rFonts w:ascii="Arial Narrow" w:hAnsi="Arial Narrow"/>
                <w:sz w:val="18"/>
              </w:rPr>
              <w:t>14.992.498</w:t>
            </w:r>
          </w:p>
        </w:tc>
        <w:tc>
          <w:tcPr>
            <w:tcW w:w="530" w:type="pct"/>
            <w:tcBorders>
              <w:top w:val="single" w:sz="2" w:space="0" w:color="auto"/>
              <w:left w:val="nil"/>
              <w:bottom w:val="single" w:sz="2" w:space="0" w:color="auto"/>
              <w:right w:val="nil"/>
            </w:tcBorders>
            <w:shd w:val="clear" w:color="auto" w:fill="auto"/>
            <w:vAlign w:val="center"/>
            <w:hideMark/>
          </w:tcPr>
          <w:p w14:paraId="499A5D6E" w14:textId="324AB7A8" w:rsidR="005759FA" w:rsidRPr="003A115E" w:rsidRDefault="005759FA" w:rsidP="005C5EDC">
            <w:pPr>
              <w:jc w:val="right"/>
              <w:rPr>
                <w:rFonts w:ascii="Arial Narrow" w:hAnsi="Arial Narrow"/>
                <w:sz w:val="18"/>
                <w:szCs w:val="18"/>
              </w:rPr>
            </w:pPr>
            <w:r>
              <w:rPr>
                <w:rFonts w:ascii="Arial Narrow" w:hAnsi="Arial Narrow"/>
                <w:sz w:val="18"/>
              </w:rPr>
              <w:t>13.276.575</w:t>
            </w:r>
          </w:p>
        </w:tc>
        <w:tc>
          <w:tcPr>
            <w:tcW w:w="531" w:type="pct"/>
            <w:tcBorders>
              <w:top w:val="single" w:sz="2" w:space="0" w:color="auto"/>
              <w:left w:val="nil"/>
              <w:bottom w:val="single" w:sz="2" w:space="0" w:color="auto"/>
              <w:right w:val="nil"/>
            </w:tcBorders>
            <w:shd w:val="clear" w:color="auto" w:fill="auto"/>
            <w:vAlign w:val="center"/>
            <w:hideMark/>
          </w:tcPr>
          <w:p w14:paraId="41FF1150" w14:textId="77777777" w:rsidR="005759FA" w:rsidRPr="003A115E" w:rsidRDefault="005759FA" w:rsidP="005759FA">
            <w:pPr>
              <w:jc w:val="right"/>
              <w:rPr>
                <w:rFonts w:ascii="Arial Narrow" w:hAnsi="Arial Narrow"/>
                <w:sz w:val="18"/>
                <w:szCs w:val="18"/>
              </w:rPr>
            </w:pPr>
            <w:r>
              <w:rPr>
                <w:rFonts w:ascii="Arial Narrow" w:hAnsi="Arial Narrow"/>
                <w:sz w:val="18"/>
              </w:rPr>
              <w:t>93</w:t>
            </w:r>
          </w:p>
        </w:tc>
        <w:tc>
          <w:tcPr>
            <w:tcW w:w="606" w:type="pct"/>
            <w:tcBorders>
              <w:top w:val="single" w:sz="2" w:space="0" w:color="auto"/>
              <w:left w:val="nil"/>
              <w:bottom w:val="single" w:sz="2" w:space="0" w:color="auto"/>
              <w:right w:val="nil"/>
            </w:tcBorders>
            <w:shd w:val="clear" w:color="auto" w:fill="auto"/>
            <w:vAlign w:val="center"/>
            <w:hideMark/>
          </w:tcPr>
          <w:p w14:paraId="7148076C"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7351A082"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43BFD4A0"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760C6096" w14:textId="23616767" w:rsidR="005759FA" w:rsidRPr="003A115E" w:rsidRDefault="005759FA" w:rsidP="005759FA">
            <w:pPr>
              <w:rPr>
                <w:rFonts w:ascii="Arial Narrow" w:hAnsi="Arial Narrow"/>
                <w:sz w:val="18"/>
                <w:szCs w:val="18"/>
              </w:rPr>
            </w:pPr>
            <w:r>
              <w:rPr>
                <w:rFonts w:ascii="Arial Narrow" w:hAnsi="Arial Narrow"/>
                <w:sz w:val="18"/>
              </w:rPr>
              <w:t>Eguesibar</w:t>
            </w:r>
          </w:p>
        </w:tc>
        <w:tc>
          <w:tcPr>
            <w:tcW w:w="531" w:type="pct"/>
            <w:tcBorders>
              <w:top w:val="single" w:sz="2" w:space="0" w:color="auto"/>
              <w:left w:val="nil"/>
              <w:bottom w:val="single" w:sz="2" w:space="0" w:color="auto"/>
              <w:right w:val="nil"/>
            </w:tcBorders>
            <w:shd w:val="clear" w:color="auto" w:fill="auto"/>
            <w:noWrap/>
            <w:vAlign w:val="center"/>
            <w:hideMark/>
          </w:tcPr>
          <w:p w14:paraId="53E24364" w14:textId="77777777" w:rsidR="005759FA" w:rsidRPr="003A115E" w:rsidRDefault="005759FA" w:rsidP="005759FA">
            <w:pPr>
              <w:jc w:val="right"/>
              <w:rPr>
                <w:rFonts w:ascii="Arial Narrow" w:hAnsi="Arial Narrow"/>
                <w:sz w:val="18"/>
                <w:szCs w:val="18"/>
              </w:rPr>
            </w:pPr>
            <w:r>
              <w:rPr>
                <w:rFonts w:ascii="Arial Narrow" w:hAnsi="Arial Narrow"/>
                <w:sz w:val="18"/>
              </w:rPr>
              <w:t>2024/01/26</w:t>
            </w:r>
          </w:p>
        </w:tc>
        <w:tc>
          <w:tcPr>
            <w:tcW w:w="531" w:type="pct"/>
            <w:tcBorders>
              <w:top w:val="single" w:sz="2" w:space="0" w:color="auto"/>
              <w:left w:val="nil"/>
              <w:bottom w:val="single" w:sz="2" w:space="0" w:color="auto"/>
              <w:right w:val="nil"/>
            </w:tcBorders>
            <w:shd w:val="clear" w:color="auto" w:fill="auto"/>
            <w:noWrap/>
            <w:vAlign w:val="center"/>
            <w:hideMark/>
          </w:tcPr>
          <w:p w14:paraId="2A40388F" w14:textId="77777777" w:rsidR="005759FA" w:rsidRPr="003A115E" w:rsidRDefault="005759FA" w:rsidP="005759FA">
            <w:pPr>
              <w:jc w:val="right"/>
              <w:rPr>
                <w:rFonts w:ascii="Arial Narrow" w:hAnsi="Arial Narrow"/>
                <w:sz w:val="18"/>
                <w:szCs w:val="18"/>
              </w:rPr>
            </w:pPr>
            <w:r>
              <w:rPr>
                <w:rFonts w:ascii="Arial Narrow" w:hAnsi="Arial Narrow"/>
                <w:sz w:val="18"/>
              </w:rPr>
              <w:t>21.795</w:t>
            </w:r>
          </w:p>
        </w:tc>
        <w:tc>
          <w:tcPr>
            <w:tcW w:w="682" w:type="pct"/>
            <w:tcBorders>
              <w:top w:val="single" w:sz="2" w:space="0" w:color="auto"/>
              <w:left w:val="nil"/>
              <w:bottom w:val="single" w:sz="2" w:space="0" w:color="auto"/>
              <w:right w:val="nil"/>
            </w:tcBorders>
            <w:shd w:val="clear" w:color="auto" w:fill="auto"/>
            <w:noWrap/>
            <w:vAlign w:val="center"/>
            <w:hideMark/>
          </w:tcPr>
          <w:p w14:paraId="7CC688A2" w14:textId="77777777" w:rsidR="005759FA" w:rsidRPr="003A115E" w:rsidRDefault="005759FA" w:rsidP="005759FA">
            <w:pPr>
              <w:jc w:val="right"/>
              <w:rPr>
                <w:rFonts w:ascii="Arial Narrow" w:hAnsi="Arial Narrow"/>
                <w:sz w:val="18"/>
                <w:szCs w:val="18"/>
              </w:rPr>
            </w:pPr>
            <w:r>
              <w:rPr>
                <w:rFonts w:ascii="Arial Narrow" w:hAnsi="Arial Narrow"/>
                <w:sz w:val="18"/>
              </w:rPr>
              <w:t>14.992.471</w:t>
            </w:r>
          </w:p>
        </w:tc>
        <w:tc>
          <w:tcPr>
            <w:tcW w:w="530" w:type="pct"/>
            <w:tcBorders>
              <w:top w:val="single" w:sz="2" w:space="0" w:color="auto"/>
              <w:left w:val="nil"/>
              <w:bottom w:val="single" w:sz="2" w:space="0" w:color="auto"/>
              <w:right w:val="nil"/>
            </w:tcBorders>
            <w:shd w:val="clear" w:color="auto" w:fill="auto"/>
            <w:vAlign w:val="center"/>
            <w:hideMark/>
          </w:tcPr>
          <w:p w14:paraId="6774A204" w14:textId="47B06756" w:rsidR="005759FA" w:rsidRPr="003A115E" w:rsidRDefault="005759FA" w:rsidP="005C5EDC">
            <w:pPr>
              <w:jc w:val="right"/>
              <w:rPr>
                <w:rFonts w:ascii="Arial Narrow" w:hAnsi="Arial Narrow"/>
                <w:sz w:val="18"/>
                <w:szCs w:val="18"/>
              </w:rPr>
            </w:pPr>
            <w:r>
              <w:rPr>
                <w:rFonts w:ascii="Arial Narrow" w:hAnsi="Arial Narrow"/>
                <w:sz w:val="18"/>
              </w:rPr>
              <w:t>17.168.397</w:t>
            </w:r>
          </w:p>
        </w:tc>
        <w:tc>
          <w:tcPr>
            <w:tcW w:w="531" w:type="pct"/>
            <w:tcBorders>
              <w:top w:val="single" w:sz="2" w:space="0" w:color="auto"/>
              <w:left w:val="nil"/>
              <w:bottom w:val="single" w:sz="2" w:space="0" w:color="auto"/>
              <w:right w:val="nil"/>
            </w:tcBorders>
            <w:shd w:val="clear" w:color="auto" w:fill="auto"/>
            <w:noWrap/>
            <w:vAlign w:val="center"/>
            <w:hideMark/>
          </w:tcPr>
          <w:p w14:paraId="00785457" w14:textId="77777777" w:rsidR="005759FA" w:rsidRPr="003A115E" w:rsidRDefault="005759FA" w:rsidP="005759FA">
            <w:pPr>
              <w:jc w:val="right"/>
              <w:rPr>
                <w:rFonts w:ascii="Arial Narrow" w:hAnsi="Arial Narrow"/>
                <w:sz w:val="18"/>
                <w:szCs w:val="18"/>
              </w:rPr>
            </w:pPr>
            <w:r>
              <w:rPr>
                <w:rFonts w:ascii="Arial Narrow" w:hAnsi="Arial Narrow"/>
                <w:sz w:val="18"/>
              </w:rPr>
              <w:t>167</w:t>
            </w:r>
          </w:p>
        </w:tc>
        <w:tc>
          <w:tcPr>
            <w:tcW w:w="606" w:type="pct"/>
            <w:tcBorders>
              <w:top w:val="single" w:sz="2" w:space="0" w:color="auto"/>
              <w:left w:val="nil"/>
              <w:bottom w:val="single" w:sz="2" w:space="0" w:color="auto"/>
              <w:right w:val="nil"/>
            </w:tcBorders>
            <w:shd w:val="clear" w:color="auto" w:fill="auto"/>
            <w:vAlign w:val="center"/>
            <w:hideMark/>
          </w:tcPr>
          <w:p w14:paraId="23483BC3"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25297D7C" w14:textId="77777777" w:rsidR="005759FA" w:rsidRPr="003A115E" w:rsidRDefault="005759FA" w:rsidP="005759FA">
            <w:pPr>
              <w:jc w:val="right"/>
              <w:rPr>
                <w:rFonts w:ascii="Arial Narrow" w:hAnsi="Arial Narrow"/>
                <w:sz w:val="18"/>
                <w:szCs w:val="18"/>
              </w:rPr>
            </w:pPr>
            <w:r>
              <w:rPr>
                <w:rFonts w:ascii="Arial Narrow" w:hAnsi="Arial Narrow"/>
                <w:sz w:val="18"/>
              </w:rPr>
              <w:t>Aldekoa</w:t>
            </w:r>
          </w:p>
        </w:tc>
      </w:tr>
      <w:tr w:rsidR="00483F6E" w:rsidRPr="003A115E" w14:paraId="3D0F6134"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314CE6C3" w14:textId="77777777" w:rsidR="005759FA" w:rsidRPr="003A115E" w:rsidRDefault="005759FA" w:rsidP="005759FA">
            <w:pPr>
              <w:rPr>
                <w:rFonts w:ascii="Arial Narrow" w:hAnsi="Arial Narrow"/>
                <w:sz w:val="18"/>
                <w:szCs w:val="18"/>
              </w:rPr>
            </w:pPr>
            <w:r>
              <w:rPr>
                <w:rFonts w:ascii="Arial Narrow" w:hAnsi="Arial Narrow"/>
                <w:sz w:val="18"/>
              </w:rPr>
              <w:t>Zizur Nagusia</w:t>
            </w:r>
          </w:p>
        </w:tc>
        <w:tc>
          <w:tcPr>
            <w:tcW w:w="531" w:type="pct"/>
            <w:tcBorders>
              <w:top w:val="single" w:sz="2" w:space="0" w:color="auto"/>
              <w:left w:val="nil"/>
              <w:bottom w:val="single" w:sz="2" w:space="0" w:color="auto"/>
              <w:right w:val="nil"/>
            </w:tcBorders>
            <w:shd w:val="clear" w:color="auto" w:fill="auto"/>
            <w:noWrap/>
            <w:vAlign w:val="center"/>
            <w:hideMark/>
          </w:tcPr>
          <w:p w14:paraId="6E3DA6E5" w14:textId="77777777" w:rsidR="005759FA" w:rsidRPr="003A115E" w:rsidRDefault="005759FA" w:rsidP="005759FA">
            <w:pPr>
              <w:jc w:val="right"/>
              <w:rPr>
                <w:rFonts w:ascii="Arial Narrow" w:hAnsi="Arial Narrow"/>
                <w:sz w:val="18"/>
                <w:szCs w:val="18"/>
              </w:rPr>
            </w:pPr>
            <w:r>
              <w:rPr>
                <w:rFonts w:ascii="Arial Narrow" w:hAnsi="Arial Narrow"/>
                <w:sz w:val="18"/>
              </w:rPr>
              <w:t>2024/01/29</w:t>
            </w:r>
          </w:p>
        </w:tc>
        <w:tc>
          <w:tcPr>
            <w:tcW w:w="531" w:type="pct"/>
            <w:tcBorders>
              <w:top w:val="single" w:sz="2" w:space="0" w:color="auto"/>
              <w:left w:val="nil"/>
              <w:bottom w:val="single" w:sz="2" w:space="0" w:color="auto"/>
              <w:right w:val="nil"/>
            </w:tcBorders>
            <w:shd w:val="clear" w:color="auto" w:fill="auto"/>
            <w:noWrap/>
            <w:vAlign w:val="center"/>
            <w:hideMark/>
          </w:tcPr>
          <w:p w14:paraId="4E389A26" w14:textId="77777777" w:rsidR="005759FA" w:rsidRPr="003A115E" w:rsidRDefault="005759FA" w:rsidP="005759FA">
            <w:pPr>
              <w:jc w:val="right"/>
              <w:rPr>
                <w:rFonts w:ascii="Arial Narrow" w:hAnsi="Arial Narrow"/>
                <w:sz w:val="18"/>
                <w:szCs w:val="18"/>
              </w:rPr>
            </w:pPr>
            <w:r>
              <w:rPr>
                <w:rFonts w:ascii="Arial Narrow" w:hAnsi="Arial Narrow"/>
                <w:sz w:val="18"/>
              </w:rPr>
              <w:t>15.497</w:t>
            </w:r>
          </w:p>
        </w:tc>
        <w:tc>
          <w:tcPr>
            <w:tcW w:w="682" w:type="pct"/>
            <w:tcBorders>
              <w:top w:val="single" w:sz="2" w:space="0" w:color="auto"/>
              <w:left w:val="nil"/>
              <w:bottom w:val="single" w:sz="2" w:space="0" w:color="auto"/>
              <w:right w:val="nil"/>
            </w:tcBorders>
            <w:shd w:val="clear" w:color="auto" w:fill="auto"/>
            <w:noWrap/>
            <w:vAlign w:val="center"/>
            <w:hideMark/>
          </w:tcPr>
          <w:p w14:paraId="6C7E807D" w14:textId="77777777" w:rsidR="005759FA" w:rsidRPr="003A115E" w:rsidRDefault="005759FA" w:rsidP="005759FA">
            <w:pPr>
              <w:jc w:val="right"/>
              <w:rPr>
                <w:rFonts w:ascii="Arial Narrow" w:hAnsi="Arial Narrow"/>
                <w:sz w:val="18"/>
                <w:szCs w:val="18"/>
              </w:rPr>
            </w:pPr>
            <w:r>
              <w:rPr>
                <w:rFonts w:ascii="Arial Narrow" w:hAnsi="Arial Narrow"/>
                <w:sz w:val="18"/>
              </w:rPr>
              <w:t>16.671.301</w:t>
            </w:r>
          </w:p>
        </w:tc>
        <w:tc>
          <w:tcPr>
            <w:tcW w:w="530" w:type="pct"/>
            <w:tcBorders>
              <w:top w:val="single" w:sz="2" w:space="0" w:color="auto"/>
              <w:left w:val="nil"/>
              <w:bottom w:val="single" w:sz="2" w:space="0" w:color="auto"/>
              <w:right w:val="nil"/>
            </w:tcBorders>
            <w:shd w:val="clear" w:color="auto" w:fill="auto"/>
            <w:vAlign w:val="center"/>
            <w:hideMark/>
          </w:tcPr>
          <w:p w14:paraId="4C142FB3" w14:textId="237F4540" w:rsidR="005759FA" w:rsidRPr="003A115E" w:rsidRDefault="005759FA" w:rsidP="005C5EDC">
            <w:pPr>
              <w:jc w:val="right"/>
              <w:rPr>
                <w:rFonts w:ascii="Arial Narrow" w:hAnsi="Arial Narrow"/>
                <w:sz w:val="18"/>
                <w:szCs w:val="18"/>
              </w:rPr>
            </w:pPr>
            <w:r>
              <w:rPr>
                <w:rFonts w:ascii="Arial Narrow" w:hAnsi="Arial Narrow"/>
                <w:sz w:val="18"/>
              </w:rPr>
              <w:t>15.697.565</w:t>
            </w:r>
          </w:p>
        </w:tc>
        <w:tc>
          <w:tcPr>
            <w:tcW w:w="531" w:type="pct"/>
            <w:tcBorders>
              <w:top w:val="single" w:sz="2" w:space="0" w:color="auto"/>
              <w:left w:val="nil"/>
              <w:bottom w:val="single" w:sz="2" w:space="0" w:color="auto"/>
              <w:right w:val="nil"/>
            </w:tcBorders>
            <w:shd w:val="clear" w:color="auto" w:fill="auto"/>
            <w:noWrap/>
            <w:vAlign w:val="center"/>
            <w:hideMark/>
          </w:tcPr>
          <w:p w14:paraId="3D76BC45" w14:textId="77777777" w:rsidR="005759FA" w:rsidRPr="003A115E" w:rsidRDefault="005759FA" w:rsidP="005759FA">
            <w:pPr>
              <w:jc w:val="right"/>
              <w:rPr>
                <w:rFonts w:ascii="Arial Narrow" w:hAnsi="Arial Narrow"/>
                <w:sz w:val="18"/>
                <w:szCs w:val="18"/>
              </w:rPr>
            </w:pPr>
            <w:r>
              <w:rPr>
                <w:rFonts w:ascii="Arial Narrow" w:hAnsi="Arial Narrow"/>
                <w:sz w:val="18"/>
              </w:rPr>
              <w:t>112</w:t>
            </w:r>
          </w:p>
        </w:tc>
        <w:tc>
          <w:tcPr>
            <w:tcW w:w="606" w:type="pct"/>
            <w:tcBorders>
              <w:top w:val="single" w:sz="2" w:space="0" w:color="auto"/>
              <w:left w:val="nil"/>
              <w:bottom w:val="single" w:sz="2" w:space="0" w:color="auto"/>
              <w:right w:val="nil"/>
            </w:tcBorders>
            <w:shd w:val="clear" w:color="auto" w:fill="auto"/>
            <w:vAlign w:val="center"/>
            <w:hideMark/>
          </w:tcPr>
          <w:p w14:paraId="0F217F88"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13263D6E"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12AFC731"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1210E33B" w14:textId="77777777" w:rsidR="005759FA" w:rsidRPr="003A115E" w:rsidRDefault="005759FA" w:rsidP="005759FA">
            <w:pPr>
              <w:rPr>
                <w:rFonts w:ascii="Arial Narrow" w:hAnsi="Arial Narrow"/>
                <w:sz w:val="18"/>
                <w:szCs w:val="18"/>
              </w:rPr>
            </w:pPr>
            <w:r>
              <w:rPr>
                <w:rFonts w:ascii="Arial Narrow" w:hAnsi="Arial Narrow"/>
                <w:sz w:val="18"/>
              </w:rPr>
              <w:t>Tafalla</w:t>
            </w:r>
          </w:p>
        </w:tc>
        <w:tc>
          <w:tcPr>
            <w:tcW w:w="531" w:type="pct"/>
            <w:tcBorders>
              <w:top w:val="single" w:sz="2" w:space="0" w:color="auto"/>
              <w:left w:val="nil"/>
              <w:bottom w:val="single" w:sz="2" w:space="0" w:color="auto"/>
              <w:right w:val="nil"/>
            </w:tcBorders>
            <w:shd w:val="clear" w:color="auto" w:fill="auto"/>
            <w:noWrap/>
            <w:vAlign w:val="center"/>
            <w:hideMark/>
          </w:tcPr>
          <w:p w14:paraId="2CEA1205" w14:textId="77777777" w:rsidR="005759FA" w:rsidRPr="003A115E" w:rsidRDefault="005759FA" w:rsidP="005759FA">
            <w:pPr>
              <w:jc w:val="right"/>
              <w:rPr>
                <w:rFonts w:ascii="Arial Narrow" w:hAnsi="Arial Narrow"/>
                <w:sz w:val="18"/>
                <w:szCs w:val="18"/>
              </w:rPr>
            </w:pPr>
            <w:r>
              <w:rPr>
                <w:rFonts w:ascii="Arial Narrow" w:hAnsi="Arial Narrow"/>
                <w:sz w:val="18"/>
              </w:rPr>
              <w:t>2024/02/01</w:t>
            </w:r>
          </w:p>
        </w:tc>
        <w:tc>
          <w:tcPr>
            <w:tcW w:w="531" w:type="pct"/>
            <w:tcBorders>
              <w:top w:val="single" w:sz="2" w:space="0" w:color="auto"/>
              <w:left w:val="nil"/>
              <w:bottom w:val="single" w:sz="2" w:space="0" w:color="auto"/>
              <w:right w:val="nil"/>
            </w:tcBorders>
            <w:shd w:val="clear" w:color="auto" w:fill="auto"/>
            <w:noWrap/>
            <w:vAlign w:val="center"/>
            <w:hideMark/>
          </w:tcPr>
          <w:p w14:paraId="2AC21D83" w14:textId="77777777" w:rsidR="005759FA" w:rsidRPr="003A115E" w:rsidRDefault="005759FA" w:rsidP="005759FA">
            <w:pPr>
              <w:jc w:val="right"/>
              <w:rPr>
                <w:rFonts w:ascii="Arial Narrow" w:hAnsi="Arial Narrow"/>
                <w:sz w:val="18"/>
                <w:szCs w:val="18"/>
              </w:rPr>
            </w:pPr>
            <w:r>
              <w:rPr>
                <w:rFonts w:ascii="Arial Narrow" w:hAnsi="Arial Narrow"/>
                <w:sz w:val="18"/>
              </w:rPr>
              <w:t>10.576</w:t>
            </w:r>
          </w:p>
        </w:tc>
        <w:tc>
          <w:tcPr>
            <w:tcW w:w="682" w:type="pct"/>
            <w:tcBorders>
              <w:top w:val="single" w:sz="2" w:space="0" w:color="auto"/>
              <w:left w:val="nil"/>
              <w:bottom w:val="single" w:sz="2" w:space="0" w:color="auto"/>
              <w:right w:val="nil"/>
            </w:tcBorders>
            <w:shd w:val="clear" w:color="auto" w:fill="auto"/>
            <w:noWrap/>
            <w:vAlign w:val="center"/>
            <w:hideMark/>
          </w:tcPr>
          <w:p w14:paraId="73F3004E" w14:textId="77777777" w:rsidR="005759FA" w:rsidRPr="003A115E" w:rsidRDefault="005759FA" w:rsidP="005759FA">
            <w:pPr>
              <w:jc w:val="right"/>
              <w:rPr>
                <w:rFonts w:ascii="Arial Narrow" w:hAnsi="Arial Narrow"/>
                <w:sz w:val="18"/>
                <w:szCs w:val="18"/>
              </w:rPr>
            </w:pPr>
            <w:r>
              <w:rPr>
                <w:rFonts w:ascii="Arial Narrow" w:hAnsi="Arial Narrow"/>
                <w:sz w:val="18"/>
              </w:rPr>
              <w:t>12.193.044</w:t>
            </w:r>
          </w:p>
        </w:tc>
        <w:tc>
          <w:tcPr>
            <w:tcW w:w="530" w:type="pct"/>
            <w:tcBorders>
              <w:top w:val="single" w:sz="2" w:space="0" w:color="auto"/>
              <w:left w:val="nil"/>
              <w:bottom w:val="single" w:sz="2" w:space="0" w:color="auto"/>
              <w:right w:val="nil"/>
            </w:tcBorders>
            <w:shd w:val="clear" w:color="auto" w:fill="auto"/>
            <w:vAlign w:val="center"/>
            <w:hideMark/>
          </w:tcPr>
          <w:p w14:paraId="4C5FA8BF" w14:textId="167402B0" w:rsidR="005759FA" w:rsidRPr="003A115E" w:rsidRDefault="005759FA" w:rsidP="005C5EDC">
            <w:pPr>
              <w:jc w:val="right"/>
              <w:rPr>
                <w:rFonts w:ascii="Arial Narrow" w:hAnsi="Arial Narrow"/>
                <w:sz w:val="18"/>
                <w:szCs w:val="18"/>
              </w:rPr>
            </w:pPr>
            <w:r>
              <w:rPr>
                <w:rFonts w:ascii="Arial Narrow" w:hAnsi="Arial Narrow"/>
                <w:sz w:val="18"/>
              </w:rPr>
              <w:t>12.870.577</w:t>
            </w:r>
          </w:p>
        </w:tc>
        <w:tc>
          <w:tcPr>
            <w:tcW w:w="531" w:type="pct"/>
            <w:tcBorders>
              <w:top w:val="single" w:sz="2" w:space="0" w:color="auto"/>
              <w:left w:val="nil"/>
              <w:bottom w:val="single" w:sz="2" w:space="0" w:color="auto"/>
              <w:right w:val="nil"/>
            </w:tcBorders>
            <w:shd w:val="clear" w:color="auto" w:fill="auto"/>
            <w:vAlign w:val="center"/>
            <w:hideMark/>
          </w:tcPr>
          <w:p w14:paraId="0CD97D55" w14:textId="77777777" w:rsidR="005759FA" w:rsidRPr="003A115E" w:rsidRDefault="005759FA" w:rsidP="005759FA">
            <w:pPr>
              <w:jc w:val="right"/>
              <w:rPr>
                <w:rFonts w:ascii="Arial Narrow" w:hAnsi="Arial Narrow"/>
                <w:sz w:val="18"/>
                <w:szCs w:val="18"/>
              </w:rPr>
            </w:pPr>
            <w:r>
              <w:rPr>
                <w:rFonts w:ascii="Arial Narrow" w:hAnsi="Arial Narrow"/>
                <w:sz w:val="18"/>
              </w:rPr>
              <w:t>157</w:t>
            </w:r>
          </w:p>
        </w:tc>
        <w:tc>
          <w:tcPr>
            <w:tcW w:w="606" w:type="pct"/>
            <w:tcBorders>
              <w:top w:val="single" w:sz="2" w:space="0" w:color="auto"/>
              <w:left w:val="nil"/>
              <w:bottom w:val="single" w:sz="2" w:space="0" w:color="auto"/>
              <w:right w:val="nil"/>
            </w:tcBorders>
            <w:shd w:val="clear" w:color="auto" w:fill="auto"/>
            <w:vAlign w:val="center"/>
            <w:hideMark/>
          </w:tcPr>
          <w:p w14:paraId="0EA9E678"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26FB531A" w14:textId="77777777" w:rsidR="005759FA" w:rsidRPr="003A115E" w:rsidRDefault="005759FA" w:rsidP="005759FA">
            <w:pPr>
              <w:jc w:val="right"/>
              <w:rPr>
                <w:rFonts w:ascii="Arial Narrow" w:hAnsi="Arial Narrow"/>
                <w:sz w:val="18"/>
                <w:szCs w:val="18"/>
              </w:rPr>
            </w:pPr>
            <w:r>
              <w:rPr>
                <w:rFonts w:ascii="Arial Narrow" w:hAnsi="Arial Narrow"/>
                <w:sz w:val="18"/>
              </w:rPr>
              <w:t>Salbuespenekin (4)</w:t>
            </w:r>
          </w:p>
        </w:tc>
      </w:tr>
      <w:tr w:rsidR="00483F6E" w:rsidRPr="003A115E" w14:paraId="73980783"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7C7965DC" w14:textId="77777777" w:rsidR="005759FA" w:rsidRPr="003A115E" w:rsidRDefault="005759FA" w:rsidP="005759FA">
            <w:pPr>
              <w:rPr>
                <w:rFonts w:ascii="Arial Narrow" w:hAnsi="Arial Narrow"/>
                <w:sz w:val="18"/>
                <w:szCs w:val="18"/>
              </w:rPr>
            </w:pPr>
            <w:r>
              <w:rPr>
                <w:rFonts w:ascii="Arial Narrow" w:hAnsi="Arial Narrow"/>
                <w:sz w:val="18"/>
              </w:rPr>
              <w:t>Burlata</w:t>
            </w:r>
          </w:p>
        </w:tc>
        <w:tc>
          <w:tcPr>
            <w:tcW w:w="531" w:type="pct"/>
            <w:tcBorders>
              <w:top w:val="single" w:sz="2" w:space="0" w:color="auto"/>
              <w:left w:val="nil"/>
              <w:bottom w:val="single" w:sz="2" w:space="0" w:color="auto"/>
              <w:right w:val="nil"/>
            </w:tcBorders>
            <w:shd w:val="clear" w:color="auto" w:fill="auto"/>
            <w:noWrap/>
            <w:vAlign w:val="center"/>
            <w:hideMark/>
          </w:tcPr>
          <w:p w14:paraId="58459890" w14:textId="77777777" w:rsidR="005759FA" w:rsidRPr="003A115E" w:rsidRDefault="005759FA" w:rsidP="005759FA">
            <w:pPr>
              <w:jc w:val="right"/>
              <w:rPr>
                <w:rFonts w:ascii="Arial Narrow" w:hAnsi="Arial Narrow"/>
                <w:sz w:val="18"/>
                <w:szCs w:val="18"/>
              </w:rPr>
            </w:pPr>
            <w:r>
              <w:rPr>
                <w:rFonts w:ascii="Arial Narrow" w:hAnsi="Arial Narrow"/>
                <w:sz w:val="18"/>
              </w:rPr>
              <w:t>2024/02/08</w:t>
            </w:r>
          </w:p>
        </w:tc>
        <w:tc>
          <w:tcPr>
            <w:tcW w:w="531" w:type="pct"/>
            <w:tcBorders>
              <w:top w:val="single" w:sz="2" w:space="0" w:color="auto"/>
              <w:left w:val="nil"/>
              <w:bottom w:val="single" w:sz="2" w:space="0" w:color="auto"/>
              <w:right w:val="nil"/>
            </w:tcBorders>
            <w:shd w:val="clear" w:color="auto" w:fill="auto"/>
            <w:noWrap/>
            <w:vAlign w:val="center"/>
            <w:hideMark/>
          </w:tcPr>
          <w:p w14:paraId="00FABF08" w14:textId="77777777" w:rsidR="005759FA" w:rsidRPr="003A115E" w:rsidRDefault="005759FA" w:rsidP="005759FA">
            <w:pPr>
              <w:jc w:val="right"/>
              <w:rPr>
                <w:rFonts w:ascii="Arial Narrow" w:hAnsi="Arial Narrow"/>
                <w:sz w:val="18"/>
                <w:szCs w:val="18"/>
              </w:rPr>
            </w:pPr>
            <w:r>
              <w:rPr>
                <w:rFonts w:ascii="Arial Narrow" w:hAnsi="Arial Narrow"/>
                <w:sz w:val="18"/>
              </w:rPr>
              <w:t>20.398</w:t>
            </w:r>
          </w:p>
        </w:tc>
        <w:tc>
          <w:tcPr>
            <w:tcW w:w="682" w:type="pct"/>
            <w:tcBorders>
              <w:top w:val="single" w:sz="2" w:space="0" w:color="auto"/>
              <w:left w:val="nil"/>
              <w:bottom w:val="single" w:sz="2" w:space="0" w:color="auto"/>
              <w:right w:val="nil"/>
            </w:tcBorders>
            <w:shd w:val="clear" w:color="auto" w:fill="auto"/>
            <w:noWrap/>
            <w:vAlign w:val="center"/>
            <w:hideMark/>
          </w:tcPr>
          <w:p w14:paraId="2E7F4CE8" w14:textId="77777777" w:rsidR="005759FA" w:rsidRPr="003A115E" w:rsidRDefault="005759FA" w:rsidP="005759FA">
            <w:pPr>
              <w:jc w:val="right"/>
              <w:rPr>
                <w:rFonts w:ascii="Arial Narrow" w:hAnsi="Arial Narrow"/>
                <w:sz w:val="18"/>
                <w:szCs w:val="18"/>
              </w:rPr>
            </w:pPr>
            <w:r>
              <w:rPr>
                <w:rFonts w:ascii="Arial Narrow" w:hAnsi="Arial Narrow"/>
                <w:sz w:val="18"/>
              </w:rPr>
              <w:t>19.627.198</w:t>
            </w:r>
          </w:p>
        </w:tc>
        <w:tc>
          <w:tcPr>
            <w:tcW w:w="530" w:type="pct"/>
            <w:tcBorders>
              <w:top w:val="single" w:sz="2" w:space="0" w:color="auto"/>
              <w:left w:val="nil"/>
              <w:bottom w:val="single" w:sz="2" w:space="0" w:color="auto"/>
              <w:right w:val="nil"/>
            </w:tcBorders>
            <w:shd w:val="clear" w:color="auto" w:fill="auto"/>
            <w:vAlign w:val="center"/>
            <w:hideMark/>
          </w:tcPr>
          <w:p w14:paraId="64B62032" w14:textId="08DB76C1" w:rsidR="005759FA" w:rsidRPr="003A115E" w:rsidRDefault="005759FA" w:rsidP="005C5EDC">
            <w:pPr>
              <w:jc w:val="right"/>
              <w:rPr>
                <w:rFonts w:ascii="Arial Narrow" w:hAnsi="Arial Narrow"/>
                <w:sz w:val="18"/>
                <w:szCs w:val="18"/>
              </w:rPr>
            </w:pPr>
            <w:r>
              <w:rPr>
                <w:rFonts w:ascii="Arial Narrow" w:hAnsi="Arial Narrow"/>
                <w:sz w:val="18"/>
              </w:rPr>
              <w:t>20.073.129</w:t>
            </w:r>
          </w:p>
        </w:tc>
        <w:tc>
          <w:tcPr>
            <w:tcW w:w="531" w:type="pct"/>
            <w:tcBorders>
              <w:top w:val="single" w:sz="2" w:space="0" w:color="auto"/>
              <w:left w:val="nil"/>
              <w:bottom w:val="single" w:sz="2" w:space="0" w:color="auto"/>
              <w:right w:val="nil"/>
            </w:tcBorders>
            <w:shd w:val="clear" w:color="auto" w:fill="auto"/>
            <w:vAlign w:val="center"/>
            <w:hideMark/>
          </w:tcPr>
          <w:p w14:paraId="39FE012F" w14:textId="77777777" w:rsidR="005759FA" w:rsidRPr="003A115E" w:rsidRDefault="005759FA" w:rsidP="005759FA">
            <w:pPr>
              <w:jc w:val="right"/>
              <w:rPr>
                <w:rFonts w:ascii="Arial Narrow" w:hAnsi="Arial Narrow"/>
                <w:sz w:val="18"/>
                <w:szCs w:val="18"/>
              </w:rPr>
            </w:pPr>
            <w:r>
              <w:rPr>
                <w:rFonts w:ascii="Arial Narrow" w:hAnsi="Arial Narrow"/>
                <w:sz w:val="18"/>
              </w:rPr>
              <w:t>199</w:t>
            </w:r>
          </w:p>
        </w:tc>
        <w:tc>
          <w:tcPr>
            <w:tcW w:w="606" w:type="pct"/>
            <w:tcBorders>
              <w:top w:val="single" w:sz="2" w:space="0" w:color="auto"/>
              <w:left w:val="nil"/>
              <w:bottom w:val="single" w:sz="2" w:space="0" w:color="auto"/>
              <w:right w:val="nil"/>
            </w:tcBorders>
            <w:shd w:val="clear" w:color="auto" w:fill="auto"/>
            <w:vAlign w:val="center"/>
            <w:hideMark/>
          </w:tcPr>
          <w:p w14:paraId="60803027"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30C43E55" w14:textId="77777777" w:rsidR="005759FA" w:rsidRPr="003A115E" w:rsidRDefault="005759FA" w:rsidP="005759FA">
            <w:pPr>
              <w:jc w:val="right"/>
              <w:rPr>
                <w:rFonts w:ascii="Arial Narrow" w:hAnsi="Arial Narrow"/>
                <w:sz w:val="18"/>
                <w:szCs w:val="18"/>
              </w:rPr>
            </w:pPr>
            <w:r>
              <w:rPr>
                <w:rFonts w:ascii="Arial Narrow" w:hAnsi="Arial Narrow"/>
                <w:sz w:val="18"/>
              </w:rPr>
              <w:t>Salbuespenekin (1)</w:t>
            </w:r>
          </w:p>
        </w:tc>
      </w:tr>
      <w:tr w:rsidR="00483F6E" w:rsidRPr="003A115E" w14:paraId="3065CC75"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2A65151E" w14:textId="77777777" w:rsidR="005759FA" w:rsidRPr="003A115E" w:rsidRDefault="005759FA" w:rsidP="005759FA">
            <w:pPr>
              <w:rPr>
                <w:rFonts w:ascii="Arial Narrow" w:hAnsi="Arial Narrow"/>
                <w:sz w:val="18"/>
                <w:szCs w:val="18"/>
              </w:rPr>
            </w:pPr>
            <w:r>
              <w:rPr>
                <w:rFonts w:ascii="Arial Narrow" w:hAnsi="Arial Narrow"/>
                <w:sz w:val="18"/>
              </w:rPr>
              <w:t>Antsoain</w:t>
            </w:r>
          </w:p>
        </w:tc>
        <w:tc>
          <w:tcPr>
            <w:tcW w:w="531" w:type="pct"/>
            <w:tcBorders>
              <w:top w:val="single" w:sz="2" w:space="0" w:color="auto"/>
              <w:left w:val="nil"/>
              <w:bottom w:val="single" w:sz="2" w:space="0" w:color="auto"/>
              <w:right w:val="nil"/>
            </w:tcBorders>
            <w:shd w:val="clear" w:color="auto" w:fill="auto"/>
            <w:noWrap/>
            <w:vAlign w:val="center"/>
            <w:hideMark/>
          </w:tcPr>
          <w:p w14:paraId="02E7E25D" w14:textId="77777777" w:rsidR="005759FA" w:rsidRPr="003A115E" w:rsidRDefault="005759FA" w:rsidP="005759FA">
            <w:pPr>
              <w:jc w:val="right"/>
              <w:rPr>
                <w:rFonts w:ascii="Arial Narrow" w:hAnsi="Arial Narrow"/>
                <w:sz w:val="18"/>
                <w:szCs w:val="18"/>
              </w:rPr>
            </w:pPr>
            <w:r>
              <w:rPr>
                <w:rFonts w:ascii="Arial Narrow" w:hAnsi="Arial Narrow"/>
                <w:sz w:val="18"/>
              </w:rPr>
              <w:t>2024/02/13</w:t>
            </w:r>
          </w:p>
        </w:tc>
        <w:tc>
          <w:tcPr>
            <w:tcW w:w="531" w:type="pct"/>
            <w:tcBorders>
              <w:top w:val="single" w:sz="2" w:space="0" w:color="auto"/>
              <w:left w:val="nil"/>
              <w:bottom w:val="single" w:sz="2" w:space="0" w:color="auto"/>
              <w:right w:val="nil"/>
            </w:tcBorders>
            <w:shd w:val="clear" w:color="auto" w:fill="auto"/>
            <w:noWrap/>
            <w:vAlign w:val="center"/>
            <w:hideMark/>
          </w:tcPr>
          <w:p w14:paraId="14E3C1AF" w14:textId="77777777" w:rsidR="005759FA" w:rsidRPr="003A115E" w:rsidRDefault="005759FA" w:rsidP="005759FA">
            <w:pPr>
              <w:jc w:val="right"/>
              <w:rPr>
                <w:rFonts w:ascii="Arial Narrow" w:hAnsi="Arial Narrow"/>
                <w:sz w:val="18"/>
                <w:szCs w:val="18"/>
              </w:rPr>
            </w:pPr>
            <w:r>
              <w:rPr>
                <w:rFonts w:ascii="Arial Narrow" w:hAnsi="Arial Narrow"/>
                <w:sz w:val="18"/>
              </w:rPr>
              <w:t>10.588</w:t>
            </w:r>
          </w:p>
        </w:tc>
        <w:tc>
          <w:tcPr>
            <w:tcW w:w="682" w:type="pct"/>
            <w:tcBorders>
              <w:top w:val="single" w:sz="2" w:space="0" w:color="auto"/>
              <w:left w:val="nil"/>
              <w:bottom w:val="single" w:sz="2" w:space="0" w:color="auto"/>
              <w:right w:val="nil"/>
            </w:tcBorders>
            <w:shd w:val="clear" w:color="auto" w:fill="auto"/>
            <w:noWrap/>
            <w:vAlign w:val="center"/>
            <w:hideMark/>
          </w:tcPr>
          <w:p w14:paraId="008A1D63" w14:textId="77777777" w:rsidR="005759FA" w:rsidRPr="003A115E" w:rsidRDefault="005759FA" w:rsidP="005759FA">
            <w:pPr>
              <w:jc w:val="right"/>
              <w:rPr>
                <w:rFonts w:ascii="Arial Narrow" w:hAnsi="Arial Narrow"/>
                <w:sz w:val="18"/>
                <w:szCs w:val="18"/>
              </w:rPr>
            </w:pPr>
            <w:r>
              <w:rPr>
                <w:rFonts w:ascii="Arial Narrow" w:hAnsi="Arial Narrow"/>
                <w:sz w:val="18"/>
              </w:rPr>
              <w:t>10.554.029</w:t>
            </w:r>
          </w:p>
        </w:tc>
        <w:tc>
          <w:tcPr>
            <w:tcW w:w="530" w:type="pct"/>
            <w:tcBorders>
              <w:top w:val="single" w:sz="2" w:space="0" w:color="auto"/>
              <w:left w:val="nil"/>
              <w:bottom w:val="single" w:sz="2" w:space="0" w:color="auto"/>
              <w:right w:val="nil"/>
            </w:tcBorders>
            <w:shd w:val="clear" w:color="auto" w:fill="auto"/>
            <w:vAlign w:val="center"/>
            <w:hideMark/>
          </w:tcPr>
          <w:p w14:paraId="4D961C08" w14:textId="2AEDDFAB" w:rsidR="005759FA" w:rsidRPr="003A115E" w:rsidRDefault="005759FA" w:rsidP="005C5EDC">
            <w:pPr>
              <w:jc w:val="right"/>
              <w:rPr>
                <w:rFonts w:ascii="Arial Narrow" w:hAnsi="Arial Narrow"/>
                <w:sz w:val="18"/>
                <w:szCs w:val="18"/>
              </w:rPr>
            </w:pPr>
            <w:r>
              <w:rPr>
                <w:rFonts w:ascii="Arial Narrow" w:hAnsi="Arial Narrow"/>
                <w:sz w:val="18"/>
              </w:rPr>
              <w:t>9.920.444</w:t>
            </w:r>
          </w:p>
        </w:tc>
        <w:tc>
          <w:tcPr>
            <w:tcW w:w="531" w:type="pct"/>
            <w:tcBorders>
              <w:top w:val="single" w:sz="2" w:space="0" w:color="auto"/>
              <w:left w:val="nil"/>
              <w:bottom w:val="single" w:sz="2" w:space="0" w:color="auto"/>
              <w:right w:val="nil"/>
            </w:tcBorders>
            <w:shd w:val="clear" w:color="auto" w:fill="auto"/>
            <w:vAlign w:val="center"/>
            <w:hideMark/>
          </w:tcPr>
          <w:p w14:paraId="12BE3A2C" w14:textId="77777777" w:rsidR="005759FA" w:rsidRPr="003A115E" w:rsidRDefault="005759FA" w:rsidP="005759FA">
            <w:pPr>
              <w:jc w:val="right"/>
              <w:rPr>
                <w:rFonts w:ascii="Arial Narrow" w:hAnsi="Arial Narrow"/>
                <w:sz w:val="18"/>
                <w:szCs w:val="18"/>
              </w:rPr>
            </w:pPr>
            <w:r>
              <w:rPr>
                <w:rFonts w:ascii="Arial Narrow" w:hAnsi="Arial Narrow"/>
                <w:sz w:val="18"/>
              </w:rPr>
              <w:t>104</w:t>
            </w:r>
          </w:p>
        </w:tc>
        <w:tc>
          <w:tcPr>
            <w:tcW w:w="606" w:type="pct"/>
            <w:tcBorders>
              <w:top w:val="single" w:sz="2" w:space="0" w:color="auto"/>
              <w:left w:val="nil"/>
              <w:bottom w:val="single" w:sz="2" w:space="0" w:color="auto"/>
              <w:right w:val="nil"/>
            </w:tcBorders>
            <w:shd w:val="clear" w:color="auto" w:fill="auto"/>
            <w:vAlign w:val="center"/>
            <w:hideMark/>
          </w:tcPr>
          <w:p w14:paraId="26CA7211"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3F86C5FA" w14:textId="77777777" w:rsidR="005759FA" w:rsidRPr="003A115E" w:rsidRDefault="005759FA" w:rsidP="005759FA">
            <w:pPr>
              <w:jc w:val="right"/>
              <w:rPr>
                <w:rFonts w:ascii="Arial Narrow" w:hAnsi="Arial Narrow"/>
                <w:sz w:val="18"/>
                <w:szCs w:val="18"/>
              </w:rPr>
            </w:pPr>
            <w:r>
              <w:rPr>
                <w:rFonts w:ascii="Arial Narrow" w:hAnsi="Arial Narrow"/>
                <w:sz w:val="18"/>
              </w:rPr>
              <w:t>Salbuespenekin (1)</w:t>
            </w:r>
          </w:p>
        </w:tc>
      </w:tr>
      <w:tr w:rsidR="00483F6E" w:rsidRPr="003A115E" w14:paraId="3BE1D1A8"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4C6166AA" w14:textId="77777777" w:rsidR="005759FA" w:rsidRPr="003A115E" w:rsidRDefault="005759FA" w:rsidP="005759FA">
            <w:pPr>
              <w:rPr>
                <w:rFonts w:ascii="Arial Narrow" w:hAnsi="Arial Narrow"/>
                <w:sz w:val="18"/>
                <w:szCs w:val="18"/>
              </w:rPr>
            </w:pPr>
            <w:r>
              <w:rPr>
                <w:rFonts w:ascii="Arial Narrow" w:hAnsi="Arial Narrow"/>
                <w:sz w:val="18"/>
              </w:rPr>
              <w:t>Atarrabia</w:t>
            </w:r>
          </w:p>
        </w:tc>
        <w:tc>
          <w:tcPr>
            <w:tcW w:w="531" w:type="pct"/>
            <w:tcBorders>
              <w:top w:val="single" w:sz="2" w:space="0" w:color="auto"/>
              <w:left w:val="nil"/>
              <w:bottom w:val="single" w:sz="2" w:space="0" w:color="auto"/>
              <w:right w:val="nil"/>
            </w:tcBorders>
            <w:shd w:val="clear" w:color="auto" w:fill="auto"/>
            <w:noWrap/>
            <w:vAlign w:val="center"/>
            <w:hideMark/>
          </w:tcPr>
          <w:p w14:paraId="4FAC7082" w14:textId="77777777" w:rsidR="005759FA" w:rsidRPr="003A115E" w:rsidRDefault="005759FA" w:rsidP="005759FA">
            <w:pPr>
              <w:jc w:val="right"/>
              <w:rPr>
                <w:rFonts w:ascii="Arial Narrow" w:hAnsi="Arial Narrow"/>
                <w:sz w:val="18"/>
                <w:szCs w:val="18"/>
              </w:rPr>
            </w:pPr>
            <w:r>
              <w:rPr>
                <w:rFonts w:ascii="Arial Narrow" w:hAnsi="Arial Narrow"/>
                <w:sz w:val="18"/>
              </w:rPr>
              <w:t>2024/02/15</w:t>
            </w:r>
          </w:p>
        </w:tc>
        <w:tc>
          <w:tcPr>
            <w:tcW w:w="531" w:type="pct"/>
            <w:tcBorders>
              <w:top w:val="single" w:sz="2" w:space="0" w:color="auto"/>
              <w:left w:val="nil"/>
              <w:bottom w:val="single" w:sz="2" w:space="0" w:color="auto"/>
              <w:right w:val="nil"/>
            </w:tcBorders>
            <w:shd w:val="clear" w:color="auto" w:fill="auto"/>
            <w:noWrap/>
            <w:vAlign w:val="center"/>
            <w:hideMark/>
          </w:tcPr>
          <w:p w14:paraId="25650285" w14:textId="77777777" w:rsidR="005759FA" w:rsidRPr="003A115E" w:rsidRDefault="005759FA" w:rsidP="005759FA">
            <w:pPr>
              <w:jc w:val="right"/>
              <w:rPr>
                <w:rFonts w:ascii="Arial Narrow" w:hAnsi="Arial Narrow"/>
                <w:sz w:val="18"/>
                <w:szCs w:val="18"/>
              </w:rPr>
            </w:pPr>
            <w:r>
              <w:rPr>
                <w:rFonts w:ascii="Arial Narrow" w:hAnsi="Arial Narrow"/>
                <w:sz w:val="18"/>
              </w:rPr>
              <w:t>10.022</w:t>
            </w:r>
          </w:p>
        </w:tc>
        <w:tc>
          <w:tcPr>
            <w:tcW w:w="682" w:type="pct"/>
            <w:tcBorders>
              <w:top w:val="single" w:sz="2" w:space="0" w:color="auto"/>
              <w:left w:val="nil"/>
              <w:bottom w:val="single" w:sz="2" w:space="0" w:color="auto"/>
              <w:right w:val="nil"/>
            </w:tcBorders>
            <w:shd w:val="clear" w:color="auto" w:fill="auto"/>
            <w:noWrap/>
            <w:vAlign w:val="center"/>
            <w:hideMark/>
          </w:tcPr>
          <w:p w14:paraId="2F1E733F" w14:textId="77777777" w:rsidR="005759FA" w:rsidRPr="003A115E" w:rsidRDefault="005759FA" w:rsidP="005759FA">
            <w:pPr>
              <w:jc w:val="right"/>
              <w:rPr>
                <w:rFonts w:ascii="Arial Narrow" w:hAnsi="Arial Narrow"/>
                <w:sz w:val="18"/>
                <w:szCs w:val="18"/>
              </w:rPr>
            </w:pPr>
            <w:r>
              <w:rPr>
                <w:rFonts w:ascii="Arial Narrow" w:hAnsi="Arial Narrow"/>
                <w:sz w:val="18"/>
              </w:rPr>
              <w:t>10.815.719</w:t>
            </w:r>
          </w:p>
        </w:tc>
        <w:tc>
          <w:tcPr>
            <w:tcW w:w="530" w:type="pct"/>
            <w:tcBorders>
              <w:top w:val="single" w:sz="2" w:space="0" w:color="auto"/>
              <w:left w:val="nil"/>
              <w:bottom w:val="single" w:sz="2" w:space="0" w:color="auto"/>
              <w:right w:val="nil"/>
            </w:tcBorders>
            <w:shd w:val="clear" w:color="auto" w:fill="auto"/>
            <w:vAlign w:val="center"/>
            <w:hideMark/>
          </w:tcPr>
          <w:p w14:paraId="3E3803F0" w14:textId="5E3BA10F" w:rsidR="005759FA" w:rsidRPr="003A115E" w:rsidRDefault="005759FA" w:rsidP="005C5EDC">
            <w:pPr>
              <w:jc w:val="right"/>
              <w:rPr>
                <w:rFonts w:ascii="Arial Narrow" w:hAnsi="Arial Narrow"/>
                <w:sz w:val="18"/>
                <w:szCs w:val="18"/>
              </w:rPr>
            </w:pPr>
            <w:r>
              <w:rPr>
                <w:rFonts w:ascii="Arial Narrow" w:hAnsi="Arial Narrow"/>
                <w:sz w:val="18"/>
              </w:rPr>
              <w:t>9.188.381</w:t>
            </w:r>
          </w:p>
        </w:tc>
        <w:tc>
          <w:tcPr>
            <w:tcW w:w="531" w:type="pct"/>
            <w:tcBorders>
              <w:top w:val="single" w:sz="2" w:space="0" w:color="auto"/>
              <w:left w:val="nil"/>
              <w:bottom w:val="single" w:sz="2" w:space="0" w:color="auto"/>
              <w:right w:val="nil"/>
            </w:tcBorders>
            <w:shd w:val="clear" w:color="auto" w:fill="auto"/>
            <w:vAlign w:val="center"/>
            <w:hideMark/>
          </w:tcPr>
          <w:p w14:paraId="05FBF60B" w14:textId="77777777" w:rsidR="005759FA" w:rsidRPr="003A115E" w:rsidRDefault="005759FA" w:rsidP="005759FA">
            <w:pPr>
              <w:jc w:val="right"/>
              <w:rPr>
                <w:rFonts w:ascii="Arial Narrow" w:hAnsi="Arial Narrow"/>
                <w:sz w:val="18"/>
                <w:szCs w:val="18"/>
              </w:rPr>
            </w:pPr>
            <w:r>
              <w:rPr>
                <w:rFonts w:ascii="Arial Narrow" w:hAnsi="Arial Narrow"/>
                <w:sz w:val="18"/>
              </w:rPr>
              <w:t>113</w:t>
            </w:r>
          </w:p>
        </w:tc>
        <w:tc>
          <w:tcPr>
            <w:tcW w:w="606" w:type="pct"/>
            <w:tcBorders>
              <w:top w:val="single" w:sz="2" w:space="0" w:color="auto"/>
              <w:left w:val="nil"/>
              <w:bottom w:val="single" w:sz="2" w:space="0" w:color="auto"/>
              <w:right w:val="nil"/>
            </w:tcBorders>
            <w:shd w:val="clear" w:color="auto" w:fill="auto"/>
            <w:vAlign w:val="center"/>
            <w:hideMark/>
          </w:tcPr>
          <w:p w14:paraId="2E1AAE08"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50933EEC" w14:textId="77777777" w:rsidR="005759FA" w:rsidRPr="003A115E" w:rsidRDefault="005759FA" w:rsidP="005759FA">
            <w:pPr>
              <w:jc w:val="right"/>
              <w:rPr>
                <w:rFonts w:ascii="Arial Narrow" w:hAnsi="Arial Narrow"/>
                <w:sz w:val="18"/>
                <w:szCs w:val="18"/>
              </w:rPr>
            </w:pPr>
            <w:r>
              <w:rPr>
                <w:rFonts w:ascii="Arial Narrow" w:hAnsi="Arial Narrow"/>
                <w:sz w:val="18"/>
              </w:rPr>
              <w:t>Salbuespenekin (3)</w:t>
            </w:r>
          </w:p>
        </w:tc>
      </w:tr>
      <w:tr w:rsidR="00483F6E" w:rsidRPr="003A115E" w14:paraId="1333143C"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6134DF6A" w14:textId="77777777" w:rsidR="005759FA" w:rsidRPr="003A115E" w:rsidRDefault="005759FA" w:rsidP="005759FA">
            <w:pPr>
              <w:rPr>
                <w:rFonts w:ascii="Arial Narrow" w:hAnsi="Arial Narrow"/>
                <w:sz w:val="18"/>
                <w:szCs w:val="18"/>
              </w:rPr>
            </w:pPr>
            <w:r>
              <w:rPr>
                <w:rFonts w:ascii="Arial Narrow" w:hAnsi="Arial Narrow"/>
                <w:sz w:val="18"/>
              </w:rPr>
              <w:t>Barañain</w:t>
            </w:r>
          </w:p>
        </w:tc>
        <w:tc>
          <w:tcPr>
            <w:tcW w:w="531" w:type="pct"/>
            <w:tcBorders>
              <w:top w:val="single" w:sz="2" w:space="0" w:color="auto"/>
              <w:left w:val="nil"/>
              <w:bottom w:val="single" w:sz="2" w:space="0" w:color="auto"/>
              <w:right w:val="nil"/>
            </w:tcBorders>
            <w:shd w:val="clear" w:color="auto" w:fill="auto"/>
            <w:noWrap/>
            <w:vAlign w:val="center"/>
            <w:hideMark/>
          </w:tcPr>
          <w:p w14:paraId="446BC6FD" w14:textId="77777777" w:rsidR="005759FA" w:rsidRPr="003A115E" w:rsidRDefault="005759FA" w:rsidP="005759FA">
            <w:pPr>
              <w:jc w:val="right"/>
              <w:rPr>
                <w:rFonts w:ascii="Arial Narrow" w:hAnsi="Arial Narrow"/>
                <w:sz w:val="18"/>
                <w:szCs w:val="18"/>
              </w:rPr>
            </w:pPr>
            <w:r>
              <w:rPr>
                <w:rFonts w:ascii="Arial Narrow" w:hAnsi="Arial Narrow"/>
                <w:sz w:val="18"/>
              </w:rPr>
              <w:t>2024/02/28</w:t>
            </w:r>
          </w:p>
        </w:tc>
        <w:tc>
          <w:tcPr>
            <w:tcW w:w="531" w:type="pct"/>
            <w:tcBorders>
              <w:top w:val="single" w:sz="2" w:space="0" w:color="auto"/>
              <w:left w:val="nil"/>
              <w:bottom w:val="single" w:sz="2" w:space="0" w:color="auto"/>
              <w:right w:val="nil"/>
            </w:tcBorders>
            <w:shd w:val="clear" w:color="auto" w:fill="auto"/>
            <w:noWrap/>
            <w:vAlign w:val="center"/>
            <w:hideMark/>
          </w:tcPr>
          <w:p w14:paraId="75BDBDCF" w14:textId="77777777" w:rsidR="005759FA" w:rsidRPr="003A115E" w:rsidRDefault="005759FA" w:rsidP="005759FA">
            <w:pPr>
              <w:jc w:val="right"/>
              <w:rPr>
                <w:rFonts w:ascii="Arial Narrow" w:hAnsi="Arial Narrow"/>
                <w:sz w:val="18"/>
                <w:szCs w:val="18"/>
              </w:rPr>
            </w:pPr>
            <w:r>
              <w:rPr>
                <w:rFonts w:ascii="Arial Narrow" w:hAnsi="Arial Narrow"/>
                <w:sz w:val="18"/>
              </w:rPr>
              <w:t>19.537</w:t>
            </w:r>
          </w:p>
        </w:tc>
        <w:tc>
          <w:tcPr>
            <w:tcW w:w="682" w:type="pct"/>
            <w:tcBorders>
              <w:top w:val="single" w:sz="2" w:space="0" w:color="auto"/>
              <w:left w:val="nil"/>
              <w:bottom w:val="single" w:sz="2" w:space="0" w:color="auto"/>
              <w:right w:val="nil"/>
            </w:tcBorders>
            <w:shd w:val="clear" w:color="auto" w:fill="auto"/>
            <w:noWrap/>
            <w:vAlign w:val="center"/>
            <w:hideMark/>
          </w:tcPr>
          <w:p w14:paraId="0B27AF9B" w14:textId="77777777" w:rsidR="005759FA" w:rsidRPr="003A115E" w:rsidRDefault="005759FA" w:rsidP="005759FA">
            <w:pPr>
              <w:jc w:val="right"/>
              <w:rPr>
                <w:rFonts w:ascii="Arial Narrow" w:hAnsi="Arial Narrow"/>
                <w:sz w:val="18"/>
                <w:szCs w:val="18"/>
              </w:rPr>
            </w:pPr>
            <w:r>
              <w:rPr>
                <w:rFonts w:ascii="Arial Narrow" w:hAnsi="Arial Narrow"/>
                <w:sz w:val="18"/>
              </w:rPr>
              <w:t>19.991.994</w:t>
            </w:r>
          </w:p>
        </w:tc>
        <w:tc>
          <w:tcPr>
            <w:tcW w:w="530" w:type="pct"/>
            <w:tcBorders>
              <w:top w:val="single" w:sz="2" w:space="0" w:color="auto"/>
              <w:left w:val="nil"/>
              <w:bottom w:val="single" w:sz="2" w:space="0" w:color="auto"/>
              <w:right w:val="nil"/>
            </w:tcBorders>
            <w:shd w:val="clear" w:color="auto" w:fill="auto"/>
            <w:vAlign w:val="center"/>
            <w:hideMark/>
          </w:tcPr>
          <w:p w14:paraId="0C887519" w14:textId="523FD7CB" w:rsidR="005759FA" w:rsidRPr="003A115E" w:rsidRDefault="005759FA" w:rsidP="005C5EDC">
            <w:pPr>
              <w:jc w:val="right"/>
              <w:rPr>
                <w:rFonts w:ascii="Arial Narrow" w:hAnsi="Arial Narrow"/>
                <w:sz w:val="18"/>
                <w:szCs w:val="18"/>
              </w:rPr>
            </w:pPr>
            <w:r>
              <w:rPr>
                <w:rFonts w:ascii="Arial Narrow" w:hAnsi="Arial Narrow"/>
                <w:sz w:val="18"/>
              </w:rPr>
              <w:t>21.293.896</w:t>
            </w:r>
          </w:p>
        </w:tc>
        <w:tc>
          <w:tcPr>
            <w:tcW w:w="531" w:type="pct"/>
            <w:tcBorders>
              <w:top w:val="single" w:sz="2" w:space="0" w:color="auto"/>
              <w:left w:val="nil"/>
              <w:bottom w:val="single" w:sz="2" w:space="0" w:color="auto"/>
              <w:right w:val="nil"/>
            </w:tcBorders>
            <w:shd w:val="clear" w:color="auto" w:fill="auto"/>
            <w:vAlign w:val="center"/>
            <w:hideMark/>
          </w:tcPr>
          <w:p w14:paraId="6A0104DD" w14:textId="77777777" w:rsidR="005759FA" w:rsidRPr="003A115E" w:rsidRDefault="005759FA" w:rsidP="005759FA">
            <w:pPr>
              <w:jc w:val="right"/>
              <w:rPr>
                <w:rFonts w:ascii="Arial Narrow" w:hAnsi="Arial Narrow"/>
                <w:sz w:val="18"/>
                <w:szCs w:val="18"/>
              </w:rPr>
            </w:pPr>
            <w:r>
              <w:rPr>
                <w:rFonts w:ascii="Arial Narrow" w:hAnsi="Arial Narrow"/>
                <w:sz w:val="18"/>
              </w:rPr>
              <w:t>184</w:t>
            </w:r>
          </w:p>
        </w:tc>
        <w:tc>
          <w:tcPr>
            <w:tcW w:w="606" w:type="pct"/>
            <w:tcBorders>
              <w:top w:val="single" w:sz="2" w:space="0" w:color="auto"/>
              <w:left w:val="nil"/>
              <w:bottom w:val="single" w:sz="2" w:space="0" w:color="auto"/>
              <w:right w:val="nil"/>
            </w:tcBorders>
            <w:shd w:val="clear" w:color="auto" w:fill="auto"/>
            <w:vAlign w:val="center"/>
            <w:hideMark/>
          </w:tcPr>
          <w:p w14:paraId="442488BF" w14:textId="77777777" w:rsidR="005759FA" w:rsidRPr="003A115E" w:rsidRDefault="005759FA" w:rsidP="005759FA">
            <w:pPr>
              <w:jc w:val="right"/>
              <w:rPr>
                <w:rFonts w:ascii="Arial Narrow" w:hAnsi="Arial Narrow"/>
                <w:sz w:val="18"/>
                <w:szCs w:val="18"/>
              </w:rPr>
            </w:pPr>
            <w:r>
              <w:rPr>
                <w:rFonts w:ascii="Arial Narrow" w:hAnsi="Arial Narrow"/>
                <w:sz w:val="18"/>
              </w:rPr>
              <w:t>-</w:t>
            </w:r>
          </w:p>
        </w:tc>
        <w:tc>
          <w:tcPr>
            <w:tcW w:w="833" w:type="pct"/>
            <w:tcBorders>
              <w:top w:val="single" w:sz="2" w:space="0" w:color="auto"/>
              <w:left w:val="nil"/>
              <w:bottom w:val="single" w:sz="2" w:space="0" w:color="auto"/>
              <w:right w:val="nil"/>
            </w:tcBorders>
            <w:shd w:val="clear" w:color="auto" w:fill="auto"/>
            <w:vAlign w:val="center"/>
            <w:hideMark/>
          </w:tcPr>
          <w:p w14:paraId="489EE7E5" w14:textId="77777777" w:rsidR="005759FA" w:rsidRPr="003A115E" w:rsidRDefault="005759FA" w:rsidP="005759FA">
            <w:pPr>
              <w:jc w:val="right"/>
              <w:rPr>
                <w:rFonts w:ascii="Arial Narrow" w:hAnsi="Arial Narrow"/>
                <w:sz w:val="18"/>
                <w:szCs w:val="18"/>
              </w:rPr>
            </w:pPr>
            <w:r>
              <w:rPr>
                <w:rFonts w:ascii="Arial Narrow" w:hAnsi="Arial Narrow"/>
                <w:sz w:val="18"/>
              </w:rPr>
              <w:t>Salbuespenekin (2)</w:t>
            </w:r>
          </w:p>
        </w:tc>
      </w:tr>
      <w:tr w:rsidR="00483F6E" w:rsidRPr="003A115E" w14:paraId="46E1AB3F" w14:textId="77777777" w:rsidTr="00483F6E">
        <w:trPr>
          <w:trHeight w:val="198"/>
          <w:jc w:val="center"/>
        </w:trPr>
        <w:tc>
          <w:tcPr>
            <w:tcW w:w="756" w:type="pct"/>
            <w:tcBorders>
              <w:top w:val="single" w:sz="2" w:space="0" w:color="auto"/>
              <w:left w:val="nil"/>
              <w:bottom w:val="single" w:sz="4" w:space="0" w:color="auto"/>
              <w:right w:val="nil"/>
            </w:tcBorders>
            <w:shd w:val="clear" w:color="auto" w:fill="auto"/>
            <w:vAlign w:val="center"/>
            <w:hideMark/>
          </w:tcPr>
          <w:p w14:paraId="299C05AF" w14:textId="77777777" w:rsidR="005759FA" w:rsidRPr="003A115E" w:rsidRDefault="005759FA" w:rsidP="005759FA">
            <w:pPr>
              <w:rPr>
                <w:rFonts w:ascii="Arial Narrow" w:hAnsi="Arial Narrow"/>
                <w:sz w:val="18"/>
                <w:szCs w:val="18"/>
              </w:rPr>
            </w:pPr>
            <w:r>
              <w:rPr>
                <w:rFonts w:ascii="Arial Narrow" w:hAnsi="Arial Narrow"/>
                <w:sz w:val="18"/>
              </w:rPr>
              <w:t>Corella</w:t>
            </w:r>
          </w:p>
        </w:tc>
        <w:tc>
          <w:tcPr>
            <w:tcW w:w="531" w:type="pct"/>
            <w:tcBorders>
              <w:top w:val="single" w:sz="2" w:space="0" w:color="auto"/>
              <w:left w:val="nil"/>
              <w:bottom w:val="single" w:sz="4" w:space="0" w:color="auto"/>
              <w:right w:val="nil"/>
            </w:tcBorders>
            <w:shd w:val="clear" w:color="auto" w:fill="auto"/>
            <w:noWrap/>
            <w:vAlign w:val="center"/>
            <w:hideMark/>
          </w:tcPr>
          <w:p w14:paraId="6192D3C7" w14:textId="77777777" w:rsidR="005759FA" w:rsidRPr="003A115E" w:rsidRDefault="005759FA" w:rsidP="005759FA">
            <w:pPr>
              <w:jc w:val="right"/>
              <w:rPr>
                <w:rFonts w:ascii="Arial Narrow" w:hAnsi="Arial Narrow"/>
                <w:sz w:val="18"/>
                <w:szCs w:val="18"/>
              </w:rPr>
            </w:pPr>
            <w:r>
              <w:rPr>
                <w:rFonts w:ascii="Arial Narrow" w:hAnsi="Arial Narrow"/>
                <w:sz w:val="18"/>
              </w:rPr>
              <w:t>2024/07/02</w:t>
            </w:r>
          </w:p>
        </w:tc>
        <w:tc>
          <w:tcPr>
            <w:tcW w:w="531" w:type="pct"/>
            <w:tcBorders>
              <w:top w:val="single" w:sz="2" w:space="0" w:color="auto"/>
              <w:left w:val="nil"/>
              <w:bottom w:val="single" w:sz="4" w:space="0" w:color="auto"/>
              <w:right w:val="nil"/>
            </w:tcBorders>
            <w:shd w:val="clear" w:color="auto" w:fill="auto"/>
            <w:noWrap/>
            <w:vAlign w:val="center"/>
            <w:hideMark/>
          </w:tcPr>
          <w:p w14:paraId="58D364E4" w14:textId="77777777" w:rsidR="005759FA" w:rsidRPr="003A115E" w:rsidRDefault="005759FA" w:rsidP="005759FA">
            <w:pPr>
              <w:jc w:val="right"/>
              <w:rPr>
                <w:rFonts w:ascii="Arial Narrow" w:hAnsi="Arial Narrow"/>
                <w:sz w:val="18"/>
                <w:szCs w:val="18"/>
              </w:rPr>
            </w:pPr>
            <w:r>
              <w:rPr>
                <w:rFonts w:ascii="Arial Narrow" w:hAnsi="Arial Narrow"/>
                <w:sz w:val="18"/>
              </w:rPr>
              <w:t>8.336</w:t>
            </w:r>
          </w:p>
        </w:tc>
        <w:tc>
          <w:tcPr>
            <w:tcW w:w="682" w:type="pct"/>
            <w:tcBorders>
              <w:top w:val="single" w:sz="2" w:space="0" w:color="auto"/>
              <w:left w:val="nil"/>
              <w:bottom w:val="single" w:sz="4" w:space="0" w:color="auto"/>
              <w:right w:val="nil"/>
            </w:tcBorders>
            <w:shd w:val="clear" w:color="auto" w:fill="auto"/>
            <w:noWrap/>
            <w:vAlign w:val="center"/>
            <w:hideMark/>
          </w:tcPr>
          <w:p w14:paraId="40D25260" w14:textId="77777777" w:rsidR="005759FA" w:rsidRPr="003A115E" w:rsidRDefault="005759FA" w:rsidP="005759FA">
            <w:pPr>
              <w:jc w:val="right"/>
              <w:rPr>
                <w:rFonts w:ascii="Arial Narrow" w:hAnsi="Arial Narrow"/>
                <w:sz w:val="18"/>
                <w:szCs w:val="18"/>
              </w:rPr>
            </w:pPr>
            <w:r>
              <w:rPr>
                <w:rFonts w:ascii="Arial Narrow" w:hAnsi="Arial Narrow"/>
                <w:sz w:val="18"/>
              </w:rPr>
              <w:t>11.906.686</w:t>
            </w:r>
          </w:p>
        </w:tc>
        <w:tc>
          <w:tcPr>
            <w:tcW w:w="530" w:type="pct"/>
            <w:tcBorders>
              <w:top w:val="single" w:sz="2" w:space="0" w:color="auto"/>
              <w:left w:val="nil"/>
              <w:bottom w:val="single" w:sz="4" w:space="0" w:color="auto"/>
              <w:right w:val="nil"/>
            </w:tcBorders>
            <w:shd w:val="clear" w:color="auto" w:fill="auto"/>
            <w:vAlign w:val="center"/>
            <w:hideMark/>
          </w:tcPr>
          <w:p w14:paraId="5FAEF4A8" w14:textId="072A72B1" w:rsidR="005759FA" w:rsidRPr="003A115E" w:rsidRDefault="005759FA" w:rsidP="005C5EDC">
            <w:pPr>
              <w:jc w:val="right"/>
              <w:rPr>
                <w:rFonts w:ascii="Arial Narrow" w:hAnsi="Arial Narrow"/>
                <w:sz w:val="18"/>
                <w:szCs w:val="18"/>
              </w:rPr>
            </w:pPr>
            <w:r>
              <w:rPr>
                <w:rFonts w:ascii="Arial Narrow" w:hAnsi="Arial Narrow"/>
                <w:sz w:val="18"/>
              </w:rPr>
              <w:t>13.028.971</w:t>
            </w:r>
          </w:p>
        </w:tc>
        <w:tc>
          <w:tcPr>
            <w:tcW w:w="531" w:type="pct"/>
            <w:tcBorders>
              <w:top w:val="single" w:sz="2" w:space="0" w:color="auto"/>
              <w:left w:val="nil"/>
              <w:bottom w:val="single" w:sz="4" w:space="0" w:color="auto"/>
              <w:right w:val="nil"/>
            </w:tcBorders>
            <w:shd w:val="clear" w:color="auto" w:fill="auto"/>
            <w:vAlign w:val="center"/>
            <w:hideMark/>
          </w:tcPr>
          <w:p w14:paraId="55ECAB52" w14:textId="77777777" w:rsidR="005759FA" w:rsidRPr="003A115E" w:rsidRDefault="005759FA" w:rsidP="005759FA">
            <w:pPr>
              <w:jc w:val="right"/>
              <w:rPr>
                <w:rFonts w:ascii="Arial Narrow" w:hAnsi="Arial Narrow"/>
                <w:sz w:val="18"/>
                <w:szCs w:val="18"/>
              </w:rPr>
            </w:pPr>
            <w:r>
              <w:rPr>
                <w:rFonts w:ascii="Arial Narrow" w:hAnsi="Arial Narrow"/>
                <w:sz w:val="18"/>
              </w:rPr>
              <w:t>110</w:t>
            </w:r>
          </w:p>
        </w:tc>
        <w:tc>
          <w:tcPr>
            <w:tcW w:w="606" w:type="pct"/>
            <w:tcBorders>
              <w:top w:val="single" w:sz="2" w:space="0" w:color="auto"/>
              <w:left w:val="nil"/>
              <w:bottom w:val="single" w:sz="4" w:space="0" w:color="auto"/>
              <w:right w:val="nil"/>
            </w:tcBorders>
            <w:shd w:val="clear" w:color="auto" w:fill="auto"/>
            <w:vAlign w:val="center"/>
            <w:hideMark/>
          </w:tcPr>
          <w:p w14:paraId="73753DE8" w14:textId="77777777" w:rsidR="005759FA" w:rsidRPr="003A115E" w:rsidRDefault="005759FA" w:rsidP="005759FA">
            <w:pPr>
              <w:jc w:val="right"/>
              <w:rPr>
                <w:rFonts w:ascii="Arial Narrow" w:hAnsi="Arial Narrow"/>
                <w:sz w:val="18"/>
                <w:szCs w:val="18"/>
              </w:rPr>
            </w:pPr>
            <w:r>
              <w:rPr>
                <w:rFonts w:ascii="Arial Narrow" w:hAnsi="Arial Narrow"/>
                <w:sz w:val="18"/>
              </w:rPr>
              <w:t>Salbuespenekin (1)</w:t>
            </w:r>
          </w:p>
        </w:tc>
        <w:tc>
          <w:tcPr>
            <w:tcW w:w="833" w:type="pct"/>
            <w:tcBorders>
              <w:top w:val="single" w:sz="2" w:space="0" w:color="auto"/>
              <w:left w:val="nil"/>
              <w:bottom w:val="single" w:sz="4" w:space="0" w:color="auto"/>
              <w:right w:val="nil"/>
            </w:tcBorders>
            <w:shd w:val="clear" w:color="auto" w:fill="auto"/>
            <w:vAlign w:val="center"/>
            <w:hideMark/>
          </w:tcPr>
          <w:p w14:paraId="73D4D44E" w14:textId="77777777" w:rsidR="005759FA" w:rsidRPr="003A115E" w:rsidRDefault="005759FA" w:rsidP="005759FA">
            <w:pPr>
              <w:jc w:val="right"/>
              <w:rPr>
                <w:rFonts w:ascii="Arial Narrow" w:hAnsi="Arial Narrow"/>
                <w:sz w:val="18"/>
                <w:szCs w:val="18"/>
              </w:rPr>
            </w:pPr>
            <w:r>
              <w:rPr>
                <w:rFonts w:ascii="Arial Narrow" w:hAnsi="Arial Narrow"/>
                <w:sz w:val="18"/>
              </w:rPr>
              <w:t>Aurkakoa</w:t>
            </w:r>
          </w:p>
        </w:tc>
      </w:tr>
      <w:tr w:rsidR="00483F6E" w:rsidRPr="003A115E" w14:paraId="6A61DCF2" w14:textId="77777777" w:rsidTr="00483F6E">
        <w:trPr>
          <w:trHeight w:val="255"/>
          <w:jc w:val="center"/>
        </w:trPr>
        <w:tc>
          <w:tcPr>
            <w:tcW w:w="1287" w:type="pct"/>
            <w:gridSpan w:val="2"/>
            <w:tcBorders>
              <w:top w:val="single" w:sz="4" w:space="0" w:color="auto"/>
              <w:left w:val="nil"/>
              <w:bottom w:val="single" w:sz="4" w:space="0" w:color="auto"/>
              <w:right w:val="nil"/>
            </w:tcBorders>
            <w:shd w:val="clear" w:color="000000" w:fill="FABF8F"/>
            <w:noWrap/>
            <w:vAlign w:val="center"/>
            <w:hideMark/>
          </w:tcPr>
          <w:p w14:paraId="5A7373EA" w14:textId="77777777" w:rsidR="005759FA" w:rsidRPr="003A115E" w:rsidRDefault="005759FA" w:rsidP="005759FA">
            <w:pPr>
              <w:rPr>
                <w:rFonts w:ascii="Arial Narrow" w:hAnsi="Arial Narrow"/>
                <w:sz w:val="18"/>
                <w:szCs w:val="18"/>
              </w:rPr>
            </w:pPr>
            <w:r>
              <w:rPr>
                <w:rFonts w:ascii="Arial Narrow" w:hAnsi="Arial Narrow"/>
                <w:sz w:val="18"/>
              </w:rPr>
              <w:t>Fiskalizatutako toki-entitateak, guztira</w:t>
            </w:r>
          </w:p>
        </w:tc>
        <w:tc>
          <w:tcPr>
            <w:tcW w:w="531" w:type="pct"/>
            <w:tcBorders>
              <w:top w:val="single" w:sz="4" w:space="0" w:color="auto"/>
              <w:left w:val="nil"/>
              <w:bottom w:val="single" w:sz="4" w:space="0" w:color="auto"/>
              <w:right w:val="nil"/>
            </w:tcBorders>
            <w:shd w:val="clear" w:color="000000" w:fill="FABF8F"/>
            <w:noWrap/>
            <w:vAlign w:val="center"/>
            <w:hideMark/>
          </w:tcPr>
          <w:p w14:paraId="1A32C4A8" w14:textId="77777777" w:rsidR="005759FA" w:rsidRPr="003A115E" w:rsidRDefault="005759FA" w:rsidP="005759FA">
            <w:pPr>
              <w:jc w:val="right"/>
              <w:rPr>
                <w:rFonts w:ascii="Arial Narrow" w:hAnsi="Arial Narrow"/>
                <w:sz w:val="18"/>
                <w:szCs w:val="18"/>
              </w:rPr>
            </w:pPr>
            <w:r>
              <w:rPr>
                <w:rFonts w:ascii="Arial Narrow" w:hAnsi="Arial Narrow"/>
                <w:sz w:val="18"/>
              </w:rPr>
              <w:t>383.547</w:t>
            </w:r>
          </w:p>
        </w:tc>
        <w:tc>
          <w:tcPr>
            <w:tcW w:w="682" w:type="pct"/>
            <w:tcBorders>
              <w:top w:val="single" w:sz="4" w:space="0" w:color="auto"/>
              <w:left w:val="nil"/>
              <w:bottom w:val="single" w:sz="4" w:space="0" w:color="auto"/>
              <w:right w:val="nil"/>
            </w:tcBorders>
            <w:shd w:val="clear" w:color="000000" w:fill="FABF8F"/>
            <w:noWrap/>
            <w:vAlign w:val="center"/>
            <w:hideMark/>
          </w:tcPr>
          <w:p w14:paraId="28AF230B" w14:textId="77777777" w:rsidR="005759FA" w:rsidRPr="003A115E" w:rsidRDefault="005759FA" w:rsidP="005759FA">
            <w:pPr>
              <w:jc w:val="right"/>
              <w:rPr>
                <w:rFonts w:ascii="Arial Narrow" w:hAnsi="Arial Narrow"/>
                <w:sz w:val="18"/>
                <w:szCs w:val="18"/>
              </w:rPr>
            </w:pPr>
            <w:r>
              <w:rPr>
                <w:rFonts w:ascii="Arial Narrow" w:hAnsi="Arial Narrow"/>
                <w:sz w:val="18"/>
              </w:rPr>
              <w:t>445.234.671</w:t>
            </w:r>
          </w:p>
        </w:tc>
        <w:tc>
          <w:tcPr>
            <w:tcW w:w="530" w:type="pct"/>
            <w:tcBorders>
              <w:top w:val="single" w:sz="4" w:space="0" w:color="auto"/>
              <w:left w:val="nil"/>
              <w:bottom w:val="single" w:sz="4" w:space="0" w:color="auto"/>
              <w:right w:val="nil"/>
            </w:tcBorders>
            <w:shd w:val="clear" w:color="000000" w:fill="FABF8F"/>
            <w:noWrap/>
            <w:vAlign w:val="center"/>
            <w:hideMark/>
          </w:tcPr>
          <w:p w14:paraId="61E037CF" w14:textId="77777777" w:rsidR="005759FA" w:rsidRPr="003A115E" w:rsidRDefault="005759FA" w:rsidP="005759FA">
            <w:pPr>
              <w:jc w:val="right"/>
              <w:rPr>
                <w:rFonts w:ascii="Arial Narrow" w:hAnsi="Arial Narrow"/>
                <w:sz w:val="18"/>
                <w:szCs w:val="18"/>
              </w:rPr>
            </w:pPr>
            <w:r>
              <w:rPr>
                <w:rFonts w:ascii="Arial Narrow" w:hAnsi="Arial Narrow"/>
                <w:sz w:val="18"/>
              </w:rPr>
              <w:t>471.085.305</w:t>
            </w:r>
          </w:p>
        </w:tc>
        <w:tc>
          <w:tcPr>
            <w:tcW w:w="531" w:type="pct"/>
            <w:tcBorders>
              <w:top w:val="single" w:sz="4" w:space="0" w:color="auto"/>
              <w:left w:val="nil"/>
              <w:bottom w:val="single" w:sz="4" w:space="0" w:color="auto"/>
              <w:right w:val="nil"/>
            </w:tcBorders>
            <w:shd w:val="clear" w:color="000000" w:fill="FABF8F"/>
            <w:noWrap/>
            <w:vAlign w:val="center"/>
            <w:hideMark/>
          </w:tcPr>
          <w:p w14:paraId="71C9DFBB" w14:textId="77777777" w:rsidR="005759FA" w:rsidRPr="003A115E" w:rsidRDefault="005759FA" w:rsidP="005759FA">
            <w:pPr>
              <w:jc w:val="right"/>
              <w:rPr>
                <w:rFonts w:ascii="Arial Narrow" w:hAnsi="Arial Narrow"/>
                <w:sz w:val="18"/>
                <w:szCs w:val="18"/>
              </w:rPr>
            </w:pPr>
            <w:r>
              <w:rPr>
                <w:rFonts w:ascii="Arial Narrow" w:hAnsi="Arial Narrow"/>
                <w:sz w:val="18"/>
              </w:rPr>
              <w:t>3.507</w:t>
            </w:r>
          </w:p>
        </w:tc>
        <w:tc>
          <w:tcPr>
            <w:tcW w:w="606" w:type="pct"/>
            <w:tcBorders>
              <w:top w:val="single" w:sz="4" w:space="0" w:color="auto"/>
              <w:left w:val="nil"/>
              <w:bottom w:val="single" w:sz="4" w:space="0" w:color="auto"/>
              <w:right w:val="nil"/>
            </w:tcBorders>
            <w:shd w:val="clear" w:color="000000" w:fill="FABF8F"/>
            <w:noWrap/>
            <w:vAlign w:val="center"/>
            <w:hideMark/>
          </w:tcPr>
          <w:p w14:paraId="6898F979" w14:textId="77777777" w:rsidR="005759FA" w:rsidRPr="003A115E" w:rsidRDefault="005759FA" w:rsidP="005759FA">
            <w:pPr>
              <w:jc w:val="right"/>
              <w:rPr>
                <w:rFonts w:ascii="Arial Narrow" w:hAnsi="Arial Narrow"/>
                <w:sz w:val="18"/>
                <w:szCs w:val="18"/>
              </w:rPr>
            </w:pPr>
            <w:r>
              <w:rPr>
                <w:rFonts w:ascii="Arial Narrow" w:hAnsi="Arial Narrow"/>
                <w:sz w:val="18"/>
              </w:rPr>
              <w:t> </w:t>
            </w:r>
          </w:p>
        </w:tc>
        <w:tc>
          <w:tcPr>
            <w:tcW w:w="833" w:type="pct"/>
            <w:tcBorders>
              <w:top w:val="single" w:sz="4" w:space="0" w:color="auto"/>
              <w:left w:val="nil"/>
              <w:bottom w:val="single" w:sz="4" w:space="0" w:color="auto"/>
              <w:right w:val="nil"/>
            </w:tcBorders>
            <w:shd w:val="clear" w:color="000000" w:fill="FABF8F"/>
            <w:noWrap/>
            <w:vAlign w:val="center"/>
            <w:hideMark/>
          </w:tcPr>
          <w:p w14:paraId="4FA79091" w14:textId="77777777" w:rsidR="005759FA" w:rsidRPr="003A115E" w:rsidRDefault="005759FA" w:rsidP="005759FA">
            <w:pPr>
              <w:jc w:val="right"/>
              <w:rPr>
                <w:rFonts w:ascii="Arial Narrow" w:hAnsi="Arial Narrow"/>
                <w:sz w:val="18"/>
                <w:szCs w:val="18"/>
              </w:rPr>
            </w:pPr>
            <w:r>
              <w:rPr>
                <w:rFonts w:ascii="Arial Narrow" w:hAnsi="Arial Narrow"/>
                <w:sz w:val="18"/>
              </w:rPr>
              <w:t> </w:t>
            </w:r>
          </w:p>
        </w:tc>
      </w:tr>
    </w:tbl>
    <w:p w14:paraId="0E47862E" w14:textId="5D534503" w:rsidR="008216C4" w:rsidRPr="003A115E" w:rsidRDefault="00A170AD" w:rsidP="006D7ADF">
      <w:pPr>
        <w:pStyle w:val="texto"/>
        <w:spacing w:before="60" w:after="0"/>
        <w:ind w:right="-284" w:hanging="284"/>
        <w:rPr>
          <w:rFonts w:ascii="Arial" w:hAnsi="Arial" w:cs="Arial"/>
          <w:sz w:val="14"/>
          <w:szCs w:val="14"/>
        </w:rPr>
      </w:pPr>
      <w:r>
        <w:rPr>
          <w:rFonts w:ascii="Arial Narrow" w:hAnsi="Arial Narrow"/>
          <w:sz w:val="14"/>
        </w:rPr>
        <w:t>(*) Parentesi artean, hala badagokio, salbuespenen kopurua. (**) Iruñeko Udalean, betetze-auditoretzaren iritzia adierazi da. Gainerako kasuetan, langileen, kontratazio publikoaren eta dirulaguntzen arloetan antzemandako ez-betetzeen kopurua.</w:t>
      </w:r>
    </w:p>
    <w:p w14:paraId="10C87123" w14:textId="602E74D1" w:rsidR="00A170AD" w:rsidRPr="003A115E" w:rsidRDefault="175F76A4" w:rsidP="00020D42">
      <w:pPr>
        <w:pStyle w:val="texto"/>
        <w:spacing w:before="240"/>
      </w:pPr>
      <w:r>
        <w:t xml:space="preserve">Iruñeko Udalean, 2022ko kontu orokorraren fiskalizazio finantzarioa egin zen, ekitaldi horretako jarduera ekonomiko-finantzarioaren legezkotasun-fiskalizazioarekin batera. Gainerako kasuetan, langileria, kontratazio publiko eta dirulaguntza alorretako legeria-betetzeari buruzko fiskalizazioak egin ziren. Horrez gain, Corellan, "Corella </w:t>
      </w:r>
      <w:proofErr w:type="spellStart"/>
      <w:r>
        <w:t>Music</w:t>
      </w:r>
      <w:proofErr w:type="spellEnd"/>
      <w:r>
        <w:t xml:space="preserve"> </w:t>
      </w:r>
      <w:proofErr w:type="spellStart"/>
      <w:r>
        <w:t>Fest</w:t>
      </w:r>
      <w:proofErr w:type="spellEnd"/>
      <w:r>
        <w:t xml:space="preserve">" jaialdiaren fiskalizazio finantzarioa egin zen; eta Tafallan, fiskalizazioa "Ciudad </w:t>
      </w:r>
      <w:proofErr w:type="spellStart"/>
      <w:r>
        <w:t>deportiva</w:t>
      </w:r>
      <w:proofErr w:type="spellEnd"/>
      <w:r>
        <w:t xml:space="preserve"> de Tafalla" udal-sozietate publikoraino hedatu da, kontratazioaren alorrean. </w:t>
      </w:r>
    </w:p>
    <w:p w14:paraId="356D44FE" w14:textId="77777777" w:rsidR="00A170AD" w:rsidRPr="003A115E" w:rsidRDefault="00A170AD" w:rsidP="00A170AD">
      <w:pPr>
        <w:pStyle w:val="texto"/>
      </w:pPr>
      <w:r>
        <w:t>Fiskalizazioaren emaitzak txostenetan jaso ziren, eta Nafarroako Parlamentuko Aldizkari Ofizialean eta Nafarroako Kontuen Ganberaren webgunean argitaratuta daude.</w:t>
      </w:r>
    </w:p>
    <w:p w14:paraId="27214096" w14:textId="58DD276A" w:rsidR="00A170AD" w:rsidRPr="003A115E" w:rsidRDefault="00A170AD" w:rsidP="00A170AD">
      <w:pPr>
        <w:pStyle w:val="texto"/>
      </w:pPr>
      <w:r>
        <w:t>Jarraian labur azaltzen dira 2022ko ekitaldiko finantza- eta legezkotasun-fiskalizazioaren emaitza nagusiak:</w:t>
      </w:r>
    </w:p>
    <w:p w14:paraId="0BEDA98E" w14:textId="554DC027" w:rsidR="00A170AD" w:rsidRPr="003A115E" w:rsidRDefault="175F76A4" w:rsidP="00F03F3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Iruñeko Udalean, finantza-auditoretzako iritzia aldekoa izan zen, eta legeria-betetzeari buruzko auditoretza aldekoa baina bi salbuespenduna izan zen: bata, kontratu batean oinarririk izan gabe emandako zerbitzuengatiko gastuei buruzkoa, kontratuen gehieneko indarraldia gaindituta zegoenez; eta bestea, kontratu-alorreko urraketengatik, zenbait lan munta txikiko kontratu bezala izapidetu zirelako, aurretiaz esleituriko kontratu baten unitate funtzional bera osaturik pleguetan aipaturiko gehieneko azpikontratazio-zenbatekoak gainditzeaz landa.</w:t>
      </w:r>
      <w:r>
        <w:tab/>
      </w:r>
    </w:p>
    <w:p w14:paraId="39F75CA8" w14:textId="2C08D74E" w:rsidR="00B9696D" w:rsidRPr="003A115E" w:rsidRDefault="6CE54871" w:rsidP="0DF82E9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line="259" w:lineRule="auto"/>
        <w:ind w:left="0" w:firstLine="290"/>
      </w:pPr>
      <w:r>
        <w:lastRenderedPageBreak/>
        <w:t xml:space="preserve">Corellako Udalak iritzi finantzario salbuespenduna izan zuen, ezen ezin izan genuen behar bezalako eta behar adinako ebidentziarik lortu auditoretzaren xedetzat harturiko jardueraren diru-sarrera eta gastuei, kobrantza eta pagamenduei buruz. Betetzeari buruzko auditoretza aurkakoa izan zen: 12 salbuespen jasota utzi ziren, prozedura-, aurrekontu-, </w:t>
      </w:r>
      <w:proofErr w:type="spellStart"/>
      <w:r>
        <w:t>kontratazioi</w:t>
      </w:r>
      <w:proofErr w:type="spellEnd"/>
      <w:r>
        <w:t>-, langileria- eta dirulaguntza-alorretako urraketei buruzkoak.</w:t>
      </w:r>
    </w:p>
    <w:p w14:paraId="74958E95" w14:textId="41C948B8" w:rsidR="00766047" w:rsidRPr="003A115E" w:rsidRDefault="002B0298" w:rsidP="7A99914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 xml:space="preserve">Bederatzi udalek eta mendeko sozietate publiko batek munta txikiko kontratu gisa izapidetu zituzten zenbait prestazio, zeinak, beren balio estimatua zela-eta, balio </w:t>
      </w:r>
      <w:proofErr w:type="spellStart"/>
      <w:r>
        <w:t>estematu</w:t>
      </w:r>
      <w:proofErr w:type="spellEnd"/>
      <w:r>
        <w:t xml:space="preserve"> horren araberako prozedurari jarraikiz </w:t>
      </w:r>
      <w:proofErr w:type="spellStart"/>
      <w:r>
        <w:t>lizitzatu</w:t>
      </w:r>
      <w:proofErr w:type="spellEnd"/>
      <w:r>
        <w:t xml:space="preserve"> behar izanen baitziratekeen.</w:t>
      </w:r>
    </w:p>
    <w:p w14:paraId="023B9CAB" w14:textId="379B373C" w:rsidR="00164A7F" w:rsidRPr="003A115E" w:rsidRDefault="002B0298" w:rsidP="00CC28BD">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89"/>
      </w:pPr>
      <w:r>
        <w:t>Zazpi udalek eta mendeko sozietate publiko batek aitortu zituzten kontratu-oinarri egokirik gabe emandako zerbitzuengatiko gastuak, kontratuak mugaeguneratuta egotearen ondorioz.</w:t>
      </w:r>
    </w:p>
    <w:p w14:paraId="487DCDB7" w14:textId="6E753E39" w:rsidR="00A673DC" w:rsidRPr="003A115E" w:rsidRDefault="0017072A" w:rsidP="00CC28BD">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89"/>
      </w:pPr>
      <w:r>
        <w:t>Udal batek langileen hitzarmen kolektiboa NAOn argitaratu zuen.</w:t>
      </w:r>
    </w:p>
    <w:p w14:paraId="7656837F" w14:textId="61CDA26E" w:rsidR="006D31F2" w:rsidRPr="003A115E" w:rsidRDefault="175F76A4" w:rsidP="00CC28BD">
      <w:pPr>
        <w:tabs>
          <w:tab w:val="left" w:pos="480"/>
          <w:tab w:val="num" w:pos="1948"/>
          <w:tab w:val="num" w:pos="5040"/>
        </w:tabs>
        <w:spacing w:after="140"/>
        <w:ind w:firstLine="284"/>
        <w:rPr>
          <w:spacing w:val="6"/>
          <w:sz w:val="26"/>
          <w:szCs w:val="26"/>
        </w:rPr>
      </w:pPr>
      <w:r>
        <w:rPr>
          <w:sz w:val="26"/>
        </w:rPr>
        <w:t>Finantza- eta legezkotasun-gaietan, hauek izan ziren txostenetan jasotako gomendio nagusiak:</w:t>
      </w:r>
    </w:p>
    <w:p w14:paraId="6AB94AD8" w14:textId="424D7B95" w:rsidR="00A170AD" w:rsidRPr="003A115E" w:rsidRDefault="000B6626" w:rsidP="59121BA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 xml:space="preserve">Langileen arloko barne-kontrola indartzea, nominetan antzemandako akatsak gerta ez daitezen. </w:t>
      </w:r>
    </w:p>
    <w:p w14:paraId="3F5CA038" w14:textId="4FEDF217" w:rsidR="00A170AD" w:rsidRPr="003A115E" w:rsidRDefault="00E660E3" w:rsidP="00E660E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 xml:space="preserve">Prozedura egokiaren bidez lizitatu eta esleitzea munta txikiko kontratuentzako araubide berezia erabiltzea ahalbidetzen duten mugak baino gehiagoko balio </w:t>
      </w:r>
      <w:proofErr w:type="spellStart"/>
      <w:r>
        <w:rPr>
          <w:i/>
        </w:rPr>
        <w:t>zenbatetsia</w:t>
      </w:r>
      <w:proofErr w:type="spellEnd"/>
      <w:r>
        <w:rPr>
          <w:i/>
        </w:rPr>
        <w:t xml:space="preserve"> duten kontratu guztiak. </w:t>
      </w:r>
    </w:p>
    <w:p w14:paraId="45EA6166" w14:textId="315739F2" w:rsidR="00A90022" w:rsidRPr="003A115E" w:rsidRDefault="00E660E3"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Kontratuen lizitazio-prozeduren denbora-plangintza egokia ezartzea, haien gehieneko indarraldia ez gainditzeko.</w:t>
      </w:r>
    </w:p>
    <w:p w14:paraId="4A385659" w14:textId="04887487" w:rsidR="00A90022" w:rsidRPr="003A115E" w:rsidRDefault="000C2BDD"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 xml:space="preserve">Munta txikiko araubide bereziko kontratazioaren </w:t>
      </w:r>
      <w:proofErr w:type="spellStart"/>
      <w:r>
        <w:rPr>
          <w:i/>
        </w:rPr>
        <w:t>hiruhileroko</w:t>
      </w:r>
      <w:proofErr w:type="spellEnd"/>
      <w:r>
        <w:rPr>
          <w:i/>
        </w:rPr>
        <w:t xml:space="preserve"> zerrenda argitaratzea, araudiak ezartzen duenaren arabera. </w:t>
      </w:r>
    </w:p>
    <w:p w14:paraId="32DEBFD3" w14:textId="3AF9C2CF" w:rsidR="00A170AD" w:rsidRPr="003A115E" w:rsidRDefault="000C2BDD" w:rsidP="000C2BD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Diruz lagundutako jarduketaren oroitidazki-eredu bat egitea, bai eta diruz lagundutako jarduketaren gastu eta diru-sarreren justifikazioaren aurkezpenarena ere, errazte aldera dokumentazio hori onuradunei aurkeztea eta, ondoren, berrikustea, kasu guztietan aurkezteko eskatuz.</w:t>
      </w:r>
    </w:p>
    <w:p w14:paraId="4F48E8C3" w14:textId="5435EFB7" w:rsidR="00A170AD" w:rsidRPr="003A115E" w:rsidRDefault="00F737A3" w:rsidP="68CCFB8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Emandako dirulaguntzak Dirulaguntzen Datu Base Nazionalean argitaratzea.</w:t>
      </w:r>
    </w:p>
    <w:p w14:paraId="53E497FA" w14:textId="096037B0" w:rsidR="00F519D3" w:rsidRPr="003A115E" w:rsidRDefault="00F737A3" w:rsidP="0013452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spacing w:val="4"/>
        </w:rPr>
      </w:pPr>
      <w:r>
        <w:rPr>
          <w:i/>
        </w:rPr>
        <w:t xml:space="preserve">Dirulaguntzen plan estrategiko bat onestea, eta bertan zehaztea helburuak, efektuak, aurreikusitako kostuak eta finantzaketa-iturriak. </w:t>
      </w:r>
    </w:p>
    <w:p w14:paraId="54F44A46" w14:textId="270F64ED" w:rsidR="00F519D3" w:rsidRPr="003A115E" w:rsidRDefault="00134529"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 xml:space="preserve">Erregelamenduz garatzea udal-taldeen finantzaketa justifikatzeari buruzko araubidea, erregulaturik bai haien diru-zuzkiduren erabilera, bai formazko betekizunak eta prozedura, halako moldez non diru-zuzkidurez eginiko erabilera </w:t>
      </w:r>
      <w:r>
        <w:rPr>
          <w:i/>
        </w:rPr>
        <w:lastRenderedPageBreak/>
        <w:t>kontu-hartzailetzaren fiskalizaziopean jarriko baita eta gutxienik urtean behin osoko bilkurari jakinaraziko baitzaio.</w:t>
      </w:r>
    </w:p>
    <w:p w14:paraId="79AF4C0D" w14:textId="1EA33E01" w:rsidR="003C45A1" w:rsidRDefault="00134529" w:rsidP="0013452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Pr>
          <w:i/>
        </w:rPr>
        <w:t xml:space="preserve">Onuradunei </w:t>
      </w:r>
      <w:proofErr w:type="spellStart"/>
      <w:r>
        <w:rPr>
          <w:i/>
        </w:rPr>
        <w:t>exijitzea</w:t>
      </w:r>
      <w:proofErr w:type="spellEnd"/>
      <w:r>
        <w:rPr>
          <w:i/>
        </w:rPr>
        <w:t xml:space="preserve"> dirulaguntza eman aurretik justifikatu dezatela zerga-betebeharrak eta Gizarte </w:t>
      </w:r>
      <w:proofErr w:type="spellStart"/>
      <w:r>
        <w:rPr>
          <w:i/>
        </w:rPr>
        <w:t>Segurantzarekikoak</w:t>
      </w:r>
      <w:proofErr w:type="spellEnd"/>
      <w:r>
        <w:rPr>
          <w:i/>
        </w:rPr>
        <w:t xml:space="preserve"> egunean dituztela.</w:t>
      </w:r>
    </w:p>
    <w:p w14:paraId="778E6C93" w14:textId="77777777" w:rsidR="003C45A1" w:rsidRDefault="003C45A1">
      <w:pPr>
        <w:rPr>
          <w:rFonts w:cs="Arial"/>
          <w:i/>
          <w:iCs/>
          <w:spacing w:val="6"/>
          <w:sz w:val="26"/>
        </w:rPr>
      </w:pPr>
      <w:r>
        <w:br w:type="page"/>
      </w:r>
    </w:p>
    <w:p w14:paraId="1279CA73" w14:textId="6CD2FB81" w:rsidR="00345C6C" w:rsidRPr="003A115E" w:rsidRDefault="00345C6C" w:rsidP="005344D8">
      <w:pPr>
        <w:pStyle w:val="atitulo1"/>
        <w:spacing w:before="240"/>
        <w:rPr>
          <w:color w:val="auto"/>
        </w:rPr>
      </w:pPr>
      <w:bookmarkStart w:id="55" w:name="_Toc24100142"/>
      <w:bookmarkStart w:id="56" w:name="_Toc52348290"/>
      <w:bookmarkStart w:id="57" w:name="_Toc188511785"/>
      <w:r>
        <w:rPr>
          <w:color w:val="auto"/>
        </w:rPr>
        <w:lastRenderedPageBreak/>
        <w:t>VI. Toki-sektore publikoaren finantza-egoera</w:t>
      </w:r>
      <w:bookmarkEnd w:id="55"/>
      <w:bookmarkEnd w:id="56"/>
      <w:bookmarkEnd w:id="57"/>
    </w:p>
    <w:p w14:paraId="6BD18F9B" w14:textId="514DFA06" w:rsidR="00EC4C05" w:rsidRPr="003A115E" w:rsidRDefault="34CD8A04" w:rsidP="003D27ED">
      <w:pPr>
        <w:pStyle w:val="texto"/>
        <w:spacing w:after="0"/>
      </w:pPr>
      <w:bookmarkStart w:id="58" w:name="_Toc24100147"/>
      <w:bookmarkStart w:id="59" w:name="_Toc52348295"/>
      <w:r>
        <w:t xml:space="preserve">2022ko toki-sektore publikoari buruz Toki Administrazioaren eta Despopulazioaren Zuzendaritza Nagusiak egindako txostenak toki-entitateen eta haien erakunde autonomoen informazio bateratua dakar. Txosten hori 2. eranskinean dago. Txosten horrek atal bat dauka, </w:t>
      </w:r>
      <w:proofErr w:type="spellStart"/>
      <w:r>
        <w:t>zeinean</w:t>
      </w:r>
      <w:proofErr w:type="spellEnd"/>
      <w:r>
        <w:t xml:space="preserve"> Iruñerriko Mankomunitatearen mendeko SCPSA sozietate publikoarekin bateraturiko datuak jasotzen baitira</w:t>
      </w:r>
      <w:r w:rsidR="00285AB4" w:rsidRPr="003A115E">
        <w:rPr>
          <w:rStyle w:val="Refdenotaalpie"/>
          <w:lang w:val="es-ES"/>
        </w:rPr>
        <w:footnoteReference w:id="5"/>
      </w:r>
      <w:r>
        <w:t>. Aurreko ekitaldiekiko konparaziorako, gure txostenean jasotzen ziren 2021eko datuei heldu diegu.</w:t>
      </w:r>
    </w:p>
    <w:p w14:paraId="4A0BE280" w14:textId="5D196F73" w:rsidR="002A4BE9" w:rsidRPr="003A115E" w:rsidRDefault="00280CDE" w:rsidP="003D27ED">
      <w:pPr>
        <w:pStyle w:val="atitulo2"/>
        <w:spacing w:before="240"/>
        <w:rPr>
          <w:color w:val="auto"/>
        </w:rPr>
      </w:pPr>
      <w:bookmarkStart w:id="60" w:name="_Toc465686688"/>
      <w:bookmarkStart w:id="61" w:name="_Toc529773882"/>
      <w:bookmarkStart w:id="62" w:name="_Toc24100143"/>
      <w:bookmarkStart w:id="63" w:name="_Toc52348291"/>
      <w:bookmarkStart w:id="64" w:name="_Toc123547407"/>
      <w:bookmarkStart w:id="65" w:name="_Toc188511786"/>
      <w:r>
        <w:rPr>
          <w:color w:val="auto"/>
        </w:rPr>
        <w:t>VI.1 Diru-sarrerak</w:t>
      </w:r>
      <w:bookmarkEnd w:id="60"/>
      <w:bookmarkEnd w:id="61"/>
      <w:bookmarkEnd w:id="62"/>
      <w:bookmarkEnd w:id="63"/>
      <w:bookmarkEnd w:id="64"/>
      <w:bookmarkEnd w:id="65"/>
    </w:p>
    <w:p w14:paraId="5BB5608A" w14:textId="2264CA3E" w:rsidR="00F3012D" w:rsidRPr="003A115E" w:rsidRDefault="002A4BE9" w:rsidP="003D27ED">
      <w:pPr>
        <w:pStyle w:val="texto"/>
        <w:spacing w:after="160"/>
      </w:pPr>
      <w:r>
        <w:t xml:space="preserve">Jarraian, toki-entitateen, haien erakunde autonomoen eta SCPSA sozietatearen 2022ko diru-sarrera aurrekontuaren exekuzioaren laburpen bat ematen da. </w:t>
      </w:r>
    </w:p>
    <w:p w14:paraId="4C5AE97C" w14:textId="5D3143FA" w:rsidR="002A4BE9" w:rsidRPr="003A115E" w:rsidRDefault="00E0306B" w:rsidP="00164004">
      <w:pPr>
        <w:pStyle w:val="texto"/>
        <w:spacing w:after="0"/>
        <w:ind w:right="-1"/>
        <w:jc w:val="right"/>
        <w:rPr>
          <w:rFonts w:ascii="Arial Narrow" w:hAnsi="Arial Narrow"/>
          <w:sz w:val="18"/>
          <w:szCs w:val="18"/>
        </w:rPr>
      </w:pPr>
      <w:r>
        <w:rPr>
          <w:rFonts w:ascii="Arial Narrow" w:hAnsi="Arial Narrow"/>
          <w:sz w:val="18"/>
        </w:rPr>
        <w:t xml:space="preserve">(milioiak) </w:t>
      </w:r>
    </w:p>
    <w:tbl>
      <w:tblPr>
        <w:tblW w:w="5040" w:type="pct"/>
        <w:tblLayout w:type="fixed"/>
        <w:tblCellMar>
          <w:left w:w="70" w:type="dxa"/>
          <w:right w:w="70" w:type="dxa"/>
        </w:tblCellMar>
        <w:tblLook w:val="04A0" w:firstRow="1" w:lastRow="0" w:firstColumn="1" w:lastColumn="0" w:noHBand="0" w:noVBand="1"/>
      </w:tblPr>
      <w:tblGrid>
        <w:gridCol w:w="2216"/>
        <w:gridCol w:w="1045"/>
        <w:gridCol w:w="1132"/>
        <w:gridCol w:w="994"/>
        <w:gridCol w:w="709"/>
        <w:gridCol w:w="992"/>
        <w:gridCol w:w="780"/>
        <w:gridCol w:w="990"/>
      </w:tblGrid>
      <w:tr w:rsidR="000A742F" w:rsidRPr="003A115E" w14:paraId="3468DECD" w14:textId="77777777" w:rsidTr="00F131AF">
        <w:trPr>
          <w:trHeight w:val="255"/>
        </w:trPr>
        <w:tc>
          <w:tcPr>
            <w:tcW w:w="1251" w:type="pc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56A7E160" w14:textId="77777777" w:rsidR="0047072D" w:rsidRPr="003A115E" w:rsidRDefault="0047072D" w:rsidP="002D44BC">
            <w:pPr>
              <w:pStyle w:val="cuadroCabe"/>
              <w:rPr>
                <w:szCs w:val="18"/>
              </w:rPr>
            </w:pPr>
            <w:r>
              <w:t>Kapitulua</w:t>
            </w:r>
          </w:p>
        </w:tc>
        <w:tc>
          <w:tcPr>
            <w:tcW w:w="59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40F81E4" w14:textId="77777777" w:rsidR="00F423D8" w:rsidRPr="003A115E" w:rsidRDefault="0047072D" w:rsidP="002D44BC">
            <w:pPr>
              <w:pStyle w:val="cuadroCabe"/>
              <w:jc w:val="right"/>
              <w:rPr>
                <w:szCs w:val="18"/>
              </w:rPr>
            </w:pPr>
            <w:r>
              <w:t xml:space="preserve">Behin betiko </w:t>
            </w:r>
            <w:proofErr w:type="spellStart"/>
            <w:r>
              <w:t>aurreik</w:t>
            </w:r>
            <w:proofErr w:type="spellEnd"/>
            <w:r>
              <w:t>.</w:t>
            </w:r>
          </w:p>
          <w:p w14:paraId="017DFCB7" w14:textId="28DD3280" w:rsidR="0047072D" w:rsidRPr="003A115E" w:rsidRDefault="0047072D" w:rsidP="002D44BC">
            <w:pPr>
              <w:pStyle w:val="cuadroCabe"/>
              <w:jc w:val="right"/>
              <w:rPr>
                <w:szCs w:val="18"/>
              </w:rPr>
            </w:pPr>
            <w:r>
              <w:t xml:space="preserve"> </w:t>
            </w:r>
          </w:p>
        </w:tc>
        <w:tc>
          <w:tcPr>
            <w:tcW w:w="639"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5954ADFA" w14:textId="77777777" w:rsidR="0047072D" w:rsidRPr="003A115E" w:rsidRDefault="0047072D" w:rsidP="002D44BC">
            <w:pPr>
              <w:pStyle w:val="cuadroCabe"/>
              <w:jc w:val="right"/>
              <w:rPr>
                <w:szCs w:val="18"/>
              </w:rPr>
            </w:pPr>
            <w:r>
              <w:t>AEG 2022</w:t>
            </w:r>
          </w:p>
        </w:tc>
        <w:tc>
          <w:tcPr>
            <w:tcW w:w="561" w:type="pc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20A34430" w14:textId="77777777" w:rsidR="0047072D" w:rsidRPr="003A115E" w:rsidRDefault="0047072D" w:rsidP="002D44BC">
            <w:pPr>
              <w:pStyle w:val="cuadroCabe"/>
              <w:jc w:val="right"/>
              <w:rPr>
                <w:szCs w:val="18"/>
              </w:rPr>
            </w:pPr>
            <w:r>
              <w:t>Diru-sarrera guztien gainean (%)</w:t>
            </w:r>
          </w:p>
        </w:tc>
        <w:tc>
          <w:tcPr>
            <w:tcW w:w="40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27BA7C0" w14:textId="77777777" w:rsidR="0047072D" w:rsidRPr="003A115E" w:rsidRDefault="0047072D" w:rsidP="002D44BC">
            <w:pPr>
              <w:pStyle w:val="cuadroCabe"/>
              <w:jc w:val="right"/>
              <w:rPr>
                <w:szCs w:val="18"/>
              </w:rPr>
            </w:pPr>
            <w:r>
              <w:t>Exekuzioaren %</w:t>
            </w:r>
          </w:p>
        </w:tc>
        <w:tc>
          <w:tcPr>
            <w:tcW w:w="560"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4CDF4113" w14:textId="1051EEA9" w:rsidR="0047072D" w:rsidRPr="003A115E" w:rsidRDefault="0047072D" w:rsidP="002D44BC">
            <w:pPr>
              <w:pStyle w:val="cuadroCabe"/>
              <w:jc w:val="right"/>
              <w:rPr>
                <w:szCs w:val="18"/>
              </w:rPr>
            </w:pPr>
            <w:r>
              <w:t>Aldea Aitortutako eskubide garbiak, 2022/21</w:t>
            </w:r>
          </w:p>
        </w:tc>
        <w:tc>
          <w:tcPr>
            <w:tcW w:w="44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C4ECD80" w14:textId="77777777" w:rsidR="00F423D8" w:rsidRPr="003A115E" w:rsidRDefault="0047072D" w:rsidP="002D44BC">
            <w:pPr>
              <w:pStyle w:val="cuadroCabe"/>
              <w:jc w:val="right"/>
              <w:rPr>
                <w:rFonts w:cs="Arial"/>
                <w:szCs w:val="18"/>
              </w:rPr>
            </w:pPr>
            <w:r>
              <w:t>96/92 Zuzenekoak</w:t>
            </w:r>
          </w:p>
          <w:p w14:paraId="2BD044F4" w14:textId="42A7D979" w:rsidR="0047072D" w:rsidRPr="003A115E" w:rsidRDefault="0047072D" w:rsidP="002D44BC">
            <w:pPr>
              <w:pStyle w:val="cuadroCabe"/>
              <w:jc w:val="right"/>
              <w:rPr>
                <w:rFonts w:cs="Arial"/>
                <w:szCs w:val="18"/>
              </w:rPr>
            </w:pPr>
            <w:r>
              <w:t>2022/21</w:t>
            </w:r>
          </w:p>
        </w:tc>
        <w:tc>
          <w:tcPr>
            <w:tcW w:w="559"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6FF21051" w14:textId="77777777" w:rsidR="0047072D" w:rsidRPr="003A115E" w:rsidRDefault="0047072D" w:rsidP="002D44BC">
            <w:pPr>
              <w:pStyle w:val="cuadroCabe"/>
              <w:jc w:val="right"/>
              <w:rPr>
                <w:szCs w:val="18"/>
              </w:rPr>
            </w:pPr>
            <w:r>
              <w:t>AEG, 2022 (*)</w:t>
            </w:r>
          </w:p>
        </w:tc>
      </w:tr>
      <w:tr w:rsidR="000A742F" w:rsidRPr="003A115E" w14:paraId="475CBBEC" w14:textId="77777777" w:rsidTr="00CF24F0">
        <w:trPr>
          <w:trHeight w:val="198"/>
        </w:trPr>
        <w:tc>
          <w:tcPr>
            <w:tcW w:w="1251" w:type="pct"/>
            <w:tcBorders>
              <w:top w:val="nil"/>
              <w:left w:val="nil"/>
              <w:bottom w:val="single" w:sz="2" w:space="0" w:color="auto"/>
              <w:right w:val="nil"/>
            </w:tcBorders>
            <w:shd w:val="clear" w:color="auto" w:fill="auto"/>
            <w:vAlign w:val="center"/>
            <w:hideMark/>
          </w:tcPr>
          <w:p w14:paraId="36381D30" w14:textId="77777777" w:rsidR="0047072D" w:rsidRPr="00036EDF" w:rsidRDefault="0047072D" w:rsidP="002D44BC">
            <w:pPr>
              <w:pStyle w:val="cuatexto"/>
              <w:rPr>
                <w:sz w:val="19"/>
                <w:szCs w:val="19"/>
              </w:rPr>
            </w:pPr>
            <w:r>
              <w:rPr>
                <w:sz w:val="19"/>
              </w:rPr>
              <w:t>1. Zuzeneko zergak</w:t>
            </w:r>
          </w:p>
        </w:tc>
        <w:tc>
          <w:tcPr>
            <w:tcW w:w="590" w:type="pct"/>
            <w:tcBorders>
              <w:top w:val="nil"/>
              <w:left w:val="nil"/>
              <w:bottom w:val="single" w:sz="2" w:space="0" w:color="auto"/>
              <w:right w:val="single" w:sz="2" w:space="0" w:color="auto"/>
            </w:tcBorders>
            <w:shd w:val="clear" w:color="auto" w:fill="auto"/>
            <w:vAlign w:val="center"/>
            <w:hideMark/>
          </w:tcPr>
          <w:p w14:paraId="21C4958D" w14:textId="2285B73B" w:rsidR="0047072D" w:rsidRPr="00036EDF" w:rsidRDefault="0047072D" w:rsidP="002D44BC">
            <w:pPr>
              <w:pStyle w:val="cuatexto"/>
              <w:jc w:val="right"/>
              <w:rPr>
                <w:sz w:val="19"/>
                <w:szCs w:val="19"/>
              </w:rPr>
            </w:pPr>
            <w:r>
              <w:rPr>
                <w:sz w:val="19"/>
              </w:rPr>
              <w:t>192,45</w:t>
            </w:r>
          </w:p>
        </w:tc>
        <w:tc>
          <w:tcPr>
            <w:tcW w:w="639" w:type="pct"/>
            <w:tcBorders>
              <w:top w:val="single" w:sz="4" w:space="0" w:color="auto"/>
              <w:left w:val="single" w:sz="2" w:space="0" w:color="auto"/>
              <w:bottom w:val="single" w:sz="2" w:space="0" w:color="auto"/>
            </w:tcBorders>
            <w:shd w:val="clear" w:color="auto" w:fill="auto"/>
            <w:vAlign w:val="center"/>
            <w:hideMark/>
          </w:tcPr>
          <w:p w14:paraId="0DAA1745" w14:textId="0176C33C" w:rsidR="0047072D" w:rsidRPr="00036EDF" w:rsidRDefault="0047072D" w:rsidP="002D44BC">
            <w:pPr>
              <w:pStyle w:val="cuatexto"/>
              <w:jc w:val="right"/>
              <w:rPr>
                <w:sz w:val="19"/>
                <w:szCs w:val="19"/>
              </w:rPr>
            </w:pPr>
            <w:r>
              <w:rPr>
                <w:sz w:val="19"/>
              </w:rPr>
              <w:t>205,04</w:t>
            </w:r>
          </w:p>
        </w:tc>
        <w:tc>
          <w:tcPr>
            <w:tcW w:w="561" w:type="pct"/>
            <w:tcBorders>
              <w:top w:val="single" w:sz="4" w:space="0" w:color="auto"/>
              <w:bottom w:val="single" w:sz="2" w:space="0" w:color="auto"/>
            </w:tcBorders>
            <w:shd w:val="clear" w:color="auto" w:fill="auto"/>
            <w:vAlign w:val="center"/>
            <w:hideMark/>
          </w:tcPr>
          <w:p w14:paraId="514B6BC3" w14:textId="7935D0F7" w:rsidR="0047072D" w:rsidRPr="00036EDF" w:rsidRDefault="0047072D" w:rsidP="002D44BC">
            <w:pPr>
              <w:pStyle w:val="cuatexto"/>
              <w:jc w:val="right"/>
              <w:rPr>
                <w:sz w:val="19"/>
                <w:szCs w:val="19"/>
              </w:rPr>
            </w:pPr>
            <w:r>
              <w:rPr>
                <w:sz w:val="19"/>
              </w:rPr>
              <w:t>20</w:t>
            </w:r>
          </w:p>
        </w:tc>
        <w:tc>
          <w:tcPr>
            <w:tcW w:w="400" w:type="pct"/>
            <w:tcBorders>
              <w:top w:val="single" w:sz="4" w:space="0" w:color="auto"/>
              <w:bottom w:val="single" w:sz="2" w:space="0" w:color="auto"/>
              <w:right w:val="single" w:sz="2" w:space="0" w:color="auto"/>
            </w:tcBorders>
            <w:shd w:val="clear" w:color="auto" w:fill="auto"/>
            <w:vAlign w:val="center"/>
            <w:hideMark/>
          </w:tcPr>
          <w:p w14:paraId="5571EC6F" w14:textId="7D4DB8C6" w:rsidR="0047072D" w:rsidRPr="00036EDF" w:rsidRDefault="0047072D" w:rsidP="002D44BC">
            <w:pPr>
              <w:pStyle w:val="cuatexto"/>
              <w:jc w:val="right"/>
              <w:rPr>
                <w:sz w:val="19"/>
                <w:szCs w:val="19"/>
              </w:rPr>
            </w:pPr>
            <w:r>
              <w:rPr>
                <w:sz w:val="19"/>
              </w:rPr>
              <w:t>107</w:t>
            </w:r>
          </w:p>
        </w:tc>
        <w:tc>
          <w:tcPr>
            <w:tcW w:w="560" w:type="pct"/>
            <w:tcBorders>
              <w:top w:val="single" w:sz="4" w:space="0" w:color="auto"/>
              <w:left w:val="single" w:sz="2" w:space="0" w:color="auto"/>
              <w:bottom w:val="single" w:sz="2" w:space="0" w:color="auto"/>
            </w:tcBorders>
            <w:shd w:val="clear" w:color="auto" w:fill="auto"/>
            <w:vAlign w:val="center"/>
            <w:hideMark/>
          </w:tcPr>
          <w:p w14:paraId="0E883AF0" w14:textId="59820379" w:rsidR="0047072D" w:rsidRPr="00036EDF" w:rsidRDefault="0047072D" w:rsidP="002D44BC">
            <w:pPr>
              <w:pStyle w:val="cuatexto"/>
              <w:jc w:val="right"/>
              <w:rPr>
                <w:sz w:val="19"/>
                <w:szCs w:val="19"/>
              </w:rPr>
            </w:pPr>
            <w:r>
              <w:rPr>
                <w:sz w:val="19"/>
              </w:rPr>
              <w:t>11,82</w:t>
            </w:r>
          </w:p>
        </w:tc>
        <w:tc>
          <w:tcPr>
            <w:tcW w:w="440" w:type="pct"/>
            <w:tcBorders>
              <w:top w:val="single" w:sz="4" w:space="0" w:color="auto"/>
              <w:bottom w:val="single" w:sz="2" w:space="0" w:color="auto"/>
              <w:right w:val="single" w:sz="2" w:space="0" w:color="auto"/>
            </w:tcBorders>
            <w:shd w:val="clear" w:color="auto" w:fill="auto"/>
            <w:vAlign w:val="center"/>
            <w:hideMark/>
          </w:tcPr>
          <w:p w14:paraId="1B49D026" w14:textId="77777777" w:rsidR="0047072D" w:rsidRPr="00036EDF" w:rsidRDefault="0047072D" w:rsidP="002D44BC">
            <w:pPr>
              <w:pStyle w:val="cuatexto"/>
              <w:jc w:val="right"/>
              <w:rPr>
                <w:sz w:val="19"/>
                <w:szCs w:val="19"/>
              </w:rPr>
            </w:pPr>
            <w:r>
              <w:rPr>
                <w:sz w:val="19"/>
              </w:rPr>
              <w:t>6</w:t>
            </w:r>
          </w:p>
        </w:tc>
        <w:tc>
          <w:tcPr>
            <w:tcW w:w="559" w:type="pct"/>
            <w:tcBorders>
              <w:top w:val="single" w:sz="4" w:space="0" w:color="auto"/>
              <w:left w:val="single" w:sz="2" w:space="0" w:color="auto"/>
              <w:bottom w:val="single" w:sz="2" w:space="0" w:color="auto"/>
              <w:right w:val="nil"/>
            </w:tcBorders>
            <w:shd w:val="clear" w:color="auto" w:fill="auto"/>
            <w:vAlign w:val="center"/>
            <w:hideMark/>
          </w:tcPr>
          <w:p w14:paraId="79C2F5CD" w14:textId="13525BBC" w:rsidR="0047072D" w:rsidRPr="00036EDF" w:rsidRDefault="0047072D" w:rsidP="002D44BC">
            <w:pPr>
              <w:pStyle w:val="cuatexto"/>
              <w:jc w:val="right"/>
              <w:rPr>
                <w:sz w:val="19"/>
                <w:szCs w:val="19"/>
              </w:rPr>
            </w:pPr>
            <w:r>
              <w:rPr>
                <w:sz w:val="19"/>
              </w:rPr>
              <w:t>205,04</w:t>
            </w:r>
          </w:p>
        </w:tc>
      </w:tr>
      <w:tr w:rsidR="000A742F" w:rsidRPr="003A115E" w14:paraId="21F1A937"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BA22FB7" w14:textId="77777777" w:rsidR="0047072D" w:rsidRPr="00036EDF" w:rsidRDefault="0047072D" w:rsidP="002D44BC">
            <w:pPr>
              <w:pStyle w:val="cuatexto"/>
              <w:rPr>
                <w:sz w:val="19"/>
                <w:szCs w:val="19"/>
              </w:rPr>
            </w:pPr>
            <w:r>
              <w:rPr>
                <w:sz w:val="19"/>
              </w:rPr>
              <w:t>2. Zeharkako zergak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80D574C" w14:textId="6A5D17EC" w:rsidR="0047072D" w:rsidRPr="00036EDF" w:rsidRDefault="0047072D" w:rsidP="002D44BC">
            <w:pPr>
              <w:pStyle w:val="cuatexto"/>
              <w:jc w:val="right"/>
              <w:rPr>
                <w:sz w:val="19"/>
                <w:szCs w:val="19"/>
              </w:rPr>
            </w:pPr>
            <w:r>
              <w:rPr>
                <w:sz w:val="19"/>
              </w:rPr>
              <w:t>26,21</w:t>
            </w:r>
          </w:p>
        </w:tc>
        <w:tc>
          <w:tcPr>
            <w:tcW w:w="639" w:type="pct"/>
            <w:tcBorders>
              <w:top w:val="single" w:sz="2" w:space="0" w:color="auto"/>
              <w:left w:val="single" w:sz="2" w:space="0" w:color="auto"/>
              <w:bottom w:val="single" w:sz="2" w:space="0" w:color="auto"/>
            </w:tcBorders>
            <w:shd w:val="clear" w:color="auto" w:fill="auto"/>
            <w:vAlign w:val="center"/>
            <w:hideMark/>
          </w:tcPr>
          <w:p w14:paraId="22DAD3F4" w14:textId="0FA2A0DD" w:rsidR="0047072D" w:rsidRPr="00036EDF" w:rsidRDefault="0047072D" w:rsidP="002D44BC">
            <w:pPr>
              <w:pStyle w:val="cuatexto"/>
              <w:jc w:val="right"/>
              <w:rPr>
                <w:sz w:val="19"/>
                <w:szCs w:val="19"/>
              </w:rPr>
            </w:pPr>
            <w:r>
              <w:rPr>
                <w:sz w:val="19"/>
              </w:rPr>
              <w:t>36,72</w:t>
            </w:r>
          </w:p>
        </w:tc>
        <w:tc>
          <w:tcPr>
            <w:tcW w:w="561" w:type="pct"/>
            <w:tcBorders>
              <w:top w:val="single" w:sz="2" w:space="0" w:color="auto"/>
              <w:bottom w:val="single" w:sz="2" w:space="0" w:color="auto"/>
            </w:tcBorders>
            <w:shd w:val="clear" w:color="auto" w:fill="auto"/>
            <w:vAlign w:val="center"/>
            <w:hideMark/>
          </w:tcPr>
          <w:p w14:paraId="40020D36" w14:textId="77777777" w:rsidR="0047072D" w:rsidRPr="00036EDF" w:rsidRDefault="0047072D" w:rsidP="002D44BC">
            <w:pPr>
              <w:pStyle w:val="cuatexto"/>
              <w:jc w:val="right"/>
              <w:rPr>
                <w:sz w:val="19"/>
                <w:szCs w:val="19"/>
              </w:rPr>
            </w:pPr>
            <w:r>
              <w:rPr>
                <w:sz w:val="19"/>
              </w:rPr>
              <w:t>4</w:t>
            </w:r>
          </w:p>
        </w:tc>
        <w:tc>
          <w:tcPr>
            <w:tcW w:w="400" w:type="pct"/>
            <w:tcBorders>
              <w:top w:val="single" w:sz="2" w:space="0" w:color="auto"/>
              <w:bottom w:val="single" w:sz="2" w:space="0" w:color="auto"/>
              <w:right w:val="single" w:sz="2" w:space="0" w:color="auto"/>
            </w:tcBorders>
            <w:shd w:val="clear" w:color="auto" w:fill="auto"/>
            <w:vAlign w:val="center"/>
            <w:hideMark/>
          </w:tcPr>
          <w:p w14:paraId="29C194BB" w14:textId="77777777" w:rsidR="0047072D" w:rsidRPr="00036EDF" w:rsidRDefault="0047072D" w:rsidP="002D44BC">
            <w:pPr>
              <w:pStyle w:val="cuatexto"/>
              <w:jc w:val="right"/>
              <w:rPr>
                <w:sz w:val="19"/>
                <w:szCs w:val="19"/>
              </w:rPr>
            </w:pPr>
            <w:r>
              <w:rPr>
                <w:sz w:val="19"/>
              </w:rPr>
              <w:t>140</w:t>
            </w:r>
          </w:p>
        </w:tc>
        <w:tc>
          <w:tcPr>
            <w:tcW w:w="560" w:type="pct"/>
            <w:tcBorders>
              <w:top w:val="single" w:sz="2" w:space="0" w:color="auto"/>
              <w:left w:val="single" w:sz="2" w:space="0" w:color="auto"/>
              <w:bottom w:val="single" w:sz="2" w:space="0" w:color="auto"/>
            </w:tcBorders>
            <w:shd w:val="clear" w:color="auto" w:fill="auto"/>
            <w:vAlign w:val="center"/>
            <w:hideMark/>
          </w:tcPr>
          <w:p w14:paraId="027381AF" w14:textId="7E935849" w:rsidR="0047072D" w:rsidRPr="00036EDF" w:rsidRDefault="0047072D" w:rsidP="002D44BC">
            <w:pPr>
              <w:pStyle w:val="cuatexto"/>
              <w:jc w:val="right"/>
              <w:rPr>
                <w:sz w:val="19"/>
                <w:szCs w:val="19"/>
              </w:rPr>
            </w:pPr>
            <w:r>
              <w:rPr>
                <w:sz w:val="19"/>
              </w:rPr>
              <w:t>3,24</w:t>
            </w:r>
          </w:p>
        </w:tc>
        <w:tc>
          <w:tcPr>
            <w:tcW w:w="440" w:type="pct"/>
            <w:tcBorders>
              <w:top w:val="single" w:sz="2" w:space="0" w:color="auto"/>
              <w:bottom w:val="single" w:sz="2" w:space="0" w:color="auto"/>
              <w:right w:val="single" w:sz="2" w:space="0" w:color="auto"/>
            </w:tcBorders>
            <w:shd w:val="clear" w:color="auto" w:fill="auto"/>
            <w:vAlign w:val="center"/>
            <w:hideMark/>
          </w:tcPr>
          <w:p w14:paraId="2442CF72" w14:textId="77777777" w:rsidR="0047072D" w:rsidRPr="00036EDF" w:rsidRDefault="0047072D" w:rsidP="002D44BC">
            <w:pPr>
              <w:pStyle w:val="cuatexto"/>
              <w:jc w:val="right"/>
              <w:rPr>
                <w:sz w:val="19"/>
                <w:szCs w:val="19"/>
              </w:rPr>
            </w:pPr>
            <w:r>
              <w:rPr>
                <w:sz w:val="19"/>
              </w:rPr>
              <w:t>10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321D1D16" w14:textId="50066B44" w:rsidR="0047072D" w:rsidRPr="00036EDF" w:rsidRDefault="0047072D" w:rsidP="002D44BC">
            <w:pPr>
              <w:pStyle w:val="cuatexto"/>
              <w:jc w:val="right"/>
              <w:rPr>
                <w:sz w:val="19"/>
                <w:szCs w:val="19"/>
              </w:rPr>
            </w:pPr>
            <w:r>
              <w:rPr>
                <w:sz w:val="19"/>
              </w:rPr>
              <w:t>36,72</w:t>
            </w:r>
          </w:p>
        </w:tc>
      </w:tr>
      <w:tr w:rsidR="000A742F" w:rsidRPr="003A115E" w14:paraId="2BFE16CF"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EF55CC0" w14:textId="77777777" w:rsidR="0047072D" w:rsidRPr="00036EDF" w:rsidRDefault="0047072D" w:rsidP="002D44BC">
            <w:pPr>
              <w:pStyle w:val="cuatexto"/>
              <w:rPr>
                <w:sz w:val="19"/>
                <w:szCs w:val="19"/>
              </w:rPr>
            </w:pPr>
            <w:r>
              <w:rPr>
                <w:sz w:val="19"/>
              </w:rPr>
              <w:t>3. Tasak, prezio publikoak eta beste diru-sarrera batzuk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35F40D50" w14:textId="4721B2DB" w:rsidR="0047072D" w:rsidRPr="00036EDF" w:rsidRDefault="0047072D" w:rsidP="002D44BC">
            <w:pPr>
              <w:pStyle w:val="cuatexto"/>
              <w:jc w:val="right"/>
              <w:rPr>
                <w:sz w:val="19"/>
                <w:szCs w:val="19"/>
              </w:rPr>
            </w:pPr>
            <w:r>
              <w:rPr>
                <w:sz w:val="19"/>
              </w:rPr>
              <w:t>170,86</w:t>
            </w:r>
          </w:p>
        </w:tc>
        <w:tc>
          <w:tcPr>
            <w:tcW w:w="639" w:type="pct"/>
            <w:tcBorders>
              <w:top w:val="single" w:sz="2" w:space="0" w:color="auto"/>
              <w:left w:val="single" w:sz="2" w:space="0" w:color="auto"/>
              <w:bottom w:val="single" w:sz="2" w:space="0" w:color="auto"/>
            </w:tcBorders>
            <w:shd w:val="clear" w:color="auto" w:fill="auto"/>
            <w:vAlign w:val="center"/>
            <w:hideMark/>
          </w:tcPr>
          <w:p w14:paraId="6EAF8E8D" w14:textId="48C3496F" w:rsidR="0047072D" w:rsidRPr="00036EDF" w:rsidRDefault="0047072D" w:rsidP="002D44BC">
            <w:pPr>
              <w:pStyle w:val="cuatexto"/>
              <w:jc w:val="right"/>
              <w:rPr>
                <w:sz w:val="19"/>
                <w:szCs w:val="19"/>
              </w:rPr>
            </w:pPr>
            <w:r>
              <w:rPr>
                <w:sz w:val="19"/>
              </w:rPr>
              <w:t>196,39</w:t>
            </w:r>
          </w:p>
        </w:tc>
        <w:tc>
          <w:tcPr>
            <w:tcW w:w="561" w:type="pct"/>
            <w:tcBorders>
              <w:top w:val="single" w:sz="2" w:space="0" w:color="auto"/>
              <w:bottom w:val="single" w:sz="2" w:space="0" w:color="auto"/>
            </w:tcBorders>
            <w:shd w:val="clear" w:color="auto" w:fill="auto"/>
            <w:vAlign w:val="center"/>
            <w:hideMark/>
          </w:tcPr>
          <w:p w14:paraId="5FFCA4EB" w14:textId="77777777" w:rsidR="0047072D" w:rsidRPr="00036EDF" w:rsidRDefault="0047072D" w:rsidP="002D44BC">
            <w:pPr>
              <w:pStyle w:val="cuatexto"/>
              <w:jc w:val="right"/>
              <w:rPr>
                <w:sz w:val="19"/>
                <w:szCs w:val="19"/>
              </w:rPr>
            </w:pPr>
            <w:r>
              <w:rPr>
                <w:sz w:val="19"/>
              </w:rPr>
              <w:t>19</w:t>
            </w:r>
          </w:p>
        </w:tc>
        <w:tc>
          <w:tcPr>
            <w:tcW w:w="400" w:type="pct"/>
            <w:tcBorders>
              <w:top w:val="single" w:sz="2" w:space="0" w:color="auto"/>
              <w:bottom w:val="single" w:sz="2" w:space="0" w:color="auto"/>
              <w:right w:val="single" w:sz="2" w:space="0" w:color="auto"/>
            </w:tcBorders>
            <w:shd w:val="clear" w:color="auto" w:fill="auto"/>
            <w:vAlign w:val="center"/>
            <w:hideMark/>
          </w:tcPr>
          <w:p w14:paraId="7A4FA236" w14:textId="77777777" w:rsidR="0047072D" w:rsidRPr="00036EDF" w:rsidRDefault="0047072D" w:rsidP="002D44BC">
            <w:pPr>
              <w:pStyle w:val="cuatexto"/>
              <w:jc w:val="right"/>
              <w:rPr>
                <w:sz w:val="19"/>
                <w:szCs w:val="19"/>
              </w:rPr>
            </w:pPr>
            <w:r>
              <w:rPr>
                <w:sz w:val="19"/>
              </w:rPr>
              <w:t>115</w:t>
            </w:r>
          </w:p>
        </w:tc>
        <w:tc>
          <w:tcPr>
            <w:tcW w:w="560" w:type="pct"/>
            <w:tcBorders>
              <w:top w:val="single" w:sz="2" w:space="0" w:color="auto"/>
              <w:left w:val="single" w:sz="2" w:space="0" w:color="auto"/>
              <w:bottom w:val="single" w:sz="2" w:space="0" w:color="auto"/>
            </w:tcBorders>
            <w:shd w:val="clear" w:color="auto" w:fill="auto"/>
            <w:vAlign w:val="center"/>
            <w:hideMark/>
          </w:tcPr>
          <w:p w14:paraId="5C0EDF76" w14:textId="1C92611A" w:rsidR="0047072D" w:rsidRPr="00036EDF" w:rsidRDefault="0047072D" w:rsidP="002D44BC">
            <w:pPr>
              <w:pStyle w:val="cuatexto"/>
              <w:jc w:val="right"/>
              <w:rPr>
                <w:sz w:val="19"/>
                <w:szCs w:val="19"/>
              </w:rPr>
            </w:pPr>
            <w:r>
              <w:rPr>
                <w:sz w:val="19"/>
              </w:rPr>
              <w:t>18,34</w:t>
            </w:r>
          </w:p>
        </w:tc>
        <w:tc>
          <w:tcPr>
            <w:tcW w:w="440" w:type="pct"/>
            <w:tcBorders>
              <w:top w:val="single" w:sz="2" w:space="0" w:color="auto"/>
              <w:bottom w:val="single" w:sz="2" w:space="0" w:color="auto"/>
              <w:right w:val="single" w:sz="2" w:space="0" w:color="auto"/>
            </w:tcBorders>
            <w:shd w:val="clear" w:color="auto" w:fill="auto"/>
            <w:vAlign w:val="center"/>
            <w:hideMark/>
          </w:tcPr>
          <w:p w14:paraId="419F96CC" w14:textId="77777777" w:rsidR="0047072D" w:rsidRPr="00036EDF" w:rsidRDefault="0047072D" w:rsidP="002D44BC">
            <w:pPr>
              <w:pStyle w:val="cuatexto"/>
              <w:jc w:val="right"/>
              <w:rPr>
                <w:sz w:val="19"/>
                <w:szCs w:val="19"/>
              </w:rPr>
            </w:pPr>
            <w:r>
              <w:rPr>
                <w:sz w:val="19"/>
              </w:rPr>
              <w:t>10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2268DD4A" w14:textId="4869385A" w:rsidR="0047072D" w:rsidRPr="00036EDF" w:rsidRDefault="0047072D" w:rsidP="002D44BC">
            <w:pPr>
              <w:pStyle w:val="cuatexto"/>
              <w:jc w:val="right"/>
              <w:rPr>
                <w:sz w:val="19"/>
                <w:szCs w:val="19"/>
              </w:rPr>
            </w:pPr>
            <w:r>
              <w:rPr>
                <w:sz w:val="19"/>
              </w:rPr>
              <w:t>273,45</w:t>
            </w:r>
          </w:p>
        </w:tc>
      </w:tr>
      <w:tr w:rsidR="000A742F" w:rsidRPr="003A115E" w14:paraId="3F016CC0"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DBDBC25" w14:textId="77777777" w:rsidR="0047072D" w:rsidRPr="00036EDF" w:rsidRDefault="0047072D" w:rsidP="002D44BC">
            <w:pPr>
              <w:pStyle w:val="cuatexto"/>
              <w:rPr>
                <w:sz w:val="19"/>
                <w:szCs w:val="19"/>
              </w:rPr>
            </w:pPr>
            <w:r>
              <w:rPr>
                <w:sz w:val="19"/>
              </w:rPr>
              <w:t>4. Transferentzia arruntak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2E7B315" w14:textId="2D770EED" w:rsidR="0047072D" w:rsidRPr="00036EDF" w:rsidRDefault="0047072D" w:rsidP="002D44BC">
            <w:pPr>
              <w:pStyle w:val="cuatexto"/>
              <w:jc w:val="right"/>
              <w:rPr>
                <w:sz w:val="19"/>
                <w:szCs w:val="19"/>
              </w:rPr>
            </w:pPr>
            <w:r>
              <w:rPr>
                <w:sz w:val="19"/>
              </w:rPr>
              <w:t>397,69</w:t>
            </w:r>
          </w:p>
        </w:tc>
        <w:tc>
          <w:tcPr>
            <w:tcW w:w="639" w:type="pct"/>
            <w:tcBorders>
              <w:top w:val="single" w:sz="2" w:space="0" w:color="auto"/>
              <w:left w:val="single" w:sz="2" w:space="0" w:color="auto"/>
              <w:bottom w:val="single" w:sz="2" w:space="0" w:color="auto"/>
            </w:tcBorders>
            <w:shd w:val="clear" w:color="auto" w:fill="auto"/>
            <w:vAlign w:val="center"/>
            <w:hideMark/>
          </w:tcPr>
          <w:p w14:paraId="0DCDE5BA" w14:textId="30D6ED17" w:rsidR="0047072D" w:rsidRPr="00036EDF" w:rsidRDefault="0047072D" w:rsidP="002D44BC">
            <w:pPr>
              <w:pStyle w:val="cuatexto"/>
              <w:jc w:val="right"/>
              <w:rPr>
                <w:sz w:val="19"/>
                <w:szCs w:val="19"/>
              </w:rPr>
            </w:pPr>
            <w:r>
              <w:rPr>
                <w:sz w:val="19"/>
              </w:rPr>
              <w:t>406,16</w:t>
            </w:r>
          </w:p>
        </w:tc>
        <w:tc>
          <w:tcPr>
            <w:tcW w:w="561" w:type="pct"/>
            <w:tcBorders>
              <w:top w:val="single" w:sz="2" w:space="0" w:color="auto"/>
              <w:bottom w:val="single" w:sz="2" w:space="0" w:color="auto"/>
            </w:tcBorders>
            <w:shd w:val="clear" w:color="auto" w:fill="auto"/>
            <w:vAlign w:val="center"/>
            <w:hideMark/>
          </w:tcPr>
          <w:p w14:paraId="2EF2D3C9" w14:textId="77777777" w:rsidR="0047072D" w:rsidRPr="00036EDF" w:rsidRDefault="0047072D" w:rsidP="002D44BC">
            <w:pPr>
              <w:pStyle w:val="cuatexto"/>
              <w:jc w:val="right"/>
              <w:rPr>
                <w:sz w:val="19"/>
                <w:szCs w:val="19"/>
              </w:rPr>
            </w:pPr>
            <w:r>
              <w:rPr>
                <w:sz w:val="19"/>
              </w:rPr>
              <w:t>39</w:t>
            </w:r>
          </w:p>
        </w:tc>
        <w:tc>
          <w:tcPr>
            <w:tcW w:w="400" w:type="pct"/>
            <w:tcBorders>
              <w:top w:val="single" w:sz="2" w:space="0" w:color="auto"/>
              <w:bottom w:val="single" w:sz="2" w:space="0" w:color="auto"/>
              <w:right w:val="single" w:sz="2" w:space="0" w:color="auto"/>
            </w:tcBorders>
            <w:shd w:val="clear" w:color="auto" w:fill="auto"/>
            <w:vAlign w:val="center"/>
            <w:hideMark/>
          </w:tcPr>
          <w:p w14:paraId="34B38DE0" w14:textId="77777777" w:rsidR="0047072D" w:rsidRPr="00036EDF" w:rsidRDefault="0047072D" w:rsidP="002D44BC">
            <w:pPr>
              <w:pStyle w:val="cuatexto"/>
              <w:jc w:val="right"/>
              <w:rPr>
                <w:sz w:val="19"/>
                <w:szCs w:val="19"/>
              </w:rPr>
            </w:pPr>
            <w:r>
              <w:rPr>
                <w:sz w:val="19"/>
              </w:rPr>
              <w:t>102</w:t>
            </w:r>
          </w:p>
        </w:tc>
        <w:tc>
          <w:tcPr>
            <w:tcW w:w="560" w:type="pct"/>
            <w:tcBorders>
              <w:top w:val="single" w:sz="2" w:space="0" w:color="auto"/>
              <w:left w:val="single" w:sz="2" w:space="0" w:color="auto"/>
              <w:bottom w:val="single" w:sz="2" w:space="0" w:color="auto"/>
            </w:tcBorders>
            <w:shd w:val="clear" w:color="auto" w:fill="auto"/>
            <w:vAlign w:val="center"/>
            <w:hideMark/>
          </w:tcPr>
          <w:p w14:paraId="6756ABA1" w14:textId="2FC83177" w:rsidR="0047072D" w:rsidRPr="00036EDF" w:rsidRDefault="0047072D" w:rsidP="002D44BC">
            <w:pPr>
              <w:pStyle w:val="cuatexto"/>
              <w:jc w:val="right"/>
              <w:rPr>
                <w:sz w:val="19"/>
                <w:szCs w:val="19"/>
              </w:rPr>
            </w:pPr>
            <w:r>
              <w:rPr>
                <w:sz w:val="19"/>
              </w:rPr>
              <w:t>31,74</w:t>
            </w:r>
          </w:p>
        </w:tc>
        <w:tc>
          <w:tcPr>
            <w:tcW w:w="440" w:type="pct"/>
            <w:tcBorders>
              <w:top w:val="single" w:sz="2" w:space="0" w:color="auto"/>
              <w:bottom w:val="single" w:sz="2" w:space="0" w:color="auto"/>
              <w:right w:val="single" w:sz="2" w:space="0" w:color="auto"/>
            </w:tcBorders>
            <w:shd w:val="clear" w:color="auto" w:fill="auto"/>
            <w:vAlign w:val="center"/>
            <w:hideMark/>
          </w:tcPr>
          <w:p w14:paraId="030336DA" w14:textId="77777777" w:rsidR="0047072D" w:rsidRPr="00036EDF" w:rsidRDefault="0047072D" w:rsidP="002D44BC">
            <w:pPr>
              <w:pStyle w:val="cuatexto"/>
              <w:jc w:val="right"/>
              <w:rPr>
                <w:sz w:val="19"/>
                <w:szCs w:val="19"/>
              </w:rPr>
            </w:pPr>
            <w:r>
              <w:rPr>
                <w:sz w:val="19"/>
              </w:rPr>
              <w:t>8</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2D5C0A3C" w14:textId="5EF87956" w:rsidR="0047072D" w:rsidRPr="00036EDF" w:rsidRDefault="0047072D" w:rsidP="002D44BC">
            <w:pPr>
              <w:pStyle w:val="cuatexto"/>
              <w:jc w:val="right"/>
              <w:rPr>
                <w:sz w:val="19"/>
                <w:szCs w:val="19"/>
              </w:rPr>
            </w:pPr>
            <w:r>
              <w:rPr>
                <w:sz w:val="19"/>
              </w:rPr>
              <w:t>414,70</w:t>
            </w:r>
          </w:p>
        </w:tc>
      </w:tr>
      <w:tr w:rsidR="000A742F" w:rsidRPr="003A115E" w14:paraId="345703A2"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34B5E122" w14:textId="77777777" w:rsidR="0047072D" w:rsidRPr="00036EDF" w:rsidRDefault="0047072D" w:rsidP="0186A00D">
            <w:pPr>
              <w:pStyle w:val="cuatexto"/>
              <w:rPr>
                <w:sz w:val="19"/>
                <w:szCs w:val="19"/>
              </w:rPr>
            </w:pPr>
            <w:r>
              <w:rPr>
                <w:sz w:val="19"/>
              </w:rPr>
              <w:t>5. Ondare-sarrerak eta herri-aprobetxamenduak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408AB7F5" w14:textId="0FBE177A" w:rsidR="0047072D" w:rsidRPr="00036EDF" w:rsidRDefault="0047072D" w:rsidP="002D44BC">
            <w:pPr>
              <w:pStyle w:val="cuatexto"/>
              <w:jc w:val="right"/>
              <w:rPr>
                <w:sz w:val="19"/>
                <w:szCs w:val="19"/>
              </w:rPr>
            </w:pPr>
            <w:r>
              <w:rPr>
                <w:sz w:val="19"/>
              </w:rPr>
              <w:t>57,76</w:t>
            </w:r>
          </w:p>
        </w:tc>
        <w:tc>
          <w:tcPr>
            <w:tcW w:w="639" w:type="pct"/>
            <w:tcBorders>
              <w:top w:val="single" w:sz="2" w:space="0" w:color="auto"/>
              <w:left w:val="single" w:sz="2" w:space="0" w:color="auto"/>
              <w:bottom w:val="single" w:sz="2" w:space="0" w:color="auto"/>
            </w:tcBorders>
            <w:shd w:val="clear" w:color="auto" w:fill="auto"/>
            <w:vAlign w:val="center"/>
            <w:hideMark/>
          </w:tcPr>
          <w:p w14:paraId="24C00D58" w14:textId="69ECAD29" w:rsidR="0047072D" w:rsidRPr="00036EDF" w:rsidRDefault="0047072D" w:rsidP="002D44BC">
            <w:pPr>
              <w:pStyle w:val="cuatexto"/>
              <w:jc w:val="right"/>
              <w:rPr>
                <w:sz w:val="19"/>
                <w:szCs w:val="19"/>
              </w:rPr>
            </w:pPr>
            <w:r>
              <w:rPr>
                <w:sz w:val="19"/>
              </w:rPr>
              <w:t>58,90</w:t>
            </w:r>
          </w:p>
        </w:tc>
        <w:tc>
          <w:tcPr>
            <w:tcW w:w="561" w:type="pct"/>
            <w:tcBorders>
              <w:top w:val="single" w:sz="2" w:space="0" w:color="auto"/>
              <w:bottom w:val="single" w:sz="2" w:space="0" w:color="auto"/>
            </w:tcBorders>
            <w:shd w:val="clear" w:color="auto" w:fill="auto"/>
            <w:vAlign w:val="center"/>
            <w:hideMark/>
          </w:tcPr>
          <w:p w14:paraId="76CCAC8D" w14:textId="77777777" w:rsidR="0047072D" w:rsidRPr="00036EDF" w:rsidRDefault="0047072D" w:rsidP="002D44BC">
            <w:pPr>
              <w:pStyle w:val="cuatexto"/>
              <w:jc w:val="right"/>
              <w:rPr>
                <w:sz w:val="19"/>
                <w:szCs w:val="19"/>
              </w:rPr>
            </w:pPr>
            <w:r>
              <w:rPr>
                <w:sz w:val="19"/>
              </w:rPr>
              <w:t>6</w:t>
            </w:r>
          </w:p>
        </w:tc>
        <w:tc>
          <w:tcPr>
            <w:tcW w:w="400" w:type="pct"/>
            <w:tcBorders>
              <w:top w:val="single" w:sz="2" w:space="0" w:color="auto"/>
              <w:bottom w:val="single" w:sz="2" w:space="0" w:color="auto"/>
              <w:right w:val="single" w:sz="2" w:space="0" w:color="auto"/>
            </w:tcBorders>
            <w:shd w:val="clear" w:color="auto" w:fill="auto"/>
            <w:vAlign w:val="center"/>
            <w:hideMark/>
          </w:tcPr>
          <w:p w14:paraId="25049748" w14:textId="77777777" w:rsidR="0047072D" w:rsidRPr="00036EDF" w:rsidRDefault="0047072D" w:rsidP="002D44BC">
            <w:pPr>
              <w:pStyle w:val="cuatexto"/>
              <w:jc w:val="right"/>
              <w:rPr>
                <w:sz w:val="19"/>
                <w:szCs w:val="19"/>
              </w:rPr>
            </w:pPr>
            <w:r>
              <w:rPr>
                <w:sz w:val="19"/>
              </w:rPr>
              <w:t>102</w:t>
            </w:r>
          </w:p>
        </w:tc>
        <w:tc>
          <w:tcPr>
            <w:tcW w:w="560" w:type="pct"/>
            <w:tcBorders>
              <w:top w:val="single" w:sz="2" w:space="0" w:color="auto"/>
              <w:left w:val="single" w:sz="2" w:space="0" w:color="auto"/>
              <w:bottom w:val="single" w:sz="2" w:space="0" w:color="auto"/>
            </w:tcBorders>
            <w:shd w:val="clear" w:color="auto" w:fill="auto"/>
            <w:vAlign w:val="center"/>
            <w:hideMark/>
          </w:tcPr>
          <w:p w14:paraId="3C2C7AF3" w14:textId="3ED9BBBE" w:rsidR="0047072D" w:rsidRPr="00036EDF" w:rsidRDefault="0047072D" w:rsidP="002D44BC">
            <w:pPr>
              <w:pStyle w:val="cuatexto"/>
              <w:jc w:val="right"/>
              <w:rPr>
                <w:sz w:val="19"/>
                <w:szCs w:val="19"/>
              </w:rPr>
            </w:pPr>
            <w:r>
              <w:rPr>
                <w:sz w:val="19"/>
              </w:rPr>
              <w:t>8,49</w:t>
            </w:r>
          </w:p>
        </w:tc>
        <w:tc>
          <w:tcPr>
            <w:tcW w:w="440" w:type="pct"/>
            <w:tcBorders>
              <w:top w:val="single" w:sz="2" w:space="0" w:color="auto"/>
              <w:bottom w:val="single" w:sz="2" w:space="0" w:color="auto"/>
              <w:right w:val="single" w:sz="2" w:space="0" w:color="auto"/>
            </w:tcBorders>
            <w:shd w:val="clear" w:color="auto" w:fill="auto"/>
            <w:vAlign w:val="center"/>
            <w:hideMark/>
          </w:tcPr>
          <w:p w14:paraId="1175954C" w14:textId="77777777" w:rsidR="0047072D" w:rsidRPr="00036EDF" w:rsidRDefault="0047072D" w:rsidP="002D44BC">
            <w:pPr>
              <w:pStyle w:val="cuatexto"/>
              <w:jc w:val="right"/>
              <w:rPr>
                <w:sz w:val="19"/>
                <w:szCs w:val="19"/>
              </w:rPr>
            </w:pPr>
            <w:r>
              <w:rPr>
                <w:sz w:val="19"/>
              </w:rPr>
              <w:t>17</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66ED2FFE" w14:textId="36B62019" w:rsidR="0047072D" w:rsidRPr="00036EDF" w:rsidRDefault="0047072D" w:rsidP="002D44BC">
            <w:pPr>
              <w:pStyle w:val="cuatexto"/>
              <w:jc w:val="right"/>
              <w:rPr>
                <w:sz w:val="19"/>
                <w:szCs w:val="19"/>
              </w:rPr>
            </w:pPr>
            <w:r>
              <w:rPr>
                <w:sz w:val="19"/>
              </w:rPr>
              <w:t>58,98</w:t>
            </w:r>
          </w:p>
        </w:tc>
      </w:tr>
      <w:tr w:rsidR="000A742F" w:rsidRPr="003A115E" w14:paraId="4AD44FEF"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093327F6" w14:textId="03FA3494" w:rsidR="0047072D" w:rsidRPr="00036EDF" w:rsidRDefault="0047072D" w:rsidP="002D44BC">
            <w:pPr>
              <w:pStyle w:val="cuatexto"/>
              <w:rPr>
                <w:b/>
                <w:bCs/>
                <w:i/>
                <w:iCs/>
                <w:sz w:val="19"/>
                <w:szCs w:val="19"/>
              </w:rPr>
            </w:pPr>
            <w:r>
              <w:rPr>
                <w:b/>
                <w:i/>
                <w:sz w:val="19"/>
              </w:rPr>
              <w:t>Diru-sarrera arruntak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A90AE22" w14:textId="49717C83" w:rsidR="0047072D" w:rsidRPr="00036EDF" w:rsidRDefault="0047072D" w:rsidP="002D44BC">
            <w:pPr>
              <w:pStyle w:val="cuatexto"/>
              <w:jc w:val="right"/>
              <w:rPr>
                <w:b/>
                <w:bCs/>
                <w:i/>
                <w:iCs/>
                <w:sz w:val="19"/>
                <w:szCs w:val="19"/>
              </w:rPr>
            </w:pPr>
            <w:r>
              <w:rPr>
                <w:b/>
                <w:i/>
                <w:sz w:val="19"/>
              </w:rPr>
              <w:t>844,96</w:t>
            </w:r>
          </w:p>
        </w:tc>
        <w:tc>
          <w:tcPr>
            <w:tcW w:w="639" w:type="pct"/>
            <w:tcBorders>
              <w:top w:val="single" w:sz="2" w:space="0" w:color="auto"/>
              <w:left w:val="single" w:sz="2" w:space="0" w:color="auto"/>
              <w:bottom w:val="single" w:sz="2" w:space="0" w:color="auto"/>
            </w:tcBorders>
            <w:shd w:val="clear" w:color="auto" w:fill="auto"/>
            <w:vAlign w:val="center"/>
            <w:hideMark/>
          </w:tcPr>
          <w:p w14:paraId="6B7516CE" w14:textId="3F92EFF8" w:rsidR="0047072D" w:rsidRPr="00036EDF" w:rsidRDefault="0047072D" w:rsidP="002D44BC">
            <w:pPr>
              <w:pStyle w:val="cuatexto"/>
              <w:jc w:val="right"/>
              <w:rPr>
                <w:b/>
                <w:bCs/>
                <w:i/>
                <w:iCs/>
                <w:sz w:val="19"/>
                <w:szCs w:val="19"/>
              </w:rPr>
            </w:pPr>
            <w:r>
              <w:rPr>
                <w:b/>
                <w:i/>
                <w:sz w:val="19"/>
              </w:rPr>
              <w:t>903,20</w:t>
            </w:r>
          </w:p>
        </w:tc>
        <w:tc>
          <w:tcPr>
            <w:tcW w:w="561" w:type="pct"/>
            <w:tcBorders>
              <w:top w:val="single" w:sz="2" w:space="0" w:color="auto"/>
              <w:bottom w:val="single" w:sz="2" w:space="0" w:color="auto"/>
            </w:tcBorders>
            <w:shd w:val="clear" w:color="auto" w:fill="auto"/>
            <w:vAlign w:val="center"/>
            <w:hideMark/>
          </w:tcPr>
          <w:p w14:paraId="05F8CF7B" w14:textId="77777777" w:rsidR="0047072D" w:rsidRPr="00036EDF" w:rsidRDefault="0047072D" w:rsidP="002D44BC">
            <w:pPr>
              <w:pStyle w:val="cuatexto"/>
              <w:jc w:val="right"/>
              <w:rPr>
                <w:b/>
                <w:bCs/>
                <w:i/>
                <w:iCs/>
                <w:sz w:val="19"/>
                <w:szCs w:val="19"/>
              </w:rPr>
            </w:pPr>
            <w:r>
              <w:rPr>
                <w:b/>
                <w:i/>
                <w:sz w:val="19"/>
              </w:rPr>
              <w:t>87</w:t>
            </w:r>
          </w:p>
        </w:tc>
        <w:tc>
          <w:tcPr>
            <w:tcW w:w="400" w:type="pct"/>
            <w:tcBorders>
              <w:top w:val="single" w:sz="2" w:space="0" w:color="auto"/>
              <w:bottom w:val="single" w:sz="2" w:space="0" w:color="auto"/>
              <w:right w:val="single" w:sz="2" w:space="0" w:color="auto"/>
            </w:tcBorders>
            <w:shd w:val="clear" w:color="auto" w:fill="auto"/>
            <w:vAlign w:val="center"/>
            <w:hideMark/>
          </w:tcPr>
          <w:p w14:paraId="353C51DD" w14:textId="77777777" w:rsidR="0047072D" w:rsidRPr="00036EDF" w:rsidRDefault="0047072D" w:rsidP="002D44BC">
            <w:pPr>
              <w:pStyle w:val="cuatexto"/>
              <w:jc w:val="right"/>
              <w:rPr>
                <w:b/>
                <w:bCs/>
                <w:i/>
                <w:iCs/>
                <w:sz w:val="19"/>
                <w:szCs w:val="19"/>
              </w:rPr>
            </w:pPr>
            <w:r>
              <w:rPr>
                <w:b/>
                <w:i/>
                <w:sz w:val="19"/>
              </w:rPr>
              <w:t>107</w:t>
            </w:r>
          </w:p>
        </w:tc>
        <w:tc>
          <w:tcPr>
            <w:tcW w:w="560" w:type="pct"/>
            <w:tcBorders>
              <w:top w:val="single" w:sz="2" w:space="0" w:color="auto"/>
              <w:left w:val="single" w:sz="2" w:space="0" w:color="auto"/>
              <w:bottom w:val="single" w:sz="2" w:space="0" w:color="auto"/>
            </w:tcBorders>
            <w:shd w:val="clear" w:color="auto" w:fill="auto"/>
            <w:vAlign w:val="center"/>
            <w:hideMark/>
          </w:tcPr>
          <w:p w14:paraId="661D5D41" w14:textId="1D6ACE56" w:rsidR="0047072D" w:rsidRPr="00036EDF" w:rsidRDefault="0047072D" w:rsidP="002D44BC">
            <w:pPr>
              <w:pStyle w:val="cuatexto"/>
              <w:jc w:val="right"/>
              <w:rPr>
                <w:b/>
                <w:bCs/>
                <w:i/>
                <w:iCs/>
                <w:sz w:val="19"/>
                <w:szCs w:val="19"/>
              </w:rPr>
            </w:pPr>
            <w:r>
              <w:rPr>
                <w:b/>
                <w:i/>
                <w:sz w:val="19"/>
              </w:rPr>
              <w:t>73,63</w:t>
            </w:r>
          </w:p>
        </w:tc>
        <w:tc>
          <w:tcPr>
            <w:tcW w:w="440" w:type="pct"/>
            <w:tcBorders>
              <w:top w:val="single" w:sz="2" w:space="0" w:color="auto"/>
              <w:bottom w:val="single" w:sz="2" w:space="0" w:color="auto"/>
              <w:right w:val="single" w:sz="2" w:space="0" w:color="auto"/>
            </w:tcBorders>
            <w:shd w:val="clear" w:color="auto" w:fill="auto"/>
            <w:vAlign w:val="center"/>
            <w:hideMark/>
          </w:tcPr>
          <w:p w14:paraId="0F8F7BE1" w14:textId="77777777" w:rsidR="0047072D" w:rsidRPr="00036EDF" w:rsidRDefault="0047072D" w:rsidP="002D44BC">
            <w:pPr>
              <w:pStyle w:val="cuatexto"/>
              <w:jc w:val="right"/>
              <w:rPr>
                <w:b/>
                <w:bCs/>
                <w:i/>
                <w:iCs/>
                <w:sz w:val="19"/>
                <w:szCs w:val="19"/>
              </w:rPr>
            </w:pPr>
            <w:r>
              <w:rPr>
                <w:b/>
                <w:i/>
                <w:sz w:val="19"/>
              </w:rPr>
              <w:t>9</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0E90247C" w14:textId="676FB793" w:rsidR="0047072D" w:rsidRPr="00036EDF" w:rsidRDefault="0047072D" w:rsidP="002D44BC">
            <w:pPr>
              <w:pStyle w:val="cuatexto"/>
              <w:jc w:val="right"/>
              <w:rPr>
                <w:b/>
                <w:bCs/>
                <w:i/>
                <w:iCs/>
                <w:sz w:val="19"/>
                <w:szCs w:val="19"/>
              </w:rPr>
            </w:pPr>
            <w:r>
              <w:rPr>
                <w:b/>
                <w:i/>
                <w:sz w:val="19"/>
              </w:rPr>
              <w:t>988,89</w:t>
            </w:r>
          </w:p>
        </w:tc>
      </w:tr>
      <w:tr w:rsidR="000A742F" w:rsidRPr="003A115E" w14:paraId="69094C20"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E0B6814" w14:textId="77777777" w:rsidR="0047072D" w:rsidRPr="00036EDF" w:rsidRDefault="0047072D" w:rsidP="002D44BC">
            <w:pPr>
              <w:pStyle w:val="cuatexto"/>
              <w:rPr>
                <w:sz w:val="19"/>
                <w:szCs w:val="19"/>
              </w:rPr>
            </w:pPr>
            <w:r>
              <w:rPr>
                <w:sz w:val="19"/>
              </w:rPr>
              <w:t>6. Inbertsio errealen besterentzea</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6A4A275" w14:textId="5F3B79B6" w:rsidR="0047072D" w:rsidRPr="00036EDF" w:rsidRDefault="0047072D" w:rsidP="002D44BC">
            <w:pPr>
              <w:pStyle w:val="cuatexto"/>
              <w:jc w:val="right"/>
              <w:rPr>
                <w:sz w:val="19"/>
                <w:szCs w:val="19"/>
              </w:rPr>
            </w:pPr>
            <w:r>
              <w:rPr>
                <w:sz w:val="19"/>
              </w:rPr>
              <w:t>17,66</w:t>
            </w:r>
          </w:p>
        </w:tc>
        <w:tc>
          <w:tcPr>
            <w:tcW w:w="639" w:type="pct"/>
            <w:tcBorders>
              <w:top w:val="single" w:sz="2" w:space="0" w:color="auto"/>
              <w:left w:val="single" w:sz="2" w:space="0" w:color="auto"/>
              <w:bottom w:val="single" w:sz="2" w:space="0" w:color="auto"/>
            </w:tcBorders>
            <w:shd w:val="clear" w:color="auto" w:fill="auto"/>
            <w:vAlign w:val="center"/>
            <w:hideMark/>
          </w:tcPr>
          <w:p w14:paraId="14F91828" w14:textId="62268F85" w:rsidR="0047072D" w:rsidRPr="00036EDF" w:rsidRDefault="0047072D" w:rsidP="002D44BC">
            <w:pPr>
              <w:pStyle w:val="cuatexto"/>
              <w:jc w:val="right"/>
              <w:rPr>
                <w:sz w:val="19"/>
                <w:szCs w:val="19"/>
              </w:rPr>
            </w:pPr>
            <w:r>
              <w:rPr>
                <w:sz w:val="19"/>
              </w:rPr>
              <w:t>21,71</w:t>
            </w:r>
          </w:p>
        </w:tc>
        <w:tc>
          <w:tcPr>
            <w:tcW w:w="561" w:type="pct"/>
            <w:tcBorders>
              <w:top w:val="single" w:sz="2" w:space="0" w:color="auto"/>
              <w:bottom w:val="single" w:sz="2" w:space="0" w:color="auto"/>
            </w:tcBorders>
            <w:shd w:val="clear" w:color="auto" w:fill="auto"/>
            <w:vAlign w:val="center"/>
            <w:hideMark/>
          </w:tcPr>
          <w:p w14:paraId="33206C1B" w14:textId="77777777" w:rsidR="0047072D" w:rsidRPr="00036EDF" w:rsidRDefault="0047072D" w:rsidP="002D44BC">
            <w:pPr>
              <w:pStyle w:val="cuatexto"/>
              <w:jc w:val="right"/>
              <w:rPr>
                <w:sz w:val="19"/>
                <w:szCs w:val="19"/>
              </w:rPr>
            </w:pPr>
            <w:r>
              <w:rPr>
                <w:sz w:val="19"/>
              </w:rPr>
              <w:t>2</w:t>
            </w:r>
          </w:p>
        </w:tc>
        <w:tc>
          <w:tcPr>
            <w:tcW w:w="400" w:type="pct"/>
            <w:tcBorders>
              <w:top w:val="single" w:sz="2" w:space="0" w:color="auto"/>
              <w:bottom w:val="single" w:sz="2" w:space="0" w:color="auto"/>
              <w:right w:val="single" w:sz="2" w:space="0" w:color="auto"/>
            </w:tcBorders>
            <w:shd w:val="clear" w:color="auto" w:fill="auto"/>
            <w:vAlign w:val="center"/>
            <w:hideMark/>
          </w:tcPr>
          <w:p w14:paraId="7DE01CC6" w14:textId="77777777" w:rsidR="0047072D" w:rsidRPr="00036EDF" w:rsidRDefault="0047072D" w:rsidP="002D44BC">
            <w:pPr>
              <w:pStyle w:val="cuatexto"/>
              <w:jc w:val="right"/>
              <w:rPr>
                <w:sz w:val="19"/>
                <w:szCs w:val="19"/>
              </w:rPr>
            </w:pPr>
            <w:r>
              <w:rPr>
                <w:sz w:val="19"/>
              </w:rPr>
              <w:t>123</w:t>
            </w:r>
          </w:p>
        </w:tc>
        <w:tc>
          <w:tcPr>
            <w:tcW w:w="560" w:type="pct"/>
            <w:tcBorders>
              <w:top w:val="single" w:sz="2" w:space="0" w:color="auto"/>
              <w:left w:val="single" w:sz="2" w:space="0" w:color="auto"/>
              <w:bottom w:val="single" w:sz="2" w:space="0" w:color="auto"/>
            </w:tcBorders>
            <w:shd w:val="clear" w:color="auto" w:fill="auto"/>
            <w:vAlign w:val="center"/>
            <w:hideMark/>
          </w:tcPr>
          <w:p w14:paraId="19BCD763" w14:textId="0E8A27EE" w:rsidR="0047072D" w:rsidRPr="00036EDF" w:rsidRDefault="0047072D" w:rsidP="002D44BC">
            <w:pPr>
              <w:pStyle w:val="cuatexto"/>
              <w:jc w:val="right"/>
              <w:rPr>
                <w:sz w:val="19"/>
                <w:szCs w:val="19"/>
              </w:rPr>
            </w:pPr>
            <w:r>
              <w:rPr>
                <w:sz w:val="19"/>
              </w:rPr>
              <w:t>8,42</w:t>
            </w:r>
          </w:p>
        </w:tc>
        <w:tc>
          <w:tcPr>
            <w:tcW w:w="440" w:type="pct"/>
            <w:tcBorders>
              <w:top w:val="single" w:sz="2" w:space="0" w:color="auto"/>
              <w:bottom w:val="single" w:sz="2" w:space="0" w:color="auto"/>
              <w:right w:val="single" w:sz="2" w:space="0" w:color="auto"/>
            </w:tcBorders>
            <w:shd w:val="clear" w:color="auto" w:fill="auto"/>
            <w:vAlign w:val="center"/>
            <w:hideMark/>
          </w:tcPr>
          <w:p w14:paraId="7C9FA363" w14:textId="77777777" w:rsidR="0047072D" w:rsidRPr="00036EDF" w:rsidRDefault="0047072D" w:rsidP="002D44BC">
            <w:pPr>
              <w:pStyle w:val="cuatexto"/>
              <w:jc w:val="right"/>
              <w:rPr>
                <w:sz w:val="19"/>
                <w:szCs w:val="19"/>
              </w:rPr>
            </w:pPr>
            <w:r>
              <w:rPr>
                <w:sz w:val="19"/>
              </w:rPr>
              <w:t>63</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134C1689" w14:textId="29DA479F" w:rsidR="0047072D" w:rsidRPr="00036EDF" w:rsidRDefault="0047072D" w:rsidP="002D44BC">
            <w:pPr>
              <w:pStyle w:val="cuatexto"/>
              <w:jc w:val="right"/>
              <w:rPr>
                <w:sz w:val="19"/>
                <w:szCs w:val="19"/>
              </w:rPr>
            </w:pPr>
            <w:r>
              <w:rPr>
                <w:sz w:val="19"/>
              </w:rPr>
              <w:t>21,78</w:t>
            </w:r>
          </w:p>
        </w:tc>
      </w:tr>
      <w:tr w:rsidR="000A742F" w:rsidRPr="003A115E" w14:paraId="308FCF9C"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24BA56F8" w14:textId="77777777" w:rsidR="0047072D" w:rsidRPr="00036EDF" w:rsidRDefault="0047072D" w:rsidP="0186A00D">
            <w:pPr>
              <w:pStyle w:val="cuatexto"/>
              <w:rPr>
                <w:sz w:val="19"/>
                <w:szCs w:val="19"/>
              </w:rPr>
            </w:pPr>
            <w:r>
              <w:rPr>
                <w:sz w:val="19"/>
              </w:rPr>
              <w:t>7. Kapital-transferentziak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BA73ECA" w14:textId="64564499" w:rsidR="0047072D" w:rsidRPr="00036EDF" w:rsidRDefault="0047072D" w:rsidP="002D44BC">
            <w:pPr>
              <w:pStyle w:val="cuatexto"/>
              <w:jc w:val="right"/>
              <w:rPr>
                <w:sz w:val="19"/>
                <w:szCs w:val="19"/>
              </w:rPr>
            </w:pPr>
            <w:r>
              <w:rPr>
                <w:sz w:val="19"/>
              </w:rPr>
              <w:t>114,61</w:t>
            </w:r>
          </w:p>
        </w:tc>
        <w:tc>
          <w:tcPr>
            <w:tcW w:w="639" w:type="pct"/>
            <w:tcBorders>
              <w:top w:val="single" w:sz="2" w:space="0" w:color="auto"/>
              <w:left w:val="single" w:sz="2" w:space="0" w:color="auto"/>
              <w:bottom w:val="single" w:sz="2" w:space="0" w:color="auto"/>
            </w:tcBorders>
            <w:shd w:val="clear" w:color="auto" w:fill="auto"/>
            <w:vAlign w:val="center"/>
            <w:hideMark/>
          </w:tcPr>
          <w:p w14:paraId="7A2084ED" w14:textId="7F1EFBA8" w:rsidR="0047072D" w:rsidRPr="00036EDF" w:rsidRDefault="0047072D" w:rsidP="002D44BC">
            <w:pPr>
              <w:pStyle w:val="cuatexto"/>
              <w:jc w:val="right"/>
              <w:rPr>
                <w:sz w:val="19"/>
                <w:szCs w:val="19"/>
              </w:rPr>
            </w:pPr>
            <w:r>
              <w:rPr>
                <w:sz w:val="19"/>
              </w:rPr>
              <w:t>95,68</w:t>
            </w:r>
          </w:p>
        </w:tc>
        <w:tc>
          <w:tcPr>
            <w:tcW w:w="561" w:type="pct"/>
            <w:tcBorders>
              <w:top w:val="single" w:sz="2" w:space="0" w:color="auto"/>
              <w:bottom w:val="single" w:sz="2" w:space="0" w:color="auto"/>
            </w:tcBorders>
            <w:shd w:val="clear" w:color="auto" w:fill="auto"/>
            <w:vAlign w:val="center"/>
            <w:hideMark/>
          </w:tcPr>
          <w:p w14:paraId="4C98651E" w14:textId="77777777" w:rsidR="0047072D" w:rsidRPr="00036EDF" w:rsidRDefault="0047072D" w:rsidP="002D44BC">
            <w:pPr>
              <w:pStyle w:val="cuatexto"/>
              <w:jc w:val="right"/>
              <w:rPr>
                <w:sz w:val="19"/>
                <w:szCs w:val="19"/>
              </w:rPr>
            </w:pPr>
            <w:r>
              <w:rPr>
                <w:sz w:val="19"/>
              </w:rPr>
              <w:t>9</w:t>
            </w:r>
          </w:p>
        </w:tc>
        <w:tc>
          <w:tcPr>
            <w:tcW w:w="400" w:type="pct"/>
            <w:tcBorders>
              <w:top w:val="single" w:sz="2" w:space="0" w:color="auto"/>
              <w:bottom w:val="single" w:sz="2" w:space="0" w:color="auto"/>
              <w:right w:val="single" w:sz="2" w:space="0" w:color="auto"/>
            </w:tcBorders>
            <w:shd w:val="clear" w:color="auto" w:fill="auto"/>
            <w:vAlign w:val="center"/>
            <w:hideMark/>
          </w:tcPr>
          <w:p w14:paraId="0D6C14D5" w14:textId="77777777" w:rsidR="0047072D" w:rsidRPr="00036EDF" w:rsidRDefault="0047072D" w:rsidP="002D44BC">
            <w:pPr>
              <w:pStyle w:val="cuatexto"/>
              <w:jc w:val="right"/>
              <w:rPr>
                <w:sz w:val="19"/>
                <w:szCs w:val="19"/>
              </w:rPr>
            </w:pPr>
            <w:r>
              <w:rPr>
                <w:sz w:val="19"/>
              </w:rPr>
              <w:t>83</w:t>
            </w:r>
          </w:p>
        </w:tc>
        <w:tc>
          <w:tcPr>
            <w:tcW w:w="560" w:type="pct"/>
            <w:tcBorders>
              <w:top w:val="single" w:sz="2" w:space="0" w:color="auto"/>
              <w:left w:val="single" w:sz="2" w:space="0" w:color="auto"/>
              <w:bottom w:val="single" w:sz="2" w:space="0" w:color="auto"/>
            </w:tcBorders>
            <w:shd w:val="clear" w:color="auto" w:fill="auto"/>
            <w:vAlign w:val="center"/>
            <w:hideMark/>
          </w:tcPr>
          <w:p w14:paraId="0667D632" w14:textId="13E896B5" w:rsidR="0047072D" w:rsidRPr="00036EDF" w:rsidRDefault="0047072D" w:rsidP="002D44BC">
            <w:pPr>
              <w:pStyle w:val="cuatexto"/>
              <w:jc w:val="right"/>
              <w:rPr>
                <w:sz w:val="19"/>
                <w:szCs w:val="19"/>
              </w:rPr>
            </w:pPr>
            <w:r>
              <w:rPr>
                <w:sz w:val="19"/>
              </w:rPr>
              <w:t>48,67</w:t>
            </w:r>
          </w:p>
        </w:tc>
        <w:tc>
          <w:tcPr>
            <w:tcW w:w="440" w:type="pct"/>
            <w:tcBorders>
              <w:top w:val="single" w:sz="2" w:space="0" w:color="auto"/>
              <w:bottom w:val="single" w:sz="2" w:space="0" w:color="auto"/>
              <w:right w:val="single" w:sz="2" w:space="0" w:color="auto"/>
            </w:tcBorders>
            <w:shd w:val="clear" w:color="auto" w:fill="auto"/>
            <w:vAlign w:val="center"/>
            <w:hideMark/>
          </w:tcPr>
          <w:p w14:paraId="5890F316" w14:textId="77777777" w:rsidR="0047072D" w:rsidRPr="00036EDF" w:rsidRDefault="0047072D" w:rsidP="002D44BC">
            <w:pPr>
              <w:pStyle w:val="cuatexto"/>
              <w:jc w:val="right"/>
              <w:rPr>
                <w:sz w:val="19"/>
                <w:szCs w:val="19"/>
              </w:rPr>
            </w:pPr>
            <w:r>
              <w:rPr>
                <w:sz w:val="19"/>
              </w:rPr>
              <w:t>104</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4BCA724D" w14:textId="22AB8815" w:rsidR="0047072D" w:rsidRPr="00036EDF" w:rsidRDefault="0047072D" w:rsidP="002D44BC">
            <w:pPr>
              <w:pStyle w:val="cuatexto"/>
              <w:jc w:val="right"/>
              <w:rPr>
                <w:sz w:val="19"/>
                <w:szCs w:val="19"/>
              </w:rPr>
            </w:pPr>
            <w:r>
              <w:rPr>
                <w:sz w:val="19"/>
              </w:rPr>
              <w:t>101,19</w:t>
            </w:r>
          </w:p>
        </w:tc>
      </w:tr>
      <w:tr w:rsidR="000A742F" w:rsidRPr="003A115E" w14:paraId="27147EBA"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181C7322" w14:textId="29906466" w:rsidR="0047072D" w:rsidRPr="00036EDF" w:rsidRDefault="0047072D" w:rsidP="002D44BC">
            <w:pPr>
              <w:pStyle w:val="cuatexto"/>
              <w:rPr>
                <w:b/>
                <w:bCs/>
                <w:i/>
                <w:iCs/>
                <w:sz w:val="19"/>
                <w:szCs w:val="19"/>
              </w:rPr>
            </w:pPr>
            <w:r>
              <w:rPr>
                <w:b/>
                <w:i/>
                <w:sz w:val="19"/>
              </w:rPr>
              <w:t>Kapitaleko diru-sarrerak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679A291" w14:textId="75DA6C93" w:rsidR="0047072D" w:rsidRPr="00036EDF" w:rsidRDefault="0047072D" w:rsidP="002D44BC">
            <w:pPr>
              <w:pStyle w:val="cuatexto"/>
              <w:jc w:val="right"/>
              <w:rPr>
                <w:b/>
                <w:bCs/>
                <w:i/>
                <w:iCs/>
                <w:sz w:val="19"/>
                <w:szCs w:val="19"/>
              </w:rPr>
            </w:pPr>
            <w:r>
              <w:rPr>
                <w:b/>
                <w:i/>
                <w:sz w:val="19"/>
              </w:rPr>
              <w:t>132,26</w:t>
            </w:r>
          </w:p>
        </w:tc>
        <w:tc>
          <w:tcPr>
            <w:tcW w:w="639" w:type="pct"/>
            <w:tcBorders>
              <w:top w:val="single" w:sz="2" w:space="0" w:color="auto"/>
              <w:left w:val="single" w:sz="2" w:space="0" w:color="auto"/>
              <w:bottom w:val="single" w:sz="2" w:space="0" w:color="auto"/>
            </w:tcBorders>
            <w:shd w:val="clear" w:color="auto" w:fill="auto"/>
            <w:vAlign w:val="center"/>
            <w:hideMark/>
          </w:tcPr>
          <w:p w14:paraId="535E4587" w14:textId="0417919E" w:rsidR="0047072D" w:rsidRPr="00036EDF" w:rsidRDefault="0047072D" w:rsidP="002D44BC">
            <w:pPr>
              <w:pStyle w:val="cuatexto"/>
              <w:jc w:val="right"/>
              <w:rPr>
                <w:b/>
                <w:bCs/>
                <w:i/>
                <w:iCs/>
                <w:sz w:val="19"/>
                <w:szCs w:val="19"/>
              </w:rPr>
            </w:pPr>
            <w:r>
              <w:rPr>
                <w:b/>
                <w:i/>
                <w:sz w:val="19"/>
              </w:rPr>
              <w:t>117,39</w:t>
            </w:r>
          </w:p>
        </w:tc>
        <w:tc>
          <w:tcPr>
            <w:tcW w:w="561" w:type="pct"/>
            <w:tcBorders>
              <w:top w:val="single" w:sz="2" w:space="0" w:color="auto"/>
              <w:bottom w:val="single" w:sz="2" w:space="0" w:color="auto"/>
            </w:tcBorders>
            <w:shd w:val="clear" w:color="auto" w:fill="auto"/>
            <w:vAlign w:val="center"/>
            <w:hideMark/>
          </w:tcPr>
          <w:p w14:paraId="629E365D" w14:textId="77777777" w:rsidR="0047072D" w:rsidRPr="00036EDF" w:rsidRDefault="0047072D" w:rsidP="002D44BC">
            <w:pPr>
              <w:pStyle w:val="cuatexto"/>
              <w:jc w:val="right"/>
              <w:rPr>
                <w:b/>
                <w:bCs/>
                <w:i/>
                <w:iCs/>
                <w:sz w:val="19"/>
                <w:szCs w:val="19"/>
              </w:rPr>
            </w:pPr>
            <w:r>
              <w:rPr>
                <w:b/>
                <w:i/>
                <w:sz w:val="19"/>
              </w:rPr>
              <w:t>11</w:t>
            </w:r>
          </w:p>
        </w:tc>
        <w:tc>
          <w:tcPr>
            <w:tcW w:w="400" w:type="pct"/>
            <w:tcBorders>
              <w:top w:val="single" w:sz="2" w:space="0" w:color="auto"/>
              <w:bottom w:val="single" w:sz="2" w:space="0" w:color="auto"/>
              <w:right w:val="single" w:sz="2" w:space="0" w:color="auto"/>
            </w:tcBorders>
            <w:shd w:val="clear" w:color="auto" w:fill="auto"/>
            <w:vAlign w:val="center"/>
            <w:hideMark/>
          </w:tcPr>
          <w:p w14:paraId="6A988452" w14:textId="77777777" w:rsidR="0047072D" w:rsidRPr="00036EDF" w:rsidRDefault="0047072D" w:rsidP="002D44BC">
            <w:pPr>
              <w:pStyle w:val="cuatexto"/>
              <w:jc w:val="right"/>
              <w:rPr>
                <w:b/>
                <w:bCs/>
                <w:i/>
                <w:iCs/>
                <w:sz w:val="19"/>
                <w:szCs w:val="19"/>
              </w:rPr>
            </w:pPr>
            <w:r>
              <w:rPr>
                <w:b/>
                <w:i/>
                <w:sz w:val="19"/>
              </w:rPr>
              <w:t>89</w:t>
            </w:r>
          </w:p>
        </w:tc>
        <w:tc>
          <w:tcPr>
            <w:tcW w:w="560" w:type="pct"/>
            <w:tcBorders>
              <w:top w:val="single" w:sz="2" w:space="0" w:color="auto"/>
              <w:left w:val="single" w:sz="2" w:space="0" w:color="auto"/>
              <w:bottom w:val="single" w:sz="2" w:space="0" w:color="auto"/>
            </w:tcBorders>
            <w:shd w:val="clear" w:color="auto" w:fill="auto"/>
            <w:vAlign w:val="center"/>
            <w:hideMark/>
          </w:tcPr>
          <w:p w14:paraId="78192543" w14:textId="284A4686" w:rsidR="0047072D" w:rsidRPr="00036EDF" w:rsidRDefault="0047072D" w:rsidP="002D44BC">
            <w:pPr>
              <w:pStyle w:val="cuatexto"/>
              <w:jc w:val="right"/>
              <w:rPr>
                <w:b/>
                <w:bCs/>
                <w:i/>
                <w:iCs/>
                <w:sz w:val="19"/>
                <w:szCs w:val="19"/>
              </w:rPr>
            </w:pPr>
            <w:r>
              <w:rPr>
                <w:b/>
                <w:i/>
                <w:sz w:val="19"/>
              </w:rPr>
              <w:t>57,09</w:t>
            </w:r>
          </w:p>
        </w:tc>
        <w:tc>
          <w:tcPr>
            <w:tcW w:w="440" w:type="pct"/>
            <w:tcBorders>
              <w:top w:val="single" w:sz="2" w:space="0" w:color="auto"/>
              <w:bottom w:val="single" w:sz="2" w:space="0" w:color="auto"/>
              <w:right w:val="single" w:sz="2" w:space="0" w:color="auto"/>
            </w:tcBorders>
            <w:shd w:val="clear" w:color="auto" w:fill="auto"/>
            <w:vAlign w:val="center"/>
            <w:hideMark/>
          </w:tcPr>
          <w:p w14:paraId="77B7759F" w14:textId="77777777" w:rsidR="0047072D" w:rsidRPr="00036EDF" w:rsidRDefault="0047072D" w:rsidP="002D44BC">
            <w:pPr>
              <w:pStyle w:val="cuatexto"/>
              <w:jc w:val="right"/>
              <w:rPr>
                <w:b/>
                <w:bCs/>
                <w:i/>
                <w:iCs/>
                <w:sz w:val="19"/>
                <w:szCs w:val="19"/>
              </w:rPr>
            </w:pPr>
            <w:r>
              <w:rPr>
                <w:b/>
                <w:i/>
                <w:sz w:val="19"/>
              </w:rPr>
              <w:t>95</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54283F62" w14:textId="09A1208E" w:rsidR="0047072D" w:rsidRPr="00036EDF" w:rsidRDefault="0047072D" w:rsidP="002D44BC">
            <w:pPr>
              <w:pStyle w:val="cuatexto"/>
              <w:jc w:val="right"/>
              <w:rPr>
                <w:b/>
                <w:bCs/>
                <w:i/>
                <w:iCs/>
                <w:sz w:val="19"/>
                <w:szCs w:val="19"/>
              </w:rPr>
            </w:pPr>
            <w:r>
              <w:rPr>
                <w:b/>
                <w:i/>
                <w:sz w:val="19"/>
              </w:rPr>
              <w:t>122,97</w:t>
            </w:r>
          </w:p>
        </w:tc>
      </w:tr>
      <w:tr w:rsidR="000A742F" w:rsidRPr="003A115E" w14:paraId="2C734E26"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584E5D2A" w14:textId="77777777" w:rsidR="0047072D" w:rsidRPr="00036EDF" w:rsidRDefault="0047072D" w:rsidP="002D44BC">
            <w:pPr>
              <w:pStyle w:val="cuatexto"/>
              <w:rPr>
                <w:sz w:val="19"/>
                <w:szCs w:val="19"/>
              </w:rPr>
            </w:pPr>
            <w:r>
              <w:rPr>
                <w:sz w:val="19"/>
              </w:rPr>
              <w:t>8. Finantza-aktiboak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51590BEB" w14:textId="663021F5" w:rsidR="0047072D" w:rsidRPr="00036EDF" w:rsidRDefault="0047072D" w:rsidP="002D44BC">
            <w:pPr>
              <w:pStyle w:val="cuatexto"/>
              <w:jc w:val="right"/>
              <w:rPr>
                <w:sz w:val="19"/>
                <w:szCs w:val="19"/>
              </w:rPr>
            </w:pPr>
            <w:r>
              <w:rPr>
                <w:sz w:val="19"/>
              </w:rPr>
              <w:t>163,87</w:t>
            </w:r>
          </w:p>
        </w:tc>
        <w:tc>
          <w:tcPr>
            <w:tcW w:w="639" w:type="pct"/>
            <w:tcBorders>
              <w:top w:val="single" w:sz="2" w:space="0" w:color="auto"/>
              <w:left w:val="single" w:sz="2" w:space="0" w:color="auto"/>
              <w:bottom w:val="single" w:sz="2" w:space="0" w:color="auto"/>
            </w:tcBorders>
            <w:shd w:val="clear" w:color="auto" w:fill="auto"/>
            <w:vAlign w:val="center"/>
            <w:hideMark/>
          </w:tcPr>
          <w:p w14:paraId="602B1348" w14:textId="3C05BA03" w:rsidR="0047072D" w:rsidRPr="00036EDF" w:rsidRDefault="0047072D" w:rsidP="002D44BC">
            <w:pPr>
              <w:pStyle w:val="cuatexto"/>
              <w:jc w:val="right"/>
              <w:rPr>
                <w:sz w:val="19"/>
                <w:szCs w:val="19"/>
              </w:rPr>
            </w:pPr>
            <w:r>
              <w:rPr>
                <w:sz w:val="19"/>
              </w:rPr>
              <w:t>1,27</w:t>
            </w:r>
          </w:p>
        </w:tc>
        <w:tc>
          <w:tcPr>
            <w:tcW w:w="561" w:type="pct"/>
            <w:tcBorders>
              <w:top w:val="single" w:sz="2" w:space="0" w:color="auto"/>
              <w:bottom w:val="single" w:sz="2" w:space="0" w:color="auto"/>
            </w:tcBorders>
            <w:shd w:val="clear" w:color="auto" w:fill="auto"/>
            <w:vAlign w:val="center"/>
            <w:hideMark/>
          </w:tcPr>
          <w:p w14:paraId="6F8F93FC" w14:textId="77777777" w:rsidR="0047072D" w:rsidRPr="00036EDF" w:rsidRDefault="0047072D" w:rsidP="002D44BC">
            <w:pPr>
              <w:pStyle w:val="cuatexto"/>
              <w:jc w:val="right"/>
              <w:rPr>
                <w:sz w:val="19"/>
                <w:szCs w:val="19"/>
              </w:rPr>
            </w:pPr>
            <w:r>
              <w:rPr>
                <w:sz w:val="19"/>
              </w:rPr>
              <w:t>0</w:t>
            </w:r>
          </w:p>
        </w:tc>
        <w:tc>
          <w:tcPr>
            <w:tcW w:w="400" w:type="pct"/>
            <w:tcBorders>
              <w:top w:val="single" w:sz="2" w:space="0" w:color="auto"/>
              <w:bottom w:val="single" w:sz="2" w:space="0" w:color="auto"/>
              <w:right w:val="single" w:sz="2" w:space="0" w:color="auto"/>
            </w:tcBorders>
            <w:shd w:val="clear" w:color="auto" w:fill="auto"/>
            <w:vAlign w:val="center"/>
            <w:hideMark/>
          </w:tcPr>
          <w:p w14:paraId="722D1AC9" w14:textId="77777777" w:rsidR="0047072D" w:rsidRPr="00036EDF" w:rsidRDefault="0047072D" w:rsidP="002D44BC">
            <w:pPr>
              <w:pStyle w:val="cuatexto"/>
              <w:jc w:val="right"/>
              <w:rPr>
                <w:sz w:val="19"/>
                <w:szCs w:val="19"/>
              </w:rPr>
            </w:pPr>
            <w:r>
              <w:rPr>
                <w:sz w:val="19"/>
              </w:rPr>
              <w:t>1</w:t>
            </w:r>
          </w:p>
        </w:tc>
        <w:tc>
          <w:tcPr>
            <w:tcW w:w="560" w:type="pct"/>
            <w:tcBorders>
              <w:top w:val="single" w:sz="2" w:space="0" w:color="auto"/>
              <w:left w:val="single" w:sz="2" w:space="0" w:color="auto"/>
              <w:bottom w:val="single" w:sz="2" w:space="0" w:color="auto"/>
            </w:tcBorders>
            <w:shd w:val="clear" w:color="auto" w:fill="auto"/>
            <w:vAlign w:val="center"/>
            <w:hideMark/>
          </w:tcPr>
          <w:p w14:paraId="4769951E" w14:textId="77F75B7E" w:rsidR="0047072D" w:rsidRPr="00036EDF" w:rsidRDefault="00DD1E39" w:rsidP="002D44BC">
            <w:pPr>
              <w:pStyle w:val="cuatexto"/>
              <w:jc w:val="right"/>
              <w:rPr>
                <w:sz w:val="19"/>
                <w:szCs w:val="19"/>
              </w:rPr>
            </w:pPr>
            <w:r>
              <w:rPr>
                <w:sz w:val="19"/>
              </w:rPr>
              <w:t>-0,21</w:t>
            </w:r>
          </w:p>
        </w:tc>
        <w:tc>
          <w:tcPr>
            <w:tcW w:w="440" w:type="pct"/>
            <w:tcBorders>
              <w:top w:val="single" w:sz="2" w:space="0" w:color="auto"/>
              <w:bottom w:val="single" w:sz="2" w:space="0" w:color="auto"/>
              <w:right w:val="single" w:sz="2" w:space="0" w:color="auto"/>
            </w:tcBorders>
            <w:shd w:val="clear" w:color="auto" w:fill="auto"/>
            <w:vAlign w:val="center"/>
            <w:hideMark/>
          </w:tcPr>
          <w:p w14:paraId="388A82BB" w14:textId="77777777" w:rsidR="0047072D" w:rsidRPr="00036EDF" w:rsidRDefault="0047072D" w:rsidP="002D44BC">
            <w:pPr>
              <w:pStyle w:val="cuatexto"/>
              <w:jc w:val="right"/>
              <w:rPr>
                <w:sz w:val="19"/>
                <w:szCs w:val="19"/>
              </w:rPr>
            </w:pPr>
            <w:r>
              <w:rPr>
                <w:sz w:val="19"/>
              </w:rPr>
              <w:t>14</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34C609D0" w14:textId="745F7236" w:rsidR="0047072D" w:rsidRPr="00036EDF" w:rsidRDefault="0047072D" w:rsidP="002D44BC">
            <w:pPr>
              <w:pStyle w:val="cuatexto"/>
              <w:jc w:val="right"/>
              <w:rPr>
                <w:sz w:val="19"/>
                <w:szCs w:val="19"/>
              </w:rPr>
            </w:pPr>
            <w:r>
              <w:rPr>
                <w:sz w:val="19"/>
              </w:rPr>
              <w:t>1,27</w:t>
            </w:r>
          </w:p>
        </w:tc>
      </w:tr>
      <w:tr w:rsidR="000A742F" w:rsidRPr="003A115E" w14:paraId="4637808E"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5E89DC9F" w14:textId="77777777" w:rsidR="0047072D" w:rsidRPr="00036EDF" w:rsidRDefault="0047072D" w:rsidP="002D44BC">
            <w:pPr>
              <w:pStyle w:val="cuatexto"/>
              <w:rPr>
                <w:sz w:val="19"/>
                <w:szCs w:val="19"/>
              </w:rPr>
            </w:pPr>
            <w:r>
              <w:rPr>
                <w:sz w:val="19"/>
              </w:rPr>
              <w:t>9. Finantza-pasiboak</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69E1B147" w14:textId="762F347C" w:rsidR="0047072D" w:rsidRPr="00036EDF" w:rsidRDefault="0047072D" w:rsidP="002D44BC">
            <w:pPr>
              <w:pStyle w:val="cuatexto"/>
              <w:jc w:val="right"/>
              <w:rPr>
                <w:sz w:val="19"/>
                <w:szCs w:val="19"/>
              </w:rPr>
            </w:pPr>
            <w:r>
              <w:rPr>
                <w:sz w:val="19"/>
              </w:rPr>
              <w:t>42,23</w:t>
            </w:r>
          </w:p>
        </w:tc>
        <w:tc>
          <w:tcPr>
            <w:tcW w:w="639" w:type="pct"/>
            <w:tcBorders>
              <w:top w:val="single" w:sz="2" w:space="0" w:color="auto"/>
              <w:left w:val="single" w:sz="2" w:space="0" w:color="auto"/>
              <w:bottom w:val="single" w:sz="2" w:space="0" w:color="auto"/>
            </w:tcBorders>
            <w:shd w:val="clear" w:color="auto" w:fill="auto"/>
            <w:vAlign w:val="center"/>
            <w:hideMark/>
          </w:tcPr>
          <w:p w14:paraId="125AD1C1" w14:textId="1258A9A8" w:rsidR="0047072D" w:rsidRPr="00036EDF" w:rsidRDefault="0047072D" w:rsidP="002D44BC">
            <w:pPr>
              <w:pStyle w:val="cuatexto"/>
              <w:jc w:val="right"/>
              <w:rPr>
                <w:sz w:val="19"/>
                <w:szCs w:val="19"/>
              </w:rPr>
            </w:pPr>
            <w:r>
              <w:rPr>
                <w:sz w:val="19"/>
              </w:rPr>
              <w:t>19,41</w:t>
            </w:r>
          </w:p>
        </w:tc>
        <w:tc>
          <w:tcPr>
            <w:tcW w:w="561" w:type="pct"/>
            <w:tcBorders>
              <w:top w:val="single" w:sz="2" w:space="0" w:color="auto"/>
              <w:bottom w:val="single" w:sz="2" w:space="0" w:color="auto"/>
            </w:tcBorders>
            <w:shd w:val="clear" w:color="auto" w:fill="auto"/>
            <w:vAlign w:val="center"/>
            <w:hideMark/>
          </w:tcPr>
          <w:p w14:paraId="412D8E3D" w14:textId="77777777" w:rsidR="0047072D" w:rsidRPr="00036EDF" w:rsidRDefault="0047072D" w:rsidP="002D44BC">
            <w:pPr>
              <w:pStyle w:val="cuatexto"/>
              <w:jc w:val="right"/>
              <w:rPr>
                <w:sz w:val="19"/>
                <w:szCs w:val="19"/>
              </w:rPr>
            </w:pPr>
            <w:r>
              <w:rPr>
                <w:sz w:val="19"/>
              </w:rPr>
              <w:t>2</w:t>
            </w:r>
          </w:p>
        </w:tc>
        <w:tc>
          <w:tcPr>
            <w:tcW w:w="400" w:type="pct"/>
            <w:tcBorders>
              <w:top w:val="single" w:sz="2" w:space="0" w:color="auto"/>
              <w:bottom w:val="single" w:sz="2" w:space="0" w:color="auto"/>
              <w:right w:val="single" w:sz="2" w:space="0" w:color="auto"/>
            </w:tcBorders>
            <w:shd w:val="clear" w:color="auto" w:fill="auto"/>
            <w:vAlign w:val="center"/>
            <w:hideMark/>
          </w:tcPr>
          <w:p w14:paraId="0BB68BB0" w14:textId="77777777" w:rsidR="0047072D" w:rsidRPr="00036EDF" w:rsidRDefault="0047072D" w:rsidP="002D44BC">
            <w:pPr>
              <w:pStyle w:val="cuatexto"/>
              <w:jc w:val="right"/>
              <w:rPr>
                <w:sz w:val="19"/>
                <w:szCs w:val="19"/>
              </w:rPr>
            </w:pPr>
            <w:r>
              <w:rPr>
                <w:sz w:val="19"/>
              </w:rPr>
              <w:t>46</w:t>
            </w:r>
          </w:p>
        </w:tc>
        <w:tc>
          <w:tcPr>
            <w:tcW w:w="560" w:type="pct"/>
            <w:tcBorders>
              <w:top w:val="single" w:sz="2" w:space="0" w:color="auto"/>
              <w:left w:val="single" w:sz="2" w:space="0" w:color="auto"/>
              <w:bottom w:val="single" w:sz="2" w:space="0" w:color="auto"/>
            </w:tcBorders>
            <w:shd w:val="clear" w:color="auto" w:fill="auto"/>
            <w:vAlign w:val="center"/>
            <w:hideMark/>
          </w:tcPr>
          <w:p w14:paraId="75198406" w14:textId="0DB1D94D" w:rsidR="0047072D" w:rsidRPr="00036EDF" w:rsidRDefault="0047072D" w:rsidP="002D44BC">
            <w:pPr>
              <w:pStyle w:val="cuatexto"/>
              <w:jc w:val="right"/>
              <w:rPr>
                <w:sz w:val="19"/>
                <w:szCs w:val="19"/>
              </w:rPr>
            </w:pPr>
            <w:r>
              <w:rPr>
                <w:sz w:val="19"/>
              </w:rPr>
              <w:t>16,34</w:t>
            </w:r>
          </w:p>
        </w:tc>
        <w:tc>
          <w:tcPr>
            <w:tcW w:w="440" w:type="pct"/>
            <w:tcBorders>
              <w:top w:val="single" w:sz="2" w:space="0" w:color="auto"/>
              <w:bottom w:val="single" w:sz="2" w:space="0" w:color="auto"/>
              <w:right w:val="single" w:sz="2" w:space="0" w:color="auto"/>
            </w:tcBorders>
            <w:shd w:val="clear" w:color="auto" w:fill="auto"/>
            <w:vAlign w:val="center"/>
            <w:hideMark/>
          </w:tcPr>
          <w:p w14:paraId="6EEAD702" w14:textId="77777777" w:rsidR="0047072D" w:rsidRPr="00036EDF" w:rsidRDefault="0047072D" w:rsidP="002D44BC">
            <w:pPr>
              <w:pStyle w:val="cuatexto"/>
              <w:jc w:val="right"/>
              <w:rPr>
                <w:sz w:val="19"/>
                <w:szCs w:val="19"/>
              </w:rPr>
            </w:pPr>
            <w:r>
              <w:rPr>
                <w:sz w:val="19"/>
              </w:rPr>
              <w:t>530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4247593E" w14:textId="0436B066" w:rsidR="0047072D" w:rsidRPr="00036EDF" w:rsidRDefault="0047072D" w:rsidP="002D44BC">
            <w:pPr>
              <w:pStyle w:val="cuatexto"/>
              <w:jc w:val="right"/>
              <w:rPr>
                <w:sz w:val="19"/>
                <w:szCs w:val="19"/>
              </w:rPr>
            </w:pPr>
            <w:r>
              <w:rPr>
                <w:sz w:val="19"/>
              </w:rPr>
              <w:t>19,41</w:t>
            </w:r>
          </w:p>
        </w:tc>
      </w:tr>
      <w:tr w:rsidR="000A742F" w:rsidRPr="003A115E" w14:paraId="4B6F7CCD" w14:textId="77777777" w:rsidTr="00CF24F0">
        <w:trPr>
          <w:trHeight w:val="198"/>
        </w:trPr>
        <w:tc>
          <w:tcPr>
            <w:tcW w:w="1251" w:type="pct"/>
            <w:tcBorders>
              <w:top w:val="single" w:sz="2" w:space="0" w:color="auto"/>
              <w:left w:val="nil"/>
              <w:bottom w:val="single" w:sz="4" w:space="0" w:color="auto"/>
              <w:right w:val="nil"/>
            </w:tcBorders>
            <w:shd w:val="clear" w:color="auto" w:fill="auto"/>
            <w:vAlign w:val="center"/>
            <w:hideMark/>
          </w:tcPr>
          <w:p w14:paraId="5A4BAA0A" w14:textId="4119DB26" w:rsidR="0047072D" w:rsidRPr="00036EDF" w:rsidRDefault="0047072D" w:rsidP="002D44BC">
            <w:pPr>
              <w:pStyle w:val="cuatexto"/>
              <w:rPr>
                <w:b/>
                <w:bCs/>
                <w:i/>
                <w:iCs/>
                <w:sz w:val="19"/>
                <w:szCs w:val="19"/>
              </w:rPr>
            </w:pPr>
            <w:r>
              <w:rPr>
                <w:b/>
                <w:i/>
                <w:sz w:val="19"/>
              </w:rPr>
              <w:t>Diru-sarrera finantzarioak</w:t>
            </w:r>
          </w:p>
        </w:tc>
        <w:tc>
          <w:tcPr>
            <w:tcW w:w="590" w:type="pct"/>
            <w:tcBorders>
              <w:top w:val="single" w:sz="2" w:space="0" w:color="auto"/>
              <w:left w:val="nil"/>
              <w:bottom w:val="single" w:sz="4" w:space="0" w:color="auto"/>
              <w:right w:val="single" w:sz="2" w:space="0" w:color="auto"/>
            </w:tcBorders>
            <w:shd w:val="clear" w:color="auto" w:fill="auto"/>
            <w:vAlign w:val="center"/>
            <w:hideMark/>
          </w:tcPr>
          <w:p w14:paraId="23C73566" w14:textId="4877B505" w:rsidR="0047072D" w:rsidRPr="00036EDF" w:rsidRDefault="0047072D" w:rsidP="002D44BC">
            <w:pPr>
              <w:pStyle w:val="cuatexto"/>
              <w:jc w:val="right"/>
              <w:rPr>
                <w:b/>
                <w:bCs/>
                <w:i/>
                <w:iCs/>
                <w:sz w:val="19"/>
                <w:szCs w:val="19"/>
              </w:rPr>
            </w:pPr>
            <w:r>
              <w:rPr>
                <w:b/>
                <w:i/>
                <w:sz w:val="19"/>
              </w:rPr>
              <w:t>206,10</w:t>
            </w:r>
          </w:p>
        </w:tc>
        <w:tc>
          <w:tcPr>
            <w:tcW w:w="639" w:type="pct"/>
            <w:tcBorders>
              <w:top w:val="single" w:sz="2" w:space="0" w:color="auto"/>
              <w:left w:val="single" w:sz="2" w:space="0" w:color="auto"/>
              <w:bottom w:val="single" w:sz="4" w:space="0" w:color="auto"/>
            </w:tcBorders>
            <w:shd w:val="clear" w:color="auto" w:fill="auto"/>
            <w:vAlign w:val="center"/>
            <w:hideMark/>
          </w:tcPr>
          <w:p w14:paraId="2C5855E2" w14:textId="47E5F41F" w:rsidR="0047072D" w:rsidRPr="00036EDF" w:rsidRDefault="0047072D" w:rsidP="002D44BC">
            <w:pPr>
              <w:pStyle w:val="cuatexto"/>
              <w:jc w:val="right"/>
              <w:rPr>
                <w:b/>
                <w:bCs/>
                <w:i/>
                <w:iCs/>
                <w:sz w:val="19"/>
                <w:szCs w:val="19"/>
              </w:rPr>
            </w:pPr>
            <w:r>
              <w:rPr>
                <w:b/>
                <w:i/>
                <w:sz w:val="19"/>
              </w:rPr>
              <w:t>20,68</w:t>
            </w:r>
          </w:p>
        </w:tc>
        <w:tc>
          <w:tcPr>
            <w:tcW w:w="561" w:type="pct"/>
            <w:tcBorders>
              <w:top w:val="single" w:sz="2" w:space="0" w:color="auto"/>
              <w:bottom w:val="single" w:sz="4" w:space="0" w:color="auto"/>
            </w:tcBorders>
            <w:shd w:val="clear" w:color="auto" w:fill="auto"/>
            <w:vAlign w:val="center"/>
            <w:hideMark/>
          </w:tcPr>
          <w:p w14:paraId="53E3920C" w14:textId="77777777" w:rsidR="0047072D" w:rsidRPr="00036EDF" w:rsidRDefault="0047072D" w:rsidP="002D44BC">
            <w:pPr>
              <w:pStyle w:val="cuatexto"/>
              <w:jc w:val="right"/>
              <w:rPr>
                <w:b/>
                <w:bCs/>
                <w:i/>
                <w:iCs/>
                <w:sz w:val="19"/>
                <w:szCs w:val="19"/>
              </w:rPr>
            </w:pPr>
            <w:r>
              <w:rPr>
                <w:b/>
                <w:i/>
                <w:sz w:val="19"/>
              </w:rPr>
              <w:t>2</w:t>
            </w:r>
          </w:p>
        </w:tc>
        <w:tc>
          <w:tcPr>
            <w:tcW w:w="400" w:type="pct"/>
            <w:tcBorders>
              <w:top w:val="single" w:sz="2" w:space="0" w:color="auto"/>
              <w:bottom w:val="single" w:sz="4" w:space="0" w:color="auto"/>
              <w:right w:val="single" w:sz="2" w:space="0" w:color="auto"/>
            </w:tcBorders>
            <w:shd w:val="clear" w:color="auto" w:fill="auto"/>
            <w:vAlign w:val="center"/>
            <w:hideMark/>
          </w:tcPr>
          <w:p w14:paraId="5C66B31F" w14:textId="77777777" w:rsidR="0047072D" w:rsidRPr="00036EDF" w:rsidRDefault="0047072D" w:rsidP="002D44BC">
            <w:pPr>
              <w:pStyle w:val="cuatexto"/>
              <w:jc w:val="right"/>
              <w:rPr>
                <w:b/>
                <w:bCs/>
                <w:i/>
                <w:iCs/>
                <w:sz w:val="19"/>
                <w:szCs w:val="19"/>
              </w:rPr>
            </w:pPr>
            <w:r>
              <w:rPr>
                <w:b/>
                <w:i/>
                <w:sz w:val="19"/>
              </w:rPr>
              <w:t>10</w:t>
            </w:r>
          </w:p>
        </w:tc>
        <w:tc>
          <w:tcPr>
            <w:tcW w:w="560" w:type="pct"/>
            <w:tcBorders>
              <w:top w:val="single" w:sz="2" w:space="0" w:color="auto"/>
              <w:left w:val="single" w:sz="2" w:space="0" w:color="auto"/>
              <w:bottom w:val="single" w:sz="4" w:space="0" w:color="auto"/>
            </w:tcBorders>
            <w:shd w:val="clear" w:color="auto" w:fill="auto"/>
            <w:vAlign w:val="center"/>
            <w:hideMark/>
          </w:tcPr>
          <w:p w14:paraId="6AF28127" w14:textId="4F637DB1" w:rsidR="0047072D" w:rsidRPr="00036EDF" w:rsidRDefault="0047072D" w:rsidP="002D44BC">
            <w:pPr>
              <w:pStyle w:val="cuatexto"/>
              <w:jc w:val="right"/>
              <w:rPr>
                <w:b/>
                <w:bCs/>
                <w:i/>
                <w:iCs/>
                <w:sz w:val="19"/>
                <w:szCs w:val="19"/>
              </w:rPr>
            </w:pPr>
            <w:r>
              <w:rPr>
                <w:b/>
                <w:i/>
                <w:sz w:val="19"/>
              </w:rPr>
              <w:t>16,12</w:t>
            </w:r>
          </w:p>
        </w:tc>
        <w:tc>
          <w:tcPr>
            <w:tcW w:w="440" w:type="pct"/>
            <w:tcBorders>
              <w:top w:val="single" w:sz="2" w:space="0" w:color="auto"/>
              <w:bottom w:val="single" w:sz="4" w:space="0" w:color="auto"/>
              <w:right w:val="single" w:sz="2" w:space="0" w:color="auto"/>
            </w:tcBorders>
            <w:shd w:val="clear" w:color="auto" w:fill="auto"/>
            <w:vAlign w:val="center"/>
            <w:hideMark/>
          </w:tcPr>
          <w:p w14:paraId="7451ADA6" w14:textId="77777777" w:rsidR="0047072D" w:rsidRPr="00036EDF" w:rsidRDefault="0047072D" w:rsidP="002D44BC">
            <w:pPr>
              <w:pStyle w:val="cuatexto"/>
              <w:jc w:val="right"/>
              <w:rPr>
                <w:b/>
                <w:bCs/>
                <w:i/>
                <w:iCs/>
                <w:sz w:val="19"/>
                <w:szCs w:val="19"/>
              </w:rPr>
            </w:pPr>
            <w:r>
              <w:rPr>
                <w:b/>
                <w:i/>
                <w:sz w:val="19"/>
              </w:rPr>
              <w:t>354</w:t>
            </w:r>
          </w:p>
        </w:tc>
        <w:tc>
          <w:tcPr>
            <w:tcW w:w="559" w:type="pct"/>
            <w:tcBorders>
              <w:top w:val="single" w:sz="2" w:space="0" w:color="auto"/>
              <w:left w:val="single" w:sz="2" w:space="0" w:color="auto"/>
              <w:bottom w:val="single" w:sz="4" w:space="0" w:color="auto"/>
              <w:right w:val="nil"/>
            </w:tcBorders>
            <w:shd w:val="clear" w:color="auto" w:fill="auto"/>
            <w:vAlign w:val="center"/>
            <w:hideMark/>
          </w:tcPr>
          <w:p w14:paraId="7C7FBC80" w14:textId="5E0304DC" w:rsidR="0047072D" w:rsidRPr="00036EDF" w:rsidRDefault="0047072D" w:rsidP="002D44BC">
            <w:pPr>
              <w:pStyle w:val="cuatexto"/>
              <w:jc w:val="right"/>
              <w:rPr>
                <w:b/>
                <w:bCs/>
                <w:i/>
                <w:iCs/>
                <w:sz w:val="19"/>
                <w:szCs w:val="19"/>
              </w:rPr>
            </w:pPr>
            <w:r>
              <w:rPr>
                <w:b/>
                <w:i/>
                <w:sz w:val="19"/>
              </w:rPr>
              <w:t>20,68</w:t>
            </w:r>
          </w:p>
        </w:tc>
      </w:tr>
      <w:tr w:rsidR="000A742F" w:rsidRPr="003A115E" w14:paraId="61F76452" w14:textId="77777777" w:rsidTr="00F131AF">
        <w:trPr>
          <w:trHeight w:val="255"/>
        </w:trPr>
        <w:tc>
          <w:tcPr>
            <w:tcW w:w="1251" w:type="pct"/>
            <w:tcBorders>
              <w:top w:val="single" w:sz="4" w:space="0" w:color="auto"/>
              <w:left w:val="nil"/>
              <w:bottom w:val="single" w:sz="4" w:space="0" w:color="auto"/>
              <w:right w:val="nil"/>
            </w:tcBorders>
            <w:shd w:val="clear" w:color="auto" w:fill="FABF8F" w:themeFill="accent6" w:themeFillTint="99"/>
            <w:vAlign w:val="center"/>
            <w:hideMark/>
          </w:tcPr>
          <w:p w14:paraId="0F139985" w14:textId="34DE44CA" w:rsidR="0047072D" w:rsidRPr="003A115E" w:rsidRDefault="0047072D" w:rsidP="002D44BC">
            <w:pPr>
              <w:pStyle w:val="cuadroCabe"/>
              <w:rPr>
                <w:szCs w:val="18"/>
              </w:rPr>
            </w:pPr>
            <w:r>
              <w:t>Guztira</w:t>
            </w:r>
          </w:p>
        </w:tc>
        <w:tc>
          <w:tcPr>
            <w:tcW w:w="59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DF53D02" w14:textId="33C3E967" w:rsidR="0047072D" w:rsidRPr="003A115E" w:rsidRDefault="0047072D" w:rsidP="002D44BC">
            <w:pPr>
              <w:pStyle w:val="cuadroCabe"/>
              <w:jc w:val="right"/>
              <w:rPr>
                <w:szCs w:val="18"/>
              </w:rPr>
            </w:pPr>
            <w:r>
              <w:t>1.183,32</w:t>
            </w:r>
          </w:p>
        </w:tc>
        <w:tc>
          <w:tcPr>
            <w:tcW w:w="639"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43270AF" w14:textId="4391C81A" w:rsidR="0047072D" w:rsidRPr="003A115E" w:rsidRDefault="0047072D" w:rsidP="002D44BC">
            <w:pPr>
              <w:pStyle w:val="cuadroCabe"/>
              <w:jc w:val="right"/>
              <w:rPr>
                <w:szCs w:val="18"/>
              </w:rPr>
            </w:pPr>
            <w:r>
              <w:t>1.041,27</w:t>
            </w:r>
          </w:p>
        </w:tc>
        <w:tc>
          <w:tcPr>
            <w:tcW w:w="561" w:type="pct"/>
            <w:tcBorders>
              <w:top w:val="single" w:sz="4" w:space="0" w:color="auto"/>
              <w:left w:val="nil"/>
              <w:bottom w:val="single" w:sz="4" w:space="0" w:color="auto"/>
              <w:right w:val="nil"/>
            </w:tcBorders>
            <w:shd w:val="clear" w:color="auto" w:fill="FABF8F" w:themeFill="accent6" w:themeFillTint="99"/>
            <w:vAlign w:val="center"/>
            <w:hideMark/>
          </w:tcPr>
          <w:p w14:paraId="5E19C642" w14:textId="77777777" w:rsidR="0047072D" w:rsidRPr="003A115E" w:rsidRDefault="0047072D" w:rsidP="002D44BC">
            <w:pPr>
              <w:pStyle w:val="cuadroCabe"/>
              <w:jc w:val="right"/>
              <w:rPr>
                <w:szCs w:val="18"/>
              </w:rPr>
            </w:pPr>
            <w:r>
              <w:t>100</w:t>
            </w:r>
          </w:p>
        </w:tc>
        <w:tc>
          <w:tcPr>
            <w:tcW w:w="40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DD7C645" w14:textId="77777777" w:rsidR="0047072D" w:rsidRPr="003A115E" w:rsidRDefault="0047072D" w:rsidP="002D44BC">
            <w:pPr>
              <w:pStyle w:val="cuadroCabe"/>
              <w:jc w:val="right"/>
              <w:rPr>
                <w:szCs w:val="18"/>
              </w:rPr>
            </w:pPr>
            <w:r>
              <w:t>88</w:t>
            </w:r>
          </w:p>
        </w:tc>
        <w:tc>
          <w:tcPr>
            <w:tcW w:w="560"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9DDF4F1" w14:textId="507D4605" w:rsidR="0047072D" w:rsidRPr="003A115E" w:rsidRDefault="0047072D" w:rsidP="002D44BC">
            <w:pPr>
              <w:pStyle w:val="cuadroCabe"/>
              <w:jc w:val="right"/>
              <w:rPr>
                <w:szCs w:val="18"/>
              </w:rPr>
            </w:pPr>
            <w:r>
              <w:t>146,85</w:t>
            </w:r>
          </w:p>
        </w:tc>
        <w:tc>
          <w:tcPr>
            <w:tcW w:w="44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530AC460" w14:textId="77777777" w:rsidR="0047072D" w:rsidRPr="003A115E" w:rsidRDefault="0047072D" w:rsidP="002D44BC">
            <w:pPr>
              <w:pStyle w:val="cuadroCabe"/>
              <w:jc w:val="right"/>
              <w:rPr>
                <w:szCs w:val="18"/>
              </w:rPr>
            </w:pPr>
            <w:r>
              <w:t>16</w:t>
            </w:r>
          </w:p>
        </w:tc>
        <w:tc>
          <w:tcPr>
            <w:tcW w:w="559"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F1C7668" w14:textId="6A2DD862" w:rsidR="0047072D" w:rsidRPr="003A115E" w:rsidRDefault="0047072D" w:rsidP="002D44BC">
            <w:pPr>
              <w:pStyle w:val="cuadroCabe"/>
              <w:jc w:val="right"/>
              <w:rPr>
                <w:szCs w:val="18"/>
              </w:rPr>
            </w:pPr>
            <w:r>
              <w:t>1.132,55</w:t>
            </w:r>
          </w:p>
        </w:tc>
      </w:tr>
    </w:tbl>
    <w:p w14:paraId="40EB918F" w14:textId="2193428D" w:rsidR="002A4BE9" w:rsidRPr="003A115E" w:rsidRDefault="002A4BE9" w:rsidP="00A2712A">
      <w:pPr>
        <w:pStyle w:val="texto"/>
        <w:spacing w:before="60" w:after="40"/>
        <w:ind w:firstLine="0"/>
        <w:rPr>
          <w:rFonts w:ascii="Arial" w:hAnsi="Arial" w:cs="Arial"/>
          <w:sz w:val="14"/>
          <w:szCs w:val="14"/>
        </w:rPr>
      </w:pPr>
      <w:r>
        <w:rPr>
          <w:rFonts w:ascii="Arial" w:hAnsi="Arial"/>
          <w:sz w:val="14"/>
        </w:rPr>
        <w:t xml:space="preserve">(*) </w:t>
      </w:r>
      <w:proofErr w:type="spellStart"/>
      <w:r>
        <w:rPr>
          <w:rFonts w:ascii="Arial" w:hAnsi="Arial"/>
          <w:sz w:val="14"/>
        </w:rPr>
        <w:t>SCPSArekin</w:t>
      </w:r>
      <w:proofErr w:type="spellEnd"/>
      <w:r>
        <w:rPr>
          <w:rFonts w:ascii="Arial" w:hAnsi="Arial"/>
          <w:sz w:val="14"/>
        </w:rPr>
        <w:t xml:space="preserve"> bateratutako eskubide aitortuak.</w:t>
      </w:r>
    </w:p>
    <w:p w14:paraId="0B46B582" w14:textId="5F17B972" w:rsidR="002A4BE9" w:rsidRPr="003A115E" w:rsidRDefault="002A4BE9" w:rsidP="006F66AB">
      <w:pPr>
        <w:pStyle w:val="texto"/>
        <w:spacing w:before="240"/>
      </w:pPr>
      <w:r>
        <w:t xml:space="preserve">Diru-sarreren 2022rako behin betiko aurreikuspenek 1.183,32 milioi euro egin zuten, eta ehuneko 88ko betetze-maila dute. Diru-sarrera arrunten betetze-maila ehuneko 107koa da, eta kapitaleko diru-sarrerena, ehuneko 89koa. Bestalde, diru-sarrera finantzarioen betetze-maila ehuneko 10ekoa izan zen. </w:t>
      </w:r>
    </w:p>
    <w:p w14:paraId="739493C4" w14:textId="1891E564" w:rsidR="002A4BE9" w:rsidRPr="003A115E" w:rsidRDefault="002A4BE9" w:rsidP="002A4BE9">
      <w:pPr>
        <w:pStyle w:val="texto"/>
        <w:rPr>
          <w:spacing w:val="2"/>
        </w:rPr>
      </w:pPr>
      <w:r>
        <w:t>Aitortutako eskubide garbiek (AEG) 1.041,27 milioi egin zuten. Horietatik ehuneko 87 diru-sarrera arruntak izan ziren (gehienbat, transferentziak eta tributuak), eta kapitaleko diru-sarrerak guztizkoaren ehuneko 11 izan ziren.</w:t>
      </w:r>
    </w:p>
    <w:p w14:paraId="3D4835DB" w14:textId="3A4CC286" w:rsidR="00F419E5" w:rsidRPr="003A115E" w:rsidRDefault="00A65153" w:rsidP="00C6711F">
      <w:pPr>
        <w:pStyle w:val="texto"/>
      </w:pPr>
      <w:r>
        <w:lastRenderedPageBreak/>
        <w:t>2022ko guztizko diru-sarrerak ehuneko 16 handitu ziren aurreko ekitaldikoen aldean. Diru-sarrera arruntek ehuneko 9ko igoera izan dute 2021arekin alderatuta, transferentzien, tasa eta prezio publikoen, zergen eta ondare diru-sarreren igoeraren ondorioz. Transferentzia arruntak 32 milioi igo ziren; nagusiki, 2022ko ekitaldirako kapital-transferentzien funtsaren zuzkidura igotzeagatik eta Ukrainako gerraren ondorioak samurtzeko funts bereziarengatik</w:t>
      </w:r>
      <w:r w:rsidR="0035231C" w:rsidRPr="003A115E">
        <w:rPr>
          <w:rStyle w:val="Refdenotaalpie"/>
        </w:rPr>
        <w:footnoteReference w:id="6"/>
      </w:r>
      <w:r>
        <w:t xml:space="preserve">. </w:t>
      </w:r>
    </w:p>
    <w:p w14:paraId="7F8DAE6D" w14:textId="3EA5F967" w:rsidR="002A4BE9" w:rsidRPr="003A115E" w:rsidRDefault="6A28BBB8" w:rsidP="7A999140">
      <w:pPr>
        <w:pStyle w:val="texto"/>
      </w:pPr>
      <w:r>
        <w:t xml:space="preserve">Kapital diru-sarrerak ehuneko 95 igo ziren 2021ekoekiko. Gorakada gotor hori, hein handi batean, Toki Inbertsioen Planarengatik gertatua da, aurreko urtearekiko 33,38 milioi igo delako. </w:t>
      </w:r>
    </w:p>
    <w:p w14:paraId="131814C7" w14:textId="7188B687" w:rsidR="00C26F41" w:rsidRPr="003A115E" w:rsidRDefault="00C26F41" w:rsidP="7A999140">
      <w:pPr>
        <w:pStyle w:val="texto"/>
      </w:pPr>
      <w:r>
        <w:t xml:space="preserve">Diru-sarrera finantzarioek 2021ekiko gora egitearen arrazoia neurri handi batean izan zen Iruñeko Udalak bi mailegu hitzartu zituela, guztira 15 milioi egiten dutenak.  </w:t>
      </w:r>
    </w:p>
    <w:p w14:paraId="7084ECE4" w14:textId="24A1B2BB" w:rsidR="002A4BE9" w:rsidRPr="003A115E" w:rsidRDefault="34CD8A04" w:rsidP="31020D79">
      <w:pPr>
        <w:pStyle w:val="texto"/>
      </w:pPr>
      <w:r>
        <w:t>Guztizko diru-sarreretatik, ehuneko 83 udalei dagokie, ehuneko 15 mankomunitate eta batasunei, eta gainerako ehuneko bia, kontzejuei. Banaketa hori aurreko ekitaldikoaren antzekoa da.</w:t>
      </w:r>
    </w:p>
    <w:p w14:paraId="5CEC044A" w14:textId="09AA0E6C" w:rsidR="006475D6" w:rsidRPr="003A115E" w:rsidRDefault="56FC82D2" w:rsidP="00AF2E65">
      <w:pPr>
        <w:pStyle w:val="texto"/>
        <w:spacing w:after="120"/>
      </w:pPr>
      <w:r>
        <w:t xml:space="preserve">Toki-sektore publikoak, barne harturik toki-entitateak eta haien erakunde autonomoak, transferentziengatik jasotako diru-sarrerak nagusiki heldu dira Nafarroako Foru Komunitateko Administraziotik, zeinaren 2022ko aurrekontuek 453,49 milioiko gastua jasotzen baitute, transferentzia arruntetan eta kapital-transferentzietan egina. </w:t>
      </w:r>
    </w:p>
    <w:p w14:paraId="1940F33E" w14:textId="4544C0D6" w:rsidR="009850D0" w:rsidRPr="003A115E" w:rsidRDefault="009850D0" w:rsidP="009850D0">
      <w:pPr>
        <w:pStyle w:val="texto"/>
        <w:spacing w:after="120"/>
        <w:jc w:val="right"/>
        <w:rPr>
          <w:rFonts w:ascii="Arial Narrow" w:hAnsi="Arial Narrow" w:cs="Calibri"/>
          <w:sz w:val="18"/>
          <w:szCs w:val="18"/>
        </w:rPr>
      </w:pPr>
      <w:r>
        <w:rPr>
          <w:rFonts w:ascii="Arial Narrow" w:hAnsi="Arial Narrow"/>
          <w:sz w:val="18"/>
        </w:rPr>
        <w:t>(milioiak)</w:t>
      </w:r>
    </w:p>
    <w:tbl>
      <w:tblPr>
        <w:tblW w:w="5000" w:type="pct"/>
        <w:tblCellMar>
          <w:left w:w="70" w:type="dxa"/>
          <w:right w:w="70" w:type="dxa"/>
        </w:tblCellMar>
        <w:tblLook w:val="04A0" w:firstRow="1" w:lastRow="0" w:firstColumn="1" w:lastColumn="0" w:noHBand="0" w:noVBand="1"/>
      </w:tblPr>
      <w:tblGrid>
        <w:gridCol w:w="2626"/>
        <w:gridCol w:w="1106"/>
        <w:gridCol w:w="728"/>
        <w:gridCol w:w="787"/>
        <w:gridCol w:w="1035"/>
        <w:gridCol w:w="840"/>
        <w:gridCol w:w="833"/>
        <w:gridCol w:w="833"/>
      </w:tblGrid>
      <w:tr w:rsidR="000A742F" w:rsidRPr="003A115E" w14:paraId="33D8BA3E" w14:textId="77777777" w:rsidTr="005F3A0D">
        <w:trPr>
          <w:trHeight w:val="255"/>
        </w:trPr>
        <w:tc>
          <w:tcPr>
            <w:tcW w:w="1494" w:type="pct"/>
            <w:tcBorders>
              <w:top w:val="single" w:sz="4" w:space="0" w:color="auto"/>
              <w:left w:val="nil"/>
              <w:right w:val="nil"/>
            </w:tcBorders>
            <w:shd w:val="clear" w:color="auto" w:fill="FABF8F" w:themeFill="accent6" w:themeFillTint="99"/>
            <w:tcMar>
              <w:left w:w="0" w:type="dxa"/>
              <w:right w:w="0" w:type="dxa"/>
            </w:tcMar>
            <w:vAlign w:val="center"/>
            <w:hideMark/>
          </w:tcPr>
          <w:p w14:paraId="2AA55D45" w14:textId="77777777" w:rsidR="00661E7D" w:rsidRPr="003A115E" w:rsidRDefault="00661E7D" w:rsidP="002D44BC">
            <w:pPr>
              <w:pStyle w:val="cuadroCabe"/>
            </w:pPr>
            <w:r>
              <w:t xml:space="preserve">Naf. </w:t>
            </w:r>
            <w:proofErr w:type="spellStart"/>
            <w:r>
              <w:t>Aurr</w:t>
            </w:r>
            <w:proofErr w:type="spellEnd"/>
            <w:r>
              <w:t xml:space="preserve">. Orok. kapital-transferentziak </w:t>
            </w:r>
          </w:p>
        </w:tc>
        <w:tc>
          <w:tcPr>
            <w:tcW w:w="629"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24F7EDEB" w14:textId="77777777" w:rsidR="00661E7D" w:rsidRPr="003A115E" w:rsidRDefault="00661E7D" w:rsidP="002D44BC">
            <w:pPr>
              <w:pStyle w:val="cuadroCabe"/>
              <w:jc w:val="right"/>
            </w:pPr>
            <w:r>
              <w:t>2020</w:t>
            </w:r>
          </w:p>
        </w:tc>
        <w:tc>
          <w:tcPr>
            <w:tcW w:w="41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566F1FA5" w14:textId="77777777" w:rsidR="00661E7D" w:rsidRPr="003A115E" w:rsidRDefault="00661E7D" w:rsidP="002D44BC">
            <w:pPr>
              <w:pStyle w:val="cuadroCabe"/>
              <w:jc w:val="right"/>
            </w:pPr>
            <w:r>
              <w:t>2021</w:t>
            </w:r>
          </w:p>
        </w:tc>
        <w:tc>
          <w:tcPr>
            <w:tcW w:w="448"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001DDD87" w14:textId="77777777" w:rsidR="00661E7D" w:rsidRPr="003A115E" w:rsidRDefault="00661E7D" w:rsidP="002D44BC">
            <w:pPr>
              <w:pStyle w:val="cuadroCabe"/>
              <w:jc w:val="right"/>
            </w:pPr>
            <w:r>
              <w:t>2022</w:t>
            </w:r>
          </w:p>
        </w:tc>
        <w:tc>
          <w:tcPr>
            <w:tcW w:w="589"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14C83CB1" w14:textId="52111FE7" w:rsidR="00661E7D" w:rsidRPr="003A115E" w:rsidRDefault="00661E7D" w:rsidP="00C35967">
            <w:pPr>
              <w:pStyle w:val="cuadroCabe"/>
              <w:jc w:val="right"/>
            </w:pPr>
            <w:r>
              <w:t>Ald. abs. 2022/20</w:t>
            </w:r>
          </w:p>
        </w:tc>
        <w:tc>
          <w:tcPr>
            <w:tcW w:w="478"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60CD1211" w14:textId="631E270F" w:rsidR="00661E7D" w:rsidRPr="003A115E" w:rsidRDefault="00661E7D" w:rsidP="002D44BC">
            <w:pPr>
              <w:pStyle w:val="cuadroCabe"/>
              <w:jc w:val="right"/>
            </w:pPr>
            <w:r>
              <w:t>2022/20 aldea (%)</w:t>
            </w:r>
          </w:p>
        </w:tc>
        <w:tc>
          <w:tcPr>
            <w:tcW w:w="47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363AEE20" w14:textId="34FD3A05" w:rsidR="00661E7D" w:rsidRPr="003A115E" w:rsidRDefault="00661E7D" w:rsidP="002D44BC">
            <w:pPr>
              <w:pStyle w:val="cuadroCabe"/>
              <w:jc w:val="right"/>
            </w:pPr>
            <w:r>
              <w:t>Ald. abs. 2022/21</w:t>
            </w:r>
          </w:p>
        </w:tc>
        <w:tc>
          <w:tcPr>
            <w:tcW w:w="47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0DCE066A" w14:textId="2F78BA80" w:rsidR="00661E7D" w:rsidRPr="003A115E" w:rsidRDefault="00661E7D" w:rsidP="002D44BC">
            <w:pPr>
              <w:pStyle w:val="cuadroCabe"/>
              <w:jc w:val="right"/>
            </w:pPr>
            <w:r>
              <w:t>2022/21 aldea (%)</w:t>
            </w:r>
          </w:p>
        </w:tc>
      </w:tr>
      <w:tr w:rsidR="000A742F" w:rsidRPr="003A115E" w14:paraId="70D31AAE" w14:textId="77777777" w:rsidTr="005F3A0D">
        <w:trPr>
          <w:trHeight w:val="255"/>
        </w:trPr>
        <w:tc>
          <w:tcPr>
            <w:tcW w:w="1494" w:type="pct"/>
            <w:tcBorders>
              <w:left w:val="nil"/>
              <w:bottom w:val="single" w:sz="4" w:space="0" w:color="auto"/>
              <w:right w:val="nil"/>
            </w:tcBorders>
            <w:shd w:val="clear" w:color="auto" w:fill="FABF8F" w:themeFill="accent6" w:themeFillTint="99"/>
            <w:tcMar>
              <w:left w:w="0" w:type="dxa"/>
              <w:right w:w="0" w:type="dxa"/>
            </w:tcMar>
            <w:vAlign w:val="center"/>
            <w:hideMark/>
          </w:tcPr>
          <w:p w14:paraId="1C6DBD09" w14:textId="77777777" w:rsidR="00661E7D" w:rsidRPr="003A115E" w:rsidRDefault="00661E7D">
            <w:pPr>
              <w:rPr>
                <w:rFonts w:ascii="Arial" w:hAnsi="Arial" w:cs="Arial"/>
                <w:sz w:val="18"/>
                <w:szCs w:val="18"/>
              </w:rPr>
            </w:pPr>
            <w:r>
              <w:rPr>
                <w:rFonts w:ascii="Arial" w:hAnsi="Arial"/>
                <w:sz w:val="18"/>
              </w:rPr>
              <w:t>Toki-entitateei</w:t>
            </w:r>
          </w:p>
        </w:tc>
        <w:tc>
          <w:tcPr>
            <w:tcW w:w="629" w:type="pct"/>
            <w:vMerge/>
            <w:shd w:val="clear" w:color="auto" w:fill="FABF8F" w:themeFill="accent6" w:themeFillTint="99"/>
            <w:tcMar>
              <w:left w:w="0" w:type="dxa"/>
              <w:right w:w="0" w:type="dxa"/>
            </w:tcMar>
            <w:vAlign w:val="center"/>
            <w:hideMark/>
          </w:tcPr>
          <w:p w14:paraId="38F9B3F3" w14:textId="77777777" w:rsidR="00661E7D" w:rsidRPr="003A115E" w:rsidRDefault="00661E7D" w:rsidP="002D44BC">
            <w:pPr>
              <w:jc w:val="right"/>
              <w:rPr>
                <w:rFonts w:ascii="Arial Narrow" w:hAnsi="Arial Narrow" w:cs="Calibri"/>
                <w:sz w:val="16"/>
                <w:szCs w:val="16"/>
              </w:rPr>
            </w:pPr>
          </w:p>
        </w:tc>
        <w:tc>
          <w:tcPr>
            <w:tcW w:w="414" w:type="pct"/>
            <w:vMerge/>
            <w:shd w:val="clear" w:color="auto" w:fill="FABF8F" w:themeFill="accent6" w:themeFillTint="99"/>
            <w:tcMar>
              <w:left w:w="0" w:type="dxa"/>
              <w:right w:w="0" w:type="dxa"/>
            </w:tcMar>
            <w:vAlign w:val="center"/>
            <w:hideMark/>
          </w:tcPr>
          <w:p w14:paraId="5E793529" w14:textId="77777777" w:rsidR="00661E7D" w:rsidRPr="003A115E" w:rsidRDefault="00661E7D" w:rsidP="002D44BC">
            <w:pPr>
              <w:jc w:val="right"/>
              <w:rPr>
                <w:rFonts w:ascii="Arial Narrow" w:hAnsi="Arial Narrow" w:cs="Calibri"/>
                <w:sz w:val="16"/>
                <w:szCs w:val="16"/>
              </w:rPr>
            </w:pPr>
          </w:p>
        </w:tc>
        <w:tc>
          <w:tcPr>
            <w:tcW w:w="448" w:type="pct"/>
            <w:vMerge/>
            <w:shd w:val="clear" w:color="auto" w:fill="FABF8F" w:themeFill="accent6" w:themeFillTint="99"/>
            <w:tcMar>
              <w:left w:w="0" w:type="dxa"/>
              <w:right w:w="0" w:type="dxa"/>
            </w:tcMar>
            <w:vAlign w:val="center"/>
            <w:hideMark/>
          </w:tcPr>
          <w:p w14:paraId="6AF95576" w14:textId="77777777" w:rsidR="00661E7D" w:rsidRPr="003A115E" w:rsidRDefault="00661E7D" w:rsidP="002D44BC">
            <w:pPr>
              <w:jc w:val="right"/>
              <w:rPr>
                <w:rFonts w:ascii="Arial Narrow" w:hAnsi="Arial Narrow" w:cs="Calibri"/>
                <w:sz w:val="16"/>
                <w:szCs w:val="16"/>
              </w:rPr>
            </w:pPr>
          </w:p>
        </w:tc>
        <w:tc>
          <w:tcPr>
            <w:tcW w:w="589" w:type="pct"/>
            <w:vMerge/>
            <w:shd w:val="clear" w:color="auto" w:fill="FABF8F" w:themeFill="accent6" w:themeFillTint="99"/>
            <w:tcMar>
              <w:left w:w="0" w:type="dxa"/>
              <w:right w:w="0" w:type="dxa"/>
            </w:tcMar>
            <w:vAlign w:val="center"/>
            <w:hideMark/>
          </w:tcPr>
          <w:p w14:paraId="7A507B76" w14:textId="77777777" w:rsidR="00661E7D" w:rsidRPr="003A115E" w:rsidRDefault="00661E7D" w:rsidP="002D44BC">
            <w:pPr>
              <w:jc w:val="right"/>
              <w:rPr>
                <w:rFonts w:ascii="Arial Narrow" w:hAnsi="Arial Narrow" w:cs="Calibri"/>
                <w:sz w:val="16"/>
                <w:szCs w:val="16"/>
              </w:rPr>
            </w:pPr>
          </w:p>
        </w:tc>
        <w:tc>
          <w:tcPr>
            <w:tcW w:w="478" w:type="pct"/>
            <w:vMerge/>
            <w:shd w:val="clear" w:color="auto" w:fill="FABF8F" w:themeFill="accent6" w:themeFillTint="99"/>
            <w:tcMar>
              <w:left w:w="0" w:type="dxa"/>
              <w:right w:w="0" w:type="dxa"/>
            </w:tcMar>
            <w:vAlign w:val="center"/>
            <w:hideMark/>
          </w:tcPr>
          <w:p w14:paraId="7C9D57C6" w14:textId="77777777" w:rsidR="00661E7D" w:rsidRPr="003A115E" w:rsidRDefault="00661E7D" w:rsidP="002D44BC">
            <w:pPr>
              <w:jc w:val="right"/>
              <w:rPr>
                <w:rFonts w:ascii="Arial Narrow" w:hAnsi="Arial Narrow" w:cs="Calibri"/>
                <w:sz w:val="16"/>
                <w:szCs w:val="16"/>
              </w:rPr>
            </w:pPr>
          </w:p>
        </w:tc>
        <w:tc>
          <w:tcPr>
            <w:tcW w:w="474" w:type="pct"/>
            <w:vMerge/>
            <w:shd w:val="clear" w:color="auto" w:fill="FABF8F" w:themeFill="accent6" w:themeFillTint="99"/>
            <w:tcMar>
              <w:left w:w="0" w:type="dxa"/>
              <w:right w:w="0" w:type="dxa"/>
            </w:tcMar>
            <w:vAlign w:val="center"/>
            <w:hideMark/>
          </w:tcPr>
          <w:p w14:paraId="3B3D3526" w14:textId="77777777" w:rsidR="00661E7D" w:rsidRPr="003A115E" w:rsidRDefault="00661E7D" w:rsidP="002D44BC">
            <w:pPr>
              <w:jc w:val="right"/>
              <w:rPr>
                <w:rFonts w:ascii="Arial Narrow" w:hAnsi="Arial Narrow" w:cs="Calibri"/>
                <w:sz w:val="16"/>
                <w:szCs w:val="16"/>
              </w:rPr>
            </w:pPr>
          </w:p>
        </w:tc>
        <w:tc>
          <w:tcPr>
            <w:tcW w:w="474" w:type="pct"/>
            <w:vMerge/>
            <w:shd w:val="clear" w:color="auto" w:fill="FABF8F" w:themeFill="accent6" w:themeFillTint="99"/>
            <w:tcMar>
              <w:left w:w="0" w:type="dxa"/>
              <w:right w:w="0" w:type="dxa"/>
            </w:tcMar>
            <w:vAlign w:val="center"/>
            <w:hideMark/>
          </w:tcPr>
          <w:p w14:paraId="362CD423" w14:textId="77777777" w:rsidR="00661E7D" w:rsidRPr="003A115E" w:rsidRDefault="00661E7D" w:rsidP="002D44BC">
            <w:pPr>
              <w:jc w:val="right"/>
              <w:rPr>
                <w:rFonts w:ascii="Arial Narrow" w:hAnsi="Arial Narrow" w:cs="Calibri"/>
                <w:sz w:val="16"/>
                <w:szCs w:val="16"/>
              </w:rPr>
            </w:pPr>
          </w:p>
        </w:tc>
      </w:tr>
      <w:tr w:rsidR="000A742F" w:rsidRPr="003A115E" w14:paraId="266F0B35" w14:textId="77777777" w:rsidTr="003B4CAB">
        <w:trPr>
          <w:trHeight w:val="198"/>
        </w:trPr>
        <w:tc>
          <w:tcPr>
            <w:tcW w:w="1494" w:type="pct"/>
            <w:tcBorders>
              <w:top w:val="single" w:sz="4" w:space="0" w:color="auto"/>
              <w:left w:val="nil"/>
              <w:bottom w:val="single" w:sz="2" w:space="0" w:color="auto"/>
              <w:right w:val="nil"/>
            </w:tcBorders>
            <w:shd w:val="clear" w:color="auto" w:fill="auto"/>
            <w:vAlign w:val="center"/>
            <w:hideMark/>
          </w:tcPr>
          <w:p w14:paraId="6DB3687D" w14:textId="77777777" w:rsidR="00661E7D" w:rsidRPr="003A115E" w:rsidRDefault="00661E7D" w:rsidP="005F0CC5">
            <w:pPr>
              <w:rPr>
                <w:rFonts w:ascii="Arial Narrow" w:hAnsi="Arial Narrow" w:cs="Calibri"/>
                <w:sz w:val="18"/>
                <w:szCs w:val="18"/>
              </w:rPr>
            </w:pPr>
            <w:r>
              <w:rPr>
                <w:rFonts w:ascii="Arial Narrow" w:hAnsi="Arial Narrow"/>
                <w:sz w:val="18"/>
              </w:rPr>
              <w:t>Arruntak - COVID ez</w:t>
            </w:r>
          </w:p>
        </w:tc>
        <w:tc>
          <w:tcPr>
            <w:tcW w:w="629" w:type="pct"/>
            <w:tcBorders>
              <w:top w:val="single" w:sz="4" w:space="0" w:color="auto"/>
              <w:left w:val="nil"/>
              <w:bottom w:val="single" w:sz="2" w:space="0" w:color="auto"/>
              <w:right w:val="nil"/>
            </w:tcBorders>
            <w:shd w:val="clear" w:color="auto" w:fill="auto"/>
            <w:vAlign w:val="center"/>
            <w:hideMark/>
          </w:tcPr>
          <w:p w14:paraId="16BC772D" w14:textId="7736E7AB" w:rsidR="00661E7D" w:rsidRPr="003A115E" w:rsidRDefault="00661E7D" w:rsidP="002D44BC">
            <w:pPr>
              <w:jc w:val="right"/>
              <w:rPr>
                <w:rFonts w:ascii="Arial Narrow" w:hAnsi="Arial Narrow" w:cs="Calibri"/>
                <w:sz w:val="18"/>
                <w:szCs w:val="18"/>
              </w:rPr>
            </w:pPr>
            <w:r>
              <w:rPr>
                <w:rFonts w:ascii="Arial Narrow" w:hAnsi="Arial Narrow"/>
                <w:sz w:val="18"/>
              </w:rPr>
              <w:t>321,10</w:t>
            </w:r>
          </w:p>
        </w:tc>
        <w:tc>
          <w:tcPr>
            <w:tcW w:w="414" w:type="pct"/>
            <w:tcBorders>
              <w:top w:val="single" w:sz="4" w:space="0" w:color="auto"/>
              <w:left w:val="nil"/>
              <w:bottom w:val="single" w:sz="2" w:space="0" w:color="auto"/>
              <w:right w:val="nil"/>
            </w:tcBorders>
            <w:shd w:val="clear" w:color="auto" w:fill="auto"/>
            <w:vAlign w:val="center"/>
            <w:hideMark/>
          </w:tcPr>
          <w:p w14:paraId="5734C540" w14:textId="10627FB6" w:rsidR="00661E7D" w:rsidRPr="003A115E" w:rsidRDefault="00661E7D" w:rsidP="002D44BC">
            <w:pPr>
              <w:jc w:val="right"/>
              <w:rPr>
                <w:rFonts w:ascii="Arial Narrow" w:hAnsi="Arial Narrow" w:cs="Calibri"/>
                <w:sz w:val="18"/>
                <w:szCs w:val="18"/>
              </w:rPr>
            </w:pPr>
            <w:r>
              <w:rPr>
                <w:rFonts w:ascii="Arial Narrow" w:hAnsi="Arial Narrow"/>
                <w:sz w:val="18"/>
              </w:rPr>
              <w:t>340,09</w:t>
            </w:r>
          </w:p>
        </w:tc>
        <w:tc>
          <w:tcPr>
            <w:tcW w:w="448" w:type="pct"/>
            <w:tcBorders>
              <w:top w:val="single" w:sz="4" w:space="0" w:color="auto"/>
              <w:left w:val="nil"/>
              <w:bottom w:val="single" w:sz="2" w:space="0" w:color="auto"/>
              <w:right w:val="nil"/>
            </w:tcBorders>
            <w:shd w:val="clear" w:color="auto" w:fill="auto"/>
            <w:vAlign w:val="center"/>
            <w:hideMark/>
          </w:tcPr>
          <w:p w14:paraId="1E80022B" w14:textId="2DCA34DF" w:rsidR="00661E7D" w:rsidRPr="003A115E" w:rsidRDefault="00661E7D" w:rsidP="002D44BC">
            <w:pPr>
              <w:jc w:val="right"/>
              <w:rPr>
                <w:rFonts w:ascii="Arial Narrow" w:hAnsi="Arial Narrow" w:cs="Calibri"/>
                <w:sz w:val="18"/>
                <w:szCs w:val="18"/>
              </w:rPr>
            </w:pPr>
            <w:r>
              <w:rPr>
                <w:rFonts w:ascii="Arial Narrow" w:hAnsi="Arial Narrow"/>
                <w:sz w:val="18"/>
              </w:rPr>
              <w:t>367,89</w:t>
            </w:r>
          </w:p>
        </w:tc>
        <w:tc>
          <w:tcPr>
            <w:tcW w:w="589" w:type="pct"/>
            <w:tcBorders>
              <w:top w:val="single" w:sz="4" w:space="0" w:color="auto"/>
              <w:left w:val="nil"/>
              <w:bottom w:val="single" w:sz="2" w:space="0" w:color="auto"/>
              <w:right w:val="nil"/>
            </w:tcBorders>
            <w:shd w:val="clear" w:color="auto" w:fill="auto"/>
            <w:vAlign w:val="center"/>
            <w:hideMark/>
          </w:tcPr>
          <w:p w14:paraId="2FDFDDE6" w14:textId="415B1AFD" w:rsidR="00661E7D" w:rsidRPr="003A115E" w:rsidRDefault="00661E7D" w:rsidP="002D44BC">
            <w:pPr>
              <w:jc w:val="right"/>
              <w:rPr>
                <w:rFonts w:ascii="Arial Narrow" w:hAnsi="Arial Narrow" w:cs="Calibri"/>
                <w:sz w:val="18"/>
                <w:szCs w:val="18"/>
              </w:rPr>
            </w:pPr>
            <w:r>
              <w:rPr>
                <w:rFonts w:ascii="Arial Narrow" w:hAnsi="Arial Narrow"/>
                <w:sz w:val="18"/>
              </w:rPr>
              <w:t>46,79</w:t>
            </w:r>
          </w:p>
        </w:tc>
        <w:tc>
          <w:tcPr>
            <w:tcW w:w="478" w:type="pct"/>
            <w:tcBorders>
              <w:top w:val="single" w:sz="4" w:space="0" w:color="auto"/>
              <w:left w:val="nil"/>
              <w:bottom w:val="single" w:sz="2" w:space="0" w:color="auto"/>
              <w:right w:val="nil"/>
            </w:tcBorders>
            <w:shd w:val="clear" w:color="auto" w:fill="auto"/>
            <w:vAlign w:val="center"/>
            <w:hideMark/>
          </w:tcPr>
          <w:p w14:paraId="3A5095D3" w14:textId="7F540C43" w:rsidR="00661E7D" w:rsidRPr="003A115E" w:rsidRDefault="00661E7D" w:rsidP="002D44BC">
            <w:pPr>
              <w:jc w:val="right"/>
              <w:rPr>
                <w:rFonts w:ascii="Arial Narrow" w:hAnsi="Arial Narrow" w:cs="Calibri"/>
                <w:sz w:val="18"/>
                <w:szCs w:val="18"/>
              </w:rPr>
            </w:pPr>
            <w:r>
              <w:rPr>
                <w:rFonts w:ascii="Arial Narrow" w:hAnsi="Arial Narrow"/>
                <w:sz w:val="18"/>
              </w:rPr>
              <w:t>15</w:t>
            </w:r>
          </w:p>
        </w:tc>
        <w:tc>
          <w:tcPr>
            <w:tcW w:w="474" w:type="pct"/>
            <w:tcBorders>
              <w:top w:val="single" w:sz="4" w:space="0" w:color="auto"/>
              <w:left w:val="nil"/>
              <w:bottom w:val="single" w:sz="2" w:space="0" w:color="auto"/>
              <w:right w:val="nil"/>
            </w:tcBorders>
            <w:shd w:val="clear" w:color="auto" w:fill="auto"/>
            <w:vAlign w:val="center"/>
            <w:hideMark/>
          </w:tcPr>
          <w:p w14:paraId="40908E41" w14:textId="56676258" w:rsidR="00661E7D" w:rsidRPr="003A115E" w:rsidRDefault="00661E7D" w:rsidP="002D44BC">
            <w:pPr>
              <w:jc w:val="right"/>
              <w:rPr>
                <w:rFonts w:ascii="Arial Narrow" w:hAnsi="Arial Narrow" w:cs="Calibri"/>
                <w:sz w:val="18"/>
                <w:szCs w:val="18"/>
              </w:rPr>
            </w:pPr>
            <w:r>
              <w:rPr>
                <w:rFonts w:ascii="Arial Narrow" w:hAnsi="Arial Narrow"/>
                <w:sz w:val="18"/>
              </w:rPr>
              <w:t>27,80</w:t>
            </w:r>
          </w:p>
        </w:tc>
        <w:tc>
          <w:tcPr>
            <w:tcW w:w="474" w:type="pct"/>
            <w:tcBorders>
              <w:top w:val="single" w:sz="4" w:space="0" w:color="auto"/>
              <w:left w:val="nil"/>
              <w:bottom w:val="single" w:sz="2" w:space="0" w:color="auto"/>
              <w:right w:val="nil"/>
            </w:tcBorders>
            <w:shd w:val="clear" w:color="auto" w:fill="auto"/>
            <w:vAlign w:val="center"/>
            <w:hideMark/>
          </w:tcPr>
          <w:p w14:paraId="04AE1BD9" w14:textId="1D096502" w:rsidR="00661E7D" w:rsidRPr="003A115E" w:rsidRDefault="00661E7D" w:rsidP="002D44BC">
            <w:pPr>
              <w:jc w:val="right"/>
              <w:rPr>
                <w:rFonts w:ascii="Arial Narrow" w:hAnsi="Arial Narrow" w:cs="Calibri"/>
                <w:sz w:val="18"/>
                <w:szCs w:val="18"/>
              </w:rPr>
            </w:pPr>
            <w:r>
              <w:rPr>
                <w:rFonts w:ascii="Arial Narrow" w:hAnsi="Arial Narrow"/>
                <w:sz w:val="18"/>
              </w:rPr>
              <w:t>8</w:t>
            </w:r>
          </w:p>
        </w:tc>
      </w:tr>
      <w:tr w:rsidR="000A742F" w:rsidRPr="003A115E" w14:paraId="108EF761" w14:textId="77777777" w:rsidTr="003B4CAB">
        <w:trPr>
          <w:trHeight w:val="198"/>
        </w:trPr>
        <w:tc>
          <w:tcPr>
            <w:tcW w:w="1494" w:type="pct"/>
            <w:tcBorders>
              <w:top w:val="single" w:sz="2" w:space="0" w:color="auto"/>
              <w:left w:val="nil"/>
              <w:bottom w:val="single" w:sz="4" w:space="0" w:color="auto"/>
              <w:right w:val="nil"/>
            </w:tcBorders>
            <w:shd w:val="clear" w:color="auto" w:fill="auto"/>
            <w:vAlign w:val="center"/>
            <w:hideMark/>
          </w:tcPr>
          <w:p w14:paraId="0D0DACA6" w14:textId="77777777" w:rsidR="00661E7D" w:rsidRPr="003A115E" w:rsidRDefault="00661E7D" w:rsidP="0186A00D">
            <w:pPr>
              <w:pStyle w:val="cuatexto"/>
            </w:pPr>
            <w:r>
              <w:t>Kapitalekoak - COVID ez</w:t>
            </w:r>
          </w:p>
        </w:tc>
        <w:tc>
          <w:tcPr>
            <w:tcW w:w="629" w:type="pct"/>
            <w:tcBorders>
              <w:top w:val="single" w:sz="2" w:space="0" w:color="auto"/>
              <w:left w:val="nil"/>
              <w:bottom w:val="single" w:sz="4" w:space="0" w:color="auto"/>
              <w:right w:val="nil"/>
            </w:tcBorders>
            <w:shd w:val="clear" w:color="auto" w:fill="auto"/>
            <w:vAlign w:val="center"/>
            <w:hideMark/>
          </w:tcPr>
          <w:p w14:paraId="60A51F37" w14:textId="0C74B2DB" w:rsidR="00661E7D" w:rsidRPr="003A115E" w:rsidRDefault="00661E7D" w:rsidP="002D44BC">
            <w:pPr>
              <w:pStyle w:val="cuatexto"/>
              <w:jc w:val="right"/>
            </w:pPr>
            <w:r>
              <w:t>49,28</w:t>
            </w:r>
          </w:p>
        </w:tc>
        <w:tc>
          <w:tcPr>
            <w:tcW w:w="414" w:type="pct"/>
            <w:tcBorders>
              <w:top w:val="single" w:sz="2" w:space="0" w:color="auto"/>
              <w:left w:val="nil"/>
              <w:bottom w:val="single" w:sz="4" w:space="0" w:color="auto"/>
              <w:right w:val="nil"/>
            </w:tcBorders>
            <w:shd w:val="clear" w:color="auto" w:fill="auto"/>
            <w:vAlign w:val="center"/>
            <w:hideMark/>
          </w:tcPr>
          <w:p w14:paraId="39AB62B0" w14:textId="73FE26B7" w:rsidR="00661E7D" w:rsidRPr="003A115E" w:rsidRDefault="00661E7D" w:rsidP="002D44BC">
            <w:pPr>
              <w:pStyle w:val="cuatexto"/>
              <w:jc w:val="right"/>
            </w:pPr>
            <w:r>
              <w:t>30,26</w:t>
            </w:r>
          </w:p>
        </w:tc>
        <w:tc>
          <w:tcPr>
            <w:tcW w:w="448" w:type="pct"/>
            <w:tcBorders>
              <w:top w:val="single" w:sz="2" w:space="0" w:color="auto"/>
              <w:left w:val="nil"/>
              <w:bottom w:val="single" w:sz="4" w:space="0" w:color="auto"/>
              <w:right w:val="nil"/>
            </w:tcBorders>
            <w:shd w:val="clear" w:color="auto" w:fill="auto"/>
            <w:vAlign w:val="center"/>
            <w:hideMark/>
          </w:tcPr>
          <w:p w14:paraId="7EF5CE61" w14:textId="78202C4B" w:rsidR="00661E7D" w:rsidRPr="003A115E" w:rsidRDefault="00661E7D" w:rsidP="002D44BC">
            <w:pPr>
              <w:pStyle w:val="cuatexto"/>
              <w:jc w:val="right"/>
            </w:pPr>
            <w:r>
              <w:t>84,62</w:t>
            </w:r>
          </w:p>
        </w:tc>
        <w:tc>
          <w:tcPr>
            <w:tcW w:w="589" w:type="pct"/>
            <w:tcBorders>
              <w:top w:val="single" w:sz="2" w:space="0" w:color="auto"/>
              <w:left w:val="nil"/>
              <w:bottom w:val="single" w:sz="4" w:space="0" w:color="auto"/>
              <w:right w:val="nil"/>
            </w:tcBorders>
            <w:shd w:val="clear" w:color="auto" w:fill="auto"/>
            <w:vAlign w:val="center"/>
            <w:hideMark/>
          </w:tcPr>
          <w:p w14:paraId="36FB5447" w14:textId="05503628" w:rsidR="00661E7D" w:rsidRPr="003A115E" w:rsidRDefault="00661E7D" w:rsidP="002D44BC">
            <w:pPr>
              <w:pStyle w:val="cuatexto"/>
              <w:jc w:val="right"/>
            </w:pPr>
            <w:r>
              <w:t>35,34</w:t>
            </w:r>
          </w:p>
        </w:tc>
        <w:tc>
          <w:tcPr>
            <w:tcW w:w="478" w:type="pct"/>
            <w:tcBorders>
              <w:top w:val="single" w:sz="2" w:space="0" w:color="auto"/>
              <w:left w:val="nil"/>
              <w:bottom w:val="single" w:sz="4" w:space="0" w:color="auto"/>
              <w:right w:val="nil"/>
            </w:tcBorders>
            <w:shd w:val="clear" w:color="auto" w:fill="auto"/>
            <w:vAlign w:val="center"/>
            <w:hideMark/>
          </w:tcPr>
          <w:p w14:paraId="62DCF724" w14:textId="63F13BD9" w:rsidR="00661E7D" w:rsidRPr="003A115E" w:rsidRDefault="00661E7D" w:rsidP="002D44BC">
            <w:pPr>
              <w:pStyle w:val="cuatexto"/>
              <w:jc w:val="right"/>
            </w:pPr>
            <w:r>
              <w:t>72</w:t>
            </w:r>
          </w:p>
        </w:tc>
        <w:tc>
          <w:tcPr>
            <w:tcW w:w="474" w:type="pct"/>
            <w:tcBorders>
              <w:top w:val="single" w:sz="2" w:space="0" w:color="auto"/>
              <w:left w:val="nil"/>
              <w:bottom w:val="single" w:sz="4" w:space="0" w:color="auto"/>
              <w:right w:val="nil"/>
            </w:tcBorders>
            <w:shd w:val="clear" w:color="auto" w:fill="auto"/>
            <w:vAlign w:val="center"/>
            <w:hideMark/>
          </w:tcPr>
          <w:p w14:paraId="520207A1" w14:textId="3891D3F7" w:rsidR="00661E7D" w:rsidRPr="003A115E" w:rsidRDefault="00661E7D" w:rsidP="002D44BC">
            <w:pPr>
              <w:pStyle w:val="cuatexto"/>
              <w:jc w:val="right"/>
            </w:pPr>
            <w:r>
              <w:t>54,36</w:t>
            </w:r>
          </w:p>
        </w:tc>
        <w:tc>
          <w:tcPr>
            <w:tcW w:w="474" w:type="pct"/>
            <w:tcBorders>
              <w:top w:val="single" w:sz="2" w:space="0" w:color="auto"/>
              <w:left w:val="nil"/>
              <w:bottom w:val="single" w:sz="4" w:space="0" w:color="auto"/>
              <w:right w:val="nil"/>
            </w:tcBorders>
            <w:shd w:val="clear" w:color="auto" w:fill="auto"/>
            <w:vAlign w:val="center"/>
            <w:hideMark/>
          </w:tcPr>
          <w:p w14:paraId="32EB8661" w14:textId="6395C3BC" w:rsidR="00661E7D" w:rsidRPr="003A115E" w:rsidRDefault="00661E7D" w:rsidP="002D44BC">
            <w:pPr>
              <w:pStyle w:val="cuatexto"/>
              <w:jc w:val="right"/>
            </w:pPr>
            <w:r>
              <w:t>180</w:t>
            </w:r>
          </w:p>
        </w:tc>
      </w:tr>
      <w:tr w:rsidR="000A742F" w:rsidRPr="003A115E" w14:paraId="060A4808" w14:textId="77777777" w:rsidTr="003B4CAB">
        <w:trPr>
          <w:trHeight w:val="198"/>
        </w:trPr>
        <w:tc>
          <w:tcPr>
            <w:tcW w:w="1494" w:type="pct"/>
            <w:tcBorders>
              <w:top w:val="single" w:sz="4" w:space="0" w:color="auto"/>
              <w:left w:val="nil"/>
              <w:bottom w:val="single" w:sz="4" w:space="0" w:color="auto"/>
              <w:right w:val="nil"/>
            </w:tcBorders>
            <w:shd w:val="clear" w:color="auto" w:fill="auto"/>
            <w:vAlign w:val="center"/>
            <w:hideMark/>
          </w:tcPr>
          <w:p w14:paraId="57B50A4C" w14:textId="77777777" w:rsidR="00661E7D" w:rsidRPr="003A115E" w:rsidRDefault="00661E7D" w:rsidP="0186A00D">
            <w:pPr>
              <w:pStyle w:val="cuatexto"/>
              <w:rPr>
                <w:b/>
                <w:bCs/>
                <w:i/>
                <w:iCs/>
              </w:rPr>
            </w:pPr>
            <w:r>
              <w:rPr>
                <w:b/>
                <w:i/>
              </w:rPr>
              <w:t>Transferentziak, guztira (COVID ez)</w:t>
            </w:r>
          </w:p>
        </w:tc>
        <w:tc>
          <w:tcPr>
            <w:tcW w:w="629" w:type="pct"/>
            <w:tcBorders>
              <w:top w:val="single" w:sz="4" w:space="0" w:color="auto"/>
              <w:left w:val="nil"/>
              <w:bottom w:val="single" w:sz="4" w:space="0" w:color="auto"/>
              <w:right w:val="nil"/>
            </w:tcBorders>
            <w:shd w:val="clear" w:color="auto" w:fill="auto"/>
            <w:vAlign w:val="center"/>
            <w:hideMark/>
          </w:tcPr>
          <w:p w14:paraId="5758D914" w14:textId="0382F0FF" w:rsidR="00661E7D" w:rsidRPr="003A115E" w:rsidRDefault="00661E7D" w:rsidP="002D44BC">
            <w:pPr>
              <w:pStyle w:val="cuatexto"/>
              <w:jc w:val="right"/>
              <w:rPr>
                <w:b/>
                <w:bCs/>
                <w:i/>
                <w:iCs/>
              </w:rPr>
            </w:pPr>
            <w:r>
              <w:rPr>
                <w:b/>
                <w:i/>
              </w:rPr>
              <w:t>370,38</w:t>
            </w:r>
          </w:p>
        </w:tc>
        <w:tc>
          <w:tcPr>
            <w:tcW w:w="414" w:type="pct"/>
            <w:tcBorders>
              <w:top w:val="single" w:sz="4" w:space="0" w:color="auto"/>
              <w:left w:val="nil"/>
              <w:bottom w:val="single" w:sz="4" w:space="0" w:color="auto"/>
              <w:right w:val="nil"/>
            </w:tcBorders>
            <w:shd w:val="clear" w:color="auto" w:fill="auto"/>
            <w:vAlign w:val="center"/>
            <w:hideMark/>
          </w:tcPr>
          <w:p w14:paraId="068CBB72" w14:textId="5164171D" w:rsidR="00661E7D" w:rsidRPr="003A115E" w:rsidRDefault="00661E7D" w:rsidP="002D44BC">
            <w:pPr>
              <w:pStyle w:val="cuatexto"/>
              <w:jc w:val="right"/>
              <w:rPr>
                <w:b/>
                <w:bCs/>
                <w:i/>
                <w:iCs/>
              </w:rPr>
            </w:pPr>
            <w:r>
              <w:rPr>
                <w:b/>
                <w:i/>
              </w:rPr>
              <w:t>370,35</w:t>
            </w:r>
          </w:p>
        </w:tc>
        <w:tc>
          <w:tcPr>
            <w:tcW w:w="448" w:type="pct"/>
            <w:tcBorders>
              <w:top w:val="single" w:sz="4" w:space="0" w:color="auto"/>
              <w:left w:val="nil"/>
              <w:bottom w:val="single" w:sz="4" w:space="0" w:color="auto"/>
              <w:right w:val="nil"/>
            </w:tcBorders>
            <w:shd w:val="clear" w:color="auto" w:fill="auto"/>
            <w:vAlign w:val="center"/>
            <w:hideMark/>
          </w:tcPr>
          <w:p w14:paraId="5FFFBC75" w14:textId="07D7A162" w:rsidR="00661E7D" w:rsidRPr="003A115E" w:rsidRDefault="00661E7D" w:rsidP="002D44BC">
            <w:pPr>
              <w:pStyle w:val="cuatexto"/>
              <w:jc w:val="right"/>
              <w:rPr>
                <w:b/>
                <w:bCs/>
                <w:i/>
                <w:iCs/>
              </w:rPr>
            </w:pPr>
            <w:r>
              <w:rPr>
                <w:b/>
                <w:i/>
              </w:rPr>
              <w:t>452,50</w:t>
            </w:r>
          </w:p>
        </w:tc>
        <w:tc>
          <w:tcPr>
            <w:tcW w:w="589" w:type="pct"/>
            <w:tcBorders>
              <w:top w:val="single" w:sz="4" w:space="0" w:color="auto"/>
              <w:left w:val="nil"/>
              <w:bottom w:val="single" w:sz="4" w:space="0" w:color="auto"/>
              <w:right w:val="nil"/>
            </w:tcBorders>
            <w:shd w:val="clear" w:color="auto" w:fill="auto"/>
            <w:vAlign w:val="center"/>
            <w:hideMark/>
          </w:tcPr>
          <w:p w14:paraId="70EDCF9C" w14:textId="7656EB04" w:rsidR="00661E7D" w:rsidRPr="003A115E" w:rsidRDefault="00661E7D" w:rsidP="002D44BC">
            <w:pPr>
              <w:pStyle w:val="cuatexto"/>
              <w:jc w:val="right"/>
              <w:rPr>
                <w:b/>
                <w:bCs/>
                <w:i/>
                <w:iCs/>
              </w:rPr>
            </w:pPr>
            <w:r>
              <w:rPr>
                <w:b/>
                <w:i/>
              </w:rPr>
              <w:t>82,12</w:t>
            </w:r>
          </w:p>
        </w:tc>
        <w:tc>
          <w:tcPr>
            <w:tcW w:w="478" w:type="pct"/>
            <w:tcBorders>
              <w:top w:val="single" w:sz="4" w:space="0" w:color="auto"/>
              <w:left w:val="nil"/>
              <w:bottom w:val="single" w:sz="4" w:space="0" w:color="auto"/>
              <w:right w:val="nil"/>
            </w:tcBorders>
            <w:shd w:val="clear" w:color="auto" w:fill="auto"/>
            <w:vAlign w:val="center"/>
            <w:hideMark/>
          </w:tcPr>
          <w:p w14:paraId="6E427E38" w14:textId="5A8DA49D" w:rsidR="00661E7D" w:rsidRPr="003A115E" w:rsidRDefault="00661E7D" w:rsidP="002D44BC">
            <w:pPr>
              <w:pStyle w:val="cuatexto"/>
              <w:jc w:val="right"/>
              <w:rPr>
                <w:b/>
                <w:bCs/>
                <w:i/>
                <w:iCs/>
              </w:rPr>
            </w:pPr>
            <w:r>
              <w:rPr>
                <w:b/>
                <w:i/>
              </w:rPr>
              <w:t>22</w:t>
            </w:r>
          </w:p>
        </w:tc>
        <w:tc>
          <w:tcPr>
            <w:tcW w:w="474" w:type="pct"/>
            <w:tcBorders>
              <w:top w:val="single" w:sz="4" w:space="0" w:color="auto"/>
              <w:left w:val="nil"/>
              <w:bottom w:val="single" w:sz="4" w:space="0" w:color="auto"/>
              <w:right w:val="nil"/>
            </w:tcBorders>
            <w:shd w:val="clear" w:color="auto" w:fill="auto"/>
            <w:vAlign w:val="center"/>
            <w:hideMark/>
          </w:tcPr>
          <w:p w14:paraId="07F10F93" w14:textId="06F0F9AC" w:rsidR="00661E7D" w:rsidRPr="003A115E" w:rsidRDefault="00661E7D" w:rsidP="002D44BC">
            <w:pPr>
              <w:pStyle w:val="cuatexto"/>
              <w:jc w:val="right"/>
              <w:rPr>
                <w:b/>
                <w:bCs/>
                <w:i/>
                <w:iCs/>
              </w:rPr>
            </w:pPr>
            <w:r>
              <w:rPr>
                <w:b/>
                <w:i/>
              </w:rPr>
              <w:t>82,15</w:t>
            </w:r>
          </w:p>
        </w:tc>
        <w:tc>
          <w:tcPr>
            <w:tcW w:w="474" w:type="pct"/>
            <w:tcBorders>
              <w:top w:val="single" w:sz="4" w:space="0" w:color="auto"/>
              <w:left w:val="nil"/>
              <w:bottom w:val="single" w:sz="4" w:space="0" w:color="auto"/>
              <w:right w:val="nil"/>
            </w:tcBorders>
            <w:shd w:val="clear" w:color="auto" w:fill="auto"/>
            <w:vAlign w:val="center"/>
            <w:hideMark/>
          </w:tcPr>
          <w:p w14:paraId="45EF3D2A" w14:textId="5288A9C0" w:rsidR="00661E7D" w:rsidRPr="003A115E" w:rsidRDefault="00661E7D" w:rsidP="002D44BC">
            <w:pPr>
              <w:pStyle w:val="cuatexto"/>
              <w:jc w:val="right"/>
              <w:rPr>
                <w:b/>
                <w:bCs/>
                <w:i/>
                <w:iCs/>
              </w:rPr>
            </w:pPr>
            <w:r>
              <w:rPr>
                <w:b/>
                <w:i/>
              </w:rPr>
              <w:t>22</w:t>
            </w:r>
          </w:p>
        </w:tc>
      </w:tr>
      <w:tr w:rsidR="000A742F" w:rsidRPr="003A115E" w14:paraId="5E688B65" w14:textId="77777777" w:rsidTr="003B4CAB">
        <w:trPr>
          <w:trHeight w:val="198"/>
        </w:trPr>
        <w:tc>
          <w:tcPr>
            <w:tcW w:w="1494" w:type="pct"/>
            <w:tcBorders>
              <w:top w:val="single" w:sz="4" w:space="0" w:color="auto"/>
              <w:left w:val="nil"/>
              <w:bottom w:val="single" w:sz="2" w:space="0" w:color="auto"/>
              <w:right w:val="nil"/>
            </w:tcBorders>
            <w:shd w:val="clear" w:color="auto" w:fill="auto"/>
            <w:vAlign w:val="center"/>
            <w:hideMark/>
          </w:tcPr>
          <w:p w14:paraId="537A113A" w14:textId="77777777" w:rsidR="00661E7D" w:rsidRPr="003A115E" w:rsidRDefault="00661E7D" w:rsidP="0186A00D">
            <w:pPr>
              <w:pStyle w:val="cuatexto"/>
            </w:pPr>
            <w:r>
              <w:t>Arruntak - COVID</w:t>
            </w:r>
          </w:p>
        </w:tc>
        <w:tc>
          <w:tcPr>
            <w:tcW w:w="629" w:type="pct"/>
            <w:tcBorders>
              <w:top w:val="single" w:sz="4" w:space="0" w:color="auto"/>
              <w:left w:val="nil"/>
              <w:bottom w:val="single" w:sz="2" w:space="0" w:color="auto"/>
              <w:right w:val="nil"/>
            </w:tcBorders>
            <w:shd w:val="clear" w:color="auto" w:fill="auto"/>
            <w:vAlign w:val="center"/>
            <w:hideMark/>
          </w:tcPr>
          <w:p w14:paraId="0CF3D25D" w14:textId="5FE510F3" w:rsidR="00661E7D" w:rsidRPr="003A115E" w:rsidRDefault="00661E7D" w:rsidP="002D44BC">
            <w:pPr>
              <w:pStyle w:val="cuatexto"/>
              <w:jc w:val="right"/>
            </w:pPr>
            <w:r>
              <w:t>13,13</w:t>
            </w:r>
          </w:p>
        </w:tc>
        <w:tc>
          <w:tcPr>
            <w:tcW w:w="414" w:type="pct"/>
            <w:tcBorders>
              <w:top w:val="single" w:sz="4" w:space="0" w:color="auto"/>
              <w:left w:val="nil"/>
              <w:bottom w:val="single" w:sz="2" w:space="0" w:color="auto"/>
              <w:right w:val="nil"/>
            </w:tcBorders>
            <w:shd w:val="clear" w:color="auto" w:fill="auto"/>
            <w:vAlign w:val="center"/>
            <w:hideMark/>
          </w:tcPr>
          <w:p w14:paraId="00D9E9AB" w14:textId="71C83130" w:rsidR="00661E7D" w:rsidRPr="003A115E" w:rsidRDefault="00661E7D" w:rsidP="002D44BC">
            <w:pPr>
              <w:pStyle w:val="cuatexto"/>
              <w:jc w:val="right"/>
            </w:pPr>
            <w:r>
              <w:t>0,75</w:t>
            </w:r>
          </w:p>
        </w:tc>
        <w:tc>
          <w:tcPr>
            <w:tcW w:w="448" w:type="pct"/>
            <w:tcBorders>
              <w:top w:val="single" w:sz="4" w:space="0" w:color="auto"/>
              <w:left w:val="nil"/>
              <w:bottom w:val="single" w:sz="2" w:space="0" w:color="auto"/>
              <w:right w:val="nil"/>
            </w:tcBorders>
            <w:shd w:val="clear" w:color="auto" w:fill="auto"/>
            <w:vAlign w:val="center"/>
            <w:hideMark/>
          </w:tcPr>
          <w:p w14:paraId="42E5FB38" w14:textId="2813E265" w:rsidR="00661E7D" w:rsidRPr="003A115E" w:rsidRDefault="00661E7D" w:rsidP="002D44BC">
            <w:pPr>
              <w:pStyle w:val="cuatexto"/>
              <w:jc w:val="right"/>
            </w:pPr>
            <w:r>
              <w:t>0,98</w:t>
            </w:r>
          </w:p>
        </w:tc>
        <w:tc>
          <w:tcPr>
            <w:tcW w:w="589" w:type="pct"/>
            <w:tcBorders>
              <w:top w:val="single" w:sz="4" w:space="0" w:color="auto"/>
              <w:left w:val="nil"/>
              <w:bottom w:val="single" w:sz="2" w:space="0" w:color="auto"/>
              <w:right w:val="nil"/>
            </w:tcBorders>
            <w:shd w:val="clear" w:color="auto" w:fill="auto"/>
            <w:vAlign w:val="center"/>
            <w:hideMark/>
          </w:tcPr>
          <w:p w14:paraId="0BE372BB" w14:textId="1DE0FC28" w:rsidR="00661E7D" w:rsidRPr="003A115E" w:rsidRDefault="00661E7D" w:rsidP="002D44BC">
            <w:pPr>
              <w:pStyle w:val="cuatexto"/>
              <w:jc w:val="right"/>
            </w:pPr>
            <w:r>
              <w:t>-12,15</w:t>
            </w:r>
          </w:p>
        </w:tc>
        <w:tc>
          <w:tcPr>
            <w:tcW w:w="478" w:type="pct"/>
            <w:tcBorders>
              <w:top w:val="single" w:sz="4" w:space="0" w:color="auto"/>
              <w:left w:val="nil"/>
              <w:bottom w:val="single" w:sz="2" w:space="0" w:color="auto"/>
              <w:right w:val="nil"/>
            </w:tcBorders>
            <w:shd w:val="clear" w:color="auto" w:fill="auto"/>
            <w:vAlign w:val="center"/>
            <w:hideMark/>
          </w:tcPr>
          <w:p w14:paraId="2FB537A4" w14:textId="5B365E99" w:rsidR="00661E7D" w:rsidRPr="003A115E" w:rsidRDefault="00661E7D" w:rsidP="002D44BC">
            <w:pPr>
              <w:pStyle w:val="cuatexto"/>
              <w:jc w:val="right"/>
            </w:pPr>
            <w:r>
              <w:t>-93</w:t>
            </w:r>
          </w:p>
        </w:tc>
        <w:tc>
          <w:tcPr>
            <w:tcW w:w="474" w:type="pct"/>
            <w:tcBorders>
              <w:top w:val="single" w:sz="4" w:space="0" w:color="auto"/>
              <w:left w:val="nil"/>
              <w:bottom w:val="single" w:sz="2" w:space="0" w:color="auto"/>
              <w:right w:val="nil"/>
            </w:tcBorders>
            <w:shd w:val="clear" w:color="auto" w:fill="auto"/>
            <w:vAlign w:val="center"/>
            <w:hideMark/>
          </w:tcPr>
          <w:p w14:paraId="562461E6" w14:textId="4FD80C24" w:rsidR="00661E7D" w:rsidRPr="003A115E" w:rsidRDefault="00661E7D" w:rsidP="002D44BC">
            <w:pPr>
              <w:pStyle w:val="cuatexto"/>
              <w:jc w:val="right"/>
            </w:pPr>
            <w:r>
              <w:t>0,23</w:t>
            </w:r>
          </w:p>
        </w:tc>
        <w:tc>
          <w:tcPr>
            <w:tcW w:w="474" w:type="pct"/>
            <w:tcBorders>
              <w:top w:val="single" w:sz="4" w:space="0" w:color="auto"/>
              <w:left w:val="nil"/>
              <w:bottom w:val="single" w:sz="2" w:space="0" w:color="auto"/>
              <w:right w:val="nil"/>
            </w:tcBorders>
            <w:shd w:val="clear" w:color="auto" w:fill="auto"/>
            <w:vAlign w:val="center"/>
            <w:hideMark/>
          </w:tcPr>
          <w:p w14:paraId="4CCC8DCB" w14:textId="4D0049D8" w:rsidR="00661E7D" w:rsidRPr="003A115E" w:rsidRDefault="00661E7D" w:rsidP="002D44BC">
            <w:pPr>
              <w:pStyle w:val="cuatexto"/>
              <w:jc w:val="right"/>
            </w:pPr>
            <w:r>
              <w:t>31</w:t>
            </w:r>
          </w:p>
        </w:tc>
      </w:tr>
      <w:tr w:rsidR="000A742F" w:rsidRPr="003A115E" w14:paraId="0D10C937" w14:textId="77777777" w:rsidTr="003B4CAB">
        <w:trPr>
          <w:trHeight w:val="198"/>
        </w:trPr>
        <w:tc>
          <w:tcPr>
            <w:tcW w:w="1494" w:type="pct"/>
            <w:tcBorders>
              <w:top w:val="single" w:sz="2" w:space="0" w:color="auto"/>
              <w:left w:val="nil"/>
              <w:bottom w:val="single" w:sz="4" w:space="0" w:color="auto"/>
              <w:right w:val="nil"/>
            </w:tcBorders>
            <w:shd w:val="clear" w:color="auto" w:fill="auto"/>
            <w:vAlign w:val="center"/>
            <w:hideMark/>
          </w:tcPr>
          <w:p w14:paraId="6BB89C0C" w14:textId="77777777" w:rsidR="00661E7D" w:rsidRPr="003A115E" w:rsidRDefault="00661E7D" w:rsidP="0186A00D">
            <w:pPr>
              <w:pStyle w:val="cuatexto"/>
            </w:pPr>
            <w:r>
              <w:t>Kapitalekoak - COVID</w:t>
            </w:r>
          </w:p>
        </w:tc>
        <w:tc>
          <w:tcPr>
            <w:tcW w:w="629" w:type="pct"/>
            <w:tcBorders>
              <w:top w:val="single" w:sz="2" w:space="0" w:color="auto"/>
              <w:left w:val="nil"/>
              <w:bottom w:val="single" w:sz="4" w:space="0" w:color="auto"/>
              <w:right w:val="nil"/>
            </w:tcBorders>
            <w:shd w:val="clear" w:color="auto" w:fill="auto"/>
            <w:vAlign w:val="center"/>
            <w:hideMark/>
          </w:tcPr>
          <w:p w14:paraId="244769F4" w14:textId="1F1DB1D9" w:rsidR="00661E7D" w:rsidRPr="003A115E" w:rsidRDefault="00661E7D" w:rsidP="002D44BC">
            <w:pPr>
              <w:pStyle w:val="cuatexto"/>
              <w:jc w:val="right"/>
            </w:pPr>
            <w:r>
              <w:t>13,50</w:t>
            </w:r>
          </w:p>
        </w:tc>
        <w:tc>
          <w:tcPr>
            <w:tcW w:w="414" w:type="pct"/>
            <w:tcBorders>
              <w:top w:val="single" w:sz="2" w:space="0" w:color="auto"/>
              <w:left w:val="nil"/>
              <w:bottom w:val="single" w:sz="4" w:space="0" w:color="auto"/>
              <w:right w:val="nil"/>
            </w:tcBorders>
            <w:shd w:val="clear" w:color="auto" w:fill="auto"/>
            <w:vAlign w:val="center"/>
            <w:hideMark/>
          </w:tcPr>
          <w:p w14:paraId="62B87733" w14:textId="513C8528" w:rsidR="00661E7D" w:rsidRPr="003A115E" w:rsidRDefault="00661E7D" w:rsidP="002D44BC">
            <w:pPr>
              <w:pStyle w:val="cuatexto"/>
              <w:jc w:val="right"/>
            </w:pPr>
            <w:r>
              <w:t>0,00</w:t>
            </w:r>
          </w:p>
        </w:tc>
        <w:tc>
          <w:tcPr>
            <w:tcW w:w="448" w:type="pct"/>
            <w:tcBorders>
              <w:top w:val="single" w:sz="2" w:space="0" w:color="auto"/>
              <w:left w:val="nil"/>
              <w:bottom w:val="single" w:sz="4" w:space="0" w:color="auto"/>
              <w:right w:val="nil"/>
            </w:tcBorders>
            <w:shd w:val="clear" w:color="auto" w:fill="auto"/>
            <w:vAlign w:val="center"/>
            <w:hideMark/>
          </w:tcPr>
          <w:p w14:paraId="59C1DD41" w14:textId="19CD39A2" w:rsidR="00661E7D" w:rsidRPr="003A115E" w:rsidRDefault="00661E7D" w:rsidP="002D44BC">
            <w:pPr>
              <w:pStyle w:val="cuatexto"/>
              <w:jc w:val="right"/>
            </w:pPr>
            <w:r>
              <w:t>0,00</w:t>
            </w:r>
          </w:p>
        </w:tc>
        <w:tc>
          <w:tcPr>
            <w:tcW w:w="589" w:type="pct"/>
            <w:tcBorders>
              <w:top w:val="single" w:sz="2" w:space="0" w:color="auto"/>
              <w:left w:val="nil"/>
              <w:bottom w:val="single" w:sz="4" w:space="0" w:color="auto"/>
              <w:right w:val="nil"/>
            </w:tcBorders>
            <w:shd w:val="clear" w:color="auto" w:fill="auto"/>
            <w:vAlign w:val="center"/>
            <w:hideMark/>
          </w:tcPr>
          <w:p w14:paraId="7D51FEDF" w14:textId="7128B71E" w:rsidR="00661E7D" w:rsidRPr="003A115E" w:rsidRDefault="00661E7D" w:rsidP="002D44BC">
            <w:pPr>
              <w:pStyle w:val="cuatexto"/>
              <w:jc w:val="right"/>
            </w:pPr>
            <w:r>
              <w:t>-13,50</w:t>
            </w:r>
          </w:p>
        </w:tc>
        <w:tc>
          <w:tcPr>
            <w:tcW w:w="478" w:type="pct"/>
            <w:tcBorders>
              <w:top w:val="single" w:sz="2" w:space="0" w:color="auto"/>
              <w:left w:val="nil"/>
              <w:bottom w:val="single" w:sz="4" w:space="0" w:color="auto"/>
              <w:right w:val="nil"/>
            </w:tcBorders>
            <w:shd w:val="clear" w:color="auto" w:fill="auto"/>
            <w:vAlign w:val="center"/>
            <w:hideMark/>
          </w:tcPr>
          <w:p w14:paraId="4DAB9F4E" w14:textId="4205EDBD" w:rsidR="00661E7D" w:rsidRPr="003A115E" w:rsidRDefault="00661E7D" w:rsidP="002D44BC">
            <w:pPr>
              <w:pStyle w:val="cuatexto"/>
              <w:jc w:val="right"/>
            </w:pPr>
            <w:r>
              <w:t>-100</w:t>
            </w:r>
          </w:p>
        </w:tc>
        <w:tc>
          <w:tcPr>
            <w:tcW w:w="474" w:type="pct"/>
            <w:tcBorders>
              <w:top w:val="single" w:sz="2" w:space="0" w:color="auto"/>
              <w:left w:val="nil"/>
              <w:bottom w:val="single" w:sz="4" w:space="0" w:color="auto"/>
              <w:right w:val="nil"/>
            </w:tcBorders>
            <w:shd w:val="clear" w:color="auto" w:fill="auto"/>
            <w:vAlign w:val="center"/>
            <w:hideMark/>
          </w:tcPr>
          <w:p w14:paraId="4C0B5B90" w14:textId="787E3E9A" w:rsidR="00661E7D" w:rsidRPr="003A115E" w:rsidRDefault="00661E7D" w:rsidP="002D44BC">
            <w:pPr>
              <w:pStyle w:val="cuatexto"/>
              <w:jc w:val="right"/>
            </w:pPr>
            <w:r>
              <w:t>0,00</w:t>
            </w:r>
          </w:p>
        </w:tc>
        <w:tc>
          <w:tcPr>
            <w:tcW w:w="474" w:type="pct"/>
            <w:tcBorders>
              <w:top w:val="single" w:sz="2" w:space="0" w:color="auto"/>
              <w:left w:val="nil"/>
              <w:bottom w:val="single" w:sz="4" w:space="0" w:color="auto"/>
              <w:right w:val="nil"/>
            </w:tcBorders>
            <w:shd w:val="clear" w:color="auto" w:fill="auto"/>
            <w:vAlign w:val="center"/>
            <w:hideMark/>
          </w:tcPr>
          <w:p w14:paraId="6AC47030" w14:textId="637A9095" w:rsidR="00661E7D" w:rsidRPr="003A115E" w:rsidRDefault="00661E7D" w:rsidP="002D44BC">
            <w:pPr>
              <w:pStyle w:val="cuatexto"/>
              <w:jc w:val="right"/>
            </w:pPr>
            <w:r>
              <w:t>-</w:t>
            </w:r>
          </w:p>
        </w:tc>
      </w:tr>
      <w:tr w:rsidR="000A742F" w:rsidRPr="003A115E" w14:paraId="74D86491" w14:textId="77777777" w:rsidTr="00280CDE">
        <w:trPr>
          <w:trHeight w:val="198"/>
        </w:trPr>
        <w:tc>
          <w:tcPr>
            <w:tcW w:w="1494" w:type="pct"/>
            <w:tcBorders>
              <w:top w:val="single" w:sz="4" w:space="0" w:color="auto"/>
              <w:left w:val="nil"/>
              <w:bottom w:val="single" w:sz="4" w:space="0" w:color="auto"/>
              <w:right w:val="nil"/>
            </w:tcBorders>
            <w:shd w:val="clear" w:color="auto" w:fill="auto"/>
            <w:vAlign w:val="center"/>
            <w:hideMark/>
          </w:tcPr>
          <w:p w14:paraId="58040C7C" w14:textId="77777777" w:rsidR="00661E7D" w:rsidRPr="003A115E" w:rsidRDefault="00661E7D" w:rsidP="005F0CC5">
            <w:pPr>
              <w:rPr>
                <w:rFonts w:ascii="Arial Narrow" w:hAnsi="Arial Narrow" w:cs="Calibri"/>
                <w:b/>
                <w:bCs/>
                <w:i/>
                <w:iCs/>
                <w:sz w:val="18"/>
                <w:szCs w:val="18"/>
              </w:rPr>
            </w:pPr>
            <w:r>
              <w:rPr>
                <w:rFonts w:ascii="Arial Narrow" w:hAnsi="Arial Narrow"/>
                <w:b/>
                <w:i/>
                <w:sz w:val="18"/>
              </w:rPr>
              <w:t>Transferentziak, guztira (COVID)</w:t>
            </w:r>
          </w:p>
        </w:tc>
        <w:tc>
          <w:tcPr>
            <w:tcW w:w="629" w:type="pct"/>
            <w:tcBorders>
              <w:top w:val="single" w:sz="4" w:space="0" w:color="auto"/>
              <w:left w:val="nil"/>
              <w:bottom w:val="single" w:sz="4" w:space="0" w:color="auto"/>
              <w:right w:val="nil"/>
            </w:tcBorders>
            <w:shd w:val="clear" w:color="auto" w:fill="auto"/>
            <w:vAlign w:val="center"/>
            <w:hideMark/>
          </w:tcPr>
          <w:p w14:paraId="2E5FD228" w14:textId="7009842F" w:rsidR="00661E7D" w:rsidRPr="003A115E" w:rsidRDefault="00661E7D" w:rsidP="002D44BC">
            <w:pPr>
              <w:jc w:val="right"/>
              <w:rPr>
                <w:rFonts w:ascii="Arial Narrow" w:hAnsi="Arial Narrow" w:cs="Calibri"/>
                <w:b/>
                <w:bCs/>
                <w:i/>
                <w:iCs/>
                <w:sz w:val="18"/>
                <w:szCs w:val="18"/>
              </w:rPr>
            </w:pPr>
            <w:r>
              <w:rPr>
                <w:rFonts w:ascii="Arial Narrow" w:hAnsi="Arial Narrow"/>
                <w:b/>
                <w:i/>
                <w:sz w:val="18"/>
              </w:rPr>
              <w:t>26,63</w:t>
            </w:r>
          </w:p>
        </w:tc>
        <w:tc>
          <w:tcPr>
            <w:tcW w:w="414" w:type="pct"/>
            <w:tcBorders>
              <w:top w:val="single" w:sz="4" w:space="0" w:color="auto"/>
              <w:left w:val="nil"/>
              <w:bottom w:val="single" w:sz="4" w:space="0" w:color="auto"/>
              <w:right w:val="nil"/>
            </w:tcBorders>
            <w:shd w:val="clear" w:color="auto" w:fill="auto"/>
            <w:vAlign w:val="center"/>
            <w:hideMark/>
          </w:tcPr>
          <w:p w14:paraId="2D0E0B98" w14:textId="3820FA08" w:rsidR="00661E7D" w:rsidRPr="003A115E" w:rsidRDefault="00661E7D" w:rsidP="002D44BC">
            <w:pPr>
              <w:jc w:val="right"/>
              <w:rPr>
                <w:rFonts w:ascii="Arial Narrow" w:hAnsi="Arial Narrow" w:cs="Calibri"/>
                <w:b/>
                <w:bCs/>
                <w:i/>
                <w:iCs/>
                <w:sz w:val="18"/>
                <w:szCs w:val="18"/>
              </w:rPr>
            </w:pPr>
            <w:r>
              <w:rPr>
                <w:rFonts w:ascii="Arial Narrow" w:hAnsi="Arial Narrow"/>
                <w:b/>
                <w:i/>
                <w:sz w:val="18"/>
              </w:rPr>
              <w:t>0,75</w:t>
            </w:r>
          </w:p>
        </w:tc>
        <w:tc>
          <w:tcPr>
            <w:tcW w:w="448" w:type="pct"/>
            <w:tcBorders>
              <w:top w:val="single" w:sz="4" w:space="0" w:color="auto"/>
              <w:left w:val="nil"/>
              <w:bottom w:val="single" w:sz="4" w:space="0" w:color="auto"/>
              <w:right w:val="nil"/>
            </w:tcBorders>
            <w:shd w:val="clear" w:color="auto" w:fill="auto"/>
            <w:vAlign w:val="center"/>
            <w:hideMark/>
          </w:tcPr>
          <w:p w14:paraId="0EDF8F80" w14:textId="6424E197" w:rsidR="00661E7D" w:rsidRPr="003A115E" w:rsidRDefault="00661E7D" w:rsidP="002D44BC">
            <w:pPr>
              <w:jc w:val="right"/>
              <w:rPr>
                <w:rFonts w:ascii="Arial Narrow" w:hAnsi="Arial Narrow" w:cs="Calibri"/>
                <w:b/>
                <w:bCs/>
                <w:i/>
                <w:iCs/>
                <w:sz w:val="18"/>
                <w:szCs w:val="18"/>
              </w:rPr>
            </w:pPr>
            <w:r>
              <w:rPr>
                <w:rFonts w:ascii="Arial Narrow" w:hAnsi="Arial Narrow"/>
                <w:b/>
                <w:i/>
                <w:sz w:val="18"/>
              </w:rPr>
              <w:t>0,98</w:t>
            </w:r>
          </w:p>
        </w:tc>
        <w:tc>
          <w:tcPr>
            <w:tcW w:w="589" w:type="pct"/>
            <w:tcBorders>
              <w:top w:val="single" w:sz="4" w:space="0" w:color="auto"/>
              <w:left w:val="nil"/>
              <w:bottom w:val="single" w:sz="4" w:space="0" w:color="auto"/>
              <w:right w:val="nil"/>
            </w:tcBorders>
            <w:shd w:val="clear" w:color="auto" w:fill="auto"/>
            <w:vAlign w:val="center"/>
            <w:hideMark/>
          </w:tcPr>
          <w:p w14:paraId="3190EDB4" w14:textId="75EF5224" w:rsidR="00661E7D" w:rsidRPr="003A115E" w:rsidRDefault="00661E7D" w:rsidP="002D44BC">
            <w:pPr>
              <w:jc w:val="right"/>
              <w:rPr>
                <w:rFonts w:ascii="Arial Narrow" w:hAnsi="Arial Narrow" w:cs="Calibri"/>
                <w:b/>
                <w:bCs/>
                <w:i/>
                <w:iCs/>
                <w:sz w:val="18"/>
                <w:szCs w:val="18"/>
              </w:rPr>
            </w:pPr>
            <w:r>
              <w:rPr>
                <w:rFonts w:ascii="Arial Narrow" w:hAnsi="Arial Narrow"/>
                <w:b/>
                <w:i/>
                <w:sz w:val="18"/>
              </w:rPr>
              <w:t>-25,65</w:t>
            </w:r>
          </w:p>
        </w:tc>
        <w:tc>
          <w:tcPr>
            <w:tcW w:w="478" w:type="pct"/>
            <w:tcBorders>
              <w:top w:val="single" w:sz="4" w:space="0" w:color="auto"/>
              <w:left w:val="nil"/>
              <w:bottom w:val="single" w:sz="4" w:space="0" w:color="auto"/>
              <w:right w:val="nil"/>
            </w:tcBorders>
            <w:shd w:val="clear" w:color="auto" w:fill="auto"/>
            <w:vAlign w:val="center"/>
            <w:hideMark/>
          </w:tcPr>
          <w:p w14:paraId="1FFBE1D1" w14:textId="792F2BAE" w:rsidR="00661E7D" w:rsidRPr="003A115E" w:rsidRDefault="00661E7D" w:rsidP="002D44BC">
            <w:pPr>
              <w:jc w:val="right"/>
              <w:rPr>
                <w:rFonts w:ascii="Arial Narrow" w:hAnsi="Arial Narrow" w:cs="Calibri"/>
                <w:b/>
                <w:bCs/>
                <w:i/>
                <w:iCs/>
                <w:sz w:val="18"/>
                <w:szCs w:val="18"/>
              </w:rPr>
            </w:pPr>
            <w:r>
              <w:rPr>
                <w:rFonts w:ascii="Arial Narrow" w:hAnsi="Arial Narrow"/>
                <w:b/>
                <w:i/>
                <w:sz w:val="18"/>
              </w:rPr>
              <w:t>-96</w:t>
            </w:r>
          </w:p>
        </w:tc>
        <w:tc>
          <w:tcPr>
            <w:tcW w:w="474" w:type="pct"/>
            <w:tcBorders>
              <w:top w:val="single" w:sz="4" w:space="0" w:color="auto"/>
              <w:left w:val="nil"/>
              <w:bottom w:val="single" w:sz="4" w:space="0" w:color="auto"/>
              <w:right w:val="nil"/>
            </w:tcBorders>
            <w:shd w:val="clear" w:color="auto" w:fill="auto"/>
            <w:vAlign w:val="center"/>
            <w:hideMark/>
          </w:tcPr>
          <w:p w14:paraId="1D12D716" w14:textId="21ABB51D" w:rsidR="00661E7D" w:rsidRPr="003A115E" w:rsidRDefault="00661E7D" w:rsidP="002D44BC">
            <w:pPr>
              <w:jc w:val="right"/>
              <w:rPr>
                <w:rFonts w:ascii="Arial Narrow" w:hAnsi="Arial Narrow" w:cs="Calibri"/>
                <w:b/>
                <w:bCs/>
                <w:i/>
                <w:iCs/>
                <w:sz w:val="18"/>
                <w:szCs w:val="18"/>
              </w:rPr>
            </w:pPr>
            <w:r>
              <w:rPr>
                <w:rFonts w:ascii="Arial Narrow" w:hAnsi="Arial Narrow"/>
                <w:b/>
                <w:i/>
                <w:sz w:val="18"/>
              </w:rPr>
              <w:t>0,23</w:t>
            </w:r>
          </w:p>
        </w:tc>
        <w:tc>
          <w:tcPr>
            <w:tcW w:w="474" w:type="pct"/>
            <w:tcBorders>
              <w:top w:val="single" w:sz="4" w:space="0" w:color="auto"/>
              <w:left w:val="nil"/>
              <w:bottom w:val="single" w:sz="4" w:space="0" w:color="auto"/>
              <w:right w:val="nil"/>
            </w:tcBorders>
            <w:shd w:val="clear" w:color="auto" w:fill="auto"/>
            <w:vAlign w:val="center"/>
            <w:hideMark/>
          </w:tcPr>
          <w:p w14:paraId="76D21765" w14:textId="395BA809" w:rsidR="00661E7D" w:rsidRPr="003A115E" w:rsidRDefault="00661E7D" w:rsidP="002D44BC">
            <w:pPr>
              <w:jc w:val="right"/>
              <w:rPr>
                <w:rFonts w:ascii="Arial Narrow" w:hAnsi="Arial Narrow" w:cs="Calibri"/>
                <w:b/>
                <w:bCs/>
                <w:i/>
                <w:iCs/>
                <w:sz w:val="18"/>
                <w:szCs w:val="18"/>
              </w:rPr>
            </w:pPr>
            <w:r>
              <w:rPr>
                <w:rFonts w:ascii="Arial Narrow" w:hAnsi="Arial Narrow"/>
                <w:b/>
                <w:i/>
                <w:sz w:val="18"/>
              </w:rPr>
              <w:t>31</w:t>
            </w:r>
          </w:p>
        </w:tc>
      </w:tr>
      <w:tr w:rsidR="000A742F" w:rsidRPr="003A115E" w14:paraId="29FBFFEE" w14:textId="77777777" w:rsidTr="005F3A0D">
        <w:trPr>
          <w:trHeight w:val="255"/>
        </w:trPr>
        <w:tc>
          <w:tcPr>
            <w:tcW w:w="1494" w:type="pct"/>
            <w:tcBorders>
              <w:top w:val="single" w:sz="4" w:space="0" w:color="auto"/>
              <w:left w:val="nil"/>
              <w:bottom w:val="single" w:sz="4" w:space="0" w:color="auto"/>
              <w:right w:val="nil"/>
            </w:tcBorders>
            <w:shd w:val="clear" w:color="auto" w:fill="FABF8F" w:themeFill="accent6" w:themeFillTint="99"/>
            <w:vAlign w:val="center"/>
            <w:hideMark/>
          </w:tcPr>
          <w:p w14:paraId="2C96F7A7" w14:textId="0C4A38DD" w:rsidR="00661E7D" w:rsidRPr="003A115E" w:rsidRDefault="00661E7D" w:rsidP="002D44BC">
            <w:pPr>
              <w:pStyle w:val="cuadroCabe"/>
            </w:pPr>
            <w:r>
              <w:t>Guztira</w:t>
            </w:r>
          </w:p>
        </w:tc>
        <w:tc>
          <w:tcPr>
            <w:tcW w:w="629" w:type="pct"/>
            <w:tcBorders>
              <w:top w:val="single" w:sz="4" w:space="0" w:color="auto"/>
              <w:left w:val="nil"/>
              <w:bottom w:val="single" w:sz="4" w:space="0" w:color="auto"/>
              <w:right w:val="nil"/>
            </w:tcBorders>
            <w:shd w:val="clear" w:color="auto" w:fill="FABF8F" w:themeFill="accent6" w:themeFillTint="99"/>
            <w:vAlign w:val="center"/>
            <w:hideMark/>
          </w:tcPr>
          <w:p w14:paraId="36A78794" w14:textId="167436BA" w:rsidR="00661E7D" w:rsidRPr="003A115E" w:rsidRDefault="00661E7D" w:rsidP="002D44BC">
            <w:pPr>
              <w:pStyle w:val="cuadroCabe"/>
              <w:jc w:val="right"/>
            </w:pPr>
            <w:r>
              <w:t>397,01</w:t>
            </w:r>
          </w:p>
        </w:tc>
        <w:tc>
          <w:tcPr>
            <w:tcW w:w="414" w:type="pct"/>
            <w:tcBorders>
              <w:top w:val="single" w:sz="4" w:space="0" w:color="auto"/>
              <w:left w:val="nil"/>
              <w:bottom w:val="single" w:sz="4" w:space="0" w:color="auto"/>
              <w:right w:val="nil"/>
            </w:tcBorders>
            <w:shd w:val="clear" w:color="auto" w:fill="FABF8F" w:themeFill="accent6" w:themeFillTint="99"/>
            <w:vAlign w:val="center"/>
            <w:hideMark/>
          </w:tcPr>
          <w:p w14:paraId="5408FE4C" w14:textId="03643924" w:rsidR="00661E7D" w:rsidRPr="003A115E" w:rsidRDefault="00661E7D" w:rsidP="002D44BC">
            <w:pPr>
              <w:pStyle w:val="cuadroCabe"/>
              <w:jc w:val="right"/>
            </w:pPr>
            <w:r>
              <w:t>371,10</w:t>
            </w:r>
          </w:p>
        </w:tc>
        <w:tc>
          <w:tcPr>
            <w:tcW w:w="448" w:type="pct"/>
            <w:tcBorders>
              <w:top w:val="single" w:sz="4" w:space="0" w:color="auto"/>
              <w:left w:val="nil"/>
              <w:bottom w:val="single" w:sz="4" w:space="0" w:color="auto"/>
              <w:right w:val="nil"/>
            </w:tcBorders>
            <w:shd w:val="clear" w:color="auto" w:fill="FABF8F" w:themeFill="accent6" w:themeFillTint="99"/>
            <w:vAlign w:val="center"/>
            <w:hideMark/>
          </w:tcPr>
          <w:p w14:paraId="78109906" w14:textId="36F0DD11" w:rsidR="00661E7D" w:rsidRPr="003A115E" w:rsidRDefault="00661E7D" w:rsidP="002D44BC">
            <w:pPr>
              <w:pStyle w:val="cuadroCabe"/>
              <w:jc w:val="right"/>
            </w:pPr>
            <w:r>
              <w:t>453,49</w:t>
            </w:r>
          </w:p>
        </w:tc>
        <w:tc>
          <w:tcPr>
            <w:tcW w:w="589" w:type="pct"/>
            <w:tcBorders>
              <w:top w:val="single" w:sz="4" w:space="0" w:color="auto"/>
              <w:left w:val="nil"/>
              <w:bottom w:val="single" w:sz="4" w:space="0" w:color="auto"/>
              <w:right w:val="nil"/>
            </w:tcBorders>
            <w:shd w:val="clear" w:color="auto" w:fill="FABF8F" w:themeFill="accent6" w:themeFillTint="99"/>
            <w:vAlign w:val="center"/>
            <w:hideMark/>
          </w:tcPr>
          <w:p w14:paraId="2FCB7F34" w14:textId="515D977D" w:rsidR="00661E7D" w:rsidRPr="003A115E" w:rsidRDefault="00661E7D" w:rsidP="002D44BC">
            <w:pPr>
              <w:pStyle w:val="cuadroCabe"/>
              <w:jc w:val="right"/>
            </w:pPr>
            <w:r>
              <w:t>56,48</w:t>
            </w:r>
          </w:p>
        </w:tc>
        <w:tc>
          <w:tcPr>
            <w:tcW w:w="478" w:type="pct"/>
            <w:tcBorders>
              <w:top w:val="single" w:sz="4" w:space="0" w:color="auto"/>
              <w:left w:val="nil"/>
              <w:bottom w:val="single" w:sz="4" w:space="0" w:color="auto"/>
              <w:right w:val="nil"/>
            </w:tcBorders>
            <w:shd w:val="clear" w:color="auto" w:fill="FABF8F" w:themeFill="accent6" w:themeFillTint="99"/>
            <w:vAlign w:val="center"/>
            <w:hideMark/>
          </w:tcPr>
          <w:p w14:paraId="2CDBC9D4" w14:textId="48370959" w:rsidR="00661E7D" w:rsidRPr="003A115E" w:rsidRDefault="00661E7D" w:rsidP="002D44BC">
            <w:pPr>
              <w:pStyle w:val="cuadroCabe"/>
              <w:jc w:val="right"/>
            </w:pPr>
            <w:r>
              <w:t>14</w:t>
            </w: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14:paraId="06DA9EFD" w14:textId="026E6704" w:rsidR="00661E7D" w:rsidRPr="003A115E" w:rsidRDefault="00661E7D" w:rsidP="002D44BC">
            <w:pPr>
              <w:pStyle w:val="cuadroCabe"/>
              <w:jc w:val="right"/>
            </w:pPr>
            <w:r>
              <w:t>82,39</w:t>
            </w: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14:paraId="0C1202A4" w14:textId="28E7DB17" w:rsidR="00661E7D" w:rsidRPr="003A115E" w:rsidRDefault="00661E7D" w:rsidP="002D44BC">
            <w:pPr>
              <w:pStyle w:val="cuadroCabe"/>
              <w:jc w:val="right"/>
            </w:pPr>
            <w:r>
              <w:t>22</w:t>
            </w:r>
          </w:p>
        </w:tc>
      </w:tr>
    </w:tbl>
    <w:p w14:paraId="0ED49721" w14:textId="5368B984" w:rsidR="004A3B35" w:rsidRPr="003A115E" w:rsidRDefault="004A3B35" w:rsidP="008B07AC">
      <w:pPr>
        <w:pStyle w:val="texto"/>
        <w:spacing w:before="240" w:after="120"/>
      </w:pPr>
      <w:r>
        <w:t xml:space="preserve">Toki-entitateei Nafarroako aurrekontu orokorren kargura eginiko transferentzien guztizkoa ehuneko 22 igo da 2021ekin </w:t>
      </w:r>
      <w:proofErr w:type="spellStart"/>
      <w:r>
        <w:t>alderatiuta</w:t>
      </w:r>
      <w:proofErr w:type="spellEnd"/>
      <w:r>
        <w:t xml:space="preserve">, 'ez </w:t>
      </w:r>
      <w:proofErr w:type="spellStart"/>
      <w:r>
        <w:t>Covid</w:t>
      </w:r>
      <w:proofErr w:type="spellEnd"/>
      <w:r>
        <w:t>' transferentzien gorakadaren ondorioz. Haien izaeraren arabera, honako hau azpimarratzen dugu:</w:t>
      </w:r>
    </w:p>
    <w:p w14:paraId="1EFC5EA0" w14:textId="43F1E8C4" w:rsidR="008353A9" w:rsidRPr="003A115E" w:rsidRDefault="56FC82D2"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'Ez </w:t>
      </w:r>
      <w:proofErr w:type="spellStart"/>
      <w:r>
        <w:t>Covid</w:t>
      </w:r>
      <w:proofErr w:type="spellEnd"/>
      <w:r>
        <w:t xml:space="preserve">' transferentzia arruntak ehuneko zortzi igo dira, batez ere toki-ogasunek Nafarroako tributuetan duten parte-hartzearen funtsa 18 milioi handitu delako. </w:t>
      </w:r>
    </w:p>
    <w:p w14:paraId="7F83A8B8" w14:textId="68D33525" w:rsidR="004A3B35" w:rsidRPr="003A115E" w:rsidRDefault="008353A9" w:rsidP="008353A9">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567"/>
        <w:rPr>
          <w:rFonts w:cs="Arial"/>
        </w:rPr>
      </w:pPr>
      <w:r>
        <w:lastRenderedPageBreak/>
        <w:t xml:space="preserve">Kapitulu horren barrenean 12,3 milioi daude, zeinak baitira milioi bat baino gutxiagoko negozio-zifra duten subjektu pasiboak jarduera ekonomikoen gaineko zergatik </w:t>
      </w:r>
      <w:proofErr w:type="spellStart"/>
      <w:r>
        <w:t>salbuestearen</w:t>
      </w:r>
      <w:proofErr w:type="spellEnd"/>
      <w:r>
        <w:t xml:space="preserve"> ondoriozko dirubilketa-galerarengatik toki-entitateetara bideraturiko konpentsazioarenak.</w:t>
      </w:r>
    </w:p>
    <w:p w14:paraId="6C7A6DB2" w14:textId="22072A06" w:rsidR="004A3B35" w:rsidRPr="003A115E" w:rsidRDefault="00CC3F47"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Kapital-transferentziak ehuneko 180 igo dira aurreko ekitaldiaren aldean, eta ehuneko 72, 2020aren aldean. Gehienbat, 33 milioi igo delako toki-entitateek Nafarroako tributuetan parte hartzeko funtsa, kapital-transferentzien atalean, Toki Inbertsioen Planaren bitartez. </w:t>
      </w:r>
    </w:p>
    <w:p w14:paraId="3B7C0659" w14:textId="0FD088AB" w:rsidR="000922AD" w:rsidRPr="003A115E" w:rsidRDefault="004A3B35" w:rsidP="004D3E9C">
      <w:pPr>
        <w:pStyle w:val="texto"/>
        <w:spacing w:after="120"/>
      </w:pPr>
      <w:r>
        <w:t xml:space="preserve">Hurrengo taulan, toki-entitateei eta haien erakunde autonomoei eginiko transferentzia arruntengatik eta COVID-19ari lotu gabeko kapital-transferentziengatik Nafarroako Aurrekontu Nagusien kargura aitortutako betebehar garbien (ABG) sailkapen funtzionala erakusten da: </w:t>
      </w:r>
    </w:p>
    <w:p w14:paraId="62B599E2" w14:textId="39394663" w:rsidR="00083878" w:rsidRPr="003A115E" w:rsidRDefault="001D196E" w:rsidP="00F33818">
      <w:pPr>
        <w:pStyle w:val="texto"/>
        <w:spacing w:after="0"/>
        <w:jc w:val="right"/>
        <w:rPr>
          <w:rFonts w:ascii="Arial Narrow" w:hAnsi="Arial Narrow"/>
          <w:sz w:val="18"/>
          <w:szCs w:val="18"/>
        </w:rPr>
      </w:pPr>
      <w:r>
        <w:rPr>
          <w:rFonts w:ascii="Arial Narrow" w:hAnsi="Arial Narrow"/>
          <w:sz w:val="18"/>
        </w:rPr>
        <w:t>(milioiak)</w:t>
      </w:r>
    </w:p>
    <w:tbl>
      <w:tblPr>
        <w:tblW w:w="5000" w:type="pct"/>
        <w:tblCellMar>
          <w:left w:w="70" w:type="dxa"/>
          <w:right w:w="70" w:type="dxa"/>
        </w:tblCellMar>
        <w:tblLook w:val="04A0" w:firstRow="1" w:lastRow="0" w:firstColumn="1" w:lastColumn="0" w:noHBand="0" w:noVBand="1"/>
      </w:tblPr>
      <w:tblGrid>
        <w:gridCol w:w="3676"/>
        <w:gridCol w:w="1555"/>
        <w:gridCol w:w="991"/>
        <w:gridCol w:w="1380"/>
        <w:gridCol w:w="1186"/>
      </w:tblGrid>
      <w:tr w:rsidR="000A742F" w:rsidRPr="003A115E" w14:paraId="30CB8D67" w14:textId="77777777" w:rsidTr="005F3A0D">
        <w:trPr>
          <w:trHeight w:val="255"/>
        </w:trPr>
        <w:tc>
          <w:tcPr>
            <w:tcW w:w="2091" w:type="pct"/>
            <w:tcBorders>
              <w:top w:val="single" w:sz="4" w:space="0" w:color="auto"/>
              <w:left w:val="nil"/>
              <w:bottom w:val="single" w:sz="2" w:space="0" w:color="auto"/>
              <w:right w:val="nil"/>
            </w:tcBorders>
            <w:shd w:val="clear" w:color="auto" w:fill="FABF8F" w:themeFill="accent6" w:themeFillTint="99"/>
            <w:vAlign w:val="center"/>
            <w:hideMark/>
          </w:tcPr>
          <w:p w14:paraId="73A72F11" w14:textId="144FE8D6" w:rsidR="005F0CC5" w:rsidRPr="003A115E" w:rsidRDefault="005F0CC5" w:rsidP="00540533">
            <w:pPr>
              <w:pStyle w:val="cuadroCabe"/>
            </w:pPr>
            <w:r>
              <w:t>COVID-ari lotu gabeko transferentzien</w:t>
            </w:r>
          </w:p>
        </w:tc>
        <w:tc>
          <w:tcPr>
            <w:tcW w:w="88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6FC58B85" w14:textId="77777777" w:rsidR="005F0CC5" w:rsidRPr="003A115E" w:rsidRDefault="005F0CC5" w:rsidP="00540533">
            <w:pPr>
              <w:pStyle w:val="cuadroCabe"/>
              <w:jc w:val="right"/>
            </w:pPr>
            <w:r>
              <w:t>2021</w:t>
            </w:r>
          </w:p>
        </w:tc>
        <w:tc>
          <w:tcPr>
            <w:tcW w:w="564"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08866056" w14:textId="77777777" w:rsidR="005F0CC5" w:rsidRPr="003A115E" w:rsidRDefault="005F0CC5" w:rsidP="00540533">
            <w:pPr>
              <w:pStyle w:val="cuadroCabe"/>
              <w:jc w:val="right"/>
            </w:pPr>
            <w:r>
              <w:t>2022</w:t>
            </w:r>
          </w:p>
        </w:tc>
        <w:tc>
          <w:tcPr>
            <w:tcW w:w="78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262A6FD4" w14:textId="77777777" w:rsidR="005F0CC5" w:rsidRPr="003A115E" w:rsidRDefault="005F0CC5" w:rsidP="00540533">
            <w:pPr>
              <w:pStyle w:val="cuadroCabe"/>
              <w:jc w:val="right"/>
            </w:pPr>
            <w:r>
              <w:t>Ald. abs. 2022/21</w:t>
            </w:r>
          </w:p>
        </w:tc>
        <w:tc>
          <w:tcPr>
            <w:tcW w:w="67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4510CE6A" w14:textId="42629D95" w:rsidR="005F0CC5" w:rsidRPr="003A115E" w:rsidRDefault="005F0CC5" w:rsidP="00540533">
            <w:pPr>
              <w:pStyle w:val="cuadroCabe"/>
              <w:jc w:val="right"/>
            </w:pPr>
            <w:r>
              <w:t>2022/21 aldea (%)</w:t>
            </w:r>
          </w:p>
        </w:tc>
      </w:tr>
      <w:tr w:rsidR="000A742F" w:rsidRPr="003A115E" w14:paraId="6C0CECAC" w14:textId="77777777" w:rsidTr="005F3A0D">
        <w:trPr>
          <w:trHeight w:val="255"/>
        </w:trPr>
        <w:tc>
          <w:tcPr>
            <w:tcW w:w="2091" w:type="pct"/>
            <w:tcBorders>
              <w:top w:val="single" w:sz="2" w:space="0" w:color="auto"/>
              <w:left w:val="nil"/>
              <w:bottom w:val="single" w:sz="4" w:space="0" w:color="auto"/>
              <w:right w:val="nil"/>
            </w:tcBorders>
            <w:shd w:val="clear" w:color="auto" w:fill="FABF8F" w:themeFill="accent6" w:themeFillTint="99"/>
            <w:vAlign w:val="center"/>
            <w:hideMark/>
          </w:tcPr>
          <w:p w14:paraId="0BFC7A8B" w14:textId="77777777" w:rsidR="005F0CC5" w:rsidRPr="003A115E" w:rsidRDefault="005F0CC5" w:rsidP="00540533">
            <w:pPr>
              <w:pStyle w:val="cuadroCabe"/>
            </w:pPr>
            <w:r>
              <w:t>sailkapen funtzionala</w:t>
            </w:r>
          </w:p>
        </w:tc>
        <w:tc>
          <w:tcPr>
            <w:tcW w:w="885" w:type="pct"/>
            <w:vMerge/>
            <w:tcBorders>
              <w:top w:val="single" w:sz="2" w:space="0" w:color="auto"/>
            </w:tcBorders>
            <w:shd w:val="clear" w:color="auto" w:fill="FABF8F" w:themeFill="accent6" w:themeFillTint="99"/>
            <w:vAlign w:val="center"/>
            <w:hideMark/>
          </w:tcPr>
          <w:p w14:paraId="6FF5DCF7" w14:textId="77777777" w:rsidR="005F0CC5" w:rsidRPr="003A115E" w:rsidRDefault="005F0CC5" w:rsidP="00540533">
            <w:pPr>
              <w:pStyle w:val="cuadroCabe"/>
              <w:jc w:val="right"/>
            </w:pPr>
          </w:p>
        </w:tc>
        <w:tc>
          <w:tcPr>
            <w:tcW w:w="564" w:type="pct"/>
            <w:vMerge/>
            <w:tcBorders>
              <w:top w:val="single" w:sz="2" w:space="0" w:color="auto"/>
            </w:tcBorders>
            <w:shd w:val="clear" w:color="auto" w:fill="FABF8F" w:themeFill="accent6" w:themeFillTint="99"/>
            <w:vAlign w:val="center"/>
            <w:hideMark/>
          </w:tcPr>
          <w:p w14:paraId="462AF1F5" w14:textId="77777777" w:rsidR="005F0CC5" w:rsidRPr="003A115E" w:rsidRDefault="005F0CC5" w:rsidP="00540533">
            <w:pPr>
              <w:pStyle w:val="cuadroCabe"/>
              <w:jc w:val="right"/>
            </w:pPr>
          </w:p>
        </w:tc>
        <w:tc>
          <w:tcPr>
            <w:tcW w:w="785" w:type="pct"/>
            <w:vMerge/>
            <w:tcBorders>
              <w:top w:val="single" w:sz="2" w:space="0" w:color="auto"/>
            </w:tcBorders>
            <w:shd w:val="clear" w:color="auto" w:fill="FABF8F" w:themeFill="accent6" w:themeFillTint="99"/>
            <w:vAlign w:val="center"/>
            <w:hideMark/>
          </w:tcPr>
          <w:p w14:paraId="78911227" w14:textId="77777777" w:rsidR="005F0CC5" w:rsidRPr="003A115E" w:rsidRDefault="005F0CC5" w:rsidP="00540533">
            <w:pPr>
              <w:pStyle w:val="cuadroCabe"/>
              <w:jc w:val="right"/>
            </w:pPr>
          </w:p>
        </w:tc>
        <w:tc>
          <w:tcPr>
            <w:tcW w:w="675" w:type="pct"/>
            <w:vMerge/>
            <w:tcBorders>
              <w:top w:val="single" w:sz="2" w:space="0" w:color="auto"/>
            </w:tcBorders>
            <w:shd w:val="clear" w:color="auto" w:fill="FABF8F" w:themeFill="accent6" w:themeFillTint="99"/>
            <w:vAlign w:val="center"/>
            <w:hideMark/>
          </w:tcPr>
          <w:p w14:paraId="70724D50" w14:textId="77777777" w:rsidR="005F0CC5" w:rsidRPr="003A115E" w:rsidRDefault="005F0CC5" w:rsidP="00540533">
            <w:pPr>
              <w:pStyle w:val="cuadroCabe"/>
              <w:jc w:val="right"/>
            </w:pPr>
          </w:p>
        </w:tc>
      </w:tr>
      <w:tr w:rsidR="000A742F" w:rsidRPr="003A115E" w14:paraId="27295B65" w14:textId="77777777" w:rsidTr="00CC28BD">
        <w:trPr>
          <w:trHeight w:val="198"/>
        </w:trPr>
        <w:tc>
          <w:tcPr>
            <w:tcW w:w="2091" w:type="pct"/>
            <w:tcBorders>
              <w:top w:val="single" w:sz="4" w:space="0" w:color="auto"/>
              <w:left w:val="nil"/>
              <w:bottom w:val="single" w:sz="2" w:space="0" w:color="auto"/>
              <w:right w:val="nil"/>
            </w:tcBorders>
            <w:shd w:val="clear" w:color="auto" w:fill="auto"/>
            <w:vAlign w:val="center"/>
            <w:hideMark/>
          </w:tcPr>
          <w:p w14:paraId="46E07101" w14:textId="77777777" w:rsidR="005F0CC5" w:rsidRPr="003A115E" w:rsidRDefault="005F0CC5" w:rsidP="00540533">
            <w:pPr>
              <w:pStyle w:val="cuatexto"/>
            </w:pPr>
            <w:r>
              <w:t xml:space="preserve">94. Transferentziak beste </w:t>
            </w:r>
            <w:proofErr w:type="spellStart"/>
            <w:r>
              <w:t>adm</w:t>
            </w:r>
            <w:proofErr w:type="spellEnd"/>
            <w:r>
              <w:t>. batzuei</w:t>
            </w:r>
          </w:p>
        </w:tc>
        <w:tc>
          <w:tcPr>
            <w:tcW w:w="885" w:type="pct"/>
            <w:tcBorders>
              <w:top w:val="single" w:sz="4" w:space="0" w:color="auto"/>
              <w:left w:val="nil"/>
              <w:bottom w:val="single" w:sz="2" w:space="0" w:color="auto"/>
              <w:right w:val="nil"/>
            </w:tcBorders>
            <w:shd w:val="clear" w:color="auto" w:fill="auto"/>
            <w:vAlign w:val="center"/>
            <w:hideMark/>
          </w:tcPr>
          <w:p w14:paraId="2B5C0A35" w14:textId="283FF328" w:rsidR="005F0CC5" w:rsidRPr="003A115E" w:rsidRDefault="005F0CC5" w:rsidP="00540533">
            <w:pPr>
              <w:pStyle w:val="cuatexto"/>
              <w:jc w:val="right"/>
            </w:pPr>
            <w:r>
              <w:t>270,55</w:t>
            </w:r>
          </w:p>
        </w:tc>
        <w:tc>
          <w:tcPr>
            <w:tcW w:w="564" w:type="pct"/>
            <w:tcBorders>
              <w:top w:val="single" w:sz="4" w:space="0" w:color="auto"/>
              <w:left w:val="nil"/>
              <w:bottom w:val="single" w:sz="2" w:space="0" w:color="auto"/>
              <w:right w:val="nil"/>
            </w:tcBorders>
            <w:shd w:val="clear" w:color="auto" w:fill="auto"/>
            <w:vAlign w:val="center"/>
            <w:hideMark/>
          </w:tcPr>
          <w:p w14:paraId="05005ABD" w14:textId="57533734" w:rsidR="005F0CC5" w:rsidRPr="003A115E" w:rsidRDefault="005F0CC5" w:rsidP="00540533">
            <w:pPr>
              <w:pStyle w:val="cuatexto"/>
              <w:jc w:val="right"/>
            </w:pPr>
            <w:r>
              <w:t>292,18</w:t>
            </w:r>
          </w:p>
        </w:tc>
        <w:tc>
          <w:tcPr>
            <w:tcW w:w="785" w:type="pct"/>
            <w:tcBorders>
              <w:top w:val="single" w:sz="4" w:space="0" w:color="auto"/>
              <w:left w:val="nil"/>
              <w:bottom w:val="single" w:sz="2" w:space="0" w:color="auto"/>
              <w:right w:val="nil"/>
            </w:tcBorders>
            <w:shd w:val="clear" w:color="auto" w:fill="auto"/>
            <w:vAlign w:val="center"/>
            <w:hideMark/>
          </w:tcPr>
          <w:p w14:paraId="79A5C312" w14:textId="2E79B59C" w:rsidR="005F0CC5" w:rsidRPr="003A115E" w:rsidRDefault="005F0CC5" w:rsidP="00540533">
            <w:pPr>
              <w:pStyle w:val="cuatexto"/>
              <w:jc w:val="right"/>
            </w:pPr>
            <w:r>
              <w:t>21,63</w:t>
            </w:r>
          </w:p>
        </w:tc>
        <w:tc>
          <w:tcPr>
            <w:tcW w:w="675" w:type="pct"/>
            <w:tcBorders>
              <w:top w:val="single" w:sz="4" w:space="0" w:color="auto"/>
              <w:left w:val="nil"/>
              <w:bottom w:val="single" w:sz="2" w:space="0" w:color="auto"/>
              <w:right w:val="nil"/>
            </w:tcBorders>
            <w:shd w:val="clear" w:color="auto" w:fill="auto"/>
            <w:vAlign w:val="center"/>
            <w:hideMark/>
          </w:tcPr>
          <w:p w14:paraId="67399581" w14:textId="0E38F4D8" w:rsidR="005F0CC5" w:rsidRPr="003A115E" w:rsidRDefault="005F0CC5" w:rsidP="00540533">
            <w:pPr>
              <w:pStyle w:val="cuatexto"/>
              <w:jc w:val="right"/>
            </w:pPr>
            <w:r>
              <w:t>8</w:t>
            </w:r>
          </w:p>
        </w:tc>
      </w:tr>
      <w:tr w:rsidR="000A742F" w:rsidRPr="003A115E" w14:paraId="6C137932"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78A3E9E2" w14:textId="77777777" w:rsidR="005F0CC5" w:rsidRPr="003A115E" w:rsidRDefault="005F0CC5" w:rsidP="00540533">
            <w:pPr>
              <w:pStyle w:val="cuatexto"/>
            </w:pPr>
            <w:r>
              <w:t>26. Etxebizitza eskuratzea eta sustatzea</w:t>
            </w:r>
          </w:p>
        </w:tc>
        <w:tc>
          <w:tcPr>
            <w:tcW w:w="885" w:type="pct"/>
            <w:tcBorders>
              <w:top w:val="single" w:sz="2" w:space="0" w:color="auto"/>
              <w:left w:val="nil"/>
              <w:bottom w:val="single" w:sz="2" w:space="0" w:color="auto"/>
              <w:right w:val="nil"/>
            </w:tcBorders>
            <w:shd w:val="clear" w:color="auto" w:fill="auto"/>
            <w:vAlign w:val="center"/>
            <w:hideMark/>
          </w:tcPr>
          <w:p w14:paraId="43508C25" w14:textId="7183ED75" w:rsidR="005F0CC5" w:rsidRPr="003A115E" w:rsidRDefault="005F0CC5" w:rsidP="00540533">
            <w:pPr>
              <w:pStyle w:val="cuatexto"/>
              <w:jc w:val="right"/>
            </w:pPr>
            <w:r>
              <w:t>4,67</w:t>
            </w:r>
          </w:p>
        </w:tc>
        <w:tc>
          <w:tcPr>
            <w:tcW w:w="564" w:type="pct"/>
            <w:tcBorders>
              <w:top w:val="single" w:sz="2" w:space="0" w:color="auto"/>
              <w:left w:val="nil"/>
              <w:bottom w:val="single" w:sz="2" w:space="0" w:color="auto"/>
              <w:right w:val="nil"/>
            </w:tcBorders>
            <w:shd w:val="clear" w:color="auto" w:fill="auto"/>
            <w:vAlign w:val="center"/>
            <w:hideMark/>
          </w:tcPr>
          <w:p w14:paraId="041D49D4" w14:textId="560079E1" w:rsidR="005F0CC5" w:rsidRPr="003A115E" w:rsidRDefault="005F0CC5" w:rsidP="00540533">
            <w:pPr>
              <w:pStyle w:val="cuatexto"/>
              <w:jc w:val="right"/>
            </w:pPr>
            <w:r>
              <w:t>33,62</w:t>
            </w:r>
          </w:p>
        </w:tc>
        <w:tc>
          <w:tcPr>
            <w:tcW w:w="785" w:type="pct"/>
            <w:tcBorders>
              <w:top w:val="single" w:sz="2" w:space="0" w:color="auto"/>
              <w:left w:val="nil"/>
              <w:bottom w:val="single" w:sz="2" w:space="0" w:color="auto"/>
              <w:right w:val="nil"/>
            </w:tcBorders>
            <w:shd w:val="clear" w:color="auto" w:fill="auto"/>
            <w:vAlign w:val="center"/>
            <w:hideMark/>
          </w:tcPr>
          <w:p w14:paraId="72A5EA15" w14:textId="6B509E8D" w:rsidR="005F0CC5" w:rsidRPr="003A115E" w:rsidRDefault="005F0CC5" w:rsidP="00540533">
            <w:pPr>
              <w:pStyle w:val="cuatexto"/>
              <w:jc w:val="right"/>
            </w:pPr>
            <w:r>
              <w:t>28,95</w:t>
            </w:r>
          </w:p>
        </w:tc>
        <w:tc>
          <w:tcPr>
            <w:tcW w:w="675" w:type="pct"/>
            <w:tcBorders>
              <w:top w:val="single" w:sz="2" w:space="0" w:color="auto"/>
              <w:left w:val="nil"/>
              <w:bottom w:val="single" w:sz="2" w:space="0" w:color="auto"/>
              <w:right w:val="nil"/>
            </w:tcBorders>
            <w:shd w:val="clear" w:color="auto" w:fill="auto"/>
            <w:vAlign w:val="center"/>
            <w:hideMark/>
          </w:tcPr>
          <w:p w14:paraId="62121DF0" w14:textId="0EDF840E" w:rsidR="005F0CC5" w:rsidRPr="003A115E" w:rsidRDefault="005F0CC5" w:rsidP="00540533">
            <w:pPr>
              <w:pStyle w:val="cuatexto"/>
              <w:jc w:val="right"/>
            </w:pPr>
            <w:r>
              <w:t>620</w:t>
            </w:r>
          </w:p>
        </w:tc>
      </w:tr>
      <w:tr w:rsidR="000A742F" w:rsidRPr="003A115E" w14:paraId="38092593"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421D5A6A" w14:textId="77777777" w:rsidR="005F0CC5" w:rsidRPr="003A115E" w:rsidRDefault="005F0CC5" w:rsidP="00540533">
            <w:pPr>
              <w:pStyle w:val="cuatexto"/>
            </w:pPr>
            <w:r>
              <w:t>23. Gizarte zerbitzuak eta sustapena</w:t>
            </w:r>
          </w:p>
        </w:tc>
        <w:tc>
          <w:tcPr>
            <w:tcW w:w="885" w:type="pct"/>
            <w:tcBorders>
              <w:top w:val="single" w:sz="2" w:space="0" w:color="auto"/>
              <w:left w:val="nil"/>
              <w:bottom w:val="single" w:sz="2" w:space="0" w:color="auto"/>
              <w:right w:val="nil"/>
            </w:tcBorders>
            <w:shd w:val="clear" w:color="auto" w:fill="auto"/>
            <w:vAlign w:val="center"/>
            <w:hideMark/>
          </w:tcPr>
          <w:p w14:paraId="7B227A08" w14:textId="53497D1E" w:rsidR="005F0CC5" w:rsidRPr="003A115E" w:rsidRDefault="005F0CC5" w:rsidP="00540533">
            <w:pPr>
              <w:pStyle w:val="cuatexto"/>
              <w:jc w:val="right"/>
            </w:pPr>
            <w:r>
              <w:t>27,21</w:t>
            </w:r>
          </w:p>
        </w:tc>
        <w:tc>
          <w:tcPr>
            <w:tcW w:w="564" w:type="pct"/>
            <w:tcBorders>
              <w:top w:val="single" w:sz="2" w:space="0" w:color="auto"/>
              <w:left w:val="nil"/>
              <w:bottom w:val="single" w:sz="2" w:space="0" w:color="auto"/>
              <w:right w:val="nil"/>
            </w:tcBorders>
            <w:shd w:val="clear" w:color="auto" w:fill="auto"/>
            <w:vAlign w:val="center"/>
            <w:hideMark/>
          </w:tcPr>
          <w:p w14:paraId="74B089D3" w14:textId="6CC17E7C" w:rsidR="005F0CC5" w:rsidRPr="003A115E" w:rsidRDefault="005F0CC5" w:rsidP="00540533">
            <w:pPr>
              <w:pStyle w:val="cuatexto"/>
              <w:jc w:val="right"/>
            </w:pPr>
            <w:r>
              <w:t>32,02</w:t>
            </w:r>
          </w:p>
        </w:tc>
        <w:tc>
          <w:tcPr>
            <w:tcW w:w="785" w:type="pct"/>
            <w:tcBorders>
              <w:top w:val="single" w:sz="2" w:space="0" w:color="auto"/>
              <w:left w:val="nil"/>
              <w:bottom w:val="single" w:sz="2" w:space="0" w:color="auto"/>
              <w:right w:val="nil"/>
            </w:tcBorders>
            <w:shd w:val="clear" w:color="auto" w:fill="auto"/>
            <w:vAlign w:val="center"/>
            <w:hideMark/>
          </w:tcPr>
          <w:p w14:paraId="33A46CD9" w14:textId="561E4CDD" w:rsidR="005F0CC5" w:rsidRPr="003A115E" w:rsidRDefault="005F0CC5" w:rsidP="00540533">
            <w:pPr>
              <w:pStyle w:val="cuatexto"/>
              <w:jc w:val="right"/>
            </w:pPr>
            <w:r>
              <w:t>4,81</w:t>
            </w:r>
          </w:p>
        </w:tc>
        <w:tc>
          <w:tcPr>
            <w:tcW w:w="675" w:type="pct"/>
            <w:tcBorders>
              <w:top w:val="single" w:sz="2" w:space="0" w:color="auto"/>
              <w:left w:val="nil"/>
              <w:bottom w:val="single" w:sz="2" w:space="0" w:color="auto"/>
              <w:right w:val="nil"/>
            </w:tcBorders>
            <w:shd w:val="clear" w:color="auto" w:fill="auto"/>
            <w:vAlign w:val="center"/>
            <w:hideMark/>
          </w:tcPr>
          <w:p w14:paraId="45F08AC9" w14:textId="637790D3" w:rsidR="005F0CC5" w:rsidRPr="003A115E" w:rsidRDefault="005F0CC5" w:rsidP="00540533">
            <w:pPr>
              <w:pStyle w:val="cuatexto"/>
              <w:jc w:val="right"/>
            </w:pPr>
            <w:r>
              <w:t>18</w:t>
            </w:r>
          </w:p>
        </w:tc>
      </w:tr>
      <w:tr w:rsidR="000A742F" w:rsidRPr="003A115E" w14:paraId="7DB327B4"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1F34919" w14:textId="77777777" w:rsidR="005F0CC5" w:rsidRPr="003A115E" w:rsidRDefault="005F0CC5" w:rsidP="0186A00D">
            <w:pPr>
              <w:pStyle w:val="cuatexto"/>
            </w:pPr>
            <w:r>
              <w:t>32. Hezkuntza</w:t>
            </w:r>
          </w:p>
        </w:tc>
        <w:tc>
          <w:tcPr>
            <w:tcW w:w="885" w:type="pct"/>
            <w:tcBorders>
              <w:top w:val="single" w:sz="2" w:space="0" w:color="auto"/>
              <w:left w:val="nil"/>
              <w:bottom w:val="single" w:sz="2" w:space="0" w:color="auto"/>
              <w:right w:val="nil"/>
            </w:tcBorders>
            <w:shd w:val="clear" w:color="auto" w:fill="auto"/>
            <w:vAlign w:val="center"/>
            <w:hideMark/>
          </w:tcPr>
          <w:p w14:paraId="7D4835F8" w14:textId="66D946CF" w:rsidR="005F0CC5" w:rsidRPr="003A115E" w:rsidRDefault="005F0CC5" w:rsidP="00540533">
            <w:pPr>
              <w:pStyle w:val="cuatexto"/>
              <w:jc w:val="right"/>
            </w:pPr>
            <w:r>
              <w:t>24,30</w:t>
            </w:r>
          </w:p>
        </w:tc>
        <w:tc>
          <w:tcPr>
            <w:tcW w:w="564" w:type="pct"/>
            <w:tcBorders>
              <w:top w:val="single" w:sz="2" w:space="0" w:color="auto"/>
              <w:left w:val="nil"/>
              <w:bottom w:val="single" w:sz="2" w:space="0" w:color="auto"/>
              <w:right w:val="nil"/>
            </w:tcBorders>
            <w:shd w:val="clear" w:color="auto" w:fill="auto"/>
            <w:vAlign w:val="center"/>
            <w:hideMark/>
          </w:tcPr>
          <w:p w14:paraId="564B6EE4" w14:textId="61EAF875" w:rsidR="005F0CC5" w:rsidRPr="003A115E" w:rsidRDefault="005F0CC5" w:rsidP="00540533">
            <w:pPr>
              <w:pStyle w:val="cuatexto"/>
              <w:jc w:val="right"/>
            </w:pPr>
            <w:r>
              <w:t>29,86</w:t>
            </w:r>
          </w:p>
        </w:tc>
        <w:tc>
          <w:tcPr>
            <w:tcW w:w="785" w:type="pct"/>
            <w:tcBorders>
              <w:top w:val="single" w:sz="2" w:space="0" w:color="auto"/>
              <w:left w:val="nil"/>
              <w:bottom w:val="single" w:sz="2" w:space="0" w:color="auto"/>
              <w:right w:val="nil"/>
            </w:tcBorders>
            <w:shd w:val="clear" w:color="auto" w:fill="auto"/>
            <w:vAlign w:val="center"/>
            <w:hideMark/>
          </w:tcPr>
          <w:p w14:paraId="26EA0E26" w14:textId="0E4A80A4" w:rsidR="005F0CC5" w:rsidRPr="003A115E" w:rsidRDefault="005F0CC5" w:rsidP="00540533">
            <w:pPr>
              <w:pStyle w:val="cuatexto"/>
              <w:jc w:val="right"/>
            </w:pPr>
            <w:r>
              <w:t>5,56</w:t>
            </w:r>
          </w:p>
        </w:tc>
        <w:tc>
          <w:tcPr>
            <w:tcW w:w="675" w:type="pct"/>
            <w:tcBorders>
              <w:top w:val="single" w:sz="2" w:space="0" w:color="auto"/>
              <w:left w:val="nil"/>
              <w:bottom w:val="single" w:sz="2" w:space="0" w:color="auto"/>
              <w:right w:val="nil"/>
            </w:tcBorders>
            <w:shd w:val="clear" w:color="auto" w:fill="auto"/>
            <w:vAlign w:val="center"/>
            <w:hideMark/>
          </w:tcPr>
          <w:p w14:paraId="7C2DA22A" w14:textId="5B35C8C7" w:rsidR="005F0CC5" w:rsidRPr="003A115E" w:rsidRDefault="005F0CC5" w:rsidP="00540533">
            <w:pPr>
              <w:pStyle w:val="cuatexto"/>
              <w:jc w:val="right"/>
            </w:pPr>
            <w:r>
              <w:t>23</w:t>
            </w:r>
          </w:p>
        </w:tc>
      </w:tr>
      <w:tr w:rsidR="000A742F" w:rsidRPr="003A115E" w14:paraId="3A880F8D"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D072DBC" w14:textId="77777777" w:rsidR="005F0CC5" w:rsidRPr="003A115E" w:rsidRDefault="005F0CC5" w:rsidP="00540533">
            <w:pPr>
              <w:pStyle w:val="cuatexto"/>
            </w:pPr>
            <w:r>
              <w:t>44. Garraiorako dirulaguntzak</w:t>
            </w:r>
          </w:p>
        </w:tc>
        <w:tc>
          <w:tcPr>
            <w:tcW w:w="885" w:type="pct"/>
            <w:tcBorders>
              <w:top w:val="single" w:sz="2" w:space="0" w:color="auto"/>
              <w:left w:val="nil"/>
              <w:bottom w:val="single" w:sz="2" w:space="0" w:color="auto"/>
              <w:right w:val="nil"/>
            </w:tcBorders>
            <w:shd w:val="clear" w:color="auto" w:fill="auto"/>
            <w:vAlign w:val="center"/>
            <w:hideMark/>
          </w:tcPr>
          <w:p w14:paraId="77725D2F" w14:textId="58C8B05A" w:rsidR="005F0CC5" w:rsidRPr="003A115E" w:rsidRDefault="005F0CC5" w:rsidP="00540533">
            <w:pPr>
              <w:pStyle w:val="cuatexto"/>
              <w:jc w:val="right"/>
            </w:pPr>
            <w:r>
              <w:t>15,89</w:t>
            </w:r>
          </w:p>
        </w:tc>
        <w:tc>
          <w:tcPr>
            <w:tcW w:w="564" w:type="pct"/>
            <w:tcBorders>
              <w:top w:val="single" w:sz="2" w:space="0" w:color="auto"/>
              <w:left w:val="nil"/>
              <w:bottom w:val="single" w:sz="2" w:space="0" w:color="auto"/>
              <w:right w:val="nil"/>
            </w:tcBorders>
            <w:shd w:val="clear" w:color="auto" w:fill="auto"/>
            <w:vAlign w:val="center"/>
            <w:hideMark/>
          </w:tcPr>
          <w:p w14:paraId="796DD6BF" w14:textId="0B85CC9E" w:rsidR="005F0CC5" w:rsidRPr="003A115E" w:rsidRDefault="005F0CC5" w:rsidP="00540533">
            <w:pPr>
              <w:pStyle w:val="cuatexto"/>
              <w:jc w:val="right"/>
            </w:pPr>
            <w:r>
              <w:t>15,14</w:t>
            </w:r>
          </w:p>
        </w:tc>
        <w:tc>
          <w:tcPr>
            <w:tcW w:w="785" w:type="pct"/>
            <w:tcBorders>
              <w:top w:val="single" w:sz="2" w:space="0" w:color="auto"/>
              <w:left w:val="nil"/>
              <w:bottom w:val="single" w:sz="2" w:space="0" w:color="auto"/>
              <w:right w:val="nil"/>
            </w:tcBorders>
            <w:shd w:val="clear" w:color="auto" w:fill="auto"/>
            <w:vAlign w:val="center"/>
            <w:hideMark/>
          </w:tcPr>
          <w:p w14:paraId="05D45533" w14:textId="270787D1" w:rsidR="005F0CC5" w:rsidRPr="003A115E" w:rsidRDefault="005F0CC5" w:rsidP="00540533">
            <w:pPr>
              <w:pStyle w:val="cuatexto"/>
              <w:jc w:val="right"/>
            </w:pPr>
            <w:r>
              <w:t>-0,75</w:t>
            </w:r>
          </w:p>
        </w:tc>
        <w:tc>
          <w:tcPr>
            <w:tcW w:w="675" w:type="pct"/>
            <w:tcBorders>
              <w:top w:val="single" w:sz="2" w:space="0" w:color="auto"/>
              <w:left w:val="nil"/>
              <w:bottom w:val="single" w:sz="2" w:space="0" w:color="auto"/>
              <w:right w:val="nil"/>
            </w:tcBorders>
            <w:shd w:val="clear" w:color="auto" w:fill="auto"/>
            <w:vAlign w:val="center"/>
            <w:hideMark/>
          </w:tcPr>
          <w:p w14:paraId="3DD54A16" w14:textId="66F21C2A" w:rsidR="005F0CC5" w:rsidRPr="003A115E" w:rsidRDefault="005F0CC5" w:rsidP="00540533">
            <w:pPr>
              <w:pStyle w:val="cuatexto"/>
              <w:jc w:val="right"/>
            </w:pPr>
            <w:r>
              <w:t>-5</w:t>
            </w:r>
          </w:p>
        </w:tc>
      </w:tr>
      <w:tr w:rsidR="000A742F" w:rsidRPr="003A115E" w14:paraId="3C7B2BF5"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10C95ABC" w14:textId="77777777" w:rsidR="005F0CC5" w:rsidRPr="003A115E" w:rsidRDefault="005F0CC5" w:rsidP="0186A00D">
            <w:pPr>
              <w:pStyle w:val="cuatexto"/>
            </w:pPr>
            <w:r>
              <w:t>45. Azpiegiturak</w:t>
            </w:r>
          </w:p>
        </w:tc>
        <w:tc>
          <w:tcPr>
            <w:tcW w:w="885" w:type="pct"/>
            <w:tcBorders>
              <w:top w:val="single" w:sz="2" w:space="0" w:color="auto"/>
              <w:left w:val="nil"/>
              <w:bottom w:val="single" w:sz="2" w:space="0" w:color="auto"/>
              <w:right w:val="nil"/>
            </w:tcBorders>
            <w:shd w:val="clear" w:color="auto" w:fill="auto"/>
            <w:vAlign w:val="center"/>
            <w:hideMark/>
          </w:tcPr>
          <w:p w14:paraId="17AA8EDA" w14:textId="41076994" w:rsidR="005F0CC5" w:rsidRPr="003A115E" w:rsidRDefault="005F0CC5" w:rsidP="00540533">
            <w:pPr>
              <w:pStyle w:val="cuatexto"/>
              <w:jc w:val="right"/>
            </w:pPr>
            <w:r>
              <w:t>7,85</w:t>
            </w:r>
          </w:p>
        </w:tc>
        <w:tc>
          <w:tcPr>
            <w:tcW w:w="564" w:type="pct"/>
            <w:tcBorders>
              <w:top w:val="single" w:sz="2" w:space="0" w:color="auto"/>
              <w:left w:val="nil"/>
              <w:bottom w:val="single" w:sz="2" w:space="0" w:color="auto"/>
              <w:right w:val="nil"/>
            </w:tcBorders>
            <w:shd w:val="clear" w:color="auto" w:fill="auto"/>
            <w:vAlign w:val="center"/>
            <w:hideMark/>
          </w:tcPr>
          <w:p w14:paraId="05370FA6" w14:textId="0996F877" w:rsidR="005F0CC5" w:rsidRPr="003A115E" w:rsidRDefault="005F0CC5" w:rsidP="00540533">
            <w:pPr>
              <w:pStyle w:val="cuatexto"/>
              <w:jc w:val="right"/>
            </w:pPr>
            <w:r>
              <w:t>14,10</w:t>
            </w:r>
          </w:p>
        </w:tc>
        <w:tc>
          <w:tcPr>
            <w:tcW w:w="785" w:type="pct"/>
            <w:tcBorders>
              <w:top w:val="single" w:sz="2" w:space="0" w:color="auto"/>
              <w:left w:val="nil"/>
              <w:bottom w:val="single" w:sz="2" w:space="0" w:color="auto"/>
              <w:right w:val="nil"/>
            </w:tcBorders>
            <w:shd w:val="clear" w:color="auto" w:fill="auto"/>
            <w:vAlign w:val="center"/>
            <w:hideMark/>
          </w:tcPr>
          <w:p w14:paraId="2C600D9A" w14:textId="7FC6A473" w:rsidR="005F0CC5" w:rsidRPr="003A115E" w:rsidRDefault="005F0CC5" w:rsidP="00540533">
            <w:pPr>
              <w:pStyle w:val="cuatexto"/>
              <w:jc w:val="right"/>
            </w:pPr>
            <w:r>
              <w:t>6,25</w:t>
            </w:r>
          </w:p>
        </w:tc>
        <w:tc>
          <w:tcPr>
            <w:tcW w:w="675" w:type="pct"/>
            <w:tcBorders>
              <w:top w:val="single" w:sz="2" w:space="0" w:color="auto"/>
              <w:left w:val="nil"/>
              <w:bottom w:val="single" w:sz="2" w:space="0" w:color="auto"/>
              <w:right w:val="nil"/>
            </w:tcBorders>
            <w:shd w:val="clear" w:color="auto" w:fill="auto"/>
            <w:vAlign w:val="center"/>
            <w:hideMark/>
          </w:tcPr>
          <w:p w14:paraId="7BF68C8E" w14:textId="029FCAF7" w:rsidR="005F0CC5" w:rsidRPr="003A115E" w:rsidRDefault="005F0CC5" w:rsidP="00540533">
            <w:pPr>
              <w:pStyle w:val="cuatexto"/>
              <w:jc w:val="right"/>
            </w:pPr>
            <w:r>
              <w:t>80</w:t>
            </w:r>
          </w:p>
        </w:tc>
      </w:tr>
      <w:tr w:rsidR="000A742F" w:rsidRPr="003A115E" w14:paraId="18B577D0"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C521FF5" w14:textId="500C0FE6" w:rsidR="005F0CC5" w:rsidRPr="003A115E" w:rsidRDefault="009571C9" w:rsidP="00540533">
            <w:pPr>
              <w:pStyle w:val="cuatexto"/>
            </w:pPr>
            <w:r>
              <w:t>43 Merkataritza, turismoa eta ETEak</w:t>
            </w:r>
          </w:p>
        </w:tc>
        <w:tc>
          <w:tcPr>
            <w:tcW w:w="885" w:type="pct"/>
            <w:tcBorders>
              <w:top w:val="single" w:sz="2" w:space="0" w:color="auto"/>
              <w:left w:val="nil"/>
              <w:bottom w:val="single" w:sz="2" w:space="0" w:color="auto"/>
              <w:right w:val="nil"/>
            </w:tcBorders>
            <w:shd w:val="clear" w:color="auto" w:fill="auto"/>
            <w:vAlign w:val="center"/>
            <w:hideMark/>
          </w:tcPr>
          <w:p w14:paraId="55A0DE8F" w14:textId="18B27147" w:rsidR="005F0CC5" w:rsidRPr="003A115E" w:rsidRDefault="005F0CC5" w:rsidP="00540533">
            <w:pPr>
              <w:pStyle w:val="cuatexto"/>
              <w:jc w:val="right"/>
            </w:pPr>
            <w:r>
              <w:t>0,61</w:t>
            </w:r>
          </w:p>
        </w:tc>
        <w:tc>
          <w:tcPr>
            <w:tcW w:w="564" w:type="pct"/>
            <w:tcBorders>
              <w:top w:val="single" w:sz="2" w:space="0" w:color="auto"/>
              <w:left w:val="nil"/>
              <w:bottom w:val="single" w:sz="2" w:space="0" w:color="auto"/>
              <w:right w:val="nil"/>
            </w:tcBorders>
            <w:shd w:val="clear" w:color="auto" w:fill="auto"/>
            <w:vAlign w:val="center"/>
            <w:hideMark/>
          </w:tcPr>
          <w:p w14:paraId="1786E4A6" w14:textId="5DB53230" w:rsidR="005F0CC5" w:rsidRPr="003A115E" w:rsidRDefault="005F0CC5" w:rsidP="00540533">
            <w:pPr>
              <w:pStyle w:val="cuatexto"/>
              <w:jc w:val="right"/>
            </w:pPr>
            <w:r>
              <w:t>11,25</w:t>
            </w:r>
          </w:p>
        </w:tc>
        <w:tc>
          <w:tcPr>
            <w:tcW w:w="785" w:type="pct"/>
            <w:tcBorders>
              <w:top w:val="single" w:sz="2" w:space="0" w:color="auto"/>
              <w:left w:val="nil"/>
              <w:bottom w:val="single" w:sz="2" w:space="0" w:color="auto"/>
              <w:right w:val="nil"/>
            </w:tcBorders>
            <w:shd w:val="clear" w:color="auto" w:fill="auto"/>
            <w:vAlign w:val="center"/>
            <w:hideMark/>
          </w:tcPr>
          <w:p w14:paraId="2CFE7FD5" w14:textId="0B534E15" w:rsidR="005F0CC5" w:rsidRPr="003A115E" w:rsidRDefault="005F0CC5" w:rsidP="00540533">
            <w:pPr>
              <w:pStyle w:val="cuatexto"/>
              <w:jc w:val="right"/>
            </w:pPr>
            <w:r>
              <w:t>10,63</w:t>
            </w:r>
          </w:p>
        </w:tc>
        <w:tc>
          <w:tcPr>
            <w:tcW w:w="675" w:type="pct"/>
            <w:tcBorders>
              <w:top w:val="single" w:sz="2" w:space="0" w:color="auto"/>
              <w:left w:val="nil"/>
              <w:bottom w:val="single" w:sz="2" w:space="0" w:color="auto"/>
              <w:right w:val="nil"/>
            </w:tcBorders>
            <w:shd w:val="clear" w:color="auto" w:fill="auto"/>
            <w:vAlign w:val="center"/>
            <w:hideMark/>
          </w:tcPr>
          <w:p w14:paraId="3A7AEBD1" w14:textId="15E72BA9" w:rsidR="005F0CC5" w:rsidRPr="003A115E" w:rsidRDefault="005F0CC5" w:rsidP="00540533">
            <w:pPr>
              <w:pStyle w:val="cuatexto"/>
              <w:jc w:val="right"/>
            </w:pPr>
            <w:r>
              <w:t>1.741</w:t>
            </w:r>
          </w:p>
        </w:tc>
      </w:tr>
      <w:tr w:rsidR="000A742F" w:rsidRPr="003A115E" w14:paraId="3AA4AE0D"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04C21399" w14:textId="77777777" w:rsidR="005F0CC5" w:rsidRPr="003A115E" w:rsidRDefault="005F0CC5" w:rsidP="0186A00D">
            <w:pPr>
              <w:pStyle w:val="cuatexto"/>
            </w:pPr>
            <w:r>
              <w:t>33. Kultura</w:t>
            </w:r>
          </w:p>
        </w:tc>
        <w:tc>
          <w:tcPr>
            <w:tcW w:w="885" w:type="pct"/>
            <w:tcBorders>
              <w:top w:val="single" w:sz="2" w:space="0" w:color="auto"/>
              <w:left w:val="nil"/>
              <w:bottom w:val="single" w:sz="2" w:space="0" w:color="auto"/>
              <w:right w:val="nil"/>
            </w:tcBorders>
            <w:shd w:val="clear" w:color="auto" w:fill="auto"/>
            <w:vAlign w:val="center"/>
            <w:hideMark/>
          </w:tcPr>
          <w:p w14:paraId="24768E6E" w14:textId="119D711B" w:rsidR="005F0CC5" w:rsidRPr="003A115E" w:rsidRDefault="005F0CC5" w:rsidP="00540533">
            <w:pPr>
              <w:pStyle w:val="cuatexto"/>
              <w:jc w:val="right"/>
            </w:pPr>
            <w:r>
              <w:t>6,62</w:t>
            </w:r>
          </w:p>
        </w:tc>
        <w:tc>
          <w:tcPr>
            <w:tcW w:w="564" w:type="pct"/>
            <w:tcBorders>
              <w:top w:val="single" w:sz="2" w:space="0" w:color="auto"/>
              <w:left w:val="nil"/>
              <w:bottom w:val="single" w:sz="2" w:space="0" w:color="auto"/>
              <w:right w:val="nil"/>
            </w:tcBorders>
            <w:shd w:val="clear" w:color="auto" w:fill="auto"/>
            <w:vAlign w:val="center"/>
            <w:hideMark/>
          </w:tcPr>
          <w:p w14:paraId="7342CE20" w14:textId="4DFEEDC4" w:rsidR="005F0CC5" w:rsidRPr="003A115E" w:rsidRDefault="005F0CC5" w:rsidP="00540533">
            <w:pPr>
              <w:pStyle w:val="cuatexto"/>
              <w:jc w:val="right"/>
            </w:pPr>
            <w:r>
              <w:t>7,67</w:t>
            </w:r>
          </w:p>
        </w:tc>
        <w:tc>
          <w:tcPr>
            <w:tcW w:w="785" w:type="pct"/>
            <w:tcBorders>
              <w:top w:val="single" w:sz="2" w:space="0" w:color="auto"/>
              <w:left w:val="nil"/>
              <w:bottom w:val="single" w:sz="2" w:space="0" w:color="auto"/>
              <w:right w:val="nil"/>
            </w:tcBorders>
            <w:shd w:val="clear" w:color="auto" w:fill="auto"/>
            <w:vAlign w:val="center"/>
            <w:hideMark/>
          </w:tcPr>
          <w:p w14:paraId="64EA9C5B" w14:textId="47F45F4E" w:rsidR="005F0CC5" w:rsidRPr="003A115E" w:rsidRDefault="005F0CC5" w:rsidP="00540533">
            <w:pPr>
              <w:pStyle w:val="cuatexto"/>
              <w:jc w:val="right"/>
            </w:pPr>
            <w:r>
              <w:t>1,05</w:t>
            </w:r>
          </w:p>
        </w:tc>
        <w:tc>
          <w:tcPr>
            <w:tcW w:w="675" w:type="pct"/>
            <w:tcBorders>
              <w:top w:val="single" w:sz="2" w:space="0" w:color="auto"/>
              <w:left w:val="nil"/>
              <w:bottom w:val="single" w:sz="2" w:space="0" w:color="auto"/>
              <w:right w:val="nil"/>
            </w:tcBorders>
            <w:shd w:val="clear" w:color="auto" w:fill="auto"/>
            <w:vAlign w:val="center"/>
            <w:hideMark/>
          </w:tcPr>
          <w:p w14:paraId="177D3D48" w14:textId="04F90AC8" w:rsidR="005F0CC5" w:rsidRPr="003A115E" w:rsidRDefault="005F0CC5" w:rsidP="00540533">
            <w:pPr>
              <w:pStyle w:val="cuatexto"/>
              <w:jc w:val="right"/>
            </w:pPr>
            <w:r>
              <w:t>16</w:t>
            </w:r>
          </w:p>
        </w:tc>
      </w:tr>
      <w:tr w:rsidR="000A742F" w:rsidRPr="003A115E" w14:paraId="707B3D5B" w14:textId="77777777" w:rsidTr="00CC28BD">
        <w:trPr>
          <w:trHeight w:val="198"/>
        </w:trPr>
        <w:tc>
          <w:tcPr>
            <w:tcW w:w="2091" w:type="pct"/>
            <w:tcBorders>
              <w:top w:val="single" w:sz="2" w:space="0" w:color="auto"/>
              <w:left w:val="nil"/>
              <w:bottom w:val="single" w:sz="4" w:space="0" w:color="auto"/>
              <w:right w:val="nil"/>
            </w:tcBorders>
            <w:shd w:val="clear" w:color="auto" w:fill="auto"/>
            <w:vAlign w:val="center"/>
            <w:hideMark/>
          </w:tcPr>
          <w:p w14:paraId="5AB5F9B8" w14:textId="611F4D28" w:rsidR="005F0CC5" w:rsidRPr="003A115E" w:rsidRDefault="005F0CC5" w:rsidP="00540533">
            <w:pPr>
              <w:pStyle w:val="cuatexto"/>
            </w:pPr>
            <w:r>
              <w:t>Gainerakoak</w:t>
            </w:r>
          </w:p>
        </w:tc>
        <w:tc>
          <w:tcPr>
            <w:tcW w:w="885" w:type="pct"/>
            <w:tcBorders>
              <w:top w:val="single" w:sz="2" w:space="0" w:color="auto"/>
              <w:left w:val="nil"/>
              <w:bottom w:val="single" w:sz="4" w:space="0" w:color="auto"/>
              <w:right w:val="nil"/>
            </w:tcBorders>
            <w:shd w:val="clear" w:color="auto" w:fill="auto"/>
            <w:vAlign w:val="center"/>
            <w:hideMark/>
          </w:tcPr>
          <w:p w14:paraId="1239EF3F" w14:textId="0FE29EFE" w:rsidR="005F0CC5" w:rsidRPr="003A115E" w:rsidRDefault="005F0CC5" w:rsidP="00540533">
            <w:pPr>
              <w:pStyle w:val="cuatexto"/>
              <w:jc w:val="right"/>
            </w:pPr>
            <w:r>
              <w:t>12,66</w:t>
            </w:r>
          </w:p>
        </w:tc>
        <w:tc>
          <w:tcPr>
            <w:tcW w:w="564" w:type="pct"/>
            <w:tcBorders>
              <w:top w:val="single" w:sz="2" w:space="0" w:color="auto"/>
              <w:left w:val="nil"/>
              <w:bottom w:val="single" w:sz="4" w:space="0" w:color="auto"/>
              <w:right w:val="nil"/>
            </w:tcBorders>
            <w:shd w:val="clear" w:color="auto" w:fill="auto"/>
            <w:vAlign w:val="center"/>
            <w:hideMark/>
          </w:tcPr>
          <w:p w14:paraId="539C10D6" w14:textId="3267D6A9" w:rsidR="005F0CC5" w:rsidRPr="003A115E" w:rsidRDefault="005F0CC5" w:rsidP="00540533">
            <w:pPr>
              <w:pStyle w:val="cuatexto"/>
              <w:jc w:val="right"/>
            </w:pPr>
            <w:r>
              <w:t>16,68</w:t>
            </w:r>
          </w:p>
        </w:tc>
        <w:tc>
          <w:tcPr>
            <w:tcW w:w="785" w:type="pct"/>
            <w:tcBorders>
              <w:top w:val="single" w:sz="2" w:space="0" w:color="auto"/>
              <w:left w:val="nil"/>
              <w:bottom w:val="single" w:sz="4" w:space="0" w:color="auto"/>
              <w:right w:val="nil"/>
            </w:tcBorders>
            <w:shd w:val="clear" w:color="auto" w:fill="auto"/>
            <w:vAlign w:val="center"/>
            <w:hideMark/>
          </w:tcPr>
          <w:p w14:paraId="253ED07D" w14:textId="54A2DCB2" w:rsidR="005F0CC5" w:rsidRPr="003A115E" w:rsidRDefault="005F0CC5" w:rsidP="00540533">
            <w:pPr>
              <w:pStyle w:val="cuatexto"/>
              <w:jc w:val="right"/>
            </w:pPr>
            <w:r>
              <w:t>4,03</w:t>
            </w:r>
          </w:p>
        </w:tc>
        <w:tc>
          <w:tcPr>
            <w:tcW w:w="675" w:type="pct"/>
            <w:tcBorders>
              <w:top w:val="single" w:sz="2" w:space="0" w:color="auto"/>
              <w:left w:val="nil"/>
              <w:bottom w:val="single" w:sz="4" w:space="0" w:color="auto"/>
              <w:right w:val="nil"/>
            </w:tcBorders>
            <w:shd w:val="clear" w:color="auto" w:fill="auto"/>
            <w:vAlign w:val="center"/>
            <w:hideMark/>
          </w:tcPr>
          <w:p w14:paraId="75D110B7" w14:textId="06F98790" w:rsidR="005F0CC5" w:rsidRPr="003A115E" w:rsidRDefault="005F0CC5" w:rsidP="00540533">
            <w:pPr>
              <w:pStyle w:val="cuatexto"/>
              <w:jc w:val="right"/>
            </w:pPr>
            <w:r>
              <w:t>32</w:t>
            </w:r>
          </w:p>
        </w:tc>
      </w:tr>
      <w:tr w:rsidR="000A742F" w:rsidRPr="003A115E" w14:paraId="1E70BE19" w14:textId="77777777" w:rsidTr="005F3A0D">
        <w:trPr>
          <w:trHeight w:val="57"/>
        </w:trPr>
        <w:tc>
          <w:tcPr>
            <w:tcW w:w="2091" w:type="pct"/>
            <w:tcBorders>
              <w:top w:val="single" w:sz="4" w:space="0" w:color="auto"/>
              <w:left w:val="nil"/>
              <w:bottom w:val="single" w:sz="4" w:space="0" w:color="auto"/>
              <w:right w:val="nil"/>
            </w:tcBorders>
            <w:shd w:val="clear" w:color="auto" w:fill="FABF8F" w:themeFill="accent6" w:themeFillTint="99"/>
            <w:vAlign w:val="center"/>
            <w:hideMark/>
          </w:tcPr>
          <w:p w14:paraId="42EDB615" w14:textId="77777777" w:rsidR="005F0CC5" w:rsidRPr="003A115E" w:rsidRDefault="005F0CC5" w:rsidP="00540533">
            <w:pPr>
              <w:pStyle w:val="cuadroCabe"/>
            </w:pPr>
            <w:r>
              <w:t>Guztira</w:t>
            </w:r>
          </w:p>
        </w:tc>
        <w:tc>
          <w:tcPr>
            <w:tcW w:w="885" w:type="pct"/>
            <w:tcBorders>
              <w:top w:val="single" w:sz="4" w:space="0" w:color="auto"/>
              <w:left w:val="nil"/>
              <w:bottom w:val="single" w:sz="4" w:space="0" w:color="auto"/>
              <w:right w:val="nil"/>
            </w:tcBorders>
            <w:shd w:val="clear" w:color="auto" w:fill="FABF8F" w:themeFill="accent6" w:themeFillTint="99"/>
            <w:vAlign w:val="center"/>
            <w:hideMark/>
          </w:tcPr>
          <w:p w14:paraId="346F1E5E" w14:textId="77C1EC6F" w:rsidR="005F0CC5" w:rsidRPr="003A115E" w:rsidRDefault="005F0CC5" w:rsidP="00540533">
            <w:pPr>
              <w:pStyle w:val="cuadroCabe"/>
              <w:jc w:val="right"/>
            </w:pPr>
            <w:r>
              <w:t>370,35</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25ECD4B7" w14:textId="1E3917C8" w:rsidR="005F0CC5" w:rsidRPr="003A115E" w:rsidRDefault="005F0CC5" w:rsidP="00540533">
            <w:pPr>
              <w:pStyle w:val="cuadroCabe"/>
              <w:jc w:val="right"/>
            </w:pPr>
            <w:r>
              <w:t>452,50</w:t>
            </w:r>
          </w:p>
        </w:tc>
        <w:tc>
          <w:tcPr>
            <w:tcW w:w="785" w:type="pct"/>
            <w:tcBorders>
              <w:top w:val="single" w:sz="4" w:space="0" w:color="auto"/>
              <w:left w:val="nil"/>
              <w:bottom w:val="single" w:sz="4" w:space="0" w:color="auto"/>
              <w:right w:val="nil"/>
            </w:tcBorders>
            <w:shd w:val="clear" w:color="auto" w:fill="FABF8F" w:themeFill="accent6" w:themeFillTint="99"/>
            <w:vAlign w:val="center"/>
            <w:hideMark/>
          </w:tcPr>
          <w:p w14:paraId="09A93EC9" w14:textId="0F520304" w:rsidR="005F0CC5" w:rsidRPr="003A115E" w:rsidRDefault="005F0CC5" w:rsidP="00540533">
            <w:pPr>
              <w:pStyle w:val="cuadroCabe"/>
              <w:jc w:val="right"/>
            </w:pPr>
            <w:r>
              <w:t>82,15</w:t>
            </w:r>
          </w:p>
        </w:tc>
        <w:tc>
          <w:tcPr>
            <w:tcW w:w="675" w:type="pct"/>
            <w:tcBorders>
              <w:top w:val="single" w:sz="4" w:space="0" w:color="auto"/>
              <w:left w:val="nil"/>
              <w:bottom w:val="single" w:sz="4" w:space="0" w:color="auto"/>
              <w:right w:val="nil"/>
            </w:tcBorders>
            <w:shd w:val="clear" w:color="auto" w:fill="FABF8F" w:themeFill="accent6" w:themeFillTint="99"/>
            <w:vAlign w:val="center"/>
            <w:hideMark/>
          </w:tcPr>
          <w:p w14:paraId="3CDA5161" w14:textId="584A5C23" w:rsidR="005F0CC5" w:rsidRPr="003A115E" w:rsidRDefault="005F0CC5" w:rsidP="00540533">
            <w:pPr>
              <w:pStyle w:val="cuadroCabe"/>
              <w:jc w:val="right"/>
            </w:pPr>
            <w:r>
              <w:t>22</w:t>
            </w:r>
          </w:p>
        </w:tc>
      </w:tr>
    </w:tbl>
    <w:p w14:paraId="40946CCF" w14:textId="16A5A570" w:rsidR="0027211B" w:rsidRDefault="002444FA" w:rsidP="0027211B">
      <w:pPr>
        <w:pStyle w:val="texto"/>
        <w:spacing w:before="240" w:after="0"/>
      </w:pPr>
      <w:r>
        <w:t>Transferentzien ehuneko 65 (292,18 milioi) “Transferentziak beste administrazio batzuei” politikari dagozkio. Horrek barne hartzen ditu toki-ogasunek Nafarroako tributuetan parte hartzeko duten funtsaren transferentzia arruntak.</w:t>
      </w:r>
    </w:p>
    <w:p w14:paraId="6BC87C85" w14:textId="77777777" w:rsidR="0027211B" w:rsidRDefault="0027211B">
      <w:pPr>
        <w:rPr>
          <w:spacing w:val="6"/>
          <w:sz w:val="26"/>
        </w:rPr>
      </w:pPr>
      <w:r>
        <w:br w:type="page"/>
      </w:r>
    </w:p>
    <w:p w14:paraId="3AFC60E5" w14:textId="65DEA1C9" w:rsidR="002A4BE9" w:rsidRPr="003A115E" w:rsidRDefault="000C1EAB" w:rsidP="000922AD">
      <w:pPr>
        <w:pStyle w:val="atitulo2"/>
        <w:spacing w:before="240"/>
        <w:rPr>
          <w:color w:val="auto"/>
        </w:rPr>
      </w:pPr>
      <w:bookmarkStart w:id="66" w:name="_Toc465686689"/>
      <w:bookmarkStart w:id="67" w:name="_Toc529773883"/>
      <w:bookmarkStart w:id="68" w:name="_Toc24100144"/>
      <w:bookmarkStart w:id="69" w:name="_Toc52348292"/>
      <w:bookmarkStart w:id="70" w:name="_Toc123547408"/>
      <w:bookmarkStart w:id="71" w:name="_Toc188511787"/>
      <w:r>
        <w:rPr>
          <w:color w:val="auto"/>
        </w:rPr>
        <w:lastRenderedPageBreak/>
        <w:t>VI.2 Gastuak</w:t>
      </w:r>
      <w:bookmarkEnd w:id="66"/>
      <w:bookmarkEnd w:id="67"/>
      <w:bookmarkEnd w:id="68"/>
      <w:bookmarkEnd w:id="69"/>
      <w:bookmarkEnd w:id="70"/>
      <w:bookmarkEnd w:id="71"/>
      <w:r>
        <w:rPr>
          <w:color w:val="auto"/>
        </w:rPr>
        <w:t xml:space="preserve"> </w:t>
      </w:r>
    </w:p>
    <w:p w14:paraId="6874F433" w14:textId="29155EB4" w:rsidR="004D3E9C" w:rsidRPr="003A115E" w:rsidRDefault="004D3E9C" w:rsidP="00CC28BD">
      <w:pPr>
        <w:pStyle w:val="texto"/>
        <w:spacing w:after="240"/>
      </w:pPr>
      <w:r>
        <w:t xml:space="preserve">Jarraian, toki-entitateen, haien erakunde autonomoen eta SCPSA sozietatearen 2022ko gastu-aurrekontuaren exekuzioaren laburpen bat ematen da: </w:t>
      </w:r>
    </w:p>
    <w:p w14:paraId="69C94581" w14:textId="4A97852D" w:rsidR="004D3E9C" w:rsidRPr="003A115E" w:rsidRDefault="001D196E" w:rsidP="004D3E9C">
      <w:pPr>
        <w:pStyle w:val="texto"/>
        <w:spacing w:after="0"/>
        <w:jc w:val="right"/>
        <w:rPr>
          <w:rFonts w:ascii="Arial Narrow" w:hAnsi="Arial Narrow"/>
          <w:sz w:val="18"/>
          <w:szCs w:val="18"/>
        </w:rPr>
      </w:pPr>
      <w:r>
        <w:rPr>
          <w:rFonts w:ascii="Arial Narrow" w:hAnsi="Arial Narrow"/>
          <w:sz w:val="18"/>
        </w:rPr>
        <w:t>(milioiak)</w:t>
      </w:r>
    </w:p>
    <w:tbl>
      <w:tblPr>
        <w:tblW w:w="5040" w:type="pct"/>
        <w:tblCellMar>
          <w:left w:w="70" w:type="dxa"/>
          <w:right w:w="70" w:type="dxa"/>
        </w:tblCellMar>
        <w:tblLook w:val="04A0" w:firstRow="1" w:lastRow="0" w:firstColumn="1" w:lastColumn="0" w:noHBand="0" w:noVBand="1"/>
      </w:tblPr>
      <w:tblGrid>
        <w:gridCol w:w="2245"/>
        <w:gridCol w:w="1017"/>
        <w:gridCol w:w="985"/>
        <w:gridCol w:w="1001"/>
        <w:gridCol w:w="709"/>
        <w:gridCol w:w="992"/>
        <w:gridCol w:w="1059"/>
        <w:gridCol w:w="850"/>
      </w:tblGrid>
      <w:tr w:rsidR="005F3A0D" w:rsidRPr="003A115E" w14:paraId="39861C84" w14:textId="77777777" w:rsidTr="00AC6594">
        <w:trPr>
          <w:trHeight w:val="255"/>
        </w:trPr>
        <w:tc>
          <w:tcPr>
            <w:tcW w:w="1268"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6B6AA959" w14:textId="77777777" w:rsidR="00327C65" w:rsidRPr="00180CF4" w:rsidRDefault="00327C65" w:rsidP="00540533">
            <w:pPr>
              <w:pStyle w:val="cuadroCabe"/>
              <w:rPr>
                <w:sz w:val="17"/>
                <w:szCs w:val="17"/>
              </w:rPr>
            </w:pPr>
            <w:r>
              <w:rPr>
                <w:sz w:val="17"/>
              </w:rPr>
              <w:t>Kapitulua</w:t>
            </w:r>
          </w:p>
        </w:tc>
        <w:tc>
          <w:tcPr>
            <w:tcW w:w="574"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75EFBBC2" w14:textId="77777777" w:rsidR="00327C65" w:rsidRPr="00180CF4" w:rsidRDefault="00327C65" w:rsidP="00540533">
            <w:pPr>
              <w:pStyle w:val="cuadroCabe"/>
              <w:jc w:val="right"/>
              <w:rPr>
                <w:sz w:val="17"/>
                <w:szCs w:val="17"/>
              </w:rPr>
            </w:pPr>
            <w:r>
              <w:rPr>
                <w:sz w:val="17"/>
              </w:rPr>
              <w:t>Behin betiko kredituak</w:t>
            </w:r>
          </w:p>
        </w:tc>
        <w:tc>
          <w:tcPr>
            <w:tcW w:w="556"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0902E835" w14:textId="77777777" w:rsidR="00327C65" w:rsidRPr="00180CF4" w:rsidRDefault="00327C65" w:rsidP="00540533">
            <w:pPr>
              <w:pStyle w:val="cuadroCabe"/>
              <w:jc w:val="right"/>
              <w:rPr>
                <w:sz w:val="17"/>
                <w:szCs w:val="17"/>
              </w:rPr>
            </w:pPr>
            <w:r>
              <w:rPr>
                <w:sz w:val="17"/>
              </w:rPr>
              <w:t>Aitortutako betebehar garbiak (ABG), 2022</w:t>
            </w:r>
          </w:p>
        </w:tc>
        <w:tc>
          <w:tcPr>
            <w:tcW w:w="565"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4F92EDEE" w14:textId="77777777" w:rsidR="00327C65" w:rsidRPr="00180CF4" w:rsidRDefault="00327C65" w:rsidP="00540533">
            <w:pPr>
              <w:pStyle w:val="cuadroCabe"/>
              <w:jc w:val="right"/>
              <w:rPr>
                <w:sz w:val="17"/>
                <w:szCs w:val="17"/>
              </w:rPr>
            </w:pPr>
            <w:r>
              <w:rPr>
                <w:sz w:val="17"/>
              </w:rPr>
              <w:t>Gastu guztien gainean (%)</w:t>
            </w:r>
          </w:p>
        </w:tc>
        <w:tc>
          <w:tcPr>
            <w:tcW w:w="40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2BE9189" w14:textId="77777777" w:rsidR="00327C65" w:rsidRPr="00180CF4" w:rsidRDefault="00327C65" w:rsidP="00540533">
            <w:pPr>
              <w:pStyle w:val="cuadroCabe"/>
              <w:jc w:val="right"/>
              <w:rPr>
                <w:sz w:val="17"/>
                <w:szCs w:val="17"/>
              </w:rPr>
            </w:pPr>
            <w:r>
              <w:rPr>
                <w:sz w:val="17"/>
              </w:rPr>
              <w:t>Exekuzioaren %</w:t>
            </w:r>
          </w:p>
        </w:tc>
        <w:tc>
          <w:tcPr>
            <w:tcW w:w="56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73E218F2" w14:textId="77777777" w:rsidR="00327C65" w:rsidRPr="00180CF4" w:rsidRDefault="00327C65" w:rsidP="00540533">
            <w:pPr>
              <w:pStyle w:val="cuadroCabe"/>
              <w:jc w:val="right"/>
              <w:rPr>
                <w:sz w:val="17"/>
                <w:szCs w:val="17"/>
              </w:rPr>
            </w:pPr>
            <w:r>
              <w:rPr>
                <w:sz w:val="17"/>
              </w:rPr>
              <w:t>AEG 2022/21 ald.</w:t>
            </w:r>
          </w:p>
        </w:tc>
        <w:tc>
          <w:tcPr>
            <w:tcW w:w="598"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43E3F67F" w14:textId="77777777" w:rsidR="00327C65" w:rsidRPr="00180CF4" w:rsidRDefault="00327C65" w:rsidP="00540533">
            <w:pPr>
              <w:pStyle w:val="cuadroCabe"/>
              <w:jc w:val="right"/>
              <w:rPr>
                <w:sz w:val="17"/>
                <w:szCs w:val="17"/>
              </w:rPr>
            </w:pPr>
            <w:r>
              <w:rPr>
                <w:sz w:val="17"/>
              </w:rPr>
              <w:t>Aldearen %, 2022/21</w:t>
            </w:r>
          </w:p>
        </w:tc>
        <w:tc>
          <w:tcPr>
            <w:tcW w:w="480" w:type="pct"/>
            <w:tcBorders>
              <w:top w:val="single" w:sz="4" w:space="0" w:color="000000" w:themeColor="text1"/>
              <w:left w:val="single" w:sz="2" w:space="0" w:color="000000" w:themeColor="text1"/>
              <w:bottom w:val="single" w:sz="4" w:space="0" w:color="000000" w:themeColor="text1"/>
            </w:tcBorders>
            <w:shd w:val="clear" w:color="auto" w:fill="FABF8F" w:themeFill="accent6" w:themeFillTint="99"/>
            <w:vAlign w:val="center"/>
            <w:hideMark/>
          </w:tcPr>
          <w:p w14:paraId="03F718FC" w14:textId="77777777" w:rsidR="00327C65" w:rsidRPr="00180CF4" w:rsidRDefault="00327C65" w:rsidP="00540533">
            <w:pPr>
              <w:pStyle w:val="cuadroCabe"/>
              <w:jc w:val="right"/>
              <w:rPr>
                <w:sz w:val="17"/>
                <w:szCs w:val="17"/>
              </w:rPr>
            </w:pPr>
            <w:r>
              <w:rPr>
                <w:sz w:val="17"/>
              </w:rPr>
              <w:t>ABG, 2022 (*)</w:t>
            </w:r>
          </w:p>
        </w:tc>
      </w:tr>
      <w:tr w:rsidR="000A742F" w:rsidRPr="003A115E" w14:paraId="5ED17C00" w14:textId="77777777" w:rsidTr="00AC6594">
        <w:trPr>
          <w:trHeight w:val="198"/>
        </w:trPr>
        <w:tc>
          <w:tcPr>
            <w:tcW w:w="1268" w:type="pct"/>
            <w:tcBorders>
              <w:top w:val="single" w:sz="4" w:space="0" w:color="000000" w:themeColor="text1"/>
              <w:left w:val="nil"/>
              <w:bottom w:val="single" w:sz="2" w:space="0" w:color="000000" w:themeColor="text1"/>
            </w:tcBorders>
            <w:shd w:val="clear" w:color="auto" w:fill="auto"/>
            <w:vAlign w:val="center"/>
            <w:hideMark/>
          </w:tcPr>
          <w:p w14:paraId="6900CACB" w14:textId="77777777" w:rsidR="00327C65" w:rsidRPr="003A115E" w:rsidRDefault="00327C65" w:rsidP="00540533">
            <w:pPr>
              <w:pStyle w:val="cuatexto"/>
            </w:pPr>
            <w:r>
              <w:t>1 Langileria-gastuak</w:t>
            </w:r>
          </w:p>
        </w:tc>
        <w:tc>
          <w:tcPr>
            <w:tcW w:w="574" w:type="pct"/>
            <w:tcBorders>
              <w:top w:val="single" w:sz="4" w:space="0" w:color="000000" w:themeColor="text1"/>
              <w:bottom w:val="single" w:sz="2" w:space="0" w:color="000000" w:themeColor="text1"/>
              <w:right w:val="single" w:sz="2" w:space="0" w:color="000000" w:themeColor="text1"/>
            </w:tcBorders>
            <w:shd w:val="clear" w:color="auto" w:fill="auto"/>
            <w:vAlign w:val="center"/>
            <w:hideMark/>
          </w:tcPr>
          <w:p w14:paraId="5E70BB97" w14:textId="77777777" w:rsidR="00327C65" w:rsidRPr="003A115E" w:rsidRDefault="00327C65" w:rsidP="00540533">
            <w:pPr>
              <w:pStyle w:val="cuatexto"/>
              <w:jc w:val="right"/>
            </w:pPr>
            <w:r>
              <w:t>343,38</w:t>
            </w:r>
          </w:p>
        </w:tc>
        <w:tc>
          <w:tcPr>
            <w:tcW w:w="556"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5D974A3" w14:textId="77777777" w:rsidR="00327C65" w:rsidRPr="003A115E" w:rsidRDefault="00327C65" w:rsidP="00540533">
            <w:pPr>
              <w:pStyle w:val="cuatexto"/>
              <w:jc w:val="right"/>
            </w:pPr>
            <w:r>
              <w:t>333,14</w:t>
            </w:r>
          </w:p>
        </w:tc>
        <w:tc>
          <w:tcPr>
            <w:tcW w:w="565"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25C5075" w14:textId="77777777" w:rsidR="00327C65" w:rsidRPr="003A115E" w:rsidRDefault="00327C65" w:rsidP="00540533">
            <w:pPr>
              <w:pStyle w:val="cuatexto"/>
              <w:jc w:val="right"/>
            </w:pPr>
            <w:r>
              <w:t>34,5</w:t>
            </w:r>
          </w:p>
        </w:tc>
        <w:tc>
          <w:tcPr>
            <w:tcW w:w="400"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8757AB" w14:textId="77777777" w:rsidR="00327C65" w:rsidRPr="003A115E" w:rsidRDefault="00327C65" w:rsidP="00540533">
            <w:pPr>
              <w:pStyle w:val="cuatexto"/>
              <w:jc w:val="right"/>
            </w:pPr>
            <w:r>
              <w:t>97</w:t>
            </w:r>
          </w:p>
        </w:tc>
        <w:tc>
          <w:tcPr>
            <w:tcW w:w="560"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53B19AE" w14:textId="0C912CA8" w:rsidR="00327C65" w:rsidRPr="003A115E" w:rsidRDefault="00327C65" w:rsidP="00540533">
            <w:pPr>
              <w:pStyle w:val="cuatexto"/>
              <w:jc w:val="right"/>
            </w:pPr>
            <w:r>
              <w:t>16,09</w:t>
            </w:r>
          </w:p>
        </w:tc>
        <w:tc>
          <w:tcPr>
            <w:tcW w:w="598"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7550AE5" w14:textId="77777777" w:rsidR="00327C65" w:rsidRPr="003A115E" w:rsidRDefault="00327C65" w:rsidP="00540533">
            <w:pPr>
              <w:pStyle w:val="cuatexto"/>
              <w:jc w:val="right"/>
            </w:pPr>
            <w:r>
              <w:t>5</w:t>
            </w:r>
          </w:p>
        </w:tc>
        <w:tc>
          <w:tcPr>
            <w:tcW w:w="480" w:type="pct"/>
            <w:tcBorders>
              <w:top w:val="single" w:sz="4" w:space="0" w:color="000000" w:themeColor="text1"/>
              <w:left w:val="single" w:sz="2" w:space="0" w:color="000000" w:themeColor="text1"/>
              <w:bottom w:val="single" w:sz="2" w:space="0" w:color="000000" w:themeColor="text1"/>
            </w:tcBorders>
            <w:shd w:val="clear" w:color="auto" w:fill="auto"/>
            <w:vAlign w:val="center"/>
            <w:hideMark/>
          </w:tcPr>
          <w:p w14:paraId="365465C8" w14:textId="77777777" w:rsidR="00327C65" w:rsidRPr="003A115E" w:rsidRDefault="00327C65" w:rsidP="00540533">
            <w:pPr>
              <w:pStyle w:val="cuatexto"/>
              <w:jc w:val="right"/>
            </w:pPr>
            <w:r>
              <w:t>361,39</w:t>
            </w:r>
          </w:p>
        </w:tc>
      </w:tr>
      <w:tr w:rsidR="000A742F" w:rsidRPr="003A115E" w14:paraId="65262E14"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F5CF570" w14:textId="77777777" w:rsidR="00BE0B5A" w:rsidRDefault="00327C65" w:rsidP="00540533">
            <w:pPr>
              <w:pStyle w:val="cuatexto"/>
            </w:pPr>
            <w:r>
              <w:t xml:space="preserve">2   Gastuak ondasun arruntetan eta zerbitzuetan </w:t>
            </w:r>
          </w:p>
          <w:p w14:paraId="258EFDBE" w14:textId="2DE90476" w:rsidR="00327C65" w:rsidRPr="003A115E" w:rsidRDefault="00327C65" w:rsidP="00071899">
            <w:pPr>
              <w:pStyle w:val="cuatexto"/>
              <w:ind w:left="217"/>
            </w:pP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79A93185" w14:textId="77777777" w:rsidR="00327C65" w:rsidRPr="003A115E" w:rsidRDefault="00327C65" w:rsidP="00540533">
            <w:pPr>
              <w:pStyle w:val="cuatexto"/>
              <w:jc w:val="right"/>
            </w:pPr>
            <w:r>
              <w:t>367,49</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ADDB0CD" w14:textId="77777777" w:rsidR="00327C65" w:rsidRPr="003A115E" w:rsidRDefault="00327C65" w:rsidP="00540533">
            <w:pPr>
              <w:pStyle w:val="cuatexto"/>
              <w:jc w:val="right"/>
            </w:pPr>
            <w:r>
              <w:t>349,72</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5D4A17B" w14:textId="77777777" w:rsidR="00327C65" w:rsidRPr="003A115E" w:rsidRDefault="00327C65" w:rsidP="00540533">
            <w:pPr>
              <w:pStyle w:val="cuatexto"/>
              <w:jc w:val="right"/>
            </w:pPr>
            <w:r>
              <w:t>36,3</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943D302" w14:textId="77777777" w:rsidR="00327C65" w:rsidRPr="003A115E" w:rsidRDefault="00327C65" w:rsidP="00540533">
            <w:pPr>
              <w:pStyle w:val="cuatexto"/>
              <w:jc w:val="right"/>
            </w:pPr>
            <w:r>
              <w:t>95</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A02E013" w14:textId="77777777" w:rsidR="00327C65" w:rsidRPr="003A115E" w:rsidRDefault="00327C65" w:rsidP="00540533">
            <w:pPr>
              <w:pStyle w:val="cuatexto"/>
              <w:jc w:val="right"/>
            </w:pPr>
            <w:r>
              <w:t>58,96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B5B0567" w14:textId="77777777" w:rsidR="00327C65" w:rsidRPr="003A115E" w:rsidRDefault="00327C65" w:rsidP="00540533">
            <w:pPr>
              <w:pStyle w:val="cuatexto"/>
              <w:jc w:val="right"/>
            </w:pPr>
            <w:r>
              <w:t>20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7523454A" w14:textId="77777777" w:rsidR="00327C65" w:rsidRPr="003A115E" w:rsidRDefault="00327C65" w:rsidP="00540533">
            <w:pPr>
              <w:pStyle w:val="cuatexto"/>
              <w:jc w:val="right"/>
            </w:pPr>
            <w:r>
              <w:t>394,11</w:t>
            </w:r>
          </w:p>
        </w:tc>
      </w:tr>
      <w:tr w:rsidR="000A742F" w:rsidRPr="003A115E" w14:paraId="42FE3B0F"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04C29B66" w14:textId="77777777" w:rsidR="00327C65" w:rsidRPr="003A115E" w:rsidRDefault="00327C65" w:rsidP="00540533">
            <w:pPr>
              <w:pStyle w:val="cuatexto"/>
            </w:pPr>
            <w:r>
              <w:t>3 Gastu finantzarioak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38D03B46" w14:textId="77777777" w:rsidR="00327C65" w:rsidRPr="003A115E" w:rsidRDefault="00327C65" w:rsidP="00540533">
            <w:pPr>
              <w:pStyle w:val="cuatexto"/>
              <w:jc w:val="right"/>
            </w:pPr>
            <w:r>
              <w:t>1,32</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77EAE25" w14:textId="77777777" w:rsidR="00327C65" w:rsidRPr="003A115E" w:rsidRDefault="00327C65" w:rsidP="00540533">
            <w:pPr>
              <w:pStyle w:val="cuatexto"/>
              <w:jc w:val="right"/>
            </w:pPr>
            <w:r>
              <w:t>1,05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1EB8062" w14:textId="77777777" w:rsidR="00327C65" w:rsidRPr="003A115E" w:rsidRDefault="00327C65" w:rsidP="00540533">
            <w:pPr>
              <w:pStyle w:val="cuatexto"/>
              <w:jc w:val="right"/>
            </w:pPr>
            <w:r>
              <w:t>0,1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2A8F943" w14:textId="77777777" w:rsidR="00327C65" w:rsidRPr="003A115E" w:rsidRDefault="00327C65" w:rsidP="00540533">
            <w:pPr>
              <w:pStyle w:val="cuatexto"/>
              <w:jc w:val="right"/>
            </w:pPr>
            <w:r>
              <w:t>79</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76F21A9" w14:textId="77777777" w:rsidR="00327C65" w:rsidRPr="003A115E" w:rsidRDefault="00327C65" w:rsidP="00540533">
            <w:pPr>
              <w:pStyle w:val="cuatexto"/>
              <w:jc w:val="right"/>
            </w:pPr>
            <w:r>
              <w:t>0,01</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D6B0B37" w14:textId="77777777" w:rsidR="00327C65" w:rsidRPr="003A115E" w:rsidRDefault="00327C65" w:rsidP="00540533">
            <w:pPr>
              <w:pStyle w:val="cuatexto"/>
              <w:jc w:val="right"/>
            </w:pPr>
            <w:r>
              <w:t>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AC21722" w14:textId="77777777" w:rsidR="00327C65" w:rsidRPr="003A115E" w:rsidRDefault="00327C65" w:rsidP="00540533">
            <w:pPr>
              <w:pStyle w:val="cuatexto"/>
              <w:jc w:val="right"/>
            </w:pPr>
            <w:r>
              <w:t>1,05</w:t>
            </w:r>
          </w:p>
        </w:tc>
      </w:tr>
      <w:tr w:rsidR="000A742F" w:rsidRPr="003A115E" w14:paraId="27E7493E"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21C40774" w14:textId="77777777" w:rsidR="00654208" w:rsidRDefault="00327C65" w:rsidP="00540533">
            <w:pPr>
              <w:pStyle w:val="cuatexto"/>
            </w:pPr>
            <w:r>
              <w:t xml:space="preserve">4 Transferentzia arruntak </w:t>
            </w:r>
          </w:p>
          <w:p w14:paraId="2E2C81C5" w14:textId="48F95F26" w:rsidR="00327C65" w:rsidRPr="003A115E" w:rsidRDefault="00327C65" w:rsidP="00071899">
            <w:pPr>
              <w:pStyle w:val="cuatexto"/>
              <w:ind w:left="217"/>
            </w:pP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7C7B3BCD" w14:textId="77777777" w:rsidR="00327C65" w:rsidRPr="003A115E" w:rsidRDefault="00327C65" w:rsidP="00540533">
            <w:pPr>
              <w:pStyle w:val="cuatexto"/>
              <w:jc w:val="right"/>
            </w:pPr>
            <w:r>
              <w:t>98,46</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EB2347D" w14:textId="77777777" w:rsidR="00327C65" w:rsidRPr="003A115E" w:rsidRDefault="00327C65" w:rsidP="00540533">
            <w:pPr>
              <w:pStyle w:val="cuatexto"/>
              <w:jc w:val="right"/>
            </w:pPr>
            <w:r>
              <w:t>91,77</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594738E" w14:textId="77777777" w:rsidR="00327C65" w:rsidRPr="003A115E" w:rsidRDefault="00327C65" w:rsidP="00540533">
            <w:pPr>
              <w:pStyle w:val="cuatexto"/>
              <w:jc w:val="right"/>
            </w:pPr>
            <w:r>
              <w:t>9,5</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B21E7C1" w14:textId="77777777" w:rsidR="00327C65" w:rsidRPr="003A115E" w:rsidRDefault="00327C65" w:rsidP="00540533">
            <w:pPr>
              <w:pStyle w:val="cuatexto"/>
              <w:jc w:val="right"/>
            </w:pPr>
            <w:r>
              <w:t>93</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EC4906E" w14:textId="77777777" w:rsidR="00327C65" w:rsidRPr="003A115E" w:rsidRDefault="00327C65" w:rsidP="00540533">
            <w:pPr>
              <w:pStyle w:val="cuatexto"/>
              <w:jc w:val="right"/>
            </w:pPr>
            <w:r>
              <w:t>9,11</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5E5CA70" w14:textId="77777777" w:rsidR="00327C65" w:rsidRPr="003A115E" w:rsidRDefault="00327C65" w:rsidP="00540533">
            <w:pPr>
              <w:pStyle w:val="cuatexto"/>
              <w:jc w:val="right"/>
            </w:pPr>
            <w:r>
              <w:t>11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7DEDD3E7" w14:textId="77777777" w:rsidR="00327C65" w:rsidRPr="003A115E" w:rsidRDefault="00327C65" w:rsidP="00540533">
            <w:pPr>
              <w:pStyle w:val="cuatexto"/>
              <w:jc w:val="right"/>
            </w:pPr>
            <w:r>
              <w:t>92,84</w:t>
            </w:r>
          </w:p>
        </w:tc>
      </w:tr>
      <w:tr w:rsidR="000A742F" w:rsidRPr="003A115E" w14:paraId="55FFE3E3"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6EF1A0F8" w14:textId="3711F11A" w:rsidR="00327C65" w:rsidRPr="003A115E" w:rsidRDefault="00327C65" w:rsidP="00540533">
            <w:pPr>
              <w:pStyle w:val="cuatexto"/>
              <w:rPr>
                <w:b/>
                <w:bCs/>
                <w:i/>
                <w:iCs/>
              </w:rPr>
            </w:pPr>
            <w:r>
              <w:rPr>
                <w:b/>
                <w:i/>
              </w:rPr>
              <w:t>Eragiketa arruntak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6B934F1" w14:textId="77777777" w:rsidR="00327C65" w:rsidRPr="003A115E" w:rsidRDefault="00327C65" w:rsidP="00540533">
            <w:pPr>
              <w:pStyle w:val="cuatexto"/>
              <w:jc w:val="right"/>
              <w:rPr>
                <w:b/>
                <w:bCs/>
                <w:i/>
                <w:iCs/>
              </w:rPr>
            </w:pPr>
            <w:r>
              <w:rPr>
                <w:b/>
                <w:i/>
              </w:rPr>
              <w:t>810,64</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30DC4A" w14:textId="77777777" w:rsidR="00327C65" w:rsidRPr="003A115E" w:rsidRDefault="00327C65" w:rsidP="00540533">
            <w:pPr>
              <w:pStyle w:val="cuatexto"/>
              <w:jc w:val="right"/>
              <w:rPr>
                <w:b/>
                <w:i/>
              </w:rPr>
            </w:pPr>
            <w:r>
              <w:rPr>
                <w:b/>
                <w:i/>
              </w:rPr>
              <w:t>775,68</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F7FDB73" w14:textId="77777777" w:rsidR="00327C65" w:rsidRPr="003A115E" w:rsidRDefault="00327C65" w:rsidP="00540533">
            <w:pPr>
              <w:pStyle w:val="cuatexto"/>
              <w:jc w:val="right"/>
              <w:rPr>
                <w:b/>
                <w:bCs/>
                <w:i/>
                <w:iCs/>
              </w:rPr>
            </w:pPr>
            <w:r>
              <w:rPr>
                <w:b/>
                <w:i/>
              </w:rPr>
              <w:t>80,4</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7129913" w14:textId="77777777" w:rsidR="00327C65" w:rsidRPr="003A115E" w:rsidRDefault="00327C65" w:rsidP="00540533">
            <w:pPr>
              <w:pStyle w:val="cuatexto"/>
              <w:jc w:val="right"/>
              <w:rPr>
                <w:b/>
                <w:bCs/>
                <w:i/>
                <w:iCs/>
              </w:rPr>
            </w:pPr>
            <w:r>
              <w:rPr>
                <w:b/>
                <w:i/>
              </w:rPr>
              <w:t>96</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F8766FD" w14:textId="77777777" w:rsidR="00327C65" w:rsidRPr="003A115E" w:rsidRDefault="00327C65" w:rsidP="00540533">
            <w:pPr>
              <w:pStyle w:val="cuatexto"/>
              <w:jc w:val="right"/>
              <w:rPr>
                <w:b/>
                <w:bCs/>
                <w:i/>
                <w:iCs/>
              </w:rPr>
            </w:pPr>
            <w:r>
              <w:rPr>
                <w:b/>
                <w:i/>
              </w:rPr>
              <w:t>84,16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886BFC5" w14:textId="77777777" w:rsidR="00327C65" w:rsidRPr="003A115E" w:rsidRDefault="00327C65" w:rsidP="00540533">
            <w:pPr>
              <w:pStyle w:val="cuatexto"/>
              <w:jc w:val="right"/>
              <w:rPr>
                <w:b/>
                <w:bCs/>
                <w:i/>
                <w:iCs/>
              </w:rPr>
            </w:pPr>
            <w:r>
              <w:rPr>
                <w:b/>
                <w:i/>
              </w:rPr>
              <w:t>12</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E6223B0" w14:textId="77777777" w:rsidR="00327C65" w:rsidRPr="003A115E" w:rsidRDefault="00327C65" w:rsidP="00540533">
            <w:pPr>
              <w:pStyle w:val="cuatexto"/>
              <w:jc w:val="right"/>
              <w:rPr>
                <w:b/>
                <w:i/>
              </w:rPr>
            </w:pPr>
            <w:r>
              <w:rPr>
                <w:b/>
                <w:i/>
              </w:rPr>
              <w:t>849,38</w:t>
            </w:r>
          </w:p>
        </w:tc>
      </w:tr>
      <w:tr w:rsidR="000A742F" w:rsidRPr="003A115E" w14:paraId="437A08F1"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4D66A35" w14:textId="77777777" w:rsidR="00327C65" w:rsidRPr="003A115E" w:rsidRDefault="00327C65" w:rsidP="0186A00D">
            <w:pPr>
              <w:pStyle w:val="cuatexto"/>
            </w:pPr>
            <w:r>
              <w:t>5   Kontingentzia Funtsa</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0B55EED" w14:textId="77777777" w:rsidR="00327C65" w:rsidRPr="003A115E" w:rsidRDefault="00327C65" w:rsidP="00540533">
            <w:pPr>
              <w:pStyle w:val="cuatexto"/>
              <w:jc w:val="right"/>
            </w:pPr>
            <w:r>
              <w:t>0,37</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907849D" w14:textId="77777777" w:rsidR="00327C65" w:rsidRPr="003A115E" w:rsidRDefault="00327C65" w:rsidP="00540533">
            <w:pPr>
              <w:pStyle w:val="cuatexto"/>
              <w:jc w:val="right"/>
            </w:pPr>
            <w:r>
              <w:t>0,00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0773EB3" w14:textId="77777777" w:rsidR="00327C65" w:rsidRPr="003A115E" w:rsidRDefault="00327C65" w:rsidP="00540533">
            <w:pPr>
              <w:pStyle w:val="cuatexto"/>
              <w:jc w:val="right"/>
            </w:pPr>
            <w:r>
              <w:t>0,0</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9AD0D53" w14:textId="77777777" w:rsidR="00327C65" w:rsidRPr="003A115E" w:rsidRDefault="00327C65" w:rsidP="00540533">
            <w:pPr>
              <w:pStyle w:val="cuatexto"/>
              <w:jc w:val="right"/>
            </w:pPr>
            <w:r>
              <w:t>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EE5211C" w14:textId="77777777" w:rsidR="00327C65" w:rsidRPr="003A115E" w:rsidRDefault="00327C65" w:rsidP="00540533">
            <w:pPr>
              <w:pStyle w:val="cuatexto"/>
              <w:jc w:val="right"/>
            </w:pPr>
            <w:r>
              <w:t>0,00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343392" w14:textId="77777777" w:rsidR="00327C65" w:rsidRPr="003A115E" w:rsidRDefault="00327C65" w:rsidP="00540533">
            <w:pPr>
              <w:pStyle w:val="cuatexto"/>
              <w:jc w:val="right"/>
            </w:pPr>
            <w:r>
              <w:t>-</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624D1DB8" w14:textId="77777777" w:rsidR="00327C65" w:rsidRPr="003A115E" w:rsidRDefault="00327C65" w:rsidP="00540533">
            <w:pPr>
              <w:pStyle w:val="cuatexto"/>
              <w:jc w:val="right"/>
            </w:pPr>
            <w:r>
              <w:t>0,00</w:t>
            </w:r>
          </w:p>
        </w:tc>
      </w:tr>
      <w:tr w:rsidR="000A742F" w:rsidRPr="003A115E" w14:paraId="37207DF2"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3BB5CB03" w14:textId="465B3282" w:rsidR="00327C65" w:rsidRPr="003A115E" w:rsidRDefault="00327C65" w:rsidP="00540533">
            <w:pPr>
              <w:pStyle w:val="cuatexto"/>
              <w:rPr>
                <w:b/>
                <w:bCs/>
                <w:i/>
                <w:iCs/>
              </w:rPr>
            </w:pPr>
            <w:r>
              <w:rPr>
                <w:b/>
                <w:i/>
              </w:rPr>
              <w:t>Kontingentzia funtsa</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839F42D" w14:textId="77777777" w:rsidR="00327C65" w:rsidRPr="003A115E" w:rsidRDefault="00327C65" w:rsidP="00540533">
            <w:pPr>
              <w:pStyle w:val="cuatexto"/>
              <w:jc w:val="right"/>
              <w:rPr>
                <w:b/>
                <w:bCs/>
                <w:i/>
                <w:iCs/>
              </w:rPr>
            </w:pPr>
            <w:r>
              <w:rPr>
                <w:b/>
                <w:i/>
              </w:rPr>
              <w:t>0,37</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2594420" w14:textId="77777777" w:rsidR="00327C65" w:rsidRPr="003A115E" w:rsidRDefault="00327C65" w:rsidP="00540533">
            <w:pPr>
              <w:pStyle w:val="cuatexto"/>
              <w:jc w:val="right"/>
              <w:rPr>
                <w:b/>
                <w:i/>
              </w:rPr>
            </w:pPr>
            <w:r>
              <w:rPr>
                <w:b/>
                <w:i/>
              </w:rPr>
              <w:t>0,00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5978166" w14:textId="77777777" w:rsidR="00327C65" w:rsidRPr="003A115E" w:rsidRDefault="00327C65" w:rsidP="00540533">
            <w:pPr>
              <w:pStyle w:val="cuatexto"/>
              <w:jc w:val="right"/>
              <w:rPr>
                <w:b/>
                <w:bCs/>
                <w:i/>
                <w:iCs/>
              </w:rPr>
            </w:pPr>
            <w:r>
              <w:rPr>
                <w:b/>
                <w:i/>
              </w:rPr>
              <w:t>0,0</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04C16FA" w14:textId="77777777" w:rsidR="00327C65" w:rsidRPr="003A115E" w:rsidRDefault="00327C65" w:rsidP="00540533">
            <w:pPr>
              <w:pStyle w:val="cuatexto"/>
              <w:jc w:val="right"/>
              <w:rPr>
                <w:b/>
                <w:bCs/>
                <w:i/>
                <w:iCs/>
              </w:rPr>
            </w:pPr>
            <w:r>
              <w:rPr>
                <w:b/>
                <w:i/>
              </w:rPr>
              <w:t>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21A1E09" w14:textId="77777777" w:rsidR="00327C65" w:rsidRPr="003A115E" w:rsidRDefault="00327C65" w:rsidP="00540533">
            <w:pPr>
              <w:pStyle w:val="cuatexto"/>
              <w:jc w:val="right"/>
              <w:rPr>
                <w:b/>
                <w:bCs/>
                <w:i/>
                <w:iCs/>
              </w:rPr>
            </w:pPr>
            <w:r>
              <w:rPr>
                <w:b/>
                <w:i/>
              </w:rPr>
              <w:t>0,00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EFEEF00" w14:textId="77777777" w:rsidR="00327C65" w:rsidRPr="003A115E" w:rsidRDefault="00327C65" w:rsidP="00540533">
            <w:pPr>
              <w:pStyle w:val="cuatexto"/>
              <w:jc w:val="right"/>
              <w:rPr>
                <w:b/>
                <w:bCs/>
                <w:i/>
                <w:iCs/>
              </w:rPr>
            </w:pPr>
            <w:r>
              <w:rPr>
                <w:b/>
                <w:i/>
              </w:rPr>
              <w:t>-</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44E598B7" w14:textId="77777777" w:rsidR="00327C65" w:rsidRPr="003A115E" w:rsidRDefault="00327C65" w:rsidP="00540533">
            <w:pPr>
              <w:pStyle w:val="cuatexto"/>
              <w:jc w:val="right"/>
              <w:rPr>
                <w:b/>
                <w:i/>
              </w:rPr>
            </w:pPr>
            <w:r>
              <w:rPr>
                <w:b/>
                <w:i/>
              </w:rPr>
              <w:t>0,00</w:t>
            </w:r>
          </w:p>
        </w:tc>
      </w:tr>
      <w:tr w:rsidR="000A742F" w:rsidRPr="003A115E" w14:paraId="0958349F"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748C821B" w14:textId="77777777" w:rsidR="00327C65" w:rsidRPr="003A115E" w:rsidRDefault="00327C65" w:rsidP="00540533">
            <w:pPr>
              <w:pStyle w:val="cuatexto"/>
            </w:pPr>
            <w:r>
              <w:t>6   Inbertsio errealak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D6833CE" w14:textId="77777777" w:rsidR="00327C65" w:rsidRPr="003A115E" w:rsidRDefault="00327C65" w:rsidP="00540533">
            <w:pPr>
              <w:pStyle w:val="cuatexto"/>
              <w:jc w:val="right"/>
            </w:pPr>
            <w:r>
              <w:t>320,39</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1983230" w14:textId="77777777" w:rsidR="00327C65" w:rsidRPr="003A115E" w:rsidRDefault="00327C65" w:rsidP="00540533">
            <w:pPr>
              <w:pStyle w:val="cuatexto"/>
              <w:jc w:val="right"/>
            </w:pPr>
            <w:r>
              <w:t>149,85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6CA38CD" w14:textId="77777777" w:rsidR="00327C65" w:rsidRPr="003A115E" w:rsidRDefault="00327C65" w:rsidP="00540533">
            <w:pPr>
              <w:pStyle w:val="cuatexto"/>
              <w:jc w:val="right"/>
            </w:pPr>
            <w:r>
              <w:t>15,5</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6F1D064" w14:textId="77777777" w:rsidR="00327C65" w:rsidRPr="003A115E" w:rsidRDefault="00327C65" w:rsidP="00540533">
            <w:pPr>
              <w:pStyle w:val="cuatexto"/>
              <w:jc w:val="right"/>
            </w:pPr>
            <w:r>
              <w:t>47</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D43D7C" w14:textId="77777777" w:rsidR="00327C65" w:rsidRPr="003A115E" w:rsidRDefault="00327C65" w:rsidP="00540533">
            <w:pPr>
              <w:pStyle w:val="cuatexto"/>
              <w:jc w:val="right"/>
            </w:pPr>
            <w:r>
              <w:t>-6,56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A477784" w14:textId="77777777" w:rsidR="00327C65" w:rsidRPr="003A115E" w:rsidRDefault="00327C65" w:rsidP="00540533">
            <w:pPr>
              <w:pStyle w:val="cuatexto"/>
              <w:jc w:val="right"/>
            </w:pPr>
            <w:r>
              <w:t>-4</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2B8E3371" w14:textId="77777777" w:rsidR="00327C65" w:rsidRPr="003A115E" w:rsidRDefault="00327C65" w:rsidP="00540533">
            <w:pPr>
              <w:pStyle w:val="cuatexto"/>
              <w:jc w:val="right"/>
            </w:pPr>
            <w:r>
              <w:t>174,25</w:t>
            </w:r>
          </w:p>
        </w:tc>
      </w:tr>
      <w:tr w:rsidR="000A742F" w:rsidRPr="003A115E" w14:paraId="3BAB6BD2"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194D40EA" w14:textId="77777777" w:rsidR="00071899" w:rsidRDefault="00327C65" w:rsidP="0186A00D">
            <w:pPr>
              <w:pStyle w:val="cuatexto"/>
            </w:pPr>
            <w:r>
              <w:t>7 Kapital-transferentziak</w:t>
            </w:r>
          </w:p>
          <w:p w14:paraId="17E75E94" w14:textId="4B2659BB" w:rsidR="00327C65" w:rsidRPr="003A115E" w:rsidRDefault="00327C65" w:rsidP="00071899">
            <w:pPr>
              <w:pStyle w:val="cuatexto"/>
              <w:ind w:left="217"/>
            </w:pPr>
            <w:r>
              <w:t xml:space="preserve"> </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22240AB1" w14:textId="77777777" w:rsidR="00327C65" w:rsidRPr="003A115E" w:rsidRDefault="00327C65" w:rsidP="00540533">
            <w:pPr>
              <w:pStyle w:val="cuatexto"/>
              <w:jc w:val="right"/>
            </w:pPr>
            <w:r>
              <w:t>24,92</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BBAE13F" w14:textId="77777777" w:rsidR="00327C65" w:rsidRPr="003A115E" w:rsidRDefault="00327C65" w:rsidP="00540533">
            <w:pPr>
              <w:pStyle w:val="cuatexto"/>
              <w:jc w:val="right"/>
            </w:pPr>
            <w:r>
              <w:t>17,70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600987" w14:textId="77777777" w:rsidR="00327C65" w:rsidRPr="003A115E" w:rsidRDefault="00327C65" w:rsidP="00540533">
            <w:pPr>
              <w:pStyle w:val="cuatexto"/>
              <w:jc w:val="right"/>
            </w:pPr>
            <w:r>
              <w:t>1,8</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E5A3924" w14:textId="77777777" w:rsidR="00327C65" w:rsidRPr="003A115E" w:rsidRDefault="00327C65" w:rsidP="00540533">
            <w:pPr>
              <w:pStyle w:val="cuatexto"/>
              <w:jc w:val="right"/>
            </w:pPr>
            <w:r>
              <w:t>71</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64EDD4B" w14:textId="77777777" w:rsidR="00327C65" w:rsidRPr="003A115E" w:rsidRDefault="00327C65" w:rsidP="00540533">
            <w:pPr>
              <w:pStyle w:val="cuatexto"/>
              <w:jc w:val="right"/>
            </w:pPr>
            <w:r>
              <w:t>0,20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A8C371A" w14:textId="77777777" w:rsidR="00327C65" w:rsidRPr="003A115E" w:rsidRDefault="00327C65" w:rsidP="00540533">
            <w:pPr>
              <w:pStyle w:val="cuatexto"/>
              <w:jc w:val="right"/>
            </w:pPr>
            <w:r>
              <w:t>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40EED1E" w14:textId="77777777" w:rsidR="00327C65" w:rsidRPr="003A115E" w:rsidRDefault="00327C65" w:rsidP="00540533">
            <w:pPr>
              <w:pStyle w:val="cuatexto"/>
              <w:jc w:val="right"/>
            </w:pPr>
            <w:r>
              <w:t>17,70</w:t>
            </w:r>
          </w:p>
        </w:tc>
      </w:tr>
      <w:tr w:rsidR="000A742F" w:rsidRPr="003A115E" w14:paraId="69E35157"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3A541B8D" w14:textId="33AD8AAE" w:rsidR="00327C65" w:rsidRPr="003A115E" w:rsidRDefault="00327C65" w:rsidP="00540533">
            <w:pPr>
              <w:pStyle w:val="cuatexto"/>
              <w:rPr>
                <w:b/>
                <w:bCs/>
                <w:i/>
                <w:iCs/>
              </w:rPr>
            </w:pPr>
            <w:r>
              <w:rPr>
                <w:b/>
                <w:i/>
              </w:rPr>
              <w:t>Kapital-eragiketak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7B1B5E8" w14:textId="77777777" w:rsidR="00327C65" w:rsidRPr="003A115E" w:rsidRDefault="00327C65" w:rsidP="00540533">
            <w:pPr>
              <w:pStyle w:val="cuatexto"/>
              <w:jc w:val="right"/>
              <w:rPr>
                <w:b/>
                <w:bCs/>
                <w:i/>
                <w:iCs/>
              </w:rPr>
            </w:pPr>
            <w:r>
              <w:rPr>
                <w:b/>
                <w:i/>
              </w:rPr>
              <w:t>345,31</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79C5C47" w14:textId="77777777" w:rsidR="00327C65" w:rsidRPr="003A115E" w:rsidRDefault="00327C65" w:rsidP="00540533">
            <w:pPr>
              <w:pStyle w:val="cuatexto"/>
              <w:jc w:val="right"/>
              <w:rPr>
                <w:b/>
                <w:i/>
              </w:rPr>
            </w:pPr>
            <w:r>
              <w:rPr>
                <w:b/>
                <w:i/>
              </w:rPr>
              <w:t>167,55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48CBEDA" w14:textId="77777777" w:rsidR="00327C65" w:rsidRPr="003A115E" w:rsidRDefault="00327C65" w:rsidP="00540533">
            <w:pPr>
              <w:pStyle w:val="cuatexto"/>
              <w:jc w:val="right"/>
              <w:rPr>
                <w:b/>
                <w:bCs/>
                <w:i/>
                <w:iCs/>
              </w:rPr>
            </w:pPr>
            <w:r>
              <w:rPr>
                <w:b/>
                <w:i/>
              </w:rPr>
              <w:t>17,4</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682675E" w14:textId="77777777" w:rsidR="00327C65" w:rsidRPr="003A115E" w:rsidRDefault="00327C65" w:rsidP="00540533">
            <w:pPr>
              <w:pStyle w:val="cuatexto"/>
              <w:jc w:val="right"/>
              <w:rPr>
                <w:b/>
                <w:bCs/>
                <w:i/>
                <w:iCs/>
              </w:rPr>
            </w:pPr>
            <w:r>
              <w:rPr>
                <w:b/>
                <w:i/>
              </w:rPr>
              <w:t>49</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3C46781" w14:textId="77777777" w:rsidR="00327C65" w:rsidRPr="003A115E" w:rsidRDefault="00327C65" w:rsidP="00540533">
            <w:pPr>
              <w:pStyle w:val="cuatexto"/>
              <w:jc w:val="right"/>
              <w:rPr>
                <w:b/>
                <w:bCs/>
                <w:i/>
                <w:iCs/>
              </w:rPr>
            </w:pPr>
            <w:r>
              <w:rPr>
                <w:b/>
                <w:i/>
              </w:rPr>
              <w:t>-6,36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0C37823" w14:textId="77777777" w:rsidR="00327C65" w:rsidRPr="003A115E" w:rsidRDefault="00327C65" w:rsidP="00540533">
            <w:pPr>
              <w:pStyle w:val="cuatexto"/>
              <w:jc w:val="right"/>
              <w:rPr>
                <w:b/>
                <w:bCs/>
                <w:i/>
                <w:iCs/>
              </w:rPr>
            </w:pPr>
            <w:r>
              <w:rPr>
                <w:b/>
                <w:i/>
              </w:rPr>
              <w:t>-4</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23E38147" w14:textId="77777777" w:rsidR="00327C65" w:rsidRPr="003A115E" w:rsidRDefault="00327C65" w:rsidP="00540533">
            <w:pPr>
              <w:pStyle w:val="cuatexto"/>
              <w:jc w:val="right"/>
              <w:rPr>
                <w:b/>
                <w:i/>
              </w:rPr>
            </w:pPr>
            <w:r>
              <w:rPr>
                <w:b/>
                <w:i/>
              </w:rPr>
              <w:t>191,96</w:t>
            </w:r>
          </w:p>
        </w:tc>
      </w:tr>
      <w:tr w:rsidR="000A742F" w:rsidRPr="003A115E" w14:paraId="0CB86F80"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0B45A8F" w14:textId="77777777" w:rsidR="00327C65" w:rsidRPr="003A115E" w:rsidRDefault="00327C65" w:rsidP="00540533">
            <w:pPr>
              <w:pStyle w:val="cuatexto"/>
            </w:pPr>
            <w:r>
              <w:t>8 Finantza-aktiboak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320305A1" w14:textId="77777777" w:rsidR="00327C65" w:rsidRPr="003A115E" w:rsidRDefault="00327C65" w:rsidP="00540533">
            <w:pPr>
              <w:pStyle w:val="cuatexto"/>
              <w:jc w:val="right"/>
            </w:pPr>
            <w:r>
              <w:t>0,60</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8FBB79F" w14:textId="77777777" w:rsidR="00327C65" w:rsidRPr="003A115E" w:rsidRDefault="00327C65" w:rsidP="00540533">
            <w:pPr>
              <w:pStyle w:val="cuatexto"/>
              <w:jc w:val="right"/>
            </w:pPr>
            <w:r>
              <w:t>1,29</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C02934" w14:textId="77777777" w:rsidR="00327C65" w:rsidRPr="003A115E" w:rsidRDefault="00327C65" w:rsidP="00540533">
            <w:pPr>
              <w:pStyle w:val="cuatexto"/>
              <w:jc w:val="right"/>
            </w:pPr>
            <w:r>
              <w:t>0,1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F96C96" w14:textId="77777777" w:rsidR="00327C65" w:rsidRPr="003A115E" w:rsidRDefault="00327C65" w:rsidP="00540533">
            <w:pPr>
              <w:pStyle w:val="cuatexto"/>
              <w:jc w:val="right"/>
            </w:pPr>
            <w:r>
              <w:t>214</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CC76EEA" w14:textId="77777777" w:rsidR="00327C65" w:rsidRPr="003A115E" w:rsidRDefault="00327C65" w:rsidP="00540533">
            <w:pPr>
              <w:pStyle w:val="cuatexto"/>
              <w:jc w:val="right"/>
            </w:pPr>
            <w:r>
              <w:t>0,48</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9F6D83C" w14:textId="77777777" w:rsidR="00327C65" w:rsidRPr="003A115E" w:rsidRDefault="00327C65" w:rsidP="00540533">
            <w:pPr>
              <w:pStyle w:val="cuatexto"/>
              <w:jc w:val="right"/>
            </w:pPr>
            <w:r>
              <w:t>60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B3C2085" w14:textId="77777777" w:rsidR="00327C65" w:rsidRPr="003A115E" w:rsidRDefault="00327C65" w:rsidP="00540533">
            <w:pPr>
              <w:pStyle w:val="cuatexto"/>
              <w:jc w:val="right"/>
            </w:pPr>
            <w:r>
              <w:t>1,29</w:t>
            </w:r>
          </w:p>
        </w:tc>
      </w:tr>
      <w:tr w:rsidR="00647395" w:rsidRPr="003A115E" w14:paraId="67FBFA39"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1A9A4B88" w14:textId="77777777" w:rsidR="00327C65" w:rsidRPr="003A115E" w:rsidRDefault="00327C65" w:rsidP="00540533">
            <w:pPr>
              <w:pStyle w:val="cuatexto"/>
            </w:pPr>
            <w:r>
              <w:t>9 Finantza-pasiboak</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2C506591" w14:textId="77777777" w:rsidR="00327C65" w:rsidRPr="003A115E" w:rsidRDefault="00327C65" w:rsidP="00540533">
            <w:pPr>
              <w:pStyle w:val="cuatexto"/>
              <w:jc w:val="right"/>
            </w:pPr>
            <w:r>
              <w:t>20,13</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3553841" w14:textId="77777777" w:rsidR="00327C65" w:rsidRPr="003A115E" w:rsidRDefault="00327C65" w:rsidP="00540533">
            <w:pPr>
              <w:pStyle w:val="cuatexto"/>
              <w:jc w:val="right"/>
            </w:pPr>
            <w:r>
              <w:t>20,13</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75BE185" w14:textId="77777777" w:rsidR="00327C65" w:rsidRPr="003A115E" w:rsidRDefault="00327C65" w:rsidP="00540533">
            <w:pPr>
              <w:pStyle w:val="cuatexto"/>
              <w:jc w:val="right"/>
            </w:pPr>
            <w:r>
              <w:t>2,1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AE75EDE" w14:textId="77777777" w:rsidR="00327C65" w:rsidRPr="003A115E" w:rsidRDefault="00327C65" w:rsidP="00540533">
            <w:pPr>
              <w:pStyle w:val="cuatexto"/>
              <w:jc w:val="right"/>
            </w:pPr>
            <w:r>
              <w:t>100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92F434A" w14:textId="77777777" w:rsidR="00327C65" w:rsidRPr="003A115E" w:rsidRDefault="00327C65" w:rsidP="00540533">
            <w:pPr>
              <w:pStyle w:val="cuatexto"/>
              <w:jc w:val="right"/>
            </w:pPr>
            <w:r>
              <w:t>-5,03</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354328" w14:textId="77777777" w:rsidR="00327C65" w:rsidRPr="003A115E" w:rsidRDefault="00327C65" w:rsidP="00540533">
            <w:pPr>
              <w:pStyle w:val="cuatexto"/>
              <w:jc w:val="right"/>
            </w:pPr>
            <w:r>
              <w:t>-20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108C0DD9" w14:textId="77777777" w:rsidR="00327C65" w:rsidRPr="003A115E" w:rsidRDefault="00327C65" w:rsidP="00540533">
            <w:pPr>
              <w:pStyle w:val="cuatexto"/>
              <w:jc w:val="right"/>
            </w:pPr>
            <w:r>
              <w:t>20,13</w:t>
            </w:r>
          </w:p>
        </w:tc>
      </w:tr>
      <w:tr w:rsidR="00647395" w:rsidRPr="003A115E" w14:paraId="68A52D85" w14:textId="77777777" w:rsidTr="00AC6594">
        <w:trPr>
          <w:trHeight w:val="198"/>
        </w:trPr>
        <w:tc>
          <w:tcPr>
            <w:tcW w:w="1268" w:type="pct"/>
            <w:tcBorders>
              <w:top w:val="single" w:sz="2" w:space="0" w:color="000000" w:themeColor="text1"/>
              <w:left w:val="nil"/>
              <w:bottom w:val="single" w:sz="4" w:space="0" w:color="000000" w:themeColor="text1"/>
              <w:right w:val="nil"/>
            </w:tcBorders>
            <w:shd w:val="clear" w:color="auto" w:fill="auto"/>
            <w:vAlign w:val="center"/>
            <w:hideMark/>
          </w:tcPr>
          <w:p w14:paraId="48BB45FB" w14:textId="23AE0CCE" w:rsidR="00327C65" w:rsidRPr="003A115E" w:rsidRDefault="00327C65" w:rsidP="00540533">
            <w:pPr>
              <w:pStyle w:val="cuatexto"/>
              <w:rPr>
                <w:b/>
                <w:bCs/>
                <w:i/>
                <w:iCs/>
              </w:rPr>
            </w:pPr>
            <w:r>
              <w:rPr>
                <w:b/>
                <w:i/>
              </w:rPr>
              <w:t>Finantza-eragiketak</w:t>
            </w:r>
          </w:p>
        </w:tc>
        <w:tc>
          <w:tcPr>
            <w:tcW w:w="574" w:type="pct"/>
            <w:tcBorders>
              <w:top w:val="single" w:sz="2" w:space="0" w:color="000000" w:themeColor="text1"/>
              <w:left w:val="nil"/>
              <w:bottom w:val="single" w:sz="4" w:space="0" w:color="000000" w:themeColor="text1"/>
              <w:right w:val="single" w:sz="2" w:space="0" w:color="000000" w:themeColor="text1"/>
            </w:tcBorders>
            <w:shd w:val="clear" w:color="auto" w:fill="auto"/>
            <w:vAlign w:val="center"/>
            <w:hideMark/>
          </w:tcPr>
          <w:p w14:paraId="53788FE4" w14:textId="77777777" w:rsidR="00327C65" w:rsidRPr="003A115E" w:rsidRDefault="00327C65" w:rsidP="00540533">
            <w:pPr>
              <w:pStyle w:val="cuatexto"/>
              <w:jc w:val="right"/>
              <w:rPr>
                <w:b/>
                <w:i/>
              </w:rPr>
            </w:pPr>
            <w:r>
              <w:rPr>
                <w:b/>
                <w:i/>
              </w:rPr>
              <w:t>20,73</w:t>
            </w:r>
          </w:p>
        </w:tc>
        <w:tc>
          <w:tcPr>
            <w:tcW w:w="556"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5334F245" w14:textId="77777777" w:rsidR="00327C65" w:rsidRPr="003A115E" w:rsidRDefault="00327C65" w:rsidP="00540533">
            <w:pPr>
              <w:pStyle w:val="cuatexto"/>
              <w:jc w:val="right"/>
              <w:rPr>
                <w:b/>
                <w:i/>
              </w:rPr>
            </w:pPr>
            <w:r>
              <w:rPr>
                <w:b/>
                <w:i/>
              </w:rPr>
              <w:t>21,43</w:t>
            </w:r>
          </w:p>
        </w:tc>
        <w:tc>
          <w:tcPr>
            <w:tcW w:w="565"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313F361B" w14:textId="77777777" w:rsidR="00327C65" w:rsidRPr="003A115E" w:rsidRDefault="00327C65" w:rsidP="00540533">
            <w:pPr>
              <w:pStyle w:val="cuatexto"/>
              <w:jc w:val="right"/>
              <w:rPr>
                <w:b/>
                <w:bCs/>
                <w:i/>
                <w:iCs/>
              </w:rPr>
            </w:pPr>
            <w:r>
              <w:rPr>
                <w:b/>
                <w:i/>
              </w:rPr>
              <w:t>2,2</w:t>
            </w:r>
          </w:p>
        </w:tc>
        <w:tc>
          <w:tcPr>
            <w:tcW w:w="400"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610B7902" w14:textId="77777777" w:rsidR="00327C65" w:rsidRPr="003A115E" w:rsidRDefault="00327C65" w:rsidP="00540533">
            <w:pPr>
              <w:pStyle w:val="cuatexto"/>
              <w:jc w:val="right"/>
              <w:rPr>
                <w:b/>
                <w:bCs/>
                <w:i/>
                <w:iCs/>
              </w:rPr>
            </w:pPr>
            <w:r>
              <w:rPr>
                <w:b/>
                <w:i/>
              </w:rPr>
              <w:t>103</w:t>
            </w:r>
          </w:p>
        </w:tc>
        <w:tc>
          <w:tcPr>
            <w:tcW w:w="560"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102E1B58" w14:textId="77777777" w:rsidR="00327C65" w:rsidRPr="003A115E" w:rsidRDefault="00327C65" w:rsidP="00540533">
            <w:pPr>
              <w:pStyle w:val="cuatexto"/>
              <w:jc w:val="right"/>
              <w:rPr>
                <w:b/>
                <w:bCs/>
                <w:i/>
                <w:iCs/>
              </w:rPr>
            </w:pPr>
            <w:r>
              <w:rPr>
                <w:b/>
                <w:i/>
              </w:rPr>
              <w:t>-4,55</w:t>
            </w:r>
          </w:p>
        </w:tc>
        <w:tc>
          <w:tcPr>
            <w:tcW w:w="598"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53DBBBBC" w14:textId="77777777" w:rsidR="00327C65" w:rsidRPr="003A115E" w:rsidRDefault="00327C65" w:rsidP="00540533">
            <w:pPr>
              <w:pStyle w:val="cuatexto"/>
              <w:jc w:val="right"/>
              <w:rPr>
                <w:b/>
                <w:bCs/>
                <w:i/>
                <w:iCs/>
              </w:rPr>
            </w:pPr>
            <w:r>
              <w:rPr>
                <w:b/>
                <w:i/>
              </w:rPr>
              <w:t>-18</w:t>
            </w:r>
          </w:p>
        </w:tc>
        <w:tc>
          <w:tcPr>
            <w:tcW w:w="480" w:type="pct"/>
            <w:tcBorders>
              <w:top w:val="single" w:sz="2" w:space="0" w:color="000000" w:themeColor="text1"/>
              <w:left w:val="single" w:sz="2" w:space="0" w:color="000000" w:themeColor="text1"/>
              <w:bottom w:val="single" w:sz="4" w:space="0" w:color="auto"/>
            </w:tcBorders>
            <w:shd w:val="clear" w:color="auto" w:fill="auto"/>
            <w:vAlign w:val="center"/>
            <w:hideMark/>
          </w:tcPr>
          <w:p w14:paraId="21CDA0F9" w14:textId="77777777" w:rsidR="00327C65" w:rsidRPr="003A115E" w:rsidRDefault="00327C65" w:rsidP="00540533">
            <w:pPr>
              <w:pStyle w:val="cuatexto"/>
              <w:jc w:val="right"/>
              <w:rPr>
                <w:b/>
                <w:i/>
              </w:rPr>
            </w:pPr>
            <w:r>
              <w:rPr>
                <w:b/>
                <w:i/>
              </w:rPr>
              <w:t>21,43</w:t>
            </w:r>
          </w:p>
        </w:tc>
      </w:tr>
      <w:tr w:rsidR="00647395" w:rsidRPr="00180CF4" w14:paraId="33BB7A94" w14:textId="77777777" w:rsidTr="00AC6594">
        <w:trPr>
          <w:trHeight w:val="255"/>
        </w:trPr>
        <w:tc>
          <w:tcPr>
            <w:tcW w:w="1268"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23D048F2" w14:textId="672DFB46" w:rsidR="00327C65" w:rsidRPr="00180CF4" w:rsidRDefault="00327C65" w:rsidP="00540533">
            <w:pPr>
              <w:pStyle w:val="cuadroCabe"/>
              <w:rPr>
                <w:sz w:val="17"/>
                <w:szCs w:val="17"/>
              </w:rPr>
            </w:pPr>
            <w:r>
              <w:rPr>
                <w:sz w:val="17"/>
              </w:rPr>
              <w:t>Guztira</w:t>
            </w:r>
          </w:p>
        </w:tc>
        <w:tc>
          <w:tcPr>
            <w:tcW w:w="574"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088B2889" w14:textId="77777777" w:rsidR="00327C65" w:rsidRPr="00180CF4" w:rsidRDefault="00327C65" w:rsidP="00540533">
            <w:pPr>
              <w:pStyle w:val="cuadroCabe"/>
              <w:jc w:val="right"/>
              <w:rPr>
                <w:sz w:val="17"/>
                <w:szCs w:val="17"/>
              </w:rPr>
            </w:pPr>
            <w:r>
              <w:rPr>
                <w:sz w:val="17"/>
              </w:rPr>
              <w:t>1.177,05</w:t>
            </w:r>
          </w:p>
        </w:tc>
        <w:tc>
          <w:tcPr>
            <w:tcW w:w="556"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D9EC139" w14:textId="77777777" w:rsidR="00327C65" w:rsidRPr="00180CF4" w:rsidRDefault="00327C65" w:rsidP="00540533">
            <w:pPr>
              <w:pStyle w:val="cuadroCabe"/>
              <w:jc w:val="right"/>
              <w:rPr>
                <w:sz w:val="17"/>
                <w:szCs w:val="17"/>
              </w:rPr>
            </w:pPr>
            <w:r>
              <w:rPr>
                <w:sz w:val="17"/>
              </w:rPr>
              <w:t>964,66</w:t>
            </w:r>
          </w:p>
        </w:tc>
        <w:tc>
          <w:tcPr>
            <w:tcW w:w="565"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2E677D0D" w14:textId="77777777" w:rsidR="00327C65" w:rsidRPr="00180CF4" w:rsidRDefault="00327C65" w:rsidP="00540533">
            <w:pPr>
              <w:pStyle w:val="cuadroCabe"/>
              <w:jc w:val="right"/>
              <w:rPr>
                <w:sz w:val="17"/>
                <w:szCs w:val="17"/>
              </w:rPr>
            </w:pPr>
            <w:r>
              <w:rPr>
                <w:sz w:val="17"/>
              </w:rPr>
              <w:t>100</w:t>
            </w:r>
          </w:p>
        </w:tc>
        <w:tc>
          <w:tcPr>
            <w:tcW w:w="40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335314A" w14:textId="77777777" w:rsidR="00327C65" w:rsidRPr="00180CF4" w:rsidRDefault="00327C65" w:rsidP="00540533">
            <w:pPr>
              <w:pStyle w:val="cuadroCabe"/>
              <w:jc w:val="right"/>
              <w:rPr>
                <w:sz w:val="17"/>
                <w:szCs w:val="17"/>
              </w:rPr>
            </w:pPr>
            <w:r>
              <w:rPr>
                <w:sz w:val="17"/>
              </w:rPr>
              <w:t>82</w:t>
            </w:r>
          </w:p>
        </w:tc>
        <w:tc>
          <w:tcPr>
            <w:tcW w:w="56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3AB0CE5B" w14:textId="77777777" w:rsidR="00327C65" w:rsidRPr="00180CF4" w:rsidRDefault="00327C65" w:rsidP="00540533">
            <w:pPr>
              <w:pStyle w:val="cuadroCabe"/>
              <w:jc w:val="right"/>
              <w:rPr>
                <w:sz w:val="17"/>
                <w:szCs w:val="17"/>
              </w:rPr>
            </w:pPr>
            <w:r>
              <w:rPr>
                <w:sz w:val="17"/>
              </w:rPr>
              <w:t>73,26</w:t>
            </w:r>
          </w:p>
        </w:tc>
        <w:tc>
          <w:tcPr>
            <w:tcW w:w="598"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2BE9572C" w14:textId="77777777" w:rsidR="00327C65" w:rsidRPr="00180CF4" w:rsidRDefault="00327C65" w:rsidP="00540533">
            <w:pPr>
              <w:pStyle w:val="cuadroCabe"/>
              <w:jc w:val="right"/>
              <w:rPr>
                <w:sz w:val="17"/>
                <w:szCs w:val="17"/>
              </w:rPr>
            </w:pPr>
            <w:r>
              <w:rPr>
                <w:sz w:val="17"/>
              </w:rPr>
              <w:t>8</w:t>
            </w:r>
          </w:p>
        </w:tc>
        <w:tc>
          <w:tcPr>
            <w:tcW w:w="480" w:type="pct"/>
            <w:tcBorders>
              <w:top w:val="single" w:sz="4" w:space="0" w:color="auto"/>
              <w:left w:val="single" w:sz="2" w:space="0" w:color="000000" w:themeColor="text1"/>
              <w:bottom w:val="single" w:sz="4" w:space="0" w:color="auto"/>
            </w:tcBorders>
            <w:shd w:val="clear" w:color="auto" w:fill="FABF8F" w:themeFill="accent6" w:themeFillTint="99"/>
            <w:vAlign w:val="center"/>
            <w:hideMark/>
          </w:tcPr>
          <w:p w14:paraId="520F65A6" w14:textId="77777777" w:rsidR="00327C65" w:rsidRPr="00180CF4" w:rsidRDefault="00327C65" w:rsidP="00540533">
            <w:pPr>
              <w:pStyle w:val="cuadroCabe"/>
              <w:jc w:val="right"/>
              <w:rPr>
                <w:sz w:val="17"/>
                <w:szCs w:val="17"/>
              </w:rPr>
            </w:pPr>
            <w:r>
              <w:rPr>
                <w:sz w:val="17"/>
              </w:rPr>
              <w:t>1.062,76</w:t>
            </w:r>
          </w:p>
        </w:tc>
      </w:tr>
    </w:tbl>
    <w:p w14:paraId="5733EC24" w14:textId="6486149F" w:rsidR="004D3E9C" w:rsidRPr="003A115E" w:rsidRDefault="004D3E9C" w:rsidP="004D3E9C">
      <w:pPr>
        <w:pStyle w:val="texto"/>
        <w:spacing w:before="60" w:after="40"/>
        <w:ind w:right="-567" w:firstLine="0"/>
        <w:rPr>
          <w:rFonts w:ascii="Arial Narrow" w:hAnsi="Arial Narrow" w:cs="Arial"/>
          <w:i/>
          <w:sz w:val="16"/>
          <w:szCs w:val="16"/>
        </w:rPr>
      </w:pPr>
      <w:r>
        <w:rPr>
          <w:rFonts w:ascii="Arial Narrow" w:hAnsi="Arial Narrow"/>
          <w:sz w:val="16"/>
        </w:rPr>
        <w:t xml:space="preserve">(*) </w:t>
      </w:r>
      <w:proofErr w:type="spellStart"/>
      <w:r>
        <w:rPr>
          <w:rFonts w:ascii="Arial Narrow" w:hAnsi="Arial Narrow"/>
          <w:sz w:val="16"/>
        </w:rPr>
        <w:t>SCPSArekin</w:t>
      </w:r>
      <w:proofErr w:type="spellEnd"/>
      <w:r>
        <w:rPr>
          <w:rFonts w:ascii="Arial Narrow" w:hAnsi="Arial Narrow"/>
          <w:sz w:val="16"/>
        </w:rPr>
        <w:t xml:space="preserve"> bateratutako betebehar aitortuak.</w:t>
      </w:r>
    </w:p>
    <w:p w14:paraId="0ECB0B2F" w14:textId="15838D84" w:rsidR="0039394F" w:rsidRPr="003A115E" w:rsidRDefault="004D3E9C" w:rsidP="00CC28BD">
      <w:pPr>
        <w:pStyle w:val="texto"/>
        <w:spacing w:before="240"/>
      </w:pPr>
      <w:r>
        <w:t>Behin betiko kredituak 1.177,05 milioi eurokoak izan ziren, eta ehuneko 82ko betetze-maila izan zuten. Diru-sarrera arrunten betetze-maila ehuneko 96koa izan zen, eta kapital-eragiketena, ehuneko 49koa.</w:t>
      </w:r>
    </w:p>
    <w:p w14:paraId="2A4B9DB4" w14:textId="5ACDC196" w:rsidR="0039394F" w:rsidRPr="003A115E" w:rsidRDefault="00E72E7F" w:rsidP="0039394F">
      <w:pPr>
        <w:pStyle w:val="texto"/>
        <w:spacing w:after="120"/>
      </w:pPr>
      <w:r>
        <w:t xml:space="preserve">2022ko guztizko gastua 964,66 milioi eurokoa izan zen, eta horietatik ehuneko 35 eta ehuneko 36, hurrenez hurren, langile-gastuei eta ondasun arrunt eta zerbitzuetan eginiko gastuari dagozkie. Bestalde, inbertsio errealen kapitulua guztizkoaren ehuneko 16 da. </w:t>
      </w:r>
    </w:p>
    <w:p w14:paraId="454E04A8" w14:textId="5F1AB38D" w:rsidR="007C6CA5" w:rsidRPr="003A115E" w:rsidRDefault="0039394F" w:rsidP="7A999140">
      <w:pPr>
        <w:pStyle w:val="texto"/>
        <w:spacing w:after="120"/>
      </w:pPr>
      <w:r>
        <w:t xml:space="preserve">Guztizko gastu hori ehuneko 8 igo da aurreko ekitaldiarekin alderatuta; hau da, 73 milioi. Hazkunde hori, batez ere, ondasun arrunt eta zerbitzuetan eta langilerian izandako gastu-igoerengatik gertatu da, 58,96 eta 16,09 milioi igo baitira, hurrenez hurren. </w:t>
      </w:r>
    </w:p>
    <w:p w14:paraId="0D5CAAD2" w14:textId="4ED5D1CA" w:rsidR="0039394F" w:rsidRPr="003A115E" w:rsidRDefault="0030429A" w:rsidP="0039394F">
      <w:pPr>
        <w:pStyle w:val="texto"/>
        <w:spacing w:after="120"/>
      </w:pPr>
      <w:r>
        <w:t>Ondasun arrunt eta zerbitzuetako gastua ehuneko 20 igo da 2021ekoarekin alderatuta; batez ere, honakoarengatik:</w:t>
      </w:r>
    </w:p>
    <w:p w14:paraId="48ABF30B" w14:textId="0A8F584B" w:rsidR="0076645A" w:rsidRPr="003A115E" w:rsidRDefault="0076645A"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Kulturako gastuak 22,5 milioiko gorakada izateagatik, pandemiaren ondoren berreskuraturiko herrietako jaiak ospatzearen ondoriozkoak.</w:t>
      </w:r>
    </w:p>
    <w:p w14:paraId="309584B7" w14:textId="4E299164" w:rsidR="00884240" w:rsidRPr="003A115E" w:rsidRDefault="00884240" w:rsidP="00224357">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lastRenderedPageBreak/>
        <w:t>Energia-kostuek 21 milioiko gorakada izateagatik.</w:t>
      </w:r>
    </w:p>
    <w:p w14:paraId="3C92BE06" w14:textId="6ABADB19" w:rsidR="002A4BE9" w:rsidRPr="003A115E" w:rsidRDefault="34CD8A04" w:rsidP="31020D79">
      <w:pPr>
        <w:pStyle w:val="texto"/>
      </w:pPr>
      <w:r>
        <w:t xml:space="preserve">Guztizko gastuetatik, ehuneko 84 udalei dagokie, ehuneko 15 mankomunitate eta batasunei, eta gainerako ehuneko 2a, kontzejuei. Banaketa hori aurreko ekitaldikoaren antzekoa da. </w:t>
      </w:r>
    </w:p>
    <w:p w14:paraId="581D46E4" w14:textId="5360F317" w:rsidR="002A4BE9" w:rsidRPr="003A115E" w:rsidRDefault="002A4BE9" w:rsidP="00E72E7F">
      <w:pPr>
        <w:pStyle w:val="texto"/>
        <w:spacing w:after="0"/>
      </w:pPr>
      <w:r>
        <w:t>Ondorengo taulan gastu bateratuaren sailkapen funtzionala</w:t>
      </w:r>
      <w:r w:rsidR="006200D2" w:rsidRPr="003A115E">
        <w:rPr>
          <w:rStyle w:val="Refdenotaalpie"/>
        </w:rPr>
        <w:footnoteReference w:id="7"/>
      </w:r>
      <w:r>
        <w:t xml:space="preserve"> eta horrek aurreko ekitaldiarekiko izandako bilakaera ageri dira. </w:t>
      </w:r>
    </w:p>
    <w:p w14:paraId="186F49F4" w14:textId="269885DB" w:rsidR="00473AEF" w:rsidRPr="003A115E" w:rsidRDefault="001D196E" w:rsidP="007C3208">
      <w:pPr>
        <w:pStyle w:val="texto"/>
        <w:spacing w:after="40"/>
        <w:jc w:val="right"/>
        <w:rPr>
          <w:rFonts w:ascii="Arial Narrow" w:hAnsi="Arial Narrow"/>
          <w:sz w:val="18"/>
          <w:szCs w:val="18"/>
        </w:rPr>
      </w:pPr>
      <w:r>
        <w:rPr>
          <w:rFonts w:ascii="Arial Narrow" w:hAnsi="Arial Narrow"/>
          <w:sz w:val="18"/>
        </w:rPr>
        <w:t>(milioiak)</w:t>
      </w:r>
    </w:p>
    <w:tbl>
      <w:tblPr>
        <w:tblW w:w="5000" w:type="pct"/>
        <w:tblCellMar>
          <w:left w:w="70" w:type="dxa"/>
          <w:right w:w="70" w:type="dxa"/>
        </w:tblCellMar>
        <w:tblLook w:val="04A0" w:firstRow="1" w:lastRow="0" w:firstColumn="1" w:lastColumn="0" w:noHBand="0" w:noVBand="1"/>
      </w:tblPr>
      <w:tblGrid>
        <w:gridCol w:w="2941"/>
        <w:gridCol w:w="1244"/>
        <w:gridCol w:w="856"/>
        <w:gridCol w:w="949"/>
        <w:gridCol w:w="949"/>
        <w:gridCol w:w="949"/>
        <w:gridCol w:w="900"/>
      </w:tblGrid>
      <w:tr w:rsidR="000A742F" w:rsidRPr="003A115E" w14:paraId="56FC8B20" w14:textId="77777777" w:rsidTr="005F3A0D">
        <w:trPr>
          <w:trHeight w:val="255"/>
        </w:trPr>
        <w:tc>
          <w:tcPr>
            <w:tcW w:w="1673"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4C1FEAAA" w14:textId="77777777" w:rsidR="00473AEF" w:rsidRPr="003A115E" w:rsidRDefault="00473AEF" w:rsidP="00016EF5">
            <w:pPr>
              <w:pStyle w:val="cuadroCabe"/>
            </w:pPr>
            <w:r>
              <w:t>Gastu-politika</w:t>
            </w:r>
          </w:p>
        </w:tc>
        <w:tc>
          <w:tcPr>
            <w:tcW w:w="708"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37291109" w14:textId="77777777" w:rsidR="00367BA4" w:rsidRDefault="00473AEF" w:rsidP="00016EF5">
            <w:pPr>
              <w:pStyle w:val="cuadroCabe"/>
              <w:jc w:val="right"/>
            </w:pPr>
            <w:r>
              <w:t>Sozietateekin bateratu gabe</w:t>
            </w:r>
          </w:p>
          <w:p w14:paraId="7F7A53F2" w14:textId="6927CE7A" w:rsidR="00473AEF" w:rsidRPr="003A115E" w:rsidRDefault="00473AEF" w:rsidP="00016EF5">
            <w:pPr>
              <w:pStyle w:val="cuadroCabe"/>
              <w:jc w:val="right"/>
            </w:pPr>
            <w:r>
              <w:t xml:space="preserve"> </w:t>
            </w:r>
          </w:p>
        </w:tc>
        <w:tc>
          <w:tcPr>
            <w:tcW w:w="487"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12F3631A" w14:textId="77777777" w:rsidR="00473AEF" w:rsidRPr="003A115E" w:rsidRDefault="00473AEF" w:rsidP="00016EF5">
            <w:pPr>
              <w:pStyle w:val="cuadroCabe"/>
              <w:jc w:val="right"/>
            </w:pPr>
            <w:r>
              <w:t>Bateratzearen eragina</w:t>
            </w:r>
          </w:p>
        </w:tc>
        <w:tc>
          <w:tcPr>
            <w:tcW w:w="2132" w:type="pct"/>
            <w:gridSpan w:val="4"/>
            <w:tcBorders>
              <w:top w:val="single" w:sz="4" w:space="0" w:color="auto"/>
              <w:left w:val="nil"/>
              <w:bottom w:val="single" w:sz="4" w:space="0" w:color="auto"/>
              <w:right w:val="nil"/>
            </w:tcBorders>
            <w:shd w:val="clear" w:color="auto" w:fill="FABF8F" w:themeFill="accent6" w:themeFillTint="99"/>
            <w:vAlign w:val="center"/>
            <w:hideMark/>
          </w:tcPr>
          <w:p w14:paraId="1E2D9D69" w14:textId="77777777" w:rsidR="00473AEF" w:rsidRPr="003A115E" w:rsidRDefault="00473AEF" w:rsidP="00016EF5">
            <w:pPr>
              <w:pStyle w:val="cuadroCabe"/>
              <w:jc w:val="right"/>
            </w:pPr>
            <w:r>
              <w:t>Sozietateekin bateratuta</w:t>
            </w:r>
          </w:p>
        </w:tc>
      </w:tr>
      <w:tr w:rsidR="000A742F" w:rsidRPr="003A115E" w14:paraId="5A81808F" w14:textId="77777777" w:rsidTr="005F3A0D">
        <w:trPr>
          <w:trHeight w:val="255"/>
        </w:trPr>
        <w:tc>
          <w:tcPr>
            <w:tcW w:w="1673" w:type="pct"/>
            <w:vMerge/>
            <w:tcBorders>
              <w:bottom w:val="single" w:sz="4" w:space="0" w:color="auto"/>
            </w:tcBorders>
            <w:shd w:val="clear" w:color="auto" w:fill="FABF8F" w:themeFill="accent6" w:themeFillTint="99"/>
            <w:vAlign w:val="center"/>
            <w:hideMark/>
          </w:tcPr>
          <w:p w14:paraId="31723D7E" w14:textId="77777777" w:rsidR="00473AEF" w:rsidRPr="003A115E" w:rsidRDefault="00473AEF" w:rsidP="00EF4584">
            <w:pPr>
              <w:rPr>
                <w:rFonts w:ascii="Arial Narrow" w:hAnsi="Arial Narrow" w:cs="Calibri"/>
                <w:sz w:val="16"/>
                <w:szCs w:val="16"/>
              </w:rPr>
            </w:pPr>
          </w:p>
        </w:tc>
        <w:tc>
          <w:tcPr>
            <w:tcW w:w="708" w:type="pct"/>
            <w:vMerge/>
            <w:tcBorders>
              <w:bottom w:val="single" w:sz="4" w:space="0" w:color="auto"/>
            </w:tcBorders>
            <w:shd w:val="clear" w:color="auto" w:fill="FABF8F" w:themeFill="accent6" w:themeFillTint="99"/>
            <w:vAlign w:val="center"/>
            <w:hideMark/>
          </w:tcPr>
          <w:p w14:paraId="06ADCFB6" w14:textId="77777777" w:rsidR="00473AEF" w:rsidRPr="003A115E" w:rsidRDefault="00473AEF" w:rsidP="00016EF5">
            <w:pPr>
              <w:jc w:val="right"/>
              <w:rPr>
                <w:rFonts w:ascii="Arial Narrow" w:hAnsi="Arial Narrow" w:cs="Calibri"/>
                <w:sz w:val="16"/>
                <w:szCs w:val="16"/>
              </w:rPr>
            </w:pPr>
          </w:p>
        </w:tc>
        <w:tc>
          <w:tcPr>
            <w:tcW w:w="487" w:type="pct"/>
            <w:vMerge/>
            <w:tcBorders>
              <w:bottom w:val="single" w:sz="4" w:space="0" w:color="auto"/>
            </w:tcBorders>
            <w:shd w:val="clear" w:color="auto" w:fill="FABF8F" w:themeFill="accent6" w:themeFillTint="99"/>
            <w:vAlign w:val="center"/>
            <w:hideMark/>
          </w:tcPr>
          <w:p w14:paraId="550630CA" w14:textId="77777777" w:rsidR="00473AEF" w:rsidRPr="003A115E" w:rsidRDefault="00473AEF" w:rsidP="00016EF5">
            <w:pPr>
              <w:jc w:val="right"/>
              <w:rPr>
                <w:rFonts w:ascii="Arial Narrow" w:hAnsi="Arial Narrow" w:cs="Calibri"/>
                <w:sz w:val="16"/>
                <w:szCs w:val="16"/>
              </w:rPr>
            </w:pP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98A8DA5" w14:textId="77777777" w:rsidR="00473AEF" w:rsidRPr="003A115E" w:rsidRDefault="00473AEF" w:rsidP="00016EF5">
            <w:pPr>
              <w:jc w:val="right"/>
              <w:rPr>
                <w:rFonts w:ascii="Arial Narrow" w:hAnsi="Arial Narrow" w:cs="Calibri"/>
                <w:sz w:val="16"/>
                <w:szCs w:val="16"/>
              </w:rPr>
            </w:pPr>
            <w:r>
              <w:rPr>
                <w:rFonts w:ascii="Arial Narrow" w:hAnsi="Arial Narrow"/>
                <w:sz w:val="16"/>
              </w:rPr>
              <w:t>Gastuak 2022</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4D463D92" w14:textId="77777777" w:rsidR="005A63AE" w:rsidRPr="003A115E" w:rsidRDefault="00473AEF" w:rsidP="00016EF5">
            <w:pPr>
              <w:jc w:val="right"/>
              <w:rPr>
                <w:rFonts w:ascii="Arial Narrow" w:hAnsi="Arial Narrow" w:cs="Calibri"/>
                <w:sz w:val="16"/>
                <w:szCs w:val="16"/>
              </w:rPr>
            </w:pPr>
            <w:r>
              <w:rPr>
                <w:rFonts w:ascii="Arial Narrow" w:hAnsi="Arial Narrow"/>
                <w:sz w:val="16"/>
              </w:rPr>
              <w:t xml:space="preserve">%, gastu guztien gainean </w:t>
            </w:r>
          </w:p>
          <w:p w14:paraId="0368F219" w14:textId="644885EA" w:rsidR="00473AEF" w:rsidRPr="003A115E" w:rsidRDefault="00473AEF" w:rsidP="00016EF5">
            <w:pPr>
              <w:jc w:val="right"/>
              <w:rPr>
                <w:rFonts w:ascii="Arial Narrow" w:hAnsi="Arial Narrow" w:cs="Calibri"/>
                <w:sz w:val="16"/>
                <w:szCs w:val="16"/>
              </w:rPr>
            </w:pP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C1C65EC" w14:textId="77777777" w:rsidR="00473AEF" w:rsidRPr="003A115E" w:rsidRDefault="00473AEF" w:rsidP="00016EF5">
            <w:pPr>
              <w:jc w:val="right"/>
              <w:rPr>
                <w:rFonts w:ascii="Arial Narrow" w:hAnsi="Arial Narrow" w:cs="Calibri"/>
                <w:sz w:val="16"/>
                <w:szCs w:val="16"/>
              </w:rPr>
            </w:pPr>
            <w:r>
              <w:rPr>
                <w:rFonts w:ascii="Arial Narrow" w:hAnsi="Arial Narrow"/>
                <w:sz w:val="16"/>
              </w:rPr>
              <w:t>Ald. abs. vs. 2021</w:t>
            </w:r>
          </w:p>
        </w:tc>
        <w:tc>
          <w:tcPr>
            <w:tcW w:w="512" w:type="pct"/>
            <w:tcBorders>
              <w:top w:val="single" w:sz="4" w:space="0" w:color="auto"/>
              <w:left w:val="nil"/>
              <w:bottom w:val="single" w:sz="4" w:space="0" w:color="auto"/>
              <w:right w:val="nil"/>
            </w:tcBorders>
            <w:shd w:val="clear" w:color="auto" w:fill="FABF8F" w:themeFill="accent6" w:themeFillTint="99"/>
            <w:vAlign w:val="center"/>
            <w:hideMark/>
          </w:tcPr>
          <w:p w14:paraId="187EFB75" w14:textId="77777777" w:rsidR="00473AEF" w:rsidRPr="003A115E" w:rsidRDefault="00473AEF" w:rsidP="00016EF5">
            <w:pPr>
              <w:jc w:val="right"/>
              <w:rPr>
                <w:rFonts w:ascii="Arial Narrow" w:hAnsi="Arial Narrow" w:cs="Calibri"/>
                <w:sz w:val="16"/>
                <w:szCs w:val="16"/>
              </w:rPr>
            </w:pPr>
            <w:r>
              <w:rPr>
                <w:rFonts w:ascii="Arial Narrow" w:hAnsi="Arial Narrow"/>
                <w:sz w:val="16"/>
              </w:rPr>
              <w:t>2022 vs 2021 ald. (%)</w:t>
            </w:r>
          </w:p>
        </w:tc>
      </w:tr>
      <w:tr w:rsidR="000A742F" w:rsidRPr="003A115E" w14:paraId="67052DD5" w14:textId="77777777" w:rsidTr="00326F20">
        <w:trPr>
          <w:trHeight w:val="198"/>
        </w:trPr>
        <w:tc>
          <w:tcPr>
            <w:tcW w:w="1673" w:type="pct"/>
            <w:tcBorders>
              <w:top w:val="single" w:sz="4" w:space="0" w:color="auto"/>
              <w:left w:val="nil"/>
              <w:bottom w:val="single" w:sz="2" w:space="0" w:color="auto"/>
              <w:right w:val="nil"/>
            </w:tcBorders>
            <w:shd w:val="clear" w:color="auto" w:fill="auto"/>
            <w:vAlign w:val="center"/>
            <w:hideMark/>
          </w:tcPr>
          <w:p w14:paraId="352DCB9C" w14:textId="77777777" w:rsidR="00473AEF" w:rsidRPr="003A115E" w:rsidRDefault="00473AEF" w:rsidP="00016EF5">
            <w:pPr>
              <w:pStyle w:val="cuatexto"/>
            </w:pPr>
            <w:r>
              <w:t>Ongizate komunitarioa</w:t>
            </w:r>
          </w:p>
        </w:tc>
        <w:tc>
          <w:tcPr>
            <w:tcW w:w="708" w:type="pct"/>
            <w:tcBorders>
              <w:top w:val="single" w:sz="4" w:space="0" w:color="auto"/>
              <w:left w:val="nil"/>
              <w:bottom w:val="single" w:sz="2" w:space="0" w:color="auto"/>
              <w:right w:val="nil"/>
            </w:tcBorders>
            <w:shd w:val="clear" w:color="auto" w:fill="auto"/>
            <w:vAlign w:val="center"/>
            <w:hideMark/>
          </w:tcPr>
          <w:p w14:paraId="38E8FB76" w14:textId="77777777" w:rsidR="00473AEF" w:rsidRPr="003A115E" w:rsidRDefault="00473AEF" w:rsidP="00016EF5">
            <w:pPr>
              <w:pStyle w:val="cuatexto"/>
              <w:jc w:val="right"/>
            </w:pPr>
            <w:r>
              <w:t>130,49</w:t>
            </w:r>
          </w:p>
        </w:tc>
        <w:tc>
          <w:tcPr>
            <w:tcW w:w="487" w:type="pct"/>
            <w:tcBorders>
              <w:top w:val="single" w:sz="4" w:space="0" w:color="auto"/>
              <w:left w:val="nil"/>
              <w:bottom w:val="single" w:sz="2" w:space="0" w:color="auto"/>
              <w:right w:val="nil"/>
            </w:tcBorders>
            <w:shd w:val="clear" w:color="auto" w:fill="auto"/>
            <w:vAlign w:val="center"/>
            <w:hideMark/>
          </w:tcPr>
          <w:p w14:paraId="5D03A4E6" w14:textId="77777777" w:rsidR="00473AEF" w:rsidRPr="003A115E" w:rsidRDefault="00473AEF" w:rsidP="00016EF5">
            <w:pPr>
              <w:pStyle w:val="cuatexto"/>
              <w:jc w:val="right"/>
            </w:pPr>
            <w:r>
              <w:t>80,64</w:t>
            </w:r>
          </w:p>
        </w:tc>
        <w:tc>
          <w:tcPr>
            <w:tcW w:w="540" w:type="pct"/>
            <w:tcBorders>
              <w:top w:val="nil"/>
              <w:left w:val="nil"/>
              <w:bottom w:val="single" w:sz="2" w:space="0" w:color="auto"/>
              <w:right w:val="nil"/>
            </w:tcBorders>
            <w:shd w:val="clear" w:color="auto" w:fill="auto"/>
            <w:vAlign w:val="center"/>
            <w:hideMark/>
          </w:tcPr>
          <w:p w14:paraId="6FD9ECE2" w14:textId="77777777" w:rsidR="00473AEF" w:rsidRPr="003A115E" w:rsidRDefault="00473AEF" w:rsidP="00016EF5">
            <w:pPr>
              <w:pStyle w:val="cuatexto"/>
              <w:jc w:val="right"/>
            </w:pPr>
            <w:r>
              <w:t>211,13</w:t>
            </w:r>
          </w:p>
        </w:tc>
        <w:tc>
          <w:tcPr>
            <w:tcW w:w="540" w:type="pct"/>
            <w:tcBorders>
              <w:top w:val="nil"/>
              <w:left w:val="nil"/>
              <w:bottom w:val="single" w:sz="2" w:space="0" w:color="auto"/>
              <w:right w:val="nil"/>
            </w:tcBorders>
            <w:shd w:val="clear" w:color="auto" w:fill="auto"/>
            <w:vAlign w:val="center"/>
            <w:hideMark/>
          </w:tcPr>
          <w:p w14:paraId="1661986F" w14:textId="77777777" w:rsidR="00473AEF" w:rsidRPr="003A115E" w:rsidRDefault="00473AEF" w:rsidP="00016EF5">
            <w:pPr>
              <w:pStyle w:val="cuatexto"/>
              <w:jc w:val="right"/>
            </w:pPr>
            <w:r>
              <w:t>20</w:t>
            </w:r>
          </w:p>
        </w:tc>
        <w:tc>
          <w:tcPr>
            <w:tcW w:w="540" w:type="pct"/>
            <w:tcBorders>
              <w:top w:val="nil"/>
              <w:left w:val="nil"/>
              <w:bottom w:val="single" w:sz="2" w:space="0" w:color="auto"/>
              <w:right w:val="nil"/>
            </w:tcBorders>
            <w:shd w:val="clear" w:color="auto" w:fill="auto"/>
            <w:vAlign w:val="center"/>
            <w:hideMark/>
          </w:tcPr>
          <w:p w14:paraId="39219764" w14:textId="77777777" w:rsidR="00473AEF" w:rsidRPr="003A115E" w:rsidRDefault="00473AEF" w:rsidP="00016EF5">
            <w:pPr>
              <w:pStyle w:val="cuatexto"/>
              <w:jc w:val="right"/>
            </w:pPr>
            <w:r>
              <w:t>21,94</w:t>
            </w:r>
          </w:p>
        </w:tc>
        <w:tc>
          <w:tcPr>
            <w:tcW w:w="512" w:type="pct"/>
            <w:tcBorders>
              <w:top w:val="nil"/>
              <w:left w:val="nil"/>
              <w:bottom w:val="single" w:sz="2" w:space="0" w:color="auto"/>
              <w:right w:val="nil"/>
            </w:tcBorders>
            <w:shd w:val="clear" w:color="auto" w:fill="auto"/>
            <w:vAlign w:val="center"/>
            <w:hideMark/>
          </w:tcPr>
          <w:p w14:paraId="58B9B297" w14:textId="77777777" w:rsidR="00473AEF" w:rsidRPr="003A115E" w:rsidRDefault="00473AEF" w:rsidP="00016EF5">
            <w:pPr>
              <w:pStyle w:val="cuatexto"/>
              <w:jc w:val="right"/>
            </w:pPr>
            <w:r>
              <w:t>12</w:t>
            </w:r>
          </w:p>
        </w:tc>
      </w:tr>
      <w:tr w:rsidR="000A742F" w:rsidRPr="003A115E" w14:paraId="08A63A72"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4CBC428F" w14:textId="77777777" w:rsidR="00473AEF" w:rsidRPr="003A115E" w:rsidRDefault="00473AEF" w:rsidP="00016EF5">
            <w:pPr>
              <w:pStyle w:val="cuatexto"/>
            </w:pPr>
            <w:r>
              <w:t>Zerbitzu orokorrak</w:t>
            </w:r>
          </w:p>
        </w:tc>
        <w:tc>
          <w:tcPr>
            <w:tcW w:w="708" w:type="pct"/>
            <w:tcBorders>
              <w:top w:val="single" w:sz="2" w:space="0" w:color="auto"/>
              <w:left w:val="nil"/>
              <w:bottom w:val="single" w:sz="2" w:space="0" w:color="auto"/>
              <w:right w:val="nil"/>
            </w:tcBorders>
            <w:shd w:val="clear" w:color="auto" w:fill="auto"/>
            <w:vAlign w:val="center"/>
            <w:hideMark/>
          </w:tcPr>
          <w:p w14:paraId="6D523D4A" w14:textId="77777777" w:rsidR="00473AEF" w:rsidRPr="003A115E" w:rsidRDefault="00473AEF" w:rsidP="00016EF5">
            <w:pPr>
              <w:pStyle w:val="cuatexto"/>
              <w:jc w:val="right"/>
            </w:pPr>
            <w:r>
              <w:t>103,64</w:t>
            </w:r>
          </w:p>
        </w:tc>
        <w:tc>
          <w:tcPr>
            <w:tcW w:w="487" w:type="pct"/>
            <w:tcBorders>
              <w:top w:val="single" w:sz="2" w:space="0" w:color="auto"/>
              <w:left w:val="nil"/>
              <w:bottom w:val="single" w:sz="2" w:space="0" w:color="auto"/>
              <w:right w:val="nil"/>
            </w:tcBorders>
            <w:shd w:val="clear" w:color="auto" w:fill="auto"/>
            <w:vAlign w:val="center"/>
            <w:hideMark/>
          </w:tcPr>
          <w:p w14:paraId="07063BD1" w14:textId="77777777" w:rsidR="00473AEF" w:rsidRPr="003A115E" w:rsidRDefault="00473AEF" w:rsidP="00016EF5">
            <w:pPr>
              <w:pStyle w:val="cuatexto"/>
              <w:jc w:val="right"/>
            </w:pPr>
            <w:r>
              <w:t>11,84</w:t>
            </w:r>
          </w:p>
        </w:tc>
        <w:tc>
          <w:tcPr>
            <w:tcW w:w="540" w:type="pct"/>
            <w:tcBorders>
              <w:top w:val="single" w:sz="2" w:space="0" w:color="auto"/>
              <w:left w:val="nil"/>
              <w:bottom w:val="single" w:sz="2" w:space="0" w:color="auto"/>
              <w:right w:val="nil"/>
            </w:tcBorders>
            <w:shd w:val="clear" w:color="auto" w:fill="auto"/>
            <w:vAlign w:val="center"/>
            <w:hideMark/>
          </w:tcPr>
          <w:p w14:paraId="15318530" w14:textId="77777777" w:rsidR="00473AEF" w:rsidRPr="003A115E" w:rsidRDefault="00473AEF" w:rsidP="00016EF5">
            <w:pPr>
              <w:pStyle w:val="cuatexto"/>
              <w:jc w:val="right"/>
            </w:pPr>
            <w:r>
              <w:t>115,48</w:t>
            </w:r>
          </w:p>
        </w:tc>
        <w:tc>
          <w:tcPr>
            <w:tcW w:w="540" w:type="pct"/>
            <w:tcBorders>
              <w:top w:val="single" w:sz="2" w:space="0" w:color="auto"/>
              <w:left w:val="nil"/>
              <w:bottom w:val="single" w:sz="2" w:space="0" w:color="auto"/>
              <w:right w:val="nil"/>
            </w:tcBorders>
            <w:shd w:val="clear" w:color="auto" w:fill="auto"/>
            <w:vAlign w:val="center"/>
            <w:hideMark/>
          </w:tcPr>
          <w:p w14:paraId="27CF481F" w14:textId="77777777" w:rsidR="00473AEF" w:rsidRPr="003A115E" w:rsidRDefault="00473AEF" w:rsidP="00016EF5">
            <w:pPr>
              <w:pStyle w:val="cuatexto"/>
              <w:jc w:val="right"/>
            </w:pPr>
            <w:r>
              <w:t>11</w:t>
            </w:r>
          </w:p>
        </w:tc>
        <w:tc>
          <w:tcPr>
            <w:tcW w:w="540" w:type="pct"/>
            <w:tcBorders>
              <w:top w:val="single" w:sz="2" w:space="0" w:color="auto"/>
              <w:left w:val="nil"/>
              <w:bottom w:val="single" w:sz="2" w:space="0" w:color="auto"/>
              <w:right w:val="nil"/>
            </w:tcBorders>
            <w:shd w:val="clear" w:color="auto" w:fill="auto"/>
            <w:vAlign w:val="center"/>
            <w:hideMark/>
          </w:tcPr>
          <w:p w14:paraId="560EA441" w14:textId="77777777" w:rsidR="00473AEF" w:rsidRPr="003A115E" w:rsidRDefault="00473AEF" w:rsidP="00016EF5">
            <w:pPr>
              <w:pStyle w:val="cuatexto"/>
              <w:jc w:val="right"/>
            </w:pPr>
            <w:r>
              <w:t>3,37</w:t>
            </w:r>
          </w:p>
        </w:tc>
        <w:tc>
          <w:tcPr>
            <w:tcW w:w="512" w:type="pct"/>
            <w:tcBorders>
              <w:top w:val="single" w:sz="2" w:space="0" w:color="auto"/>
              <w:left w:val="nil"/>
              <w:bottom w:val="single" w:sz="2" w:space="0" w:color="auto"/>
              <w:right w:val="nil"/>
            </w:tcBorders>
            <w:shd w:val="clear" w:color="auto" w:fill="auto"/>
            <w:vAlign w:val="center"/>
            <w:hideMark/>
          </w:tcPr>
          <w:p w14:paraId="0AC02709" w14:textId="77777777" w:rsidR="00473AEF" w:rsidRPr="003A115E" w:rsidRDefault="00473AEF" w:rsidP="00016EF5">
            <w:pPr>
              <w:pStyle w:val="cuatexto"/>
              <w:jc w:val="right"/>
            </w:pPr>
            <w:r>
              <w:t>3</w:t>
            </w:r>
          </w:p>
        </w:tc>
      </w:tr>
      <w:tr w:rsidR="000A742F" w:rsidRPr="003A115E" w14:paraId="55804EEA"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C1CE767" w14:textId="77777777" w:rsidR="00473AEF" w:rsidRPr="003A115E" w:rsidRDefault="00473AEF" w:rsidP="00016EF5">
            <w:pPr>
              <w:pStyle w:val="cuatexto"/>
            </w:pPr>
            <w:r>
              <w:t>Hezkuntza</w:t>
            </w:r>
          </w:p>
        </w:tc>
        <w:tc>
          <w:tcPr>
            <w:tcW w:w="708" w:type="pct"/>
            <w:tcBorders>
              <w:top w:val="single" w:sz="2" w:space="0" w:color="auto"/>
              <w:left w:val="nil"/>
              <w:bottom w:val="single" w:sz="2" w:space="0" w:color="auto"/>
              <w:right w:val="nil"/>
            </w:tcBorders>
            <w:shd w:val="clear" w:color="auto" w:fill="auto"/>
            <w:vAlign w:val="center"/>
            <w:hideMark/>
          </w:tcPr>
          <w:p w14:paraId="2BE638E7" w14:textId="77777777" w:rsidR="00473AEF" w:rsidRPr="003A115E" w:rsidRDefault="00473AEF" w:rsidP="00016EF5">
            <w:pPr>
              <w:pStyle w:val="cuatexto"/>
              <w:jc w:val="right"/>
            </w:pPr>
            <w:r>
              <w:t>91,03</w:t>
            </w:r>
          </w:p>
        </w:tc>
        <w:tc>
          <w:tcPr>
            <w:tcW w:w="487" w:type="pct"/>
            <w:tcBorders>
              <w:top w:val="single" w:sz="2" w:space="0" w:color="auto"/>
              <w:left w:val="nil"/>
              <w:bottom w:val="single" w:sz="2" w:space="0" w:color="auto"/>
              <w:right w:val="nil"/>
            </w:tcBorders>
            <w:shd w:val="clear" w:color="auto" w:fill="auto"/>
            <w:vAlign w:val="center"/>
            <w:hideMark/>
          </w:tcPr>
          <w:p w14:paraId="3A21D1B5"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3E76D3C9" w14:textId="77777777" w:rsidR="00473AEF" w:rsidRPr="003A115E" w:rsidRDefault="00473AEF" w:rsidP="00016EF5">
            <w:pPr>
              <w:pStyle w:val="cuatexto"/>
              <w:jc w:val="right"/>
            </w:pPr>
            <w:r>
              <w:t>91,03</w:t>
            </w:r>
          </w:p>
        </w:tc>
        <w:tc>
          <w:tcPr>
            <w:tcW w:w="540" w:type="pct"/>
            <w:tcBorders>
              <w:top w:val="single" w:sz="2" w:space="0" w:color="auto"/>
              <w:left w:val="nil"/>
              <w:bottom w:val="single" w:sz="2" w:space="0" w:color="auto"/>
              <w:right w:val="nil"/>
            </w:tcBorders>
            <w:shd w:val="clear" w:color="auto" w:fill="auto"/>
            <w:vAlign w:val="center"/>
            <w:hideMark/>
          </w:tcPr>
          <w:p w14:paraId="6FA7A759" w14:textId="77777777" w:rsidR="00473AEF" w:rsidRPr="003A115E" w:rsidRDefault="00473AEF" w:rsidP="00016EF5">
            <w:pPr>
              <w:pStyle w:val="cuatexto"/>
              <w:jc w:val="right"/>
            </w:pPr>
            <w:r>
              <w:t>9</w:t>
            </w:r>
          </w:p>
        </w:tc>
        <w:tc>
          <w:tcPr>
            <w:tcW w:w="540" w:type="pct"/>
            <w:tcBorders>
              <w:top w:val="single" w:sz="2" w:space="0" w:color="auto"/>
              <w:left w:val="nil"/>
              <w:bottom w:val="single" w:sz="2" w:space="0" w:color="auto"/>
              <w:right w:val="nil"/>
            </w:tcBorders>
            <w:shd w:val="clear" w:color="auto" w:fill="auto"/>
            <w:vAlign w:val="center"/>
            <w:hideMark/>
          </w:tcPr>
          <w:p w14:paraId="0DCBFFAA" w14:textId="77777777" w:rsidR="00473AEF" w:rsidRPr="003A115E" w:rsidRDefault="00473AEF" w:rsidP="00016EF5">
            <w:pPr>
              <w:pStyle w:val="cuatexto"/>
              <w:jc w:val="right"/>
            </w:pPr>
            <w:r>
              <w:t>7,33</w:t>
            </w:r>
          </w:p>
        </w:tc>
        <w:tc>
          <w:tcPr>
            <w:tcW w:w="512" w:type="pct"/>
            <w:tcBorders>
              <w:top w:val="single" w:sz="2" w:space="0" w:color="auto"/>
              <w:left w:val="nil"/>
              <w:bottom w:val="single" w:sz="2" w:space="0" w:color="auto"/>
              <w:right w:val="nil"/>
            </w:tcBorders>
            <w:shd w:val="clear" w:color="auto" w:fill="auto"/>
            <w:vAlign w:val="center"/>
            <w:hideMark/>
          </w:tcPr>
          <w:p w14:paraId="661BD9D3" w14:textId="77777777" w:rsidR="00473AEF" w:rsidRPr="003A115E" w:rsidRDefault="00473AEF" w:rsidP="00016EF5">
            <w:pPr>
              <w:pStyle w:val="cuatexto"/>
              <w:jc w:val="right"/>
            </w:pPr>
            <w:r>
              <w:t>9</w:t>
            </w:r>
          </w:p>
        </w:tc>
      </w:tr>
      <w:tr w:rsidR="000A742F" w:rsidRPr="003A115E" w14:paraId="76D0DED2"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366049FD" w14:textId="77777777" w:rsidR="00473AEF" w:rsidRPr="003A115E" w:rsidRDefault="00473AEF" w:rsidP="00016EF5">
            <w:pPr>
              <w:pStyle w:val="cuatexto"/>
            </w:pPr>
            <w:r>
              <w:t>Etxebizitza eta hirigintza</w:t>
            </w:r>
          </w:p>
        </w:tc>
        <w:tc>
          <w:tcPr>
            <w:tcW w:w="708" w:type="pct"/>
            <w:tcBorders>
              <w:top w:val="single" w:sz="2" w:space="0" w:color="auto"/>
              <w:left w:val="nil"/>
              <w:bottom w:val="single" w:sz="2" w:space="0" w:color="auto"/>
              <w:right w:val="nil"/>
            </w:tcBorders>
            <w:shd w:val="clear" w:color="auto" w:fill="auto"/>
            <w:vAlign w:val="center"/>
            <w:hideMark/>
          </w:tcPr>
          <w:p w14:paraId="270346BA" w14:textId="77777777" w:rsidR="00473AEF" w:rsidRPr="003A115E" w:rsidRDefault="00473AEF" w:rsidP="00016EF5">
            <w:pPr>
              <w:pStyle w:val="cuatexto"/>
              <w:jc w:val="right"/>
            </w:pPr>
            <w:r>
              <w:t>83,90</w:t>
            </w:r>
          </w:p>
        </w:tc>
        <w:tc>
          <w:tcPr>
            <w:tcW w:w="487" w:type="pct"/>
            <w:tcBorders>
              <w:top w:val="single" w:sz="2" w:space="0" w:color="auto"/>
              <w:left w:val="nil"/>
              <w:bottom w:val="single" w:sz="2" w:space="0" w:color="auto"/>
              <w:right w:val="nil"/>
            </w:tcBorders>
            <w:shd w:val="clear" w:color="auto" w:fill="auto"/>
            <w:vAlign w:val="center"/>
            <w:hideMark/>
          </w:tcPr>
          <w:p w14:paraId="43BD22EA"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49F14093" w14:textId="77777777" w:rsidR="00473AEF" w:rsidRPr="003A115E" w:rsidRDefault="00473AEF" w:rsidP="00016EF5">
            <w:pPr>
              <w:pStyle w:val="cuatexto"/>
              <w:jc w:val="right"/>
            </w:pPr>
            <w:r>
              <w:t>83,90</w:t>
            </w:r>
          </w:p>
        </w:tc>
        <w:tc>
          <w:tcPr>
            <w:tcW w:w="540" w:type="pct"/>
            <w:tcBorders>
              <w:top w:val="single" w:sz="2" w:space="0" w:color="auto"/>
              <w:left w:val="nil"/>
              <w:bottom w:val="single" w:sz="2" w:space="0" w:color="auto"/>
              <w:right w:val="nil"/>
            </w:tcBorders>
            <w:shd w:val="clear" w:color="auto" w:fill="auto"/>
            <w:vAlign w:val="center"/>
            <w:hideMark/>
          </w:tcPr>
          <w:p w14:paraId="474731E0" w14:textId="77777777" w:rsidR="00473AEF" w:rsidRPr="003A115E" w:rsidRDefault="00473AEF" w:rsidP="00016EF5">
            <w:pPr>
              <w:pStyle w:val="cuatexto"/>
              <w:jc w:val="right"/>
            </w:pPr>
            <w:r>
              <w:t>8</w:t>
            </w:r>
          </w:p>
        </w:tc>
        <w:tc>
          <w:tcPr>
            <w:tcW w:w="540" w:type="pct"/>
            <w:tcBorders>
              <w:top w:val="single" w:sz="2" w:space="0" w:color="auto"/>
              <w:left w:val="nil"/>
              <w:bottom w:val="single" w:sz="2" w:space="0" w:color="auto"/>
              <w:right w:val="nil"/>
            </w:tcBorders>
            <w:shd w:val="clear" w:color="auto" w:fill="auto"/>
            <w:vAlign w:val="center"/>
            <w:hideMark/>
          </w:tcPr>
          <w:p w14:paraId="11513C7D" w14:textId="77777777" w:rsidR="00473AEF" w:rsidRPr="003A115E" w:rsidRDefault="00473AEF" w:rsidP="00016EF5">
            <w:pPr>
              <w:pStyle w:val="cuatexto"/>
              <w:jc w:val="right"/>
            </w:pPr>
            <w:r>
              <w:t>2,62</w:t>
            </w:r>
          </w:p>
        </w:tc>
        <w:tc>
          <w:tcPr>
            <w:tcW w:w="512" w:type="pct"/>
            <w:tcBorders>
              <w:top w:val="single" w:sz="2" w:space="0" w:color="auto"/>
              <w:left w:val="nil"/>
              <w:bottom w:val="single" w:sz="2" w:space="0" w:color="auto"/>
              <w:right w:val="nil"/>
            </w:tcBorders>
            <w:shd w:val="clear" w:color="auto" w:fill="auto"/>
            <w:vAlign w:val="center"/>
            <w:hideMark/>
          </w:tcPr>
          <w:p w14:paraId="748A4047" w14:textId="77777777" w:rsidR="00473AEF" w:rsidRPr="003A115E" w:rsidRDefault="00473AEF" w:rsidP="00016EF5">
            <w:pPr>
              <w:pStyle w:val="cuatexto"/>
              <w:jc w:val="right"/>
            </w:pPr>
            <w:r>
              <w:t>3</w:t>
            </w:r>
          </w:p>
        </w:tc>
      </w:tr>
      <w:tr w:rsidR="000A742F" w:rsidRPr="003A115E" w14:paraId="0C9A79C0"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46012862" w14:textId="1A22348C" w:rsidR="00473AEF" w:rsidRPr="003A115E" w:rsidRDefault="00E3265B" w:rsidP="00E3265B">
            <w:pPr>
              <w:pStyle w:val="cuatexto"/>
            </w:pPr>
            <w:r>
              <w:t>Gizarte-zerbitzuak eta gizarte-sustapena</w:t>
            </w:r>
          </w:p>
        </w:tc>
        <w:tc>
          <w:tcPr>
            <w:tcW w:w="708" w:type="pct"/>
            <w:tcBorders>
              <w:top w:val="single" w:sz="2" w:space="0" w:color="auto"/>
              <w:left w:val="nil"/>
              <w:bottom w:val="single" w:sz="2" w:space="0" w:color="auto"/>
              <w:right w:val="nil"/>
            </w:tcBorders>
            <w:shd w:val="clear" w:color="auto" w:fill="auto"/>
            <w:vAlign w:val="center"/>
            <w:hideMark/>
          </w:tcPr>
          <w:p w14:paraId="35770873" w14:textId="77777777" w:rsidR="00473AEF" w:rsidRPr="003A115E" w:rsidRDefault="00473AEF" w:rsidP="00016EF5">
            <w:pPr>
              <w:pStyle w:val="cuatexto"/>
              <w:jc w:val="right"/>
            </w:pPr>
            <w:r>
              <w:t>82,83</w:t>
            </w:r>
          </w:p>
        </w:tc>
        <w:tc>
          <w:tcPr>
            <w:tcW w:w="487" w:type="pct"/>
            <w:tcBorders>
              <w:top w:val="single" w:sz="2" w:space="0" w:color="auto"/>
              <w:left w:val="nil"/>
              <w:bottom w:val="single" w:sz="2" w:space="0" w:color="auto"/>
              <w:right w:val="nil"/>
            </w:tcBorders>
            <w:shd w:val="clear" w:color="auto" w:fill="auto"/>
            <w:vAlign w:val="center"/>
            <w:hideMark/>
          </w:tcPr>
          <w:p w14:paraId="328BFD3E"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3F7F08B8" w14:textId="77777777" w:rsidR="00473AEF" w:rsidRPr="003A115E" w:rsidRDefault="00473AEF" w:rsidP="00016EF5">
            <w:pPr>
              <w:pStyle w:val="cuatexto"/>
              <w:jc w:val="right"/>
            </w:pPr>
            <w:r>
              <w:t>82,83</w:t>
            </w:r>
          </w:p>
        </w:tc>
        <w:tc>
          <w:tcPr>
            <w:tcW w:w="540" w:type="pct"/>
            <w:tcBorders>
              <w:top w:val="single" w:sz="2" w:space="0" w:color="auto"/>
              <w:left w:val="nil"/>
              <w:bottom w:val="single" w:sz="2" w:space="0" w:color="auto"/>
              <w:right w:val="nil"/>
            </w:tcBorders>
            <w:shd w:val="clear" w:color="auto" w:fill="auto"/>
            <w:vAlign w:val="center"/>
            <w:hideMark/>
          </w:tcPr>
          <w:p w14:paraId="077E427B" w14:textId="77777777" w:rsidR="00473AEF" w:rsidRPr="003A115E" w:rsidRDefault="00473AEF" w:rsidP="00016EF5">
            <w:pPr>
              <w:pStyle w:val="cuatexto"/>
              <w:jc w:val="right"/>
            </w:pPr>
            <w:r>
              <w:t>8</w:t>
            </w:r>
          </w:p>
        </w:tc>
        <w:tc>
          <w:tcPr>
            <w:tcW w:w="540" w:type="pct"/>
            <w:tcBorders>
              <w:top w:val="single" w:sz="2" w:space="0" w:color="auto"/>
              <w:left w:val="nil"/>
              <w:bottom w:val="single" w:sz="2" w:space="0" w:color="auto"/>
              <w:right w:val="nil"/>
            </w:tcBorders>
            <w:shd w:val="clear" w:color="auto" w:fill="auto"/>
            <w:vAlign w:val="center"/>
            <w:hideMark/>
          </w:tcPr>
          <w:p w14:paraId="11C90EAD" w14:textId="77777777" w:rsidR="00473AEF" w:rsidRPr="003A115E" w:rsidRDefault="00473AEF" w:rsidP="00016EF5">
            <w:pPr>
              <w:pStyle w:val="cuatexto"/>
              <w:jc w:val="right"/>
            </w:pPr>
            <w:r>
              <w:t>2,84</w:t>
            </w:r>
          </w:p>
        </w:tc>
        <w:tc>
          <w:tcPr>
            <w:tcW w:w="512" w:type="pct"/>
            <w:tcBorders>
              <w:top w:val="single" w:sz="2" w:space="0" w:color="auto"/>
              <w:left w:val="nil"/>
              <w:bottom w:val="single" w:sz="2" w:space="0" w:color="auto"/>
              <w:right w:val="nil"/>
            </w:tcBorders>
            <w:shd w:val="clear" w:color="auto" w:fill="auto"/>
            <w:vAlign w:val="center"/>
            <w:hideMark/>
          </w:tcPr>
          <w:p w14:paraId="6944B9D8" w14:textId="77777777" w:rsidR="00473AEF" w:rsidRPr="003A115E" w:rsidRDefault="00473AEF" w:rsidP="00016EF5">
            <w:pPr>
              <w:pStyle w:val="cuatexto"/>
              <w:jc w:val="right"/>
            </w:pPr>
            <w:r>
              <w:t>4</w:t>
            </w:r>
          </w:p>
        </w:tc>
      </w:tr>
      <w:tr w:rsidR="000A742F" w:rsidRPr="003A115E" w14:paraId="05182DB4"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1D3D6BE8" w14:textId="77777777" w:rsidR="00473AEF" w:rsidRPr="003A115E" w:rsidRDefault="00473AEF" w:rsidP="00016EF5">
            <w:pPr>
              <w:pStyle w:val="cuatexto"/>
            </w:pPr>
            <w:r>
              <w:t>Kultura</w:t>
            </w:r>
          </w:p>
        </w:tc>
        <w:tc>
          <w:tcPr>
            <w:tcW w:w="708" w:type="pct"/>
            <w:tcBorders>
              <w:top w:val="single" w:sz="2" w:space="0" w:color="auto"/>
              <w:left w:val="nil"/>
              <w:bottom w:val="single" w:sz="2" w:space="0" w:color="auto"/>
              <w:right w:val="nil"/>
            </w:tcBorders>
            <w:shd w:val="clear" w:color="auto" w:fill="auto"/>
            <w:vAlign w:val="center"/>
            <w:hideMark/>
          </w:tcPr>
          <w:p w14:paraId="58615CC0" w14:textId="77777777" w:rsidR="00473AEF" w:rsidRPr="003A115E" w:rsidRDefault="00473AEF" w:rsidP="00016EF5">
            <w:pPr>
              <w:pStyle w:val="cuatexto"/>
              <w:jc w:val="right"/>
            </w:pPr>
            <w:r>
              <w:t>78,67</w:t>
            </w:r>
          </w:p>
        </w:tc>
        <w:tc>
          <w:tcPr>
            <w:tcW w:w="487" w:type="pct"/>
            <w:tcBorders>
              <w:top w:val="single" w:sz="2" w:space="0" w:color="auto"/>
              <w:left w:val="nil"/>
              <w:bottom w:val="single" w:sz="2" w:space="0" w:color="auto"/>
              <w:right w:val="nil"/>
            </w:tcBorders>
            <w:shd w:val="clear" w:color="auto" w:fill="auto"/>
            <w:vAlign w:val="center"/>
            <w:hideMark/>
          </w:tcPr>
          <w:p w14:paraId="2A3017CE"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120DFC73" w14:textId="77777777" w:rsidR="00473AEF" w:rsidRPr="003A115E" w:rsidRDefault="00473AEF" w:rsidP="00016EF5">
            <w:pPr>
              <w:pStyle w:val="cuatexto"/>
              <w:jc w:val="right"/>
            </w:pPr>
            <w:r>
              <w:t>78,67</w:t>
            </w:r>
          </w:p>
        </w:tc>
        <w:tc>
          <w:tcPr>
            <w:tcW w:w="540" w:type="pct"/>
            <w:tcBorders>
              <w:top w:val="single" w:sz="2" w:space="0" w:color="auto"/>
              <w:left w:val="nil"/>
              <w:bottom w:val="single" w:sz="2" w:space="0" w:color="auto"/>
              <w:right w:val="nil"/>
            </w:tcBorders>
            <w:shd w:val="clear" w:color="auto" w:fill="auto"/>
            <w:vAlign w:val="center"/>
            <w:hideMark/>
          </w:tcPr>
          <w:p w14:paraId="3D9A8D9C" w14:textId="77777777" w:rsidR="00473AEF" w:rsidRPr="003A115E" w:rsidRDefault="00473AEF" w:rsidP="00016EF5">
            <w:pPr>
              <w:pStyle w:val="cuatexto"/>
              <w:jc w:val="right"/>
            </w:pPr>
            <w:r>
              <w:t>7</w:t>
            </w:r>
          </w:p>
        </w:tc>
        <w:tc>
          <w:tcPr>
            <w:tcW w:w="540" w:type="pct"/>
            <w:tcBorders>
              <w:top w:val="single" w:sz="2" w:space="0" w:color="auto"/>
              <w:left w:val="nil"/>
              <w:bottom w:val="single" w:sz="2" w:space="0" w:color="auto"/>
              <w:right w:val="nil"/>
            </w:tcBorders>
            <w:shd w:val="clear" w:color="auto" w:fill="auto"/>
            <w:vAlign w:val="center"/>
            <w:hideMark/>
          </w:tcPr>
          <w:p w14:paraId="6D377E99" w14:textId="77777777" w:rsidR="00473AEF" w:rsidRPr="003A115E" w:rsidRDefault="00473AEF" w:rsidP="00016EF5">
            <w:pPr>
              <w:pStyle w:val="cuatexto"/>
              <w:jc w:val="right"/>
            </w:pPr>
            <w:r>
              <w:t>25,17</w:t>
            </w:r>
          </w:p>
        </w:tc>
        <w:tc>
          <w:tcPr>
            <w:tcW w:w="512" w:type="pct"/>
            <w:tcBorders>
              <w:top w:val="single" w:sz="2" w:space="0" w:color="auto"/>
              <w:left w:val="nil"/>
              <w:bottom w:val="single" w:sz="2" w:space="0" w:color="auto"/>
              <w:right w:val="nil"/>
            </w:tcBorders>
            <w:shd w:val="clear" w:color="auto" w:fill="auto"/>
            <w:vAlign w:val="center"/>
            <w:hideMark/>
          </w:tcPr>
          <w:p w14:paraId="0500A720" w14:textId="77777777" w:rsidR="00473AEF" w:rsidRPr="003A115E" w:rsidRDefault="00473AEF" w:rsidP="00016EF5">
            <w:pPr>
              <w:pStyle w:val="cuatexto"/>
              <w:jc w:val="right"/>
            </w:pPr>
            <w:r>
              <w:t>47</w:t>
            </w:r>
          </w:p>
        </w:tc>
      </w:tr>
      <w:tr w:rsidR="000A742F" w:rsidRPr="003A115E" w14:paraId="62602C3D"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0B9DF2EA" w14:textId="77777777" w:rsidR="00473AEF" w:rsidRPr="003A115E" w:rsidRDefault="00473AEF" w:rsidP="00016EF5">
            <w:pPr>
              <w:pStyle w:val="cuatexto"/>
            </w:pPr>
            <w:r>
              <w:t>Herritarren segurtasuna eta mugikortasuna</w:t>
            </w:r>
          </w:p>
        </w:tc>
        <w:tc>
          <w:tcPr>
            <w:tcW w:w="708" w:type="pct"/>
            <w:tcBorders>
              <w:top w:val="single" w:sz="2" w:space="0" w:color="auto"/>
              <w:left w:val="nil"/>
              <w:bottom w:val="single" w:sz="2" w:space="0" w:color="auto"/>
              <w:right w:val="nil"/>
            </w:tcBorders>
            <w:shd w:val="clear" w:color="auto" w:fill="auto"/>
            <w:vAlign w:val="center"/>
            <w:hideMark/>
          </w:tcPr>
          <w:p w14:paraId="457CA80A" w14:textId="77777777" w:rsidR="00473AEF" w:rsidRPr="003A115E" w:rsidRDefault="00473AEF" w:rsidP="00016EF5">
            <w:pPr>
              <w:pStyle w:val="cuatexto"/>
              <w:jc w:val="right"/>
            </w:pPr>
            <w:r>
              <w:t>71,36</w:t>
            </w:r>
          </w:p>
        </w:tc>
        <w:tc>
          <w:tcPr>
            <w:tcW w:w="487" w:type="pct"/>
            <w:tcBorders>
              <w:top w:val="single" w:sz="2" w:space="0" w:color="auto"/>
              <w:left w:val="nil"/>
              <w:bottom w:val="single" w:sz="2" w:space="0" w:color="auto"/>
              <w:right w:val="nil"/>
            </w:tcBorders>
            <w:shd w:val="clear" w:color="auto" w:fill="auto"/>
            <w:vAlign w:val="center"/>
            <w:hideMark/>
          </w:tcPr>
          <w:p w14:paraId="5A4767D7"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006785A4" w14:textId="77777777" w:rsidR="00473AEF" w:rsidRPr="003A115E" w:rsidRDefault="00473AEF" w:rsidP="00016EF5">
            <w:pPr>
              <w:pStyle w:val="cuatexto"/>
              <w:jc w:val="right"/>
            </w:pPr>
            <w:r>
              <w:t>71,36</w:t>
            </w:r>
          </w:p>
        </w:tc>
        <w:tc>
          <w:tcPr>
            <w:tcW w:w="540" w:type="pct"/>
            <w:tcBorders>
              <w:top w:val="single" w:sz="2" w:space="0" w:color="auto"/>
              <w:left w:val="nil"/>
              <w:bottom w:val="single" w:sz="2" w:space="0" w:color="auto"/>
              <w:right w:val="nil"/>
            </w:tcBorders>
            <w:shd w:val="clear" w:color="auto" w:fill="auto"/>
            <w:vAlign w:val="center"/>
            <w:hideMark/>
          </w:tcPr>
          <w:p w14:paraId="1E7E9296" w14:textId="77777777" w:rsidR="00473AEF" w:rsidRPr="003A115E" w:rsidRDefault="00473AEF" w:rsidP="00016EF5">
            <w:pPr>
              <w:pStyle w:val="cuatexto"/>
              <w:jc w:val="right"/>
            </w:pPr>
            <w:r>
              <w:t>7</w:t>
            </w:r>
          </w:p>
        </w:tc>
        <w:tc>
          <w:tcPr>
            <w:tcW w:w="540" w:type="pct"/>
            <w:tcBorders>
              <w:top w:val="single" w:sz="2" w:space="0" w:color="auto"/>
              <w:left w:val="nil"/>
              <w:bottom w:val="single" w:sz="2" w:space="0" w:color="auto"/>
              <w:right w:val="nil"/>
            </w:tcBorders>
            <w:shd w:val="clear" w:color="auto" w:fill="auto"/>
            <w:vAlign w:val="center"/>
            <w:hideMark/>
          </w:tcPr>
          <w:p w14:paraId="78CA4C32" w14:textId="77777777" w:rsidR="00473AEF" w:rsidRPr="003A115E" w:rsidRDefault="00473AEF" w:rsidP="00016EF5">
            <w:pPr>
              <w:pStyle w:val="cuatexto"/>
              <w:jc w:val="right"/>
            </w:pPr>
            <w:r>
              <w:t>7,31</w:t>
            </w:r>
          </w:p>
        </w:tc>
        <w:tc>
          <w:tcPr>
            <w:tcW w:w="512" w:type="pct"/>
            <w:tcBorders>
              <w:top w:val="single" w:sz="2" w:space="0" w:color="auto"/>
              <w:left w:val="nil"/>
              <w:bottom w:val="single" w:sz="2" w:space="0" w:color="auto"/>
              <w:right w:val="nil"/>
            </w:tcBorders>
            <w:shd w:val="clear" w:color="auto" w:fill="auto"/>
            <w:vAlign w:val="center"/>
            <w:hideMark/>
          </w:tcPr>
          <w:p w14:paraId="03DA223D" w14:textId="77777777" w:rsidR="00473AEF" w:rsidRPr="003A115E" w:rsidRDefault="00473AEF" w:rsidP="00016EF5">
            <w:pPr>
              <w:pStyle w:val="cuatexto"/>
              <w:jc w:val="right"/>
            </w:pPr>
            <w:r>
              <w:t>11</w:t>
            </w:r>
          </w:p>
        </w:tc>
      </w:tr>
      <w:tr w:rsidR="000A742F" w:rsidRPr="003A115E" w14:paraId="1AF5E27F"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1E8E1533" w14:textId="77777777" w:rsidR="00473AEF" w:rsidRPr="003A115E" w:rsidRDefault="00473AEF" w:rsidP="00016EF5">
            <w:pPr>
              <w:pStyle w:val="cuatexto"/>
            </w:pPr>
            <w:r>
              <w:t>Kirola</w:t>
            </w:r>
          </w:p>
        </w:tc>
        <w:tc>
          <w:tcPr>
            <w:tcW w:w="708" w:type="pct"/>
            <w:tcBorders>
              <w:top w:val="single" w:sz="2" w:space="0" w:color="auto"/>
              <w:left w:val="nil"/>
              <w:bottom w:val="single" w:sz="2" w:space="0" w:color="auto"/>
              <w:right w:val="nil"/>
            </w:tcBorders>
            <w:shd w:val="clear" w:color="auto" w:fill="auto"/>
            <w:vAlign w:val="center"/>
            <w:hideMark/>
          </w:tcPr>
          <w:p w14:paraId="4BD014BA" w14:textId="77777777" w:rsidR="00473AEF" w:rsidRPr="003A115E" w:rsidRDefault="00473AEF" w:rsidP="00016EF5">
            <w:pPr>
              <w:pStyle w:val="cuatexto"/>
              <w:jc w:val="right"/>
            </w:pPr>
            <w:r>
              <w:t>68,39</w:t>
            </w:r>
          </w:p>
        </w:tc>
        <w:tc>
          <w:tcPr>
            <w:tcW w:w="487" w:type="pct"/>
            <w:tcBorders>
              <w:top w:val="single" w:sz="2" w:space="0" w:color="auto"/>
              <w:left w:val="nil"/>
              <w:bottom w:val="single" w:sz="2" w:space="0" w:color="auto"/>
              <w:right w:val="nil"/>
            </w:tcBorders>
            <w:shd w:val="clear" w:color="auto" w:fill="auto"/>
            <w:vAlign w:val="center"/>
            <w:hideMark/>
          </w:tcPr>
          <w:p w14:paraId="08B7FD30"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1578D735" w14:textId="77777777" w:rsidR="00473AEF" w:rsidRPr="003A115E" w:rsidRDefault="00473AEF" w:rsidP="00016EF5">
            <w:pPr>
              <w:pStyle w:val="cuatexto"/>
              <w:jc w:val="right"/>
            </w:pPr>
            <w:r>
              <w:t>68,39</w:t>
            </w:r>
          </w:p>
        </w:tc>
        <w:tc>
          <w:tcPr>
            <w:tcW w:w="540" w:type="pct"/>
            <w:tcBorders>
              <w:top w:val="single" w:sz="2" w:space="0" w:color="auto"/>
              <w:left w:val="nil"/>
              <w:bottom w:val="single" w:sz="2" w:space="0" w:color="auto"/>
              <w:right w:val="nil"/>
            </w:tcBorders>
            <w:shd w:val="clear" w:color="auto" w:fill="auto"/>
            <w:vAlign w:val="center"/>
            <w:hideMark/>
          </w:tcPr>
          <w:p w14:paraId="57E4CBA4" w14:textId="77777777" w:rsidR="00473AEF" w:rsidRPr="003A115E" w:rsidRDefault="00473AEF" w:rsidP="00016EF5">
            <w:pPr>
              <w:pStyle w:val="cuatexto"/>
              <w:jc w:val="right"/>
            </w:pPr>
            <w:r>
              <w:t>6</w:t>
            </w:r>
          </w:p>
        </w:tc>
        <w:tc>
          <w:tcPr>
            <w:tcW w:w="540" w:type="pct"/>
            <w:tcBorders>
              <w:top w:val="single" w:sz="2" w:space="0" w:color="auto"/>
              <w:left w:val="nil"/>
              <w:bottom w:val="single" w:sz="2" w:space="0" w:color="auto"/>
              <w:right w:val="nil"/>
            </w:tcBorders>
            <w:shd w:val="clear" w:color="auto" w:fill="auto"/>
            <w:vAlign w:val="center"/>
            <w:hideMark/>
          </w:tcPr>
          <w:p w14:paraId="7F65460A" w14:textId="77777777" w:rsidR="00473AEF" w:rsidRPr="003A115E" w:rsidRDefault="00473AEF" w:rsidP="00016EF5">
            <w:pPr>
              <w:pStyle w:val="cuatexto"/>
              <w:jc w:val="right"/>
            </w:pPr>
            <w:r>
              <w:t>5,10</w:t>
            </w:r>
          </w:p>
        </w:tc>
        <w:tc>
          <w:tcPr>
            <w:tcW w:w="512" w:type="pct"/>
            <w:tcBorders>
              <w:top w:val="single" w:sz="2" w:space="0" w:color="auto"/>
              <w:left w:val="nil"/>
              <w:bottom w:val="single" w:sz="2" w:space="0" w:color="auto"/>
              <w:right w:val="nil"/>
            </w:tcBorders>
            <w:shd w:val="clear" w:color="auto" w:fill="auto"/>
            <w:vAlign w:val="center"/>
            <w:hideMark/>
          </w:tcPr>
          <w:p w14:paraId="6B3CEA50" w14:textId="77777777" w:rsidR="00473AEF" w:rsidRPr="003A115E" w:rsidRDefault="00473AEF" w:rsidP="00016EF5">
            <w:pPr>
              <w:pStyle w:val="cuatexto"/>
              <w:jc w:val="right"/>
            </w:pPr>
            <w:r>
              <w:t>8</w:t>
            </w:r>
          </w:p>
        </w:tc>
      </w:tr>
      <w:tr w:rsidR="000A742F" w:rsidRPr="003A115E" w14:paraId="331D801E"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5FED71C" w14:textId="77777777" w:rsidR="00473AEF" w:rsidRPr="003A115E" w:rsidRDefault="00473AEF" w:rsidP="00016EF5">
            <w:pPr>
              <w:pStyle w:val="cuatexto"/>
            </w:pPr>
            <w:r>
              <w:t>Pentsioak</w:t>
            </w:r>
          </w:p>
        </w:tc>
        <w:tc>
          <w:tcPr>
            <w:tcW w:w="708" w:type="pct"/>
            <w:tcBorders>
              <w:top w:val="single" w:sz="2" w:space="0" w:color="auto"/>
              <w:left w:val="nil"/>
              <w:bottom w:val="single" w:sz="2" w:space="0" w:color="auto"/>
              <w:right w:val="nil"/>
            </w:tcBorders>
            <w:shd w:val="clear" w:color="auto" w:fill="auto"/>
            <w:vAlign w:val="center"/>
            <w:hideMark/>
          </w:tcPr>
          <w:p w14:paraId="7C8F371E" w14:textId="77777777" w:rsidR="00473AEF" w:rsidRPr="003A115E" w:rsidRDefault="00473AEF" w:rsidP="00016EF5">
            <w:pPr>
              <w:pStyle w:val="cuatexto"/>
              <w:jc w:val="right"/>
            </w:pPr>
            <w:r>
              <w:t>54,78</w:t>
            </w:r>
          </w:p>
        </w:tc>
        <w:tc>
          <w:tcPr>
            <w:tcW w:w="487" w:type="pct"/>
            <w:tcBorders>
              <w:top w:val="single" w:sz="2" w:space="0" w:color="auto"/>
              <w:left w:val="nil"/>
              <w:bottom w:val="single" w:sz="2" w:space="0" w:color="auto"/>
              <w:right w:val="nil"/>
            </w:tcBorders>
            <w:shd w:val="clear" w:color="auto" w:fill="auto"/>
            <w:vAlign w:val="center"/>
            <w:hideMark/>
          </w:tcPr>
          <w:p w14:paraId="1D4273F6"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196753CD" w14:textId="77777777" w:rsidR="00473AEF" w:rsidRPr="003A115E" w:rsidRDefault="00473AEF" w:rsidP="00016EF5">
            <w:pPr>
              <w:pStyle w:val="cuatexto"/>
              <w:jc w:val="right"/>
            </w:pPr>
            <w:r>
              <w:t>54,78</w:t>
            </w:r>
          </w:p>
        </w:tc>
        <w:tc>
          <w:tcPr>
            <w:tcW w:w="540" w:type="pct"/>
            <w:tcBorders>
              <w:top w:val="single" w:sz="2" w:space="0" w:color="auto"/>
              <w:left w:val="nil"/>
              <w:bottom w:val="single" w:sz="2" w:space="0" w:color="auto"/>
              <w:right w:val="nil"/>
            </w:tcBorders>
            <w:shd w:val="clear" w:color="auto" w:fill="auto"/>
            <w:vAlign w:val="center"/>
            <w:hideMark/>
          </w:tcPr>
          <w:p w14:paraId="2C069220" w14:textId="77777777" w:rsidR="00473AEF" w:rsidRPr="003A115E" w:rsidRDefault="00473AEF" w:rsidP="00016EF5">
            <w:pPr>
              <w:pStyle w:val="cuatexto"/>
              <w:jc w:val="right"/>
            </w:pPr>
            <w:r>
              <w:t>5</w:t>
            </w:r>
          </w:p>
        </w:tc>
        <w:tc>
          <w:tcPr>
            <w:tcW w:w="540" w:type="pct"/>
            <w:tcBorders>
              <w:top w:val="single" w:sz="2" w:space="0" w:color="auto"/>
              <w:left w:val="nil"/>
              <w:bottom w:val="single" w:sz="2" w:space="0" w:color="auto"/>
              <w:right w:val="nil"/>
            </w:tcBorders>
            <w:shd w:val="clear" w:color="auto" w:fill="auto"/>
            <w:vAlign w:val="center"/>
            <w:hideMark/>
          </w:tcPr>
          <w:p w14:paraId="1320A760" w14:textId="77777777" w:rsidR="00473AEF" w:rsidRPr="003A115E" w:rsidRDefault="00473AEF" w:rsidP="00016EF5">
            <w:pPr>
              <w:pStyle w:val="cuatexto"/>
              <w:jc w:val="right"/>
            </w:pPr>
            <w:r>
              <w:t>1,35</w:t>
            </w:r>
          </w:p>
        </w:tc>
        <w:tc>
          <w:tcPr>
            <w:tcW w:w="512" w:type="pct"/>
            <w:tcBorders>
              <w:top w:val="single" w:sz="2" w:space="0" w:color="auto"/>
              <w:left w:val="nil"/>
              <w:bottom w:val="single" w:sz="2" w:space="0" w:color="auto"/>
              <w:right w:val="nil"/>
            </w:tcBorders>
            <w:shd w:val="clear" w:color="auto" w:fill="auto"/>
            <w:vAlign w:val="center"/>
            <w:hideMark/>
          </w:tcPr>
          <w:p w14:paraId="66C1C7DE" w14:textId="77777777" w:rsidR="00473AEF" w:rsidRPr="003A115E" w:rsidRDefault="00473AEF" w:rsidP="00016EF5">
            <w:pPr>
              <w:pStyle w:val="cuatexto"/>
              <w:jc w:val="right"/>
            </w:pPr>
            <w:r>
              <w:t>3</w:t>
            </w:r>
          </w:p>
        </w:tc>
      </w:tr>
      <w:tr w:rsidR="000A742F" w:rsidRPr="003A115E" w14:paraId="3D4A5627"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0DC8CB07" w14:textId="77777777" w:rsidR="00473AEF" w:rsidRPr="003A115E" w:rsidRDefault="00473AEF" w:rsidP="00016EF5">
            <w:pPr>
              <w:pStyle w:val="cuatexto"/>
            </w:pPr>
            <w:r>
              <w:t>Garraio publikoa</w:t>
            </w:r>
          </w:p>
        </w:tc>
        <w:tc>
          <w:tcPr>
            <w:tcW w:w="708" w:type="pct"/>
            <w:tcBorders>
              <w:top w:val="single" w:sz="2" w:space="0" w:color="auto"/>
              <w:left w:val="nil"/>
              <w:bottom w:val="single" w:sz="2" w:space="0" w:color="auto"/>
              <w:right w:val="nil"/>
            </w:tcBorders>
            <w:shd w:val="clear" w:color="auto" w:fill="auto"/>
            <w:vAlign w:val="center"/>
            <w:hideMark/>
          </w:tcPr>
          <w:p w14:paraId="6B2193FF" w14:textId="77777777" w:rsidR="00473AEF" w:rsidRPr="003A115E" w:rsidRDefault="00473AEF" w:rsidP="00016EF5">
            <w:pPr>
              <w:pStyle w:val="cuatexto"/>
              <w:jc w:val="right"/>
            </w:pPr>
            <w:r>
              <w:t>33,02</w:t>
            </w:r>
          </w:p>
        </w:tc>
        <w:tc>
          <w:tcPr>
            <w:tcW w:w="487" w:type="pct"/>
            <w:tcBorders>
              <w:top w:val="single" w:sz="2" w:space="0" w:color="auto"/>
              <w:left w:val="nil"/>
              <w:bottom w:val="single" w:sz="2" w:space="0" w:color="auto"/>
              <w:right w:val="nil"/>
            </w:tcBorders>
            <w:shd w:val="clear" w:color="auto" w:fill="auto"/>
            <w:vAlign w:val="center"/>
            <w:hideMark/>
          </w:tcPr>
          <w:p w14:paraId="02379048" w14:textId="77777777" w:rsidR="00473AEF" w:rsidRPr="003A115E" w:rsidRDefault="00473AEF" w:rsidP="00016EF5">
            <w:pPr>
              <w:pStyle w:val="cuatexto"/>
              <w:jc w:val="right"/>
            </w:pPr>
            <w:r>
              <w:t>-0,57</w:t>
            </w:r>
          </w:p>
        </w:tc>
        <w:tc>
          <w:tcPr>
            <w:tcW w:w="540" w:type="pct"/>
            <w:tcBorders>
              <w:top w:val="single" w:sz="2" w:space="0" w:color="auto"/>
              <w:left w:val="nil"/>
              <w:bottom w:val="single" w:sz="2" w:space="0" w:color="auto"/>
              <w:right w:val="nil"/>
            </w:tcBorders>
            <w:shd w:val="clear" w:color="auto" w:fill="auto"/>
            <w:vAlign w:val="center"/>
            <w:hideMark/>
          </w:tcPr>
          <w:p w14:paraId="28A6CA56" w14:textId="77777777" w:rsidR="00473AEF" w:rsidRPr="003A115E" w:rsidRDefault="00473AEF" w:rsidP="00016EF5">
            <w:pPr>
              <w:pStyle w:val="cuatexto"/>
              <w:jc w:val="right"/>
            </w:pPr>
            <w:r>
              <w:t>32,45</w:t>
            </w:r>
          </w:p>
        </w:tc>
        <w:tc>
          <w:tcPr>
            <w:tcW w:w="540" w:type="pct"/>
            <w:tcBorders>
              <w:top w:val="single" w:sz="2" w:space="0" w:color="auto"/>
              <w:left w:val="nil"/>
              <w:bottom w:val="single" w:sz="2" w:space="0" w:color="auto"/>
              <w:right w:val="nil"/>
            </w:tcBorders>
            <w:shd w:val="clear" w:color="auto" w:fill="auto"/>
            <w:vAlign w:val="center"/>
            <w:hideMark/>
          </w:tcPr>
          <w:p w14:paraId="21AD1738" w14:textId="77777777" w:rsidR="00473AEF" w:rsidRPr="003A115E" w:rsidRDefault="00473AEF" w:rsidP="00016EF5">
            <w:pPr>
              <w:pStyle w:val="cuatexto"/>
              <w:jc w:val="right"/>
            </w:pPr>
            <w:r>
              <w:t>3</w:t>
            </w:r>
          </w:p>
        </w:tc>
        <w:tc>
          <w:tcPr>
            <w:tcW w:w="540" w:type="pct"/>
            <w:tcBorders>
              <w:top w:val="single" w:sz="2" w:space="0" w:color="auto"/>
              <w:left w:val="nil"/>
              <w:bottom w:val="single" w:sz="2" w:space="0" w:color="auto"/>
              <w:right w:val="nil"/>
            </w:tcBorders>
            <w:shd w:val="clear" w:color="auto" w:fill="auto"/>
            <w:vAlign w:val="center"/>
            <w:hideMark/>
          </w:tcPr>
          <w:p w14:paraId="08607EE3" w14:textId="77777777" w:rsidR="00473AEF" w:rsidRPr="003A115E" w:rsidRDefault="00473AEF" w:rsidP="00016EF5">
            <w:pPr>
              <w:pStyle w:val="cuatexto"/>
              <w:jc w:val="right"/>
            </w:pPr>
            <w:r>
              <w:t>3,57</w:t>
            </w:r>
          </w:p>
        </w:tc>
        <w:tc>
          <w:tcPr>
            <w:tcW w:w="512" w:type="pct"/>
            <w:tcBorders>
              <w:top w:val="single" w:sz="2" w:space="0" w:color="auto"/>
              <w:left w:val="nil"/>
              <w:bottom w:val="single" w:sz="2" w:space="0" w:color="auto"/>
              <w:right w:val="nil"/>
            </w:tcBorders>
            <w:shd w:val="clear" w:color="auto" w:fill="auto"/>
            <w:vAlign w:val="center"/>
            <w:hideMark/>
          </w:tcPr>
          <w:p w14:paraId="78F07F23" w14:textId="77777777" w:rsidR="00473AEF" w:rsidRPr="003A115E" w:rsidRDefault="00473AEF" w:rsidP="00016EF5">
            <w:pPr>
              <w:pStyle w:val="cuatexto"/>
              <w:jc w:val="right"/>
            </w:pPr>
            <w:r>
              <w:t>12</w:t>
            </w:r>
          </w:p>
        </w:tc>
      </w:tr>
      <w:tr w:rsidR="000A742F" w:rsidRPr="003A115E" w14:paraId="614A0CCD"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7D7FA7F" w14:textId="77777777" w:rsidR="00473AEF" w:rsidRPr="003A115E" w:rsidRDefault="00473AEF" w:rsidP="00016EF5">
            <w:pPr>
              <w:pStyle w:val="cuatexto"/>
            </w:pPr>
            <w:r>
              <w:t>Ingurumena</w:t>
            </w:r>
          </w:p>
        </w:tc>
        <w:tc>
          <w:tcPr>
            <w:tcW w:w="708" w:type="pct"/>
            <w:tcBorders>
              <w:top w:val="single" w:sz="2" w:space="0" w:color="auto"/>
              <w:left w:val="nil"/>
              <w:bottom w:val="single" w:sz="2" w:space="0" w:color="auto"/>
              <w:right w:val="nil"/>
            </w:tcBorders>
            <w:shd w:val="clear" w:color="auto" w:fill="auto"/>
            <w:vAlign w:val="center"/>
            <w:hideMark/>
          </w:tcPr>
          <w:p w14:paraId="63B1BC4A" w14:textId="77777777" w:rsidR="00473AEF" w:rsidRPr="003A115E" w:rsidRDefault="00473AEF" w:rsidP="00016EF5">
            <w:pPr>
              <w:pStyle w:val="cuatexto"/>
              <w:jc w:val="right"/>
            </w:pPr>
            <w:r>
              <w:t>26,42</w:t>
            </w:r>
          </w:p>
        </w:tc>
        <w:tc>
          <w:tcPr>
            <w:tcW w:w="487" w:type="pct"/>
            <w:tcBorders>
              <w:top w:val="single" w:sz="2" w:space="0" w:color="auto"/>
              <w:left w:val="nil"/>
              <w:bottom w:val="single" w:sz="2" w:space="0" w:color="auto"/>
              <w:right w:val="nil"/>
            </w:tcBorders>
            <w:shd w:val="clear" w:color="auto" w:fill="auto"/>
            <w:vAlign w:val="center"/>
            <w:hideMark/>
          </w:tcPr>
          <w:p w14:paraId="34916123" w14:textId="77777777" w:rsidR="00473AEF" w:rsidRPr="003A115E" w:rsidRDefault="00473AEF" w:rsidP="00016EF5">
            <w:pPr>
              <w:pStyle w:val="cuatexto"/>
              <w:jc w:val="right"/>
            </w:pPr>
            <w:r>
              <w:t>0,83</w:t>
            </w:r>
          </w:p>
        </w:tc>
        <w:tc>
          <w:tcPr>
            <w:tcW w:w="540" w:type="pct"/>
            <w:tcBorders>
              <w:top w:val="single" w:sz="2" w:space="0" w:color="auto"/>
              <w:left w:val="nil"/>
              <w:bottom w:val="single" w:sz="2" w:space="0" w:color="auto"/>
              <w:right w:val="nil"/>
            </w:tcBorders>
            <w:shd w:val="clear" w:color="auto" w:fill="auto"/>
            <w:vAlign w:val="center"/>
            <w:hideMark/>
          </w:tcPr>
          <w:p w14:paraId="48485807" w14:textId="77777777" w:rsidR="00473AEF" w:rsidRPr="003A115E" w:rsidRDefault="00473AEF" w:rsidP="00016EF5">
            <w:pPr>
              <w:pStyle w:val="cuatexto"/>
              <w:jc w:val="right"/>
            </w:pPr>
            <w:r>
              <w:t>27,26</w:t>
            </w:r>
          </w:p>
        </w:tc>
        <w:tc>
          <w:tcPr>
            <w:tcW w:w="540" w:type="pct"/>
            <w:tcBorders>
              <w:top w:val="single" w:sz="2" w:space="0" w:color="auto"/>
              <w:left w:val="nil"/>
              <w:bottom w:val="single" w:sz="2" w:space="0" w:color="auto"/>
              <w:right w:val="nil"/>
            </w:tcBorders>
            <w:shd w:val="clear" w:color="auto" w:fill="auto"/>
            <w:vAlign w:val="center"/>
            <w:hideMark/>
          </w:tcPr>
          <w:p w14:paraId="1A65D5FE" w14:textId="77777777" w:rsidR="00473AEF" w:rsidRPr="003A115E" w:rsidRDefault="00473AEF" w:rsidP="00016EF5">
            <w:pPr>
              <w:pStyle w:val="cuatexto"/>
              <w:jc w:val="right"/>
            </w:pPr>
            <w:r>
              <w:t>3</w:t>
            </w:r>
          </w:p>
        </w:tc>
        <w:tc>
          <w:tcPr>
            <w:tcW w:w="540" w:type="pct"/>
            <w:tcBorders>
              <w:top w:val="single" w:sz="2" w:space="0" w:color="auto"/>
              <w:left w:val="nil"/>
              <w:bottom w:val="single" w:sz="2" w:space="0" w:color="auto"/>
              <w:right w:val="nil"/>
            </w:tcBorders>
            <w:shd w:val="clear" w:color="auto" w:fill="auto"/>
            <w:vAlign w:val="center"/>
            <w:hideMark/>
          </w:tcPr>
          <w:p w14:paraId="4FCF35C2" w14:textId="77777777" w:rsidR="00473AEF" w:rsidRPr="003A115E" w:rsidRDefault="00473AEF" w:rsidP="00016EF5">
            <w:pPr>
              <w:pStyle w:val="cuatexto"/>
              <w:jc w:val="right"/>
            </w:pPr>
            <w:r>
              <w:t>2,60</w:t>
            </w:r>
          </w:p>
        </w:tc>
        <w:tc>
          <w:tcPr>
            <w:tcW w:w="512" w:type="pct"/>
            <w:tcBorders>
              <w:top w:val="single" w:sz="2" w:space="0" w:color="auto"/>
              <w:left w:val="nil"/>
              <w:bottom w:val="single" w:sz="2" w:space="0" w:color="auto"/>
              <w:right w:val="nil"/>
            </w:tcBorders>
            <w:shd w:val="clear" w:color="auto" w:fill="auto"/>
            <w:vAlign w:val="center"/>
            <w:hideMark/>
          </w:tcPr>
          <w:p w14:paraId="5B4E2E10" w14:textId="77777777" w:rsidR="00473AEF" w:rsidRPr="003A115E" w:rsidRDefault="00473AEF" w:rsidP="00016EF5">
            <w:pPr>
              <w:pStyle w:val="cuatexto"/>
              <w:jc w:val="right"/>
            </w:pPr>
            <w:r>
              <w:t>11</w:t>
            </w:r>
          </w:p>
        </w:tc>
      </w:tr>
      <w:tr w:rsidR="000A742F" w:rsidRPr="003A115E" w14:paraId="267C0FC7"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70DA1160" w14:textId="77777777" w:rsidR="00473AEF" w:rsidRPr="003A115E" w:rsidRDefault="00473AEF" w:rsidP="00016EF5">
            <w:pPr>
              <w:pStyle w:val="cuatexto"/>
            </w:pPr>
            <w:r>
              <w:t>Zor publikoa</w:t>
            </w:r>
          </w:p>
        </w:tc>
        <w:tc>
          <w:tcPr>
            <w:tcW w:w="708" w:type="pct"/>
            <w:tcBorders>
              <w:top w:val="single" w:sz="2" w:space="0" w:color="auto"/>
              <w:left w:val="nil"/>
              <w:bottom w:val="single" w:sz="2" w:space="0" w:color="auto"/>
              <w:right w:val="nil"/>
            </w:tcBorders>
            <w:shd w:val="clear" w:color="auto" w:fill="auto"/>
            <w:vAlign w:val="center"/>
            <w:hideMark/>
          </w:tcPr>
          <w:p w14:paraId="78D98835" w14:textId="77777777" w:rsidR="00473AEF" w:rsidRPr="003A115E" w:rsidRDefault="00473AEF" w:rsidP="00016EF5">
            <w:pPr>
              <w:pStyle w:val="cuatexto"/>
              <w:jc w:val="right"/>
            </w:pPr>
            <w:r>
              <w:t>21,15</w:t>
            </w:r>
          </w:p>
        </w:tc>
        <w:tc>
          <w:tcPr>
            <w:tcW w:w="487" w:type="pct"/>
            <w:tcBorders>
              <w:top w:val="single" w:sz="2" w:space="0" w:color="auto"/>
              <w:left w:val="nil"/>
              <w:bottom w:val="single" w:sz="2" w:space="0" w:color="auto"/>
              <w:right w:val="nil"/>
            </w:tcBorders>
            <w:shd w:val="clear" w:color="auto" w:fill="auto"/>
            <w:vAlign w:val="center"/>
            <w:hideMark/>
          </w:tcPr>
          <w:p w14:paraId="4C4B4EAB" w14:textId="77777777" w:rsidR="00473AEF" w:rsidRPr="003A115E" w:rsidRDefault="00473AEF" w:rsidP="00016EF5">
            <w:pPr>
              <w:pStyle w:val="cuatexto"/>
              <w:jc w:val="right"/>
            </w:pPr>
            <w:r>
              <w:t>-</w:t>
            </w:r>
          </w:p>
        </w:tc>
        <w:tc>
          <w:tcPr>
            <w:tcW w:w="540" w:type="pct"/>
            <w:tcBorders>
              <w:top w:val="single" w:sz="2" w:space="0" w:color="auto"/>
              <w:left w:val="nil"/>
              <w:bottom w:val="single" w:sz="2" w:space="0" w:color="auto"/>
              <w:right w:val="nil"/>
            </w:tcBorders>
            <w:shd w:val="clear" w:color="auto" w:fill="auto"/>
            <w:vAlign w:val="center"/>
            <w:hideMark/>
          </w:tcPr>
          <w:p w14:paraId="0015C1E1" w14:textId="77777777" w:rsidR="00473AEF" w:rsidRPr="003A115E" w:rsidRDefault="00473AEF" w:rsidP="00016EF5">
            <w:pPr>
              <w:pStyle w:val="cuatexto"/>
              <w:jc w:val="right"/>
            </w:pPr>
            <w:r>
              <w:t>21,15</w:t>
            </w:r>
          </w:p>
        </w:tc>
        <w:tc>
          <w:tcPr>
            <w:tcW w:w="540" w:type="pct"/>
            <w:tcBorders>
              <w:top w:val="single" w:sz="2" w:space="0" w:color="auto"/>
              <w:left w:val="nil"/>
              <w:bottom w:val="single" w:sz="2" w:space="0" w:color="auto"/>
              <w:right w:val="nil"/>
            </w:tcBorders>
            <w:shd w:val="clear" w:color="auto" w:fill="auto"/>
            <w:vAlign w:val="center"/>
            <w:hideMark/>
          </w:tcPr>
          <w:p w14:paraId="5DBB7A5A" w14:textId="77777777" w:rsidR="00473AEF" w:rsidRPr="003A115E" w:rsidRDefault="00473AEF" w:rsidP="00016EF5">
            <w:pPr>
              <w:pStyle w:val="cuatexto"/>
              <w:jc w:val="right"/>
            </w:pPr>
            <w:r>
              <w:t>2</w:t>
            </w:r>
          </w:p>
        </w:tc>
        <w:tc>
          <w:tcPr>
            <w:tcW w:w="540" w:type="pct"/>
            <w:tcBorders>
              <w:top w:val="single" w:sz="2" w:space="0" w:color="auto"/>
              <w:left w:val="nil"/>
              <w:bottom w:val="single" w:sz="2" w:space="0" w:color="auto"/>
              <w:right w:val="nil"/>
            </w:tcBorders>
            <w:shd w:val="clear" w:color="auto" w:fill="auto"/>
            <w:vAlign w:val="center"/>
            <w:hideMark/>
          </w:tcPr>
          <w:p w14:paraId="7C51AF93" w14:textId="77777777" w:rsidR="00473AEF" w:rsidRPr="003A115E" w:rsidRDefault="00473AEF" w:rsidP="00016EF5">
            <w:pPr>
              <w:pStyle w:val="cuatexto"/>
              <w:jc w:val="right"/>
            </w:pPr>
            <w:r>
              <w:t>-17,99</w:t>
            </w:r>
          </w:p>
        </w:tc>
        <w:tc>
          <w:tcPr>
            <w:tcW w:w="512" w:type="pct"/>
            <w:tcBorders>
              <w:top w:val="single" w:sz="2" w:space="0" w:color="auto"/>
              <w:left w:val="nil"/>
              <w:bottom w:val="single" w:sz="2" w:space="0" w:color="auto"/>
              <w:right w:val="nil"/>
            </w:tcBorders>
            <w:shd w:val="clear" w:color="auto" w:fill="auto"/>
            <w:vAlign w:val="center"/>
            <w:hideMark/>
          </w:tcPr>
          <w:p w14:paraId="64C9A2EB" w14:textId="77777777" w:rsidR="00473AEF" w:rsidRPr="003A115E" w:rsidRDefault="00473AEF" w:rsidP="00016EF5">
            <w:pPr>
              <w:pStyle w:val="cuatexto"/>
              <w:jc w:val="right"/>
            </w:pPr>
            <w:r>
              <w:t>-46</w:t>
            </w:r>
          </w:p>
        </w:tc>
      </w:tr>
      <w:tr w:rsidR="000A742F" w:rsidRPr="003A115E" w14:paraId="676C062E" w14:textId="77777777" w:rsidTr="00326F20">
        <w:trPr>
          <w:trHeight w:val="198"/>
        </w:trPr>
        <w:tc>
          <w:tcPr>
            <w:tcW w:w="1673" w:type="pct"/>
            <w:tcBorders>
              <w:top w:val="single" w:sz="2" w:space="0" w:color="auto"/>
              <w:left w:val="nil"/>
              <w:bottom w:val="single" w:sz="4" w:space="0" w:color="auto"/>
              <w:right w:val="nil"/>
            </w:tcBorders>
            <w:shd w:val="clear" w:color="auto" w:fill="auto"/>
            <w:vAlign w:val="center"/>
            <w:hideMark/>
          </w:tcPr>
          <w:p w14:paraId="0076092F" w14:textId="77777777" w:rsidR="00473AEF" w:rsidRPr="003A115E" w:rsidRDefault="00473AEF" w:rsidP="00016EF5">
            <w:pPr>
              <w:pStyle w:val="cuatexto"/>
            </w:pPr>
            <w:r>
              <w:t>Beste batzuk</w:t>
            </w:r>
          </w:p>
        </w:tc>
        <w:tc>
          <w:tcPr>
            <w:tcW w:w="708" w:type="pct"/>
            <w:tcBorders>
              <w:top w:val="single" w:sz="2" w:space="0" w:color="auto"/>
              <w:left w:val="nil"/>
              <w:bottom w:val="single" w:sz="4" w:space="0" w:color="auto"/>
              <w:right w:val="nil"/>
            </w:tcBorders>
            <w:shd w:val="clear" w:color="auto" w:fill="auto"/>
            <w:vAlign w:val="center"/>
            <w:hideMark/>
          </w:tcPr>
          <w:p w14:paraId="4B4AF2EA" w14:textId="77777777" w:rsidR="00473AEF" w:rsidRPr="003A115E" w:rsidRDefault="00473AEF" w:rsidP="00016EF5">
            <w:pPr>
              <w:pStyle w:val="cuatexto"/>
              <w:jc w:val="right"/>
            </w:pPr>
            <w:r>
              <w:t>118,97</w:t>
            </w:r>
          </w:p>
        </w:tc>
        <w:tc>
          <w:tcPr>
            <w:tcW w:w="487" w:type="pct"/>
            <w:tcBorders>
              <w:top w:val="single" w:sz="2" w:space="0" w:color="auto"/>
              <w:left w:val="nil"/>
              <w:bottom w:val="single" w:sz="4" w:space="0" w:color="auto"/>
              <w:right w:val="nil"/>
            </w:tcBorders>
            <w:shd w:val="clear" w:color="auto" w:fill="auto"/>
            <w:vAlign w:val="center"/>
            <w:hideMark/>
          </w:tcPr>
          <w:p w14:paraId="1555E69C" w14:textId="77777777" w:rsidR="00473AEF" w:rsidRPr="003A115E" w:rsidRDefault="00473AEF" w:rsidP="00016EF5">
            <w:pPr>
              <w:pStyle w:val="cuatexto"/>
              <w:jc w:val="right"/>
            </w:pPr>
            <w:r>
              <w:t>5,36</w:t>
            </w:r>
          </w:p>
        </w:tc>
        <w:tc>
          <w:tcPr>
            <w:tcW w:w="540" w:type="pct"/>
            <w:tcBorders>
              <w:top w:val="single" w:sz="2" w:space="0" w:color="auto"/>
              <w:left w:val="nil"/>
              <w:bottom w:val="single" w:sz="4" w:space="0" w:color="auto"/>
              <w:right w:val="nil"/>
            </w:tcBorders>
            <w:shd w:val="clear" w:color="auto" w:fill="auto"/>
            <w:vAlign w:val="center"/>
            <w:hideMark/>
          </w:tcPr>
          <w:p w14:paraId="1B7CA752" w14:textId="77777777" w:rsidR="00473AEF" w:rsidRPr="003A115E" w:rsidRDefault="00473AEF" w:rsidP="00016EF5">
            <w:pPr>
              <w:pStyle w:val="cuatexto"/>
              <w:jc w:val="right"/>
            </w:pPr>
            <w:r>
              <w:t>124,33</w:t>
            </w:r>
          </w:p>
        </w:tc>
        <w:tc>
          <w:tcPr>
            <w:tcW w:w="540" w:type="pct"/>
            <w:tcBorders>
              <w:top w:val="single" w:sz="2" w:space="0" w:color="auto"/>
              <w:left w:val="nil"/>
              <w:bottom w:val="single" w:sz="4" w:space="0" w:color="auto"/>
              <w:right w:val="nil"/>
            </w:tcBorders>
            <w:shd w:val="clear" w:color="auto" w:fill="auto"/>
            <w:vAlign w:val="center"/>
            <w:hideMark/>
          </w:tcPr>
          <w:p w14:paraId="182BB48E" w14:textId="77777777" w:rsidR="00473AEF" w:rsidRPr="003A115E" w:rsidRDefault="00473AEF" w:rsidP="00016EF5">
            <w:pPr>
              <w:pStyle w:val="cuatexto"/>
              <w:jc w:val="right"/>
            </w:pPr>
            <w:r>
              <w:t>12</w:t>
            </w:r>
          </w:p>
        </w:tc>
        <w:tc>
          <w:tcPr>
            <w:tcW w:w="540" w:type="pct"/>
            <w:tcBorders>
              <w:top w:val="single" w:sz="2" w:space="0" w:color="auto"/>
              <w:left w:val="nil"/>
              <w:bottom w:val="single" w:sz="4" w:space="0" w:color="auto"/>
              <w:right w:val="nil"/>
            </w:tcBorders>
            <w:shd w:val="clear" w:color="auto" w:fill="auto"/>
            <w:vAlign w:val="center"/>
            <w:hideMark/>
          </w:tcPr>
          <w:p w14:paraId="5FBA752A" w14:textId="0CA7B06E" w:rsidR="00473AEF" w:rsidRPr="003A115E" w:rsidRDefault="00BF1275" w:rsidP="00BF1275">
            <w:pPr>
              <w:pStyle w:val="cuatexto"/>
              <w:jc w:val="right"/>
            </w:pPr>
            <w:r>
              <w:t>8,69</w:t>
            </w:r>
          </w:p>
        </w:tc>
        <w:tc>
          <w:tcPr>
            <w:tcW w:w="512" w:type="pct"/>
            <w:tcBorders>
              <w:top w:val="single" w:sz="2" w:space="0" w:color="auto"/>
              <w:left w:val="nil"/>
              <w:bottom w:val="single" w:sz="4" w:space="0" w:color="auto"/>
              <w:right w:val="nil"/>
            </w:tcBorders>
            <w:shd w:val="clear" w:color="auto" w:fill="auto"/>
            <w:vAlign w:val="center"/>
            <w:hideMark/>
          </w:tcPr>
          <w:p w14:paraId="0F2DB456" w14:textId="4924BC04" w:rsidR="00473AEF" w:rsidRPr="003A115E" w:rsidRDefault="00BF1275" w:rsidP="00016EF5">
            <w:pPr>
              <w:pStyle w:val="cuatexto"/>
              <w:jc w:val="right"/>
            </w:pPr>
            <w:r>
              <w:t>8</w:t>
            </w:r>
          </w:p>
        </w:tc>
      </w:tr>
      <w:tr w:rsidR="000A742F" w:rsidRPr="003A115E" w14:paraId="15FC094A" w14:textId="77777777" w:rsidTr="005F3A0D">
        <w:trPr>
          <w:trHeight w:val="255"/>
        </w:trPr>
        <w:tc>
          <w:tcPr>
            <w:tcW w:w="1673" w:type="pct"/>
            <w:tcBorders>
              <w:top w:val="single" w:sz="4" w:space="0" w:color="auto"/>
              <w:left w:val="nil"/>
              <w:bottom w:val="single" w:sz="4" w:space="0" w:color="auto"/>
              <w:right w:val="nil"/>
            </w:tcBorders>
            <w:shd w:val="clear" w:color="auto" w:fill="FABF8F" w:themeFill="accent6" w:themeFillTint="99"/>
            <w:vAlign w:val="center"/>
            <w:hideMark/>
          </w:tcPr>
          <w:p w14:paraId="363602BB" w14:textId="77777777" w:rsidR="00473AEF" w:rsidRPr="003A115E" w:rsidRDefault="00473AEF" w:rsidP="00016EF5">
            <w:pPr>
              <w:pStyle w:val="cuadroCabe"/>
            </w:pPr>
            <w:r>
              <w:t>Guztira</w:t>
            </w:r>
          </w:p>
        </w:tc>
        <w:tc>
          <w:tcPr>
            <w:tcW w:w="708" w:type="pct"/>
            <w:tcBorders>
              <w:top w:val="single" w:sz="4" w:space="0" w:color="auto"/>
              <w:left w:val="nil"/>
              <w:bottom w:val="single" w:sz="4" w:space="0" w:color="auto"/>
              <w:right w:val="nil"/>
            </w:tcBorders>
            <w:shd w:val="clear" w:color="auto" w:fill="FABF8F" w:themeFill="accent6" w:themeFillTint="99"/>
            <w:vAlign w:val="center"/>
            <w:hideMark/>
          </w:tcPr>
          <w:p w14:paraId="5113889D" w14:textId="77777777" w:rsidR="00473AEF" w:rsidRPr="003A115E" w:rsidRDefault="00473AEF" w:rsidP="00016EF5">
            <w:pPr>
              <w:pStyle w:val="cuadroCabe"/>
              <w:jc w:val="right"/>
            </w:pPr>
            <w:r>
              <w:t>964,66</w:t>
            </w:r>
          </w:p>
        </w:tc>
        <w:tc>
          <w:tcPr>
            <w:tcW w:w="487" w:type="pct"/>
            <w:tcBorders>
              <w:top w:val="single" w:sz="4" w:space="0" w:color="auto"/>
              <w:left w:val="nil"/>
              <w:bottom w:val="single" w:sz="4" w:space="0" w:color="auto"/>
              <w:right w:val="nil"/>
            </w:tcBorders>
            <w:shd w:val="clear" w:color="auto" w:fill="FABF8F" w:themeFill="accent6" w:themeFillTint="99"/>
            <w:vAlign w:val="center"/>
            <w:hideMark/>
          </w:tcPr>
          <w:p w14:paraId="756CD037" w14:textId="77777777" w:rsidR="00473AEF" w:rsidRPr="003A115E" w:rsidRDefault="00473AEF" w:rsidP="00016EF5">
            <w:pPr>
              <w:pStyle w:val="cuadroCabe"/>
              <w:jc w:val="right"/>
            </w:pPr>
            <w:r>
              <w:t>98,11</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A7CBE5F" w14:textId="77777777" w:rsidR="00473AEF" w:rsidRPr="003A115E" w:rsidRDefault="00473AEF" w:rsidP="00016EF5">
            <w:pPr>
              <w:pStyle w:val="cuadroCabe"/>
              <w:jc w:val="right"/>
            </w:pPr>
            <w:r>
              <w:t>1.062,76</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4EA02E09" w14:textId="77777777" w:rsidR="00473AEF" w:rsidRPr="003A115E" w:rsidRDefault="00473AEF" w:rsidP="00016EF5">
            <w:pPr>
              <w:pStyle w:val="cuadroCabe"/>
              <w:jc w:val="right"/>
            </w:pPr>
            <w:r>
              <w:t>100</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7212DBD8" w14:textId="3DC2E224" w:rsidR="00473AEF" w:rsidRPr="003A115E" w:rsidRDefault="00BF1275" w:rsidP="00016EF5">
            <w:pPr>
              <w:pStyle w:val="cuadroCabe"/>
              <w:jc w:val="right"/>
              <w:rPr>
                <w:b/>
              </w:rPr>
            </w:pPr>
            <w:r>
              <w:rPr>
                <w:rStyle w:val="normaltextrun"/>
                <w:rFonts w:ascii="Arial Narrow" w:hAnsi="Arial Narrow"/>
                <w:b/>
                <w:bdr w:val="none" w:sz="0" w:space="0" w:color="auto" w:frame="1"/>
              </w:rPr>
              <w:t>73,90</w:t>
            </w:r>
          </w:p>
        </w:tc>
        <w:tc>
          <w:tcPr>
            <w:tcW w:w="512" w:type="pct"/>
            <w:tcBorders>
              <w:top w:val="single" w:sz="4" w:space="0" w:color="auto"/>
              <w:left w:val="nil"/>
              <w:bottom w:val="single" w:sz="4" w:space="0" w:color="auto"/>
              <w:right w:val="nil"/>
            </w:tcBorders>
            <w:shd w:val="clear" w:color="auto" w:fill="FABF8F" w:themeFill="accent6" w:themeFillTint="99"/>
            <w:vAlign w:val="center"/>
            <w:hideMark/>
          </w:tcPr>
          <w:p w14:paraId="5888DFBC" w14:textId="492AF638" w:rsidR="00473AEF" w:rsidRPr="003A115E" w:rsidRDefault="00935469" w:rsidP="00016EF5">
            <w:pPr>
              <w:pStyle w:val="cuadroCabe"/>
              <w:jc w:val="right"/>
              <w:rPr>
                <w:b/>
              </w:rPr>
            </w:pPr>
            <w:r>
              <w:rPr>
                <w:b/>
              </w:rPr>
              <w:t>7</w:t>
            </w:r>
          </w:p>
        </w:tc>
      </w:tr>
    </w:tbl>
    <w:p w14:paraId="062209F7" w14:textId="0DD188E5" w:rsidR="007C3208" w:rsidRPr="003A115E" w:rsidRDefault="00C86773" w:rsidP="000922AD">
      <w:pPr>
        <w:pStyle w:val="texto"/>
        <w:spacing w:before="240"/>
      </w:pPr>
      <w:r>
        <w:t>“Ongizate komunitarioaren” eta “Zerbitzu orokorren” arloko politikek biltzen dituzte gastu-bolumenik handienak; guztizkoaren ehuneko 20 eta 11, hurrenez hurren. Ondoren, “Hezkuntza”, “Etxebizitza eta hirigintza” eta “Gizarte-zerbitzuak eta gizarte-sustapena” politikak daude; horietako bakoitza guztizko gastuaren ehuneko bederatzi, zortzi eta zortzi da, hurrenez hurren.</w:t>
      </w:r>
    </w:p>
    <w:p w14:paraId="75788B5C" w14:textId="5ABFD807" w:rsidR="00EC4C05" w:rsidRPr="003A115E" w:rsidRDefault="00EC4C05" w:rsidP="007C3208">
      <w:pPr>
        <w:pStyle w:val="texto"/>
        <w:spacing w:after="120"/>
      </w:pPr>
      <w:r>
        <w:t>“Ongizate komunitarioaren” politikako finkatutako gastuaren ehuneko 37 hondakinen bilketa, kudeaketa eta tratamenduari dagokio, eta ehuneko 28 edateko uraren etxez etxeko hornidurari. Politika horretan sartzen dira, halaber, argiteria publikoko, bide garbiketako eta estolderiako gastuak, besteak beste.</w:t>
      </w:r>
    </w:p>
    <w:p w14:paraId="49631DE6" w14:textId="6B72523E" w:rsidR="007947DB" w:rsidRPr="003A115E" w:rsidRDefault="006740AC" w:rsidP="7A999140">
      <w:pPr>
        <w:pStyle w:val="texto"/>
        <w:spacing w:after="120"/>
      </w:pPr>
      <w:r>
        <w:t>Urte arteko konparaketan, esanguratsua da "Kultura" alorreko gorakada, lehen aipatua, bai eta "Ongizate komunitario"koa, zeina baitagokie edateko uraren etxez etxeko hornidurak eta argiteriak izandako gorakadei.</w:t>
      </w:r>
    </w:p>
    <w:p w14:paraId="2C24C4AB" w14:textId="3F1428B9" w:rsidR="004B0577" w:rsidRPr="003A115E" w:rsidRDefault="00A42147" w:rsidP="00D740FF">
      <w:pPr>
        <w:pStyle w:val="atitulo2"/>
        <w:spacing w:before="240"/>
        <w:rPr>
          <w:color w:val="auto"/>
        </w:rPr>
      </w:pPr>
      <w:bookmarkStart w:id="72" w:name="_Toc188511788"/>
      <w:r>
        <w:rPr>
          <w:color w:val="auto"/>
        </w:rPr>
        <w:lastRenderedPageBreak/>
        <w:t>VI.3 Suspertze eta Erresilientziarako Mekanismoaren funtsak</w:t>
      </w:r>
      <w:bookmarkEnd w:id="72"/>
      <w:r>
        <w:rPr>
          <w:color w:val="auto"/>
        </w:rPr>
        <w:t xml:space="preserve"> </w:t>
      </w:r>
    </w:p>
    <w:p w14:paraId="0D081446" w14:textId="32C478EB" w:rsidR="00A70E3A" w:rsidRPr="003A115E" w:rsidRDefault="006F3A12" w:rsidP="00E7168B">
      <w:pPr>
        <w:pStyle w:val="texto"/>
        <w:spacing w:after="240"/>
        <w:rPr>
          <w:bCs/>
          <w:iCs/>
        </w:rPr>
      </w:pPr>
      <w:r>
        <w:t xml:space="preserve">Daukaten garrantzi kuantitatiboa dela-eta, jarraian aurkezten dugu toki-entitateek 2022an jasotako funtsen xehetasuna; hain zuzen, funts horiek dagozkie </w:t>
      </w:r>
      <w:proofErr w:type="spellStart"/>
      <w:r>
        <w:t>Next</w:t>
      </w:r>
      <w:proofErr w:type="spellEnd"/>
      <w:r>
        <w:t xml:space="preserve"> </w:t>
      </w:r>
      <w:proofErr w:type="spellStart"/>
      <w:r>
        <w:t>Generation</w:t>
      </w:r>
      <w:proofErr w:type="spellEnd"/>
      <w:r>
        <w:t xml:space="preserve"> funtsen kargura finantzatutako Espainiako Erresumaren Suspertze, Eraldatze eta Erresilientzia Planean sartutako proiektuei.</w:t>
      </w:r>
    </w:p>
    <w:p w14:paraId="307603B8" w14:textId="6F241D6B" w:rsidR="00455A3A" w:rsidRPr="003A115E" w:rsidRDefault="00FB4FE9" w:rsidP="00A70E3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bCs/>
          <w:iCs/>
        </w:rPr>
      </w:pPr>
      <w:r>
        <w:t>Kontuen Ganberak auditaturiko toki-entitateei buruzko informazioa:</w:t>
      </w:r>
      <w:r w:rsidR="00B813BA" w:rsidRPr="003A115E">
        <w:rPr>
          <w:rStyle w:val="Refdenotaalpie"/>
          <w:lang w:val="es-ES"/>
        </w:rPr>
        <w:footnoteReference w:id="8"/>
      </w:r>
      <w:r>
        <w:t xml:space="preserve"> hurrenez hurren 16’46 eta 11’36 milioi egiten duten eskubideak eta gastuak aitortu dira. </w:t>
      </w:r>
    </w:p>
    <w:p w14:paraId="7500368A" w14:textId="0EFE6079" w:rsidR="002A4BE9" w:rsidRPr="003A115E" w:rsidRDefault="00A42147" w:rsidP="002B51BC">
      <w:pPr>
        <w:pStyle w:val="atitulo2"/>
        <w:rPr>
          <w:color w:val="auto"/>
        </w:rPr>
      </w:pPr>
      <w:bookmarkStart w:id="73" w:name="_Toc465686690"/>
      <w:bookmarkStart w:id="74" w:name="_Toc529773884"/>
      <w:bookmarkStart w:id="75" w:name="_Toc24100145"/>
      <w:bookmarkStart w:id="76" w:name="_Toc52348293"/>
      <w:bookmarkStart w:id="77" w:name="_Toc123547409"/>
      <w:bookmarkStart w:id="78" w:name="_Toc188511789"/>
      <w:r>
        <w:rPr>
          <w:color w:val="auto"/>
        </w:rPr>
        <w:t xml:space="preserve">VI.4 </w:t>
      </w:r>
      <w:bookmarkEnd w:id="73"/>
      <w:r>
        <w:rPr>
          <w:color w:val="auto"/>
        </w:rPr>
        <w:t>Adierazleak</w:t>
      </w:r>
      <w:bookmarkEnd w:id="74"/>
      <w:bookmarkEnd w:id="75"/>
      <w:bookmarkEnd w:id="76"/>
      <w:bookmarkEnd w:id="77"/>
      <w:bookmarkEnd w:id="78"/>
    </w:p>
    <w:p w14:paraId="7F597901" w14:textId="3A464114" w:rsidR="002A4BE9" w:rsidRPr="003A115E" w:rsidRDefault="002A4BE9" w:rsidP="7A999140">
      <w:pPr>
        <w:pStyle w:val="texto"/>
        <w:spacing w:after="240"/>
      </w:pPr>
      <w:r>
        <w:t xml:space="preserve">Beheko taulan, toki-sektore publikoan gastatutako 100 euroko kopuru bakoitzaren banaketa erakusten dugu, bai eta finantzaketa ere, sozietateak barne hartu gabe: </w:t>
      </w:r>
    </w:p>
    <w:tbl>
      <w:tblPr>
        <w:tblW w:w="5000" w:type="pct"/>
        <w:tblCellMar>
          <w:left w:w="70" w:type="dxa"/>
          <w:right w:w="70" w:type="dxa"/>
        </w:tblCellMar>
        <w:tblLook w:val="04A0" w:firstRow="1" w:lastRow="0" w:firstColumn="1" w:lastColumn="0" w:noHBand="0" w:noVBand="1"/>
      </w:tblPr>
      <w:tblGrid>
        <w:gridCol w:w="2409"/>
        <w:gridCol w:w="990"/>
        <w:gridCol w:w="993"/>
        <w:gridCol w:w="2410"/>
        <w:gridCol w:w="144"/>
        <w:gridCol w:w="851"/>
        <w:gridCol w:w="991"/>
      </w:tblGrid>
      <w:tr w:rsidR="000A742F" w:rsidRPr="003A115E" w14:paraId="105F7F73" w14:textId="77777777" w:rsidTr="005F3A0D">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6C785775" w14:textId="77777777" w:rsidR="00C15852" w:rsidRPr="003A115E" w:rsidRDefault="00C15852" w:rsidP="004F2257">
            <w:pPr>
              <w:pStyle w:val="cuadroCabe"/>
            </w:pPr>
            <w:r>
              <w:t>Gastuaren izaera</w:t>
            </w:r>
          </w:p>
        </w:tc>
        <w:tc>
          <w:tcPr>
            <w:tcW w:w="563" w:type="pct"/>
            <w:tcBorders>
              <w:top w:val="single" w:sz="4" w:space="0" w:color="auto"/>
              <w:left w:val="nil"/>
              <w:bottom w:val="single" w:sz="4" w:space="0" w:color="auto"/>
              <w:right w:val="nil"/>
            </w:tcBorders>
            <w:shd w:val="clear" w:color="auto" w:fill="FABF8F" w:themeFill="accent6" w:themeFillTint="99"/>
            <w:vAlign w:val="center"/>
            <w:hideMark/>
          </w:tcPr>
          <w:p w14:paraId="5FC0038F" w14:textId="77777777" w:rsidR="00C15852" w:rsidRPr="003A115E" w:rsidRDefault="00C15852" w:rsidP="00980115">
            <w:pPr>
              <w:pStyle w:val="cuadroCabe"/>
              <w:jc w:val="right"/>
            </w:pPr>
            <w:r>
              <w:t>2021</w:t>
            </w:r>
          </w:p>
        </w:tc>
        <w:tc>
          <w:tcPr>
            <w:tcW w:w="565"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6455800E" w14:textId="77777777" w:rsidR="00C15852" w:rsidRPr="003A115E" w:rsidRDefault="00C15852" w:rsidP="00980115">
            <w:pPr>
              <w:pStyle w:val="cuadroCabe"/>
              <w:jc w:val="right"/>
            </w:pPr>
            <w:r>
              <w:t>2022</w:t>
            </w:r>
          </w:p>
        </w:tc>
        <w:tc>
          <w:tcPr>
            <w:tcW w:w="1371"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3F1E83A2" w14:textId="77777777" w:rsidR="00C15852" w:rsidRPr="003A115E" w:rsidRDefault="00C15852" w:rsidP="00980115">
            <w:pPr>
              <w:pStyle w:val="cuadroCabe"/>
              <w:jc w:val="right"/>
            </w:pPr>
            <w:r>
              <w:t>Finantzaketa-iturria</w:t>
            </w:r>
          </w:p>
        </w:tc>
        <w:tc>
          <w:tcPr>
            <w:tcW w:w="56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10ACC2EF" w14:textId="77777777" w:rsidR="00C15852" w:rsidRPr="003A115E" w:rsidRDefault="00C15852" w:rsidP="00980115">
            <w:pPr>
              <w:pStyle w:val="cuadroCabe"/>
              <w:jc w:val="right"/>
            </w:pPr>
            <w:r>
              <w:t>2021</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4EBEFF93" w14:textId="77777777" w:rsidR="00C15852" w:rsidRPr="003A115E" w:rsidRDefault="00C15852" w:rsidP="00980115">
            <w:pPr>
              <w:pStyle w:val="cuadroCabe"/>
              <w:jc w:val="right"/>
            </w:pPr>
            <w:r>
              <w:t>2022</w:t>
            </w:r>
          </w:p>
        </w:tc>
      </w:tr>
      <w:tr w:rsidR="000A742F" w:rsidRPr="003A115E" w14:paraId="74A9ED69" w14:textId="77777777" w:rsidTr="000A33AE">
        <w:trPr>
          <w:trHeight w:val="198"/>
        </w:trPr>
        <w:tc>
          <w:tcPr>
            <w:tcW w:w="1371" w:type="pct"/>
            <w:tcBorders>
              <w:top w:val="nil"/>
              <w:left w:val="nil"/>
              <w:bottom w:val="single" w:sz="2" w:space="0" w:color="auto"/>
              <w:right w:val="nil"/>
            </w:tcBorders>
            <w:shd w:val="clear" w:color="auto" w:fill="auto"/>
            <w:vAlign w:val="center"/>
            <w:hideMark/>
          </w:tcPr>
          <w:p w14:paraId="3AA91879" w14:textId="4FFF982F" w:rsidR="00C15852" w:rsidRPr="003A115E" w:rsidRDefault="00C15852" w:rsidP="00980115">
            <w:pPr>
              <w:pStyle w:val="cuatexto"/>
            </w:pPr>
            <w:r>
              <w:t>Langileria</w:t>
            </w:r>
          </w:p>
        </w:tc>
        <w:tc>
          <w:tcPr>
            <w:tcW w:w="563" w:type="pct"/>
            <w:tcBorders>
              <w:top w:val="nil"/>
              <w:left w:val="nil"/>
              <w:bottom w:val="single" w:sz="2" w:space="0" w:color="auto"/>
              <w:right w:val="nil"/>
            </w:tcBorders>
            <w:shd w:val="clear" w:color="auto" w:fill="auto"/>
            <w:vAlign w:val="center"/>
            <w:hideMark/>
          </w:tcPr>
          <w:p w14:paraId="041CAE8E" w14:textId="77777777" w:rsidR="00C15852" w:rsidRPr="003A115E" w:rsidRDefault="00C15852" w:rsidP="00980115">
            <w:pPr>
              <w:pStyle w:val="cuatexto"/>
              <w:jc w:val="right"/>
            </w:pPr>
            <w:r>
              <w:t>36</w:t>
            </w:r>
          </w:p>
        </w:tc>
        <w:tc>
          <w:tcPr>
            <w:tcW w:w="565" w:type="pct"/>
            <w:tcBorders>
              <w:top w:val="nil"/>
              <w:left w:val="nil"/>
              <w:bottom w:val="single" w:sz="2" w:space="0" w:color="auto"/>
              <w:right w:val="single" w:sz="2" w:space="0" w:color="auto"/>
            </w:tcBorders>
            <w:shd w:val="clear" w:color="auto" w:fill="auto"/>
            <w:vAlign w:val="center"/>
            <w:hideMark/>
          </w:tcPr>
          <w:p w14:paraId="5B6133D5" w14:textId="77777777" w:rsidR="00C15852" w:rsidRPr="003A115E" w:rsidRDefault="00C15852" w:rsidP="00980115">
            <w:pPr>
              <w:pStyle w:val="cuatexto"/>
              <w:jc w:val="right"/>
            </w:pPr>
            <w:r>
              <w:t>35</w:t>
            </w:r>
          </w:p>
        </w:tc>
        <w:tc>
          <w:tcPr>
            <w:tcW w:w="1453" w:type="pct"/>
            <w:gridSpan w:val="2"/>
            <w:tcBorders>
              <w:top w:val="nil"/>
              <w:left w:val="single" w:sz="2" w:space="0" w:color="auto"/>
              <w:bottom w:val="single" w:sz="2" w:space="0" w:color="auto"/>
              <w:right w:val="nil"/>
            </w:tcBorders>
            <w:shd w:val="clear" w:color="auto" w:fill="auto"/>
            <w:vAlign w:val="center"/>
            <w:hideMark/>
          </w:tcPr>
          <w:p w14:paraId="3B0E5FB3" w14:textId="77777777" w:rsidR="00C15852" w:rsidRPr="003A115E" w:rsidRDefault="00C15852" w:rsidP="005D2DFB">
            <w:pPr>
              <w:pStyle w:val="cuatexto"/>
              <w:jc w:val="left"/>
            </w:pPr>
            <w:r>
              <w:t>Tributu bidezko diru-sarrerak</w:t>
            </w:r>
          </w:p>
        </w:tc>
        <w:tc>
          <w:tcPr>
            <w:tcW w:w="484" w:type="pct"/>
            <w:tcBorders>
              <w:top w:val="nil"/>
              <w:left w:val="nil"/>
              <w:bottom w:val="single" w:sz="2" w:space="0" w:color="auto"/>
              <w:right w:val="nil"/>
            </w:tcBorders>
            <w:shd w:val="clear" w:color="auto" w:fill="auto"/>
            <w:vAlign w:val="center"/>
            <w:hideMark/>
          </w:tcPr>
          <w:p w14:paraId="317A3064" w14:textId="77777777" w:rsidR="00C15852" w:rsidRPr="003A115E" w:rsidRDefault="00C15852" w:rsidP="00980115">
            <w:pPr>
              <w:pStyle w:val="cuatexto"/>
              <w:jc w:val="right"/>
            </w:pPr>
            <w:r>
              <w:t>45</w:t>
            </w:r>
          </w:p>
        </w:tc>
        <w:tc>
          <w:tcPr>
            <w:tcW w:w="564" w:type="pct"/>
            <w:tcBorders>
              <w:top w:val="nil"/>
              <w:left w:val="nil"/>
              <w:bottom w:val="single" w:sz="2" w:space="0" w:color="auto"/>
              <w:right w:val="nil"/>
            </w:tcBorders>
            <w:shd w:val="clear" w:color="auto" w:fill="auto"/>
            <w:vAlign w:val="center"/>
            <w:hideMark/>
          </w:tcPr>
          <w:p w14:paraId="379F486A" w14:textId="77777777" w:rsidR="00C15852" w:rsidRPr="003A115E" w:rsidRDefault="00C15852" w:rsidP="00980115">
            <w:pPr>
              <w:pStyle w:val="cuatexto"/>
              <w:jc w:val="right"/>
            </w:pPr>
            <w:r>
              <w:t>42</w:t>
            </w:r>
          </w:p>
        </w:tc>
      </w:tr>
      <w:tr w:rsidR="000A742F" w:rsidRPr="003A115E" w14:paraId="09A65E50"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3605CC5B" w14:textId="77777777" w:rsidR="00C15852" w:rsidRPr="003A115E" w:rsidRDefault="00C15852" w:rsidP="00980115">
            <w:pPr>
              <w:pStyle w:val="cuatexto"/>
            </w:pPr>
            <w:r>
              <w:t>Ondasun arruntak eta zerbitzuak</w:t>
            </w:r>
          </w:p>
        </w:tc>
        <w:tc>
          <w:tcPr>
            <w:tcW w:w="563" w:type="pct"/>
            <w:tcBorders>
              <w:top w:val="single" w:sz="2" w:space="0" w:color="auto"/>
              <w:left w:val="nil"/>
              <w:bottom w:val="single" w:sz="2" w:space="0" w:color="auto"/>
              <w:right w:val="nil"/>
            </w:tcBorders>
            <w:shd w:val="clear" w:color="auto" w:fill="auto"/>
            <w:vAlign w:val="center"/>
            <w:hideMark/>
          </w:tcPr>
          <w:p w14:paraId="177D989A" w14:textId="77777777" w:rsidR="00C15852" w:rsidRPr="003A115E" w:rsidRDefault="00C15852" w:rsidP="00980115">
            <w:pPr>
              <w:pStyle w:val="cuatexto"/>
              <w:jc w:val="right"/>
            </w:pPr>
            <w:r>
              <w:t>33</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485401BE" w14:textId="77777777" w:rsidR="00C15852" w:rsidRPr="003A115E" w:rsidRDefault="00C15852" w:rsidP="00980115">
            <w:pPr>
              <w:pStyle w:val="cuatexto"/>
              <w:jc w:val="right"/>
            </w:pPr>
            <w:r>
              <w:t>36</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59D3BFE5" w14:textId="77777777" w:rsidR="00C15852" w:rsidRPr="003A115E" w:rsidRDefault="00C15852" w:rsidP="005D2DFB">
            <w:pPr>
              <w:pStyle w:val="cuatexto"/>
              <w:jc w:val="left"/>
            </w:pPr>
            <w:r>
              <w:t>Transferentzien bitartezko diru-sarrerak</w:t>
            </w:r>
          </w:p>
        </w:tc>
        <w:tc>
          <w:tcPr>
            <w:tcW w:w="484" w:type="pct"/>
            <w:tcBorders>
              <w:top w:val="single" w:sz="2" w:space="0" w:color="auto"/>
              <w:left w:val="nil"/>
              <w:bottom w:val="single" w:sz="2" w:space="0" w:color="auto"/>
              <w:right w:val="nil"/>
            </w:tcBorders>
            <w:shd w:val="clear" w:color="auto" w:fill="auto"/>
            <w:vAlign w:val="center"/>
            <w:hideMark/>
          </w:tcPr>
          <w:p w14:paraId="2B75A748" w14:textId="77777777" w:rsidR="00C15852" w:rsidRPr="003A115E" w:rsidRDefault="00C15852" w:rsidP="00980115">
            <w:pPr>
              <w:pStyle w:val="cuatexto"/>
              <w:jc w:val="right"/>
            </w:pPr>
            <w:r>
              <w:t>47</w:t>
            </w:r>
          </w:p>
        </w:tc>
        <w:tc>
          <w:tcPr>
            <w:tcW w:w="564" w:type="pct"/>
            <w:tcBorders>
              <w:top w:val="single" w:sz="2" w:space="0" w:color="auto"/>
              <w:left w:val="nil"/>
              <w:bottom w:val="single" w:sz="2" w:space="0" w:color="auto"/>
              <w:right w:val="nil"/>
            </w:tcBorders>
            <w:shd w:val="clear" w:color="auto" w:fill="auto"/>
            <w:vAlign w:val="center"/>
            <w:hideMark/>
          </w:tcPr>
          <w:p w14:paraId="5B9F4EFE" w14:textId="77777777" w:rsidR="00C15852" w:rsidRPr="003A115E" w:rsidRDefault="00C15852" w:rsidP="00980115">
            <w:pPr>
              <w:pStyle w:val="cuatexto"/>
              <w:jc w:val="right"/>
            </w:pPr>
            <w:r>
              <w:t>48</w:t>
            </w:r>
          </w:p>
        </w:tc>
      </w:tr>
      <w:tr w:rsidR="000A742F" w:rsidRPr="003A115E" w14:paraId="4F899ACB"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4E7CD617" w14:textId="77777777" w:rsidR="00C15852" w:rsidRPr="003A115E" w:rsidRDefault="00C15852" w:rsidP="00980115">
            <w:pPr>
              <w:pStyle w:val="cuatexto"/>
            </w:pPr>
            <w:r>
              <w:t>Transferentziengatiko gastuak</w:t>
            </w:r>
          </w:p>
        </w:tc>
        <w:tc>
          <w:tcPr>
            <w:tcW w:w="563" w:type="pct"/>
            <w:tcBorders>
              <w:top w:val="single" w:sz="2" w:space="0" w:color="auto"/>
              <w:left w:val="nil"/>
              <w:bottom w:val="single" w:sz="2" w:space="0" w:color="auto"/>
              <w:right w:val="nil"/>
            </w:tcBorders>
            <w:shd w:val="clear" w:color="auto" w:fill="auto"/>
            <w:vAlign w:val="center"/>
            <w:hideMark/>
          </w:tcPr>
          <w:p w14:paraId="262DFE95" w14:textId="77777777" w:rsidR="00C15852" w:rsidRPr="003A115E" w:rsidRDefault="00C15852" w:rsidP="00980115">
            <w:pPr>
              <w:pStyle w:val="cuatexto"/>
              <w:jc w:val="right"/>
            </w:pPr>
            <w:r>
              <w:t>11</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4D8C65E2" w14:textId="77777777" w:rsidR="00C15852" w:rsidRPr="003A115E" w:rsidRDefault="00C15852" w:rsidP="00980115">
            <w:pPr>
              <w:pStyle w:val="cuatexto"/>
              <w:jc w:val="right"/>
            </w:pPr>
            <w:r>
              <w:t>11</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1E2D5B15" w14:textId="77777777" w:rsidR="00C15852" w:rsidRPr="003A115E" w:rsidRDefault="00C15852" w:rsidP="005D2DFB">
            <w:pPr>
              <w:pStyle w:val="cuatexto"/>
              <w:jc w:val="left"/>
            </w:pPr>
            <w:r>
              <w:t>Ondare bidezko diru-sarrerak eta beste</w:t>
            </w:r>
          </w:p>
        </w:tc>
        <w:tc>
          <w:tcPr>
            <w:tcW w:w="484" w:type="pct"/>
            <w:tcBorders>
              <w:top w:val="single" w:sz="2" w:space="0" w:color="auto"/>
              <w:left w:val="nil"/>
              <w:bottom w:val="single" w:sz="2" w:space="0" w:color="auto"/>
              <w:right w:val="nil"/>
            </w:tcBorders>
            <w:shd w:val="clear" w:color="auto" w:fill="auto"/>
            <w:vAlign w:val="center"/>
            <w:hideMark/>
          </w:tcPr>
          <w:p w14:paraId="4D0BEF26" w14:textId="77777777" w:rsidR="00C15852" w:rsidRPr="003A115E" w:rsidRDefault="00C15852" w:rsidP="00980115">
            <w:pPr>
              <w:pStyle w:val="cuatexto"/>
              <w:jc w:val="right"/>
            </w:pPr>
            <w:r>
              <w:t>6</w:t>
            </w:r>
          </w:p>
        </w:tc>
        <w:tc>
          <w:tcPr>
            <w:tcW w:w="564" w:type="pct"/>
            <w:tcBorders>
              <w:top w:val="single" w:sz="2" w:space="0" w:color="auto"/>
              <w:left w:val="nil"/>
              <w:bottom w:val="single" w:sz="2" w:space="0" w:color="auto"/>
              <w:right w:val="nil"/>
            </w:tcBorders>
            <w:shd w:val="clear" w:color="auto" w:fill="auto"/>
            <w:vAlign w:val="center"/>
            <w:hideMark/>
          </w:tcPr>
          <w:p w14:paraId="5DE25953" w14:textId="77777777" w:rsidR="00C15852" w:rsidRPr="003A115E" w:rsidRDefault="00C15852" w:rsidP="00980115">
            <w:pPr>
              <w:pStyle w:val="cuatexto"/>
              <w:jc w:val="right"/>
            </w:pPr>
            <w:r>
              <w:t>6</w:t>
            </w:r>
          </w:p>
        </w:tc>
      </w:tr>
      <w:tr w:rsidR="000A742F" w:rsidRPr="003A115E" w14:paraId="207D9DEB"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6D044F2F" w14:textId="77777777" w:rsidR="00C15852" w:rsidRPr="003A115E" w:rsidRDefault="00C15852" w:rsidP="00980115">
            <w:pPr>
              <w:pStyle w:val="cuatexto"/>
            </w:pPr>
            <w:r>
              <w:t>Inbertsio errealak</w:t>
            </w:r>
          </w:p>
        </w:tc>
        <w:tc>
          <w:tcPr>
            <w:tcW w:w="563" w:type="pct"/>
            <w:tcBorders>
              <w:top w:val="single" w:sz="2" w:space="0" w:color="auto"/>
              <w:left w:val="nil"/>
              <w:bottom w:val="single" w:sz="2" w:space="0" w:color="auto"/>
              <w:right w:val="nil"/>
            </w:tcBorders>
            <w:shd w:val="clear" w:color="auto" w:fill="auto"/>
            <w:vAlign w:val="center"/>
            <w:hideMark/>
          </w:tcPr>
          <w:p w14:paraId="595EBE6D" w14:textId="77777777" w:rsidR="00C15852" w:rsidRPr="003A115E" w:rsidRDefault="00C15852" w:rsidP="00980115">
            <w:pPr>
              <w:pStyle w:val="cuatexto"/>
              <w:jc w:val="right"/>
            </w:pPr>
            <w:r>
              <w:t>18</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22BC3B48" w14:textId="77777777" w:rsidR="00C15852" w:rsidRPr="003A115E" w:rsidRDefault="00C15852" w:rsidP="00980115">
            <w:pPr>
              <w:pStyle w:val="cuatexto"/>
              <w:jc w:val="right"/>
            </w:pPr>
            <w:r>
              <w:t>16</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2A3B1146" w14:textId="77777777" w:rsidR="00C15852" w:rsidRPr="003A115E" w:rsidRDefault="00C15852" w:rsidP="005D2DFB">
            <w:pPr>
              <w:pStyle w:val="cuatexto"/>
              <w:jc w:val="left"/>
            </w:pPr>
            <w:r>
              <w:t>Inbertsioen besterentzea</w:t>
            </w:r>
          </w:p>
        </w:tc>
        <w:tc>
          <w:tcPr>
            <w:tcW w:w="484" w:type="pct"/>
            <w:tcBorders>
              <w:top w:val="single" w:sz="2" w:space="0" w:color="auto"/>
              <w:left w:val="nil"/>
              <w:bottom w:val="single" w:sz="2" w:space="0" w:color="auto"/>
              <w:right w:val="nil"/>
            </w:tcBorders>
            <w:shd w:val="clear" w:color="auto" w:fill="auto"/>
            <w:vAlign w:val="center"/>
            <w:hideMark/>
          </w:tcPr>
          <w:p w14:paraId="37127549" w14:textId="77777777" w:rsidR="00C15852" w:rsidRPr="003A115E" w:rsidRDefault="00C15852" w:rsidP="00980115">
            <w:pPr>
              <w:pStyle w:val="cuatexto"/>
              <w:jc w:val="right"/>
            </w:pPr>
            <w:r>
              <w:t>1</w:t>
            </w:r>
          </w:p>
        </w:tc>
        <w:tc>
          <w:tcPr>
            <w:tcW w:w="564" w:type="pct"/>
            <w:tcBorders>
              <w:top w:val="single" w:sz="2" w:space="0" w:color="auto"/>
              <w:left w:val="nil"/>
              <w:bottom w:val="single" w:sz="2" w:space="0" w:color="auto"/>
              <w:right w:val="nil"/>
            </w:tcBorders>
            <w:shd w:val="clear" w:color="auto" w:fill="auto"/>
            <w:vAlign w:val="center"/>
            <w:hideMark/>
          </w:tcPr>
          <w:p w14:paraId="5A2A369A" w14:textId="77777777" w:rsidR="00C15852" w:rsidRPr="003A115E" w:rsidRDefault="00C15852" w:rsidP="00980115">
            <w:pPr>
              <w:pStyle w:val="cuatexto"/>
              <w:jc w:val="right"/>
            </w:pPr>
            <w:r>
              <w:t>2</w:t>
            </w:r>
          </w:p>
        </w:tc>
      </w:tr>
      <w:tr w:rsidR="000A742F" w:rsidRPr="003A115E" w14:paraId="5349C3B1" w14:textId="77777777" w:rsidTr="000A33AE">
        <w:trPr>
          <w:trHeight w:val="198"/>
        </w:trPr>
        <w:tc>
          <w:tcPr>
            <w:tcW w:w="1371" w:type="pct"/>
            <w:tcBorders>
              <w:top w:val="single" w:sz="2" w:space="0" w:color="auto"/>
              <w:left w:val="nil"/>
              <w:bottom w:val="single" w:sz="4" w:space="0" w:color="auto"/>
              <w:right w:val="nil"/>
            </w:tcBorders>
            <w:shd w:val="clear" w:color="auto" w:fill="auto"/>
            <w:vAlign w:val="center"/>
            <w:hideMark/>
          </w:tcPr>
          <w:p w14:paraId="0E201066" w14:textId="77777777" w:rsidR="00C15852" w:rsidRPr="003A115E" w:rsidRDefault="00C15852" w:rsidP="00980115">
            <w:pPr>
              <w:pStyle w:val="cuatexto"/>
            </w:pPr>
            <w:r>
              <w:t>Finantza-zama</w:t>
            </w:r>
          </w:p>
        </w:tc>
        <w:tc>
          <w:tcPr>
            <w:tcW w:w="563" w:type="pct"/>
            <w:tcBorders>
              <w:top w:val="single" w:sz="2" w:space="0" w:color="auto"/>
              <w:left w:val="nil"/>
              <w:bottom w:val="single" w:sz="4" w:space="0" w:color="auto"/>
              <w:right w:val="nil"/>
            </w:tcBorders>
            <w:shd w:val="clear" w:color="auto" w:fill="auto"/>
            <w:vAlign w:val="center"/>
            <w:hideMark/>
          </w:tcPr>
          <w:p w14:paraId="7F21CC3A" w14:textId="77777777" w:rsidR="00C15852" w:rsidRPr="003A115E" w:rsidRDefault="00C15852" w:rsidP="00980115">
            <w:pPr>
              <w:pStyle w:val="cuatexto"/>
              <w:jc w:val="right"/>
            </w:pPr>
            <w:r>
              <w:t>3</w:t>
            </w:r>
          </w:p>
        </w:tc>
        <w:tc>
          <w:tcPr>
            <w:tcW w:w="565" w:type="pct"/>
            <w:tcBorders>
              <w:top w:val="single" w:sz="2" w:space="0" w:color="auto"/>
              <w:left w:val="nil"/>
              <w:bottom w:val="single" w:sz="4" w:space="0" w:color="auto"/>
              <w:right w:val="single" w:sz="2" w:space="0" w:color="auto"/>
            </w:tcBorders>
            <w:shd w:val="clear" w:color="auto" w:fill="auto"/>
            <w:vAlign w:val="center"/>
            <w:hideMark/>
          </w:tcPr>
          <w:p w14:paraId="4EA4CF98" w14:textId="77777777" w:rsidR="00C15852" w:rsidRPr="003A115E" w:rsidRDefault="00C15852" w:rsidP="00980115">
            <w:pPr>
              <w:pStyle w:val="cuatexto"/>
              <w:jc w:val="right"/>
            </w:pPr>
            <w:r>
              <w:t>2</w:t>
            </w:r>
          </w:p>
        </w:tc>
        <w:tc>
          <w:tcPr>
            <w:tcW w:w="1453" w:type="pct"/>
            <w:gridSpan w:val="2"/>
            <w:tcBorders>
              <w:top w:val="single" w:sz="2" w:space="0" w:color="auto"/>
              <w:left w:val="single" w:sz="2" w:space="0" w:color="auto"/>
              <w:bottom w:val="single" w:sz="4" w:space="0" w:color="auto"/>
              <w:right w:val="nil"/>
            </w:tcBorders>
            <w:shd w:val="clear" w:color="auto" w:fill="auto"/>
            <w:vAlign w:val="center"/>
            <w:hideMark/>
          </w:tcPr>
          <w:p w14:paraId="23BCE43F" w14:textId="77777777" w:rsidR="00C15852" w:rsidRPr="003A115E" w:rsidRDefault="00C15852" w:rsidP="005D2DFB">
            <w:pPr>
              <w:pStyle w:val="cuatexto"/>
              <w:jc w:val="left"/>
            </w:pPr>
            <w:r>
              <w:t>Zorpetzea</w:t>
            </w:r>
          </w:p>
        </w:tc>
        <w:tc>
          <w:tcPr>
            <w:tcW w:w="484" w:type="pct"/>
            <w:tcBorders>
              <w:top w:val="single" w:sz="2" w:space="0" w:color="auto"/>
              <w:left w:val="nil"/>
              <w:bottom w:val="single" w:sz="4" w:space="0" w:color="auto"/>
              <w:right w:val="nil"/>
            </w:tcBorders>
            <w:shd w:val="clear" w:color="auto" w:fill="auto"/>
            <w:vAlign w:val="center"/>
            <w:hideMark/>
          </w:tcPr>
          <w:p w14:paraId="208CF930" w14:textId="77777777" w:rsidR="00C15852" w:rsidRPr="003A115E" w:rsidRDefault="00C15852" w:rsidP="00980115">
            <w:pPr>
              <w:pStyle w:val="cuatexto"/>
              <w:jc w:val="right"/>
            </w:pPr>
            <w:r>
              <w:t>0</w:t>
            </w:r>
          </w:p>
        </w:tc>
        <w:tc>
          <w:tcPr>
            <w:tcW w:w="564" w:type="pct"/>
            <w:tcBorders>
              <w:top w:val="single" w:sz="2" w:space="0" w:color="auto"/>
              <w:left w:val="nil"/>
              <w:bottom w:val="single" w:sz="4" w:space="0" w:color="auto"/>
              <w:right w:val="nil"/>
            </w:tcBorders>
            <w:shd w:val="clear" w:color="auto" w:fill="auto"/>
            <w:vAlign w:val="center"/>
            <w:hideMark/>
          </w:tcPr>
          <w:p w14:paraId="5B407808" w14:textId="77777777" w:rsidR="00C15852" w:rsidRPr="003A115E" w:rsidRDefault="00C15852" w:rsidP="00980115">
            <w:pPr>
              <w:pStyle w:val="cuatexto"/>
              <w:jc w:val="right"/>
            </w:pPr>
            <w:r>
              <w:t>2</w:t>
            </w:r>
          </w:p>
        </w:tc>
      </w:tr>
      <w:tr w:rsidR="000A742F" w:rsidRPr="003A115E" w14:paraId="779B9B50" w14:textId="77777777" w:rsidTr="005F3A0D">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4FE52FA5" w14:textId="77777777" w:rsidR="00C15852" w:rsidRPr="003A115E" w:rsidRDefault="00C15852" w:rsidP="004F2257">
            <w:pPr>
              <w:pStyle w:val="cuadroCabe"/>
            </w:pPr>
            <w:r>
              <w:t> </w:t>
            </w:r>
          </w:p>
        </w:tc>
        <w:tc>
          <w:tcPr>
            <w:tcW w:w="563" w:type="pct"/>
            <w:tcBorders>
              <w:top w:val="single" w:sz="4" w:space="0" w:color="auto"/>
              <w:left w:val="nil"/>
              <w:bottom w:val="single" w:sz="4" w:space="0" w:color="auto"/>
              <w:right w:val="nil"/>
            </w:tcBorders>
            <w:shd w:val="clear" w:color="auto" w:fill="FABF8F" w:themeFill="accent6" w:themeFillTint="99"/>
            <w:vAlign w:val="center"/>
            <w:hideMark/>
          </w:tcPr>
          <w:p w14:paraId="2661BEAF" w14:textId="77777777" w:rsidR="00C15852" w:rsidRPr="003A115E" w:rsidRDefault="00C15852" w:rsidP="00980115">
            <w:pPr>
              <w:pStyle w:val="cuadroCabe"/>
              <w:jc w:val="right"/>
            </w:pPr>
            <w:r>
              <w:t>100</w:t>
            </w:r>
          </w:p>
        </w:tc>
        <w:tc>
          <w:tcPr>
            <w:tcW w:w="565"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EDD0F14" w14:textId="77777777" w:rsidR="00C15852" w:rsidRPr="003A115E" w:rsidRDefault="00C15852" w:rsidP="00980115">
            <w:pPr>
              <w:pStyle w:val="cuadroCabe"/>
              <w:jc w:val="right"/>
            </w:pPr>
            <w:r>
              <w:t>100</w:t>
            </w:r>
          </w:p>
        </w:tc>
        <w:tc>
          <w:tcPr>
            <w:tcW w:w="1371"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1981B07" w14:textId="77777777" w:rsidR="00C15852" w:rsidRPr="003A115E" w:rsidRDefault="00C15852" w:rsidP="00980115">
            <w:pPr>
              <w:pStyle w:val="cuadroCabe"/>
              <w:jc w:val="right"/>
            </w:pPr>
            <w:r>
              <w:t> </w:t>
            </w:r>
          </w:p>
        </w:tc>
        <w:tc>
          <w:tcPr>
            <w:tcW w:w="56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5351AE30" w14:textId="77777777" w:rsidR="00C15852" w:rsidRPr="003A115E" w:rsidRDefault="00C15852" w:rsidP="00980115">
            <w:pPr>
              <w:pStyle w:val="cuadroCabe"/>
              <w:jc w:val="right"/>
            </w:pPr>
            <w:r>
              <w:t>100</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7F944EAF" w14:textId="77777777" w:rsidR="00C15852" w:rsidRPr="003A115E" w:rsidRDefault="00C15852" w:rsidP="00980115">
            <w:pPr>
              <w:pStyle w:val="cuadroCabe"/>
              <w:jc w:val="right"/>
            </w:pPr>
            <w:r>
              <w:t>100</w:t>
            </w:r>
          </w:p>
        </w:tc>
      </w:tr>
    </w:tbl>
    <w:p w14:paraId="440F2D01" w14:textId="5B57F6A9" w:rsidR="00E72E7F" w:rsidRPr="003A115E" w:rsidRDefault="00795BEE" w:rsidP="31020D79">
      <w:pPr>
        <w:pStyle w:val="texto"/>
        <w:spacing w:before="240"/>
      </w:pPr>
      <w:r>
        <w:t>2022an, toki-entitateen bi diru-sarrera iturri nagusiak transferentziak eta tributu bidezko diru-sarrerak dira, zeinek haien baliabideen ehuneko 48 eta 42 ekartzen baitituzte, hurrenez hurren. Urte arteko konparaketan, tributu bidezko diru-sarreren ekarpena pixka bat murrizten da, eta zorpetzearen pisu erlatiboa gehitzen.</w:t>
      </w:r>
    </w:p>
    <w:p w14:paraId="09578AA1" w14:textId="0D338983" w:rsidR="00750B52" w:rsidRPr="003A115E" w:rsidRDefault="007F034F" w:rsidP="00E72E7F">
      <w:pPr>
        <w:pStyle w:val="texto"/>
        <w:spacing w:after="120"/>
      </w:pPr>
      <w:r>
        <w:t xml:space="preserve">Gastuei dagokienez, langileenak eta ondasun arruntetakoak eta zerbitzuetakoak dira nagusi, zeinek ehuneko 35 eta ehuneko 36, hurrenez hurren, egiten baitute; atzetik inbertsio errealenak datoz, ehuneko 16rekin. Urtetik urterako aldaketan, ondasun arrunt eta zerbitzuetan egindako gastuaren igoera eta inbertsio errealen jaitsiera nabarmendu behar dira.  </w:t>
      </w:r>
    </w:p>
    <w:p w14:paraId="0D2F13C6" w14:textId="77777777" w:rsidR="00750B52" w:rsidRPr="003A115E" w:rsidRDefault="00750B52">
      <w:pPr>
        <w:rPr>
          <w:spacing w:val="6"/>
          <w:sz w:val="26"/>
        </w:rPr>
      </w:pPr>
      <w:r>
        <w:br w:type="page"/>
      </w:r>
    </w:p>
    <w:p w14:paraId="6D91FBF0" w14:textId="299CD2EB" w:rsidR="00EF4584" w:rsidRPr="003A115E" w:rsidRDefault="002A4BE9" w:rsidP="31020D79">
      <w:pPr>
        <w:pStyle w:val="texto"/>
      </w:pPr>
      <w:r>
        <w:lastRenderedPageBreak/>
        <w:t>Jarraian, toki-sektore publikoaren finantza-egoeraren adierazle batzuek 2018-2022 aldian zehar izan duten bilakaera erakusten da.</w:t>
      </w:r>
    </w:p>
    <w:p w14:paraId="1A240794" w14:textId="29FF2A4A" w:rsidR="002A4BE9" w:rsidRPr="003A115E" w:rsidRDefault="001D196E" w:rsidP="00EC4C05">
      <w:pPr>
        <w:pStyle w:val="texto"/>
        <w:spacing w:after="0"/>
        <w:jc w:val="right"/>
        <w:rPr>
          <w:rFonts w:ascii="Arial Narrow" w:hAnsi="Arial Narrow"/>
          <w:sz w:val="18"/>
          <w:szCs w:val="18"/>
        </w:rPr>
      </w:pPr>
      <w:r>
        <w:rPr>
          <w:rFonts w:ascii="Arial Narrow" w:hAnsi="Arial Narrow"/>
          <w:sz w:val="18"/>
        </w:rPr>
        <w:t>(milioiak)</w:t>
      </w:r>
    </w:p>
    <w:tbl>
      <w:tblPr>
        <w:tblW w:w="5000" w:type="pct"/>
        <w:tblCellMar>
          <w:left w:w="70" w:type="dxa"/>
          <w:right w:w="70" w:type="dxa"/>
        </w:tblCellMar>
        <w:tblLook w:val="04A0" w:firstRow="1" w:lastRow="0" w:firstColumn="1" w:lastColumn="0" w:noHBand="0" w:noVBand="1"/>
      </w:tblPr>
      <w:tblGrid>
        <w:gridCol w:w="1762"/>
        <w:gridCol w:w="678"/>
        <w:gridCol w:w="732"/>
        <w:gridCol w:w="678"/>
        <w:gridCol w:w="678"/>
        <w:gridCol w:w="827"/>
        <w:gridCol w:w="1024"/>
        <w:gridCol w:w="791"/>
        <w:gridCol w:w="791"/>
        <w:gridCol w:w="827"/>
      </w:tblGrid>
      <w:tr w:rsidR="000A742F" w:rsidRPr="003A115E" w14:paraId="060C0807" w14:textId="77777777" w:rsidTr="00425BFF">
        <w:trPr>
          <w:trHeight w:val="255"/>
        </w:trPr>
        <w:tc>
          <w:tcPr>
            <w:tcW w:w="1089"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5E7AD919" w14:textId="77777777" w:rsidR="009D74E3" w:rsidRPr="003A115E" w:rsidRDefault="009D74E3" w:rsidP="00543AF5">
            <w:pPr>
              <w:pStyle w:val="cuadroCabe"/>
              <w:rPr>
                <w:rFonts w:cs="Arial"/>
                <w:szCs w:val="18"/>
              </w:rPr>
            </w:pPr>
            <w:r>
              <w:t>Adierazleak</w:t>
            </w:r>
          </w:p>
        </w:tc>
        <w:tc>
          <w:tcPr>
            <w:tcW w:w="2160" w:type="pct"/>
            <w:gridSpan w:val="5"/>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74645BC6" w14:textId="77777777" w:rsidR="001C7883" w:rsidRDefault="009D74E3" w:rsidP="00CC28BD">
            <w:pPr>
              <w:pStyle w:val="cuadroCabe"/>
              <w:jc w:val="center"/>
              <w:rPr>
                <w:rFonts w:cs="Arial"/>
                <w:szCs w:val="18"/>
              </w:rPr>
            </w:pPr>
            <w:r>
              <w:t>Toki-entitateak, ezein sozietate bateratu gabe</w:t>
            </w:r>
          </w:p>
          <w:p w14:paraId="29E77B1C" w14:textId="2EF47CCC" w:rsidR="009D74E3" w:rsidRPr="003A115E" w:rsidRDefault="009D74E3" w:rsidP="00CC28BD">
            <w:pPr>
              <w:pStyle w:val="cuadroCabe"/>
              <w:jc w:val="center"/>
              <w:rPr>
                <w:rFonts w:cs="Arial"/>
                <w:szCs w:val="18"/>
              </w:rPr>
            </w:pPr>
            <w:r>
              <w:t xml:space="preserve"> </w:t>
            </w:r>
          </w:p>
        </w:tc>
        <w:tc>
          <w:tcPr>
            <w:tcW w:w="714" w:type="pct"/>
            <w:tcBorders>
              <w:top w:val="single" w:sz="4" w:space="0" w:color="auto"/>
              <w:left w:val="single" w:sz="2" w:space="0" w:color="auto"/>
              <w:bottom w:val="single" w:sz="2" w:space="0" w:color="auto"/>
            </w:tcBorders>
            <w:shd w:val="clear" w:color="auto" w:fill="FABF8F" w:themeFill="accent6" w:themeFillTint="99"/>
            <w:vAlign w:val="center"/>
            <w:hideMark/>
          </w:tcPr>
          <w:p w14:paraId="306AB1A5" w14:textId="77777777" w:rsidR="009D74E3" w:rsidRPr="003A115E" w:rsidRDefault="009D74E3" w:rsidP="00543AF5">
            <w:pPr>
              <w:pStyle w:val="cuadroCabe"/>
              <w:jc w:val="right"/>
              <w:rPr>
                <w:rFonts w:cs="Arial"/>
                <w:szCs w:val="18"/>
              </w:rPr>
            </w:pPr>
            <w:r>
              <w:t> </w:t>
            </w:r>
          </w:p>
        </w:tc>
        <w:tc>
          <w:tcPr>
            <w:tcW w:w="346" w:type="pct"/>
            <w:tcBorders>
              <w:top w:val="single" w:sz="4" w:space="0" w:color="auto"/>
              <w:bottom w:val="single" w:sz="2" w:space="0" w:color="auto"/>
            </w:tcBorders>
            <w:shd w:val="clear" w:color="auto" w:fill="FABF8F" w:themeFill="accent6" w:themeFillTint="99"/>
            <w:vAlign w:val="center"/>
            <w:hideMark/>
          </w:tcPr>
          <w:p w14:paraId="082DE3EE" w14:textId="77777777" w:rsidR="009D74E3" w:rsidRPr="003A115E" w:rsidRDefault="009D74E3" w:rsidP="00543AF5">
            <w:pPr>
              <w:pStyle w:val="cuadroCabe"/>
              <w:jc w:val="right"/>
              <w:rPr>
                <w:rFonts w:cs="Arial"/>
                <w:szCs w:val="18"/>
              </w:rPr>
            </w:pPr>
            <w:r>
              <w:t> </w:t>
            </w:r>
          </w:p>
        </w:tc>
        <w:tc>
          <w:tcPr>
            <w:tcW w:w="346" w:type="pct"/>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638DE4E5" w14:textId="77777777" w:rsidR="009D74E3" w:rsidRPr="003A115E" w:rsidRDefault="009D74E3" w:rsidP="00543AF5">
            <w:pPr>
              <w:pStyle w:val="cuadroCabe"/>
              <w:jc w:val="right"/>
              <w:rPr>
                <w:rFonts w:cs="Arial"/>
                <w:szCs w:val="18"/>
              </w:rPr>
            </w:pPr>
            <w:r>
              <w:t> </w:t>
            </w:r>
          </w:p>
        </w:tc>
        <w:tc>
          <w:tcPr>
            <w:tcW w:w="346" w:type="pct"/>
            <w:vMerge w:val="restart"/>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55931150" w14:textId="77777777" w:rsidR="009D74E3" w:rsidRPr="003A115E" w:rsidRDefault="009D74E3" w:rsidP="00543AF5">
            <w:pPr>
              <w:pStyle w:val="cuadroCabe"/>
              <w:jc w:val="right"/>
              <w:rPr>
                <w:rFonts w:cs="Arial"/>
                <w:szCs w:val="18"/>
              </w:rPr>
            </w:pPr>
            <w:r>
              <w:t>2022(1)</w:t>
            </w:r>
          </w:p>
        </w:tc>
      </w:tr>
      <w:tr w:rsidR="000A742F" w:rsidRPr="003A115E" w14:paraId="377E3122" w14:textId="77777777" w:rsidTr="005F3A0D">
        <w:trPr>
          <w:trHeight w:val="255"/>
        </w:trPr>
        <w:tc>
          <w:tcPr>
            <w:tcW w:w="1089" w:type="pct"/>
            <w:vMerge/>
            <w:tcBorders>
              <w:top w:val="single" w:sz="2" w:space="0" w:color="auto"/>
            </w:tcBorders>
            <w:shd w:val="clear" w:color="auto" w:fill="FABF8F" w:themeFill="accent6" w:themeFillTint="99"/>
            <w:vAlign w:val="center"/>
            <w:hideMark/>
          </w:tcPr>
          <w:p w14:paraId="169C9F7B" w14:textId="77777777" w:rsidR="009D74E3" w:rsidRPr="003A115E" w:rsidRDefault="009D74E3" w:rsidP="009D74E3">
            <w:pPr>
              <w:rPr>
                <w:rFonts w:ascii="Arial" w:hAnsi="Arial" w:cs="Arial"/>
                <w:sz w:val="18"/>
                <w:szCs w:val="18"/>
              </w:rPr>
            </w:pPr>
          </w:p>
        </w:tc>
        <w:tc>
          <w:tcPr>
            <w:tcW w:w="461" w:type="pct"/>
            <w:tcBorders>
              <w:top w:val="single" w:sz="2" w:space="0" w:color="auto"/>
              <w:left w:val="nil"/>
              <w:bottom w:val="single" w:sz="4" w:space="0" w:color="auto"/>
              <w:right w:val="nil"/>
            </w:tcBorders>
            <w:shd w:val="clear" w:color="auto" w:fill="FABF8F" w:themeFill="accent6" w:themeFillTint="99"/>
            <w:vAlign w:val="center"/>
            <w:hideMark/>
          </w:tcPr>
          <w:p w14:paraId="119EE83C" w14:textId="77777777" w:rsidR="009D74E3" w:rsidRPr="003A115E" w:rsidRDefault="009D74E3" w:rsidP="00543AF5">
            <w:pPr>
              <w:jc w:val="right"/>
              <w:rPr>
                <w:rFonts w:ascii="Arial" w:hAnsi="Arial" w:cs="Arial"/>
                <w:sz w:val="18"/>
                <w:szCs w:val="18"/>
              </w:rPr>
            </w:pPr>
            <w:r>
              <w:rPr>
                <w:rFonts w:ascii="Arial" w:hAnsi="Arial"/>
                <w:sz w:val="18"/>
              </w:rPr>
              <w:t>2018</w:t>
            </w:r>
          </w:p>
        </w:tc>
        <w:tc>
          <w:tcPr>
            <w:tcW w:w="513" w:type="pct"/>
            <w:tcBorders>
              <w:top w:val="single" w:sz="2" w:space="0" w:color="auto"/>
              <w:left w:val="nil"/>
              <w:bottom w:val="single" w:sz="4" w:space="0" w:color="auto"/>
              <w:right w:val="nil"/>
            </w:tcBorders>
            <w:shd w:val="clear" w:color="auto" w:fill="FABF8F" w:themeFill="accent6" w:themeFillTint="99"/>
            <w:vAlign w:val="center"/>
            <w:hideMark/>
          </w:tcPr>
          <w:p w14:paraId="18400244" w14:textId="77777777" w:rsidR="009D74E3" w:rsidRPr="003A115E" w:rsidRDefault="009D74E3" w:rsidP="00543AF5">
            <w:pPr>
              <w:jc w:val="right"/>
              <w:rPr>
                <w:rFonts w:ascii="Arial" w:hAnsi="Arial" w:cs="Arial"/>
                <w:sz w:val="18"/>
                <w:szCs w:val="18"/>
              </w:rPr>
            </w:pPr>
            <w:r>
              <w:rPr>
                <w:rFonts w:ascii="Arial" w:hAnsi="Arial"/>
                <w:sz w:val="18"/>
              </w:rPr>
              <w:t>2019</w:t>
            </w:r>
          </w:p>
        </w:tc>
        <w:tc>
          <w:tcPr>
            <w:tcW w:w="426" w:type="pct"/>
            <w:tcBorders>
              <w:top w:val="single" w:sz="2" w:space="0" w:color="auto"/>
              <w:left w:val="nil"/>
              <w:bottom w:val="single" w:sz="4" w:space="0" w:color="auto"/>
              <w:right w:val="nil"/>
            </w:tcBorders>
            <w:shd w:val="clear" w:color="auto" w:fill="FABF8F" w:themeFill="accent6" w:themeFillTint="99"/>
            <w:vAlign w:val="center"/>
            <w:hideMark/>
          </w:tcPr>
          <w:p w14:paraId="6AA3B495" w14:textId="77777777" w:rsidR="009D74E3" w:rsidRPr="003A115E" w:rsidRDefault="009D74E3" w:rsidP="00543AF5">
            <w:pPr>
              <w:jc w:val="right"/>
              <w:rPr>
                <w:rFonts w:ascii="Arial" w:hAnsi="Arial" w:cs="Arial"/>
                <w:sz w:val="18"/>
                <w:szCs w:val="18"/>
              </w:rPr>
            </w:pPr>
            <w:r>
              <w:rPr>
                <w:rFonts w:ascii="Arial" w:hAnsi="Arial"/>
                <w:sz w:val="18"/>
              </w:rPr>
              <w:t>2020</w:t>
            </w:r>
          </w:p>
        </w:tc>
        <w:tc>
          <w:tcPr>
            <w:tcW w:w="351" w:type="pct"/>
            <w:tcBorders>
              <w:top w:val="single" w:sz="2" w:space="0" w:color="auto"/>
              <w:left w:val="nil"/>
              <w:bottom w:val="single" w:sz="4" w:space="0" w:color="auto"/>
              <w:right w:val="nil"/>
            </w:tcBorders>
            <w:shd w:val="clear" w:color="auto" w:fill="FABF8F" w:themeFill="accent6" w:themeFillTint="99"/>
            <w:vAlign w:val="center"/>
            <w:hideMark/>
          </w:tcPr>
          <w:p w14:paraId="255395B7" w14:textId="77777777" w:rsidR="009D74E3" w:rsidRPr="003A115E" w:rsidRDefault="009D74E3" w:rsidP="00543AF5">
            <w:pPr>
              <w:jc w:val="right"/>
              <w:rPr>
                <w:rFonts w:ascii="Arial" w:hAnsi="Arial" w:cs="Arial"/>
                <w:sz w:val="18"/>
                <w:szCs w:val="18"/>
              </w:rPr>
            </w:pPr>
            <w:r>
              <w:rPr>
                <w:rFonts w:ascii="Arial" w:hAnsi="Arial"/>
                <w:sz w:val="18"/>
              </w:rPr>
              <w:t>2021</w:t>
            </w:r>
          </w:p>
        </w:tc>
        <w:tc>
          <w:tcPr>
            <w:tcW w:w="409"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12A3624D" w14:textId="77777777" w:rsidR="009D74E3" w:rsidRPr="003A115E" w:rsidRDefault="009D74E3" w:rsidP="00543AF5">
            <w:pPr>
              <w:jc w:val="right"/>
              <w:rPr>
                <w:rFonts w:ascii="Arial" w:hAnsi="Arial" w:cs="Arial"/>
                <w:sz w:val="18"/>
                <w:szCs w:val="18"/>
              </w:rPr>
            </w:pPr>
            <w:r>
              <w:rPr>
                <w:rFonts w:ascii="Arial" w:hAnsi="Arial"/>
                <w:sz w:val="18"/>
              </w:rPr>
              <w:t>2022</w:t>
            </w:r>
          </w:p>
        </w:tc>
        <w:tc>
          <w:tcPr>
            <w:tcW w:w="714" w:type="pct"/>
            <w:tcBorders>
              <w:top w:val="single" w:sz="2" w:space="0" w:color="auto"/>
              <w:left w:val="single" w:sz="2" w:space="0" w:color="auto"/>
              <w:bottom w:val="single" w:sz="4" w:space="0" w:color="auto"/>
            </w:tcBorders>
            <w:shd w:val="clear" w:color="auto" w:fill="FABF8F" w:themeFill="accent6" w:themeFillTint="99"/>
            <w:vAlign w:val="center"/>
            <w:hideMark/>
          </w:tcPr>
          <w:p w14:paraId="20FEEF21" w14:textId="77777777" w:rsidR="009D74E3" w:rsidRPr="003A115E" w:rsidRDefault="009D74E3" w:rsidP="00543AF5">
            <w:pPr>
              <w:jc w:val="right"/>
              <w:rPr>
                <w:rFonts w:ascii="Arial" w:hAnsi="Arial" w:cs="Arial"/>
                <w:sz w:val="18"/>
                <w:szCs w:val="18"/>
              </w:rPr>
            </w:pPr>
            <w:r>
              <w:rPr>
                <w:rFonts w:ascii="Arial" w:hAnsi="Arial"/>
                <w:sz w:val="18"/>
              </w:rPr>
              <w:t>2022/18 aldea (%)</w:t>
            </w:r>
          </w:p>
        </w:tc>
        <w:tc>
          <w:tcPr>
            <w:tcW w:w="346" w:type="pct"/>
            <w:tcBorders>
              <w:top w:val="single" w:sz="2" w:space="0" w:color="auto"/>
              <w:bottom w:val="single" w:sz="4" w:space="0" w:color="auto"/>
            </w:tcBorders>
            <w:shd w:val="clear" w:color="auto" w:fill="FABF8F" w:themeFill="accent6" w:themeFillTint="99"/>
            <w:vAlign w:val="center"/>
            <w:hideMark/>
          </w:tcPr>
          <w:p w14:paraId="6F287F94" w14:textId="77777777" w:rsidR="009D74E3" w:rsidRPr="003A115E" w:rsidRDefault="009D74E3" w:rsidP="00543AF5">
            <w:pPr>
              <w:jc w:val="right"/>
              <w:rPr>
                <w:rFonts w:ascii="Arial" w:hAnsi="Arial" w:cs="Arial"/>
                <w:sz w:val="18"/>
                <w:szCs w:val="18"/>
              </w:rPr>
            </w:pPr>
            <w:r>
              <w:rPr>
                <w:rFonts w:ascii="Arial" w:hAnsi="Arial"/>
                <w:sz w:val="18"/>
              </w:rPr>
              <w:t>2022/21 aldea (abs.)</w:t>
            </w:r>
          </w:p>
        </w:tc>
        <w:tc>
          <w:tcPr>
            <w:tcW w:w="346"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7FB3529D" w14:textId="49A3DFBC" w:rsidR="009D74E3" w:rsidRPr="003A115E" w:rsidRDefault="00EF5047" w:rsidP="00543AF5">
            <w:pPr>
              <w:jc w:val="right"/>
              <w:rPr>
                <w:rFonts w:ascii="Arial" w:hAnsi="Arial" w:cs="Arial"/>
                <w:sz w:val="18"/>
                <w:szCs w:val="18"/>
              </w:rPr>
            </w:pPr>
            <w:r>
              <w:rPr>
                <w:rFonts w:ascii="Arial" w:hAnsi="Arial"/>
                <w:sz w:val="18"/>
              </w:rPr>
              <w:t>2022/21 aldea (%)</w:t>
            </w:r>
          </w:p>
        </w:tc>
        <w:tc>
          <w:tcPr>
            <w:tcW w:w="346" w:type="pct"/>
            <w:vMerge/>
            <w:tcBorders>
              <w:top w:val="single" w:sz="2" w:space="0" w:color="auto"/>
              <w:left w:val="single" w:sz="2" w:space="0" w:color="auto"/>
            </w:tcBorders>
            <w:shd w:val="clear" w:color="auto" w:fill="FABF8F" w:themeFill="accent6" w:themeFillTint="99"/>
            <w:vAlign w:val="center"/>
            <w:hideMark/>
          </w:tcPr>
          <w:p w14:paraId="1D7548FF" w14:textId="77777777" w:rsidR="009D74E3" w:rsidRPr="003A115E" w:rsidRDefault="009D74E3" w:rsidP="00543AF5">
            <w:pPr>
              <w:jc w:val="right"/>
              <w:rPr>
                <w:rFonts w:ascii="Arial" w:hAnsi="Arial" w:cs="Arial"/>
                <w:sz w:val="18"/>
                <w:szCs w:val="18"/>
              </w:rPr>
            </w:pPr>
          </w:p>
        </w:tc>
      </w:tr>
      <w:tr w:rsidR="000A742F" w:rsidRPr="003A115E" w14:paraId="4E8C47D4" w14:textId="77777777" w:rsidTr="001C7883">
        <w:trPr>
          <w:trHeight w:val="198"/>
        </w:trPr>
        <w:tc>
          <w:tcPr>
            <w:tcW w:w="1089" w:type="pct"/>
            <w:tcBorders>
              <w:top w:val="nil"/>
              <w:left w:val="nil"/>
              <w:bottom w:val="single" w:sz="2" w:space="0" w:color="auto"/>
              <w:right w:val="nil"/>
            </w:tcBorders>
            <w:shd w:val="clear" w:color="auto" w:fill="auto"/>
            <w:vAlign w:val="center"/>
            <w:hideMark/>
          </w:tcPr>
          <w:p w14:paraId="7F2FBEAA" w14:textId="77777777" w:rsidR="009D74E3" w:rsidRPr="003A115E" w:rsidRDefault="009D74E3" w:rsidP="00543AF5">
            <w:pPr>
              <w:pStyle w:val="cuatexto"/>
            </w:pPr>
            <w:r>
              <w:t>Diru-sarrerak, guztira</w:t>
            </w:r>
          </w:p>
        </w:tc>
        <w:tc>
          <w:tcPr>
            <w:tcW w:w="461" w:type="pct"/>
            <w:tcBorders>
              <w:top w:val="nil"/>
              <w:left w:val="nil"/>
              <w:bottom w:val="single" w:sz="2" w:space="0" w:color="auto"/>
              <w:right w:val="nil"/>
            </w:tcBorders>
            <w:shd w:val="clear" w:color="auto" w:fill="auto"/>
            <w:vAlign w:val="center"/>
            <w:hideMark/>
          </w:tcPr>
          <w:p w14:paraId="65B26D60" w14:textId="77777777" w:rsidR="009D74E3" w:rsidRPr="003A115E" w:rsidRDefault="009D74E3" w:rsidP="00543AF5">
            <w:pPr>
              <w:pStyle w:val="cuatexto"/>
              <w:jc w:val="right"/>
            </w:pPr>
            <w:r>
              <w:t xml:space="preserve">839,48 </w:t>
            </w:r>
          </w:p>
        </w:tc>
        <w:tc>
          <w:tcPr>
            <w:tcW w:w="513" w:type="pct"/>
            <w:tcBorders>
              <w:top w:val="nil"/>
              <w:left w:val="nil"/>
              <w:bottom w:val="single" w:sz="2" w:space="0" w:color="auto"/>
              <w:right w:val="nil"/>
            </w:tcBorders>
            <w:shd w:val="clear" w:color="auto" w:fill="auto"/>
            <w:vAlign w:val="center"/>
            <w:hideMark/>
          </w:tcPr>
          <w:p w14:paraId="091AF231" w14:textId="77777777" w:rsidR="009D74E3" w:rsidRPr="003A115E" w:rsidRDefault="009D74E3" w:rsidP="00543AF5">
            <w:pPr>
              <w:pStyle w:val="cuatexto"/>
              <w:jc w:val="right"/>
            </w:pPr>
            <w:r>
              <w:t xml:space="preserve">891,40 </w:t>
            </w:r>
          </w:p>
        </w:tc>
        <w:tc>
          <w:tcPr>
            <w:tcW w:w="426" w:type="pct"/>
            <w:tcBorders>
              <w:top w:val="nil"/>
              <w:left w:val="nil"/>
              <w:bottom w:val="single" w:sz="2" w:space="0" w:color="auto"/>
              <w:right w:val="nil"/>
            </w:tcBorders>
            <w:shd w:val="clear" w:color="auto" w:fill="auto"/>
            <w:vAlign w:val="center"/>
            <w:hideMark/>
          </w:tcPr>
          <w:p w14:paraId="69C9EE02" w14:textId="77777777" w:rsidR="009D74E3" w:rsidRPr="003A115E" w:rsidRDefault="009D74E3" w:rsidP="00543AF5">
            <w:pPr>
              <w:pStyle w:val="cuatexto"/>
              <w:jc w:val="right"/>
            </w:pPr>
            <w:r>
              <w:t xml:space="preserve">855,31 </w:t>
            </w:r>
          </w:p>
        </w:tc>
        <w:tc>
          <w:tcPr>
            <w:tcW w:w="351" w:type="pct"/>
            <w:tcBorders>
              <w:top w:val="nil"/>
              <w:left w:val="nil"/>
              <w:bottom w:val="single" w:sz="2" w:space="0" w:color="auto"/>
              <w:right w:val="nil"/>
            </w:tcBorders>
            <w:shd w:val="clear" w:color="auto" w:fill="auto"/>
            <w:vAlign w:val="center"/>
            <w:hideMark/>
          </w:tcPr>
          <w:p w14:paraId="02BCA303" w14:textId="77777777" w:rsidR="009D74E3" w:rsidRPr="003A115E" w:rsidRDefault="009D74E3" w:rsidP="00543AF5">
            <w:pPr>
              <w:pStyle w:val="cuatexto"/>
              <w:jc w:val="right"/>
            </w:pPr>
            <w:r>
              <w:t xml:space="preserve">894,42 </w:t>
            </w:r>
          </w:p>
        </w:tc>
        <w:tc>
          <w:tcPr>
            <w:tcW w:w="409" w:type="pct"/>
            <w:tcBorders>
              <w:top w:val="nil"/>
              <w:left w:val="nil"/>
              <w:bottom w:val="single" w:sz="2" w:space="0" w:color="auto"/>
              <w:right w:val="single" w:sz="2" w:space="0" w:color="auto"/>
            </w:tcBorders>
            <w:shd w:val="clear" w:color="auto" w:fill="auto"/>
            <w:vAlign w:val="center"/>
            <w:hideMark/>
          </w:tcPr>
          <w:p w14:paraId="19C66D3A" w14:textId="77777777" w:rsidR="009D74E3" w:rsidRPr="003A115E" w:rsidRDefault="009D74E3" w:rsidP="00543AF5">
            <w:pPr>
              <w:pStyle w:val="cuatexto"/>
              <w:jc w:val="right"/>
            </w:pPr>
            <w:r>
              <w:t xml:space="preserve">1.041,27 </w:t>
            </w:r>
          </w:p>
        </w:tc>
        <w:tc>
          <w:tcPr>
            <w:tcW w:w="714" w:type="pct"/>
            <w:tcBorders>
              <w:top w:val="nil"/>
              <w:left w:val="single" w:sz="2" w:space="0" w:color="auto"/>
              <w:bottom w:val="single" w:sz="2" w:space="0" w:color="auto"/>
            </w:tcBorders>
            <w:shd w:val="clear" w:color="auto" w:fill="auto"/>
            <w:vAlign w:val="center"/>
            <w:hideMark/>
          </w:tcPr>
          <w:p w14:paraId="6C591A52" w14:textId="77777777" w:rsidR="009D74E3" w:rsidRPr="003A115E" w:rsidRDefault="009D74E3" w:rsidP="00543AF5">
            <w:pPr>
              <w:pStyle w:val="cuatexto"/>
              <w:jc w:val="right"/>
            </w:pPr>
            <w:r>
              <w:t>24</w:t>
            </w:r>
          </w:p>
        </w:tc>
        <w:tc>
          <w:tcPr>
            <w:tcW w:w="346" w:type="pct"/>
            <w:tcBorders>
              <w:top w:val="nil"/>
              <w:bottom w:val="single" w:sz="2" w:space="0" w:color="auto"/>
            </w:tcBorders>
            <w:shd w:val="clear" w:color="auto" w:fill="auto"/>
            <w:vAlign w:val="center"/>
            <w:hideMark/>
          </w:tcPr>
          <w:p w14:paraId="31539AE0" w14:textId="77777777" w:rsidR="009D74E3" w:rsidRPr="003A115E" w:rsidRDefault="009D74E3" w:rsidP="00543AF5">
            <w:pPr>
              <w:pStyle w:val="cuatexto"/>
              <w:jc w:val="right"/>
            </w:pPr>
            <w:r>
              <w:t xml:space="preserve">146,85 </w:t>
            </w:r>
          </w:p>
        </w:tc>
        <w:tc>
          <w:tcPr>
            <w:tcW w:w="346" w:type="pct"/>
            <w:tcBorders>
              <w:top w:val="nil"/>
              <w:left w:val="nil"/>
              <w:bottom w:val="single" w:sz="2" w:space="0" w:color="auto"/>
              <w:right w:val="single" w:sz="2" w:space="0" w:color="auto"/>
            </w:tcBorders>
            <w:shd w:val="clear" w:color="auto" w:fill="auto"/>
            <w:vAlign w:val="center"/>
            <w:hideMark/>
          </w:tcPr>
          <w:p w14:paraId="6F694A2E" w14:textId="77777777" w:rsidR="009D74E3" w:rsidRPr="003A115E" w:rsidRDefault="009D74E3" w:rsidP="00543AF5">
            <w:pPr>
              <w:pStyle w:val="cuatexto"/>
              <w:jc w:val="right"/>
            </w:pPr>
            <w:r>
              <w:t>16</w:t>
            </w:r>
          </w:p>
        </w:tc>
        <w:tc>
          <w:tcPr>
            <w:tcW w:w="346" w:type="pct"/>
            <w:tcBorders>
              <w:top w:val="nil"/>
              <w:left w:val="single" w:sz="2" w:space="0" w:color="auto"/>
              <w:bottom w:val="single" w:sz="2" w:space="0" w:color="auto"/>
              <w:right w:val="nil"/>
            </w:tcBorders>
            <w:shd w:val="clear" w:color="auto" w:fill="auto"/>
            <w:vAlign w:val="center"/>
            <w:hideMark/>
          </w:tcPr>
          <w:p w14:paraId="354FB981" w14:textId="77777777" w:rsidR="009D74E3" w:rsidRPr="003A115E" w:rsidRDefault="009D74E3" w:rsidP="00543AF5">
            <w:pPr>
              <w:pStyle w:val="cuatexto"/>
              <w:jc w:val="right"/>
            </w:pPr>
            <w:r>
              <w:t xml:space="preserve">1.132,55 </w:t>
            </w:r>
          </w:p>
        </w:tc>
      </w:tr>
      <w:tr w:rsidR="000A742F" w:rsidRPr="003A115E" w14:paraId="307E142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76AC722B" w14:textId="77777777" w:rsidR="009D74E3" w:rsidRPr="003A115E" w:rsidRDefault="009D74E3" w:rsidP="00543AF5">
            <w:pPr>
              <w:pStyle w:val="cuatexto"/>
            </w:pPr>
            <w:r>
              <w:t>Gastuak, guztira</w:t>
            </w:r>
          </w:p>
        </w:tc>
        <w:tc>
          <w:tcPr>
            <w:tcW w:w="461" w:type="pct"/>
            <w:tcBorders>
              <w:top w:val="single" w:sz="2" w:space="0" w:color="auto"/>
              <w:left w:val="nil"/>
              <w:bottom w:val="single" w:sz="2" w:space="0" w:color="auto"/>
              <w:right w:val="nil"/>
            </w:tcBorders>
            <w:shd w:val="clear" w:color="auto" w:fill="auto"/>
            <w:vAlign w:val="center"/>
            <w:hideMark/>
          </w:tcPr>
          <w:p w14:paraId="50A4D9E0" w14:textId="77777777" w:rsidR="009D74E3" w:rsidRPr="003A115E" w:rsidRDefault="009D74E3" w:rsidP="00543AF5">
            <w:pPr>
              <w:pStyle w:val="cuatexto"/>
              <w:jc w:val="right"/>
            </w:pPr>
            <w:r>
              <w:t xml:space="preserve">787,98 </w:t>
            </w:r>
          </w:p>
        </w:tc>
        <w:tc>
          <w:tcPr>
            <w:tcW w:w="513" w:type="pct"/>
            <w:tcBorders>
              <w:top w:val="single" w:sz="2" w:space="0" w:color="auto"/>
              <w:left w:val="nil"/>
              <w:bottom w:val="single" w:sz="2" w:space="0" w:color="auto"/>
              <w:right w:val="nil"/>
            </w:tcBorders>
            <w:shd w:val="clear" w:color="auto" w:fill="auto"/>
            <w:vAlign w:val="center"/>
            <w:hideMark/>
          </w:tcPr>
          <w:p w14:paraId="5F4742C3" w14:textId="77777777" w:rsidR="009D74E3" w:rsidRPr="003A115E" w:rsidRDefault="009D74E3" w:rsidP="00543AF5">
            <w:pPr>
              <w:pStyle w:val="cuatexto"/>
              <w:jc w:val="right"/>
            </w:pPr>
            <w:r>
              <w:t xml:space="preserve">885,37 </w:t>
            </w:r>
          </w:p>
        </w:tc>
        <w:tc>
          <w:tcPr>
            <w:tcW w:w="426" w:type="pct"/>
            <w:tcBorders>
              <w:top w:val="single" w:sz="2" w:space="0" w:color="auto"/>
              <w:left w:val="nil"/>
              <w:bottom w:val="single" w:sz="2" w:space="0" w:color="auto"/>
              <w:right w:val="nil"/>
            </w:tcBorders>
            <w:shd w:val="clear" w:color="auto" w:fill="auto"/>
            <w:vAlign w:val="center"/>
            <w:hideMark/>
          </w:tcPr>
          <w:p w14:paraId="4BD90B41" w14:textId="77777777" w:rsidR="009D74E3" w:rsidRPr="003A115E" w:rsidRDefault="009D74E3" w:rsidP="00543AF5">
            <w:pPr>
              <w:pStyle w:val="cuatexto"/>
              <w:jc w:val="right"/>
            </w:pPr>
            <w:r>
              <w:t xml:space="preserve">799,18 </w:t>
            </w:r>
          </w:p>
        </w:tc>
        <w:tc>
          <w:tcPr>
            <w:tcW w:w="351" w:type="pct"/>
            <w:tcBorders>
              <w:top w:val="single" w:sz="2" w:space="0" w:color="auto"/>
              <w:left w:val="nil"/>
              <w:bottom w:val="single" w:sz="2" w:space="0" w:color="auto"/>
              <w:right w:val="nil"/>
            </w:tcBorders>
            <w:shd w:val="clear" w:color="auto" w:fill="auto"/>
            <w:vAlign w:val="center"/>
            <w:hideMark/>
          </w:tcPr>
          <w:p w14:paraId="6091A357" w14:textId="77777777" w:rsidR="009D74E3" w:rsidRPr="003A115E" w:rsidRDefault="009D74E3" w:rsidP="00543AF5">
            <w:pPr>
              <w:pStyle w:val="cuatexto"/>
              <w:jc w:val="right"/>
            </w:pPr>
            <w:r>
              <w:t xml:space="preserve">891,40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4E341B91" w14:textId="77777777" w:rsidR="009D74E3" w:rsidRPr="003A115E" w:rsidRDefault="009D74E3" w:rsidP="00543AF5">
            <w:pPr>
              <w:pStyle w:val="cuatexto"/>
              <w:jc w:val="right"/>
            </w:pPr>
            <w:r>
              <w:t xml:space="preserve">964,66 </w:t>
            </w:r>
          </w:p>
        </w:tc>
        <w:tc>
          <w:tcPr>
            <w:tcW w:w="714" w:type="pct"/>
            <w:tcBorders>
              <w:top w:val="single" w:sz="2" w:space="0" w:color="auto"/>
              <w:left w:val="single" w:sz="2" w:space="0" w:color="auto"/>
              <w:bottom w:val="single" w:sz="2" w:space="0" w:color="auto"/>
            </w:tcBorders>
            <w:shd w:val="clear" w:color="auto" w:fill="auto"/>
            <w:vAlign w:val="center"/>
            <w:hideMark/>
          </w:tcPr>
          <w:p w14:paraId="40127725" w14:textId="77777777" w:rsidR="009D74E3" w:rsidRPr="003A115E" w:rsidRDefault="009D74E3" w:rsidP="00543AF5">
            <w:pPr>
              <w:pStyle w:val="cuatexto"/>
              <w:jc w:val="right"/>
            </w:pPr>
            <w:r>
              <w:t>22</w:t>
            </w:r>
          </w:p>
        </w:tc>
        <w:tc>
          <w:tcPr>
            <w:tcW w:w="346" w:type="pct"/>
            <w:tcBorders>
              <w:top w:val="single" w:sz="2" w:space="0" w:color="auto"/>
              <w:bottom w:val="single" w:sz="2" w:space="0" w:color="auto"/>
            </w:tcBorders>
            <w:shd w:val="clear" w:color="auto" w:fill="auto"/>
            <w:vAlign w:val="center"/>
            <w:hideMark/>
          </w:tcPr>
          <w:p w14:paraId="1F71AEBE" w14:textId="77777777" w:rsidR="009D74E3" w:rsidRPr="003A115E" w:rsidRDefault="009D74E3" w:rsidP="00543AF5">
            <w:pPr>
              <w:pStyle w:val="cuatexto"/>
              <w:jc w:val="right"/>
            </w:pPr>
            <w:r>
              <w:t xml:space="preserve">73,26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674982DE" w14:textId="77777777" w:rsidR="009D74E3" w:rsidRPr="003A115E" w:rsidRDefault="009D74E3" w:rsidP="00543AF5">
            <w:pPr>
              <w:pStyle w:val="cuatexto"/>
              <w:jc w:val="right"/>
            </w:pPr>
            <w:r>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0A2E624F" w14:textId="77777777" w:rsidR="009D74E3" w:rsidRPr="003A115E" w:rsidRDefault="009D74E3" w:rsidP="00543AF5">
            <w:pPr>
              <w:pStyle w:val="cuatexto"/>
              <w:jc w:val="right"/>
            </w:pPr>
            <w:r>
              <w:t xml:space="preserve">1.062,76 </w:t>
            </w:r>
          </w:p>
        </w:tc>
      </w:tr>
      <w:tr w:rsidR="000A742F" w:rsidRPr="003A115E" w14:paraId="554445DF"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6FD77FB1" w14:textId="77777777" w:rsidR="009D74E3" w:rsidRPr="003A115E" w:rsidRDefault="009D74E3" w:rsidP="00543AF5">
            <w:pPr>
              <w:pStyle w:val="cuatexto"/>
            </w:pPr>
            <w:r>
              <w:t>Tributu bidezko diru-sarrerak</w:t>
            </w:r>
          </w:p>
        </w:tc>
        <w:tc>
          <w:tcPr>
            <w:tcW w:w="461" w:type="pct"/>
            <w:tcBorders>
              <w:top w:val="single" w:sz="2" w:space="0" w:color="auto"/>
              <w:left w:val="nil"/>
              <w:bottom w:val="single" w:sz="2" w:space="0" w:color="auto"/>
              <w:right w:val="nil"/>
            </w:tcBorders>
            <w:shd w:val="clear" w:color="auto" w:fill="auto"/>
            <w:vAlign w:val="center"/>
            <w:hideMark/>
          </w:tcPr>
          <w:p w14:paraId="394AA89B" w14:textId="77777777" w:rsidR="009D74E3" w:rsidRPr="003A115E" w:rsidRDefault="009D74E3" w:rsidP="00543AF5">
            <w:pPr>
              <w:pStyle w:val="cuatexto"/>
              <w:jc w:val="right"/>
            </w:pPr>
            <w:r>
              <w:t xml:space="preserve">385,04 </w:t>
            </w:r>
          </w:p>
        </w:tc>
        <w:tc>
          <w:tcPr>
            <w:tcW w:w="513" w:type="pct"/>
            <w:tcBorders>
              <w:top w:val="single" w:sz="2" w:space="0" w:color="auto"/>
              <w:left w:val="nil"/>
              <w:bottom w:val="single" w:sz="2" w:space="0" w:color="auto"/>
              <w:right w:val="nil"/>
            </w:tcBorders>
            <w:shd w:val="clear" w:color="auto" w:fill="auto"/>
            <w:vAlign w:val="center"/>
            <w:hideMark/>
          </w:tcPr>
          <w:p w14:paraId="00330D2B" w14:textId="77777777" w:rsidR="009D74E3" w:rsidRPr="003A115E" w:rsidRDefault="009D74E3" w:rsidP="00543AF5">
            <w:pPr>
              <w:pStyle w:val="cuatexto"/>
              <w:jc w:val="right"/>
            </w:pPr>
            <w:r>
              <w:t xml:space="preserve">402,08 </w:t>
            </w:r>
          </w:p>
        </w:tc>
        <w:tc>
          <w:tcPr>
            <w:tcW w:w="426" w:type="pct"/>
            <w:tcBorders>
              <w:top w:val="single" w:sz="2" w:space="0" w:color="auto"/>
              <w:left w:val="nil"/>
              <w:bottom w:val="single" w:sz="2" w:space="0" w:color="auto"/>
              <w:right w:val="nil"/>
            </w:tcBorders>
            <w:shd w:val="clear" w:color="auto" w:fill="auto"/>
            <w:vAlign w:val="center"/>
            <w:hideMark/>
          </w:tcPr>
          <w:p w14:paraId="418CC958" w14:textId="77777777" w:rsidR="009D74E3" w:rsidRPr="003A115E" w:rsidRDefault="009D74E3" w:rsidP="00543AF5">
            <w:pPr>
              <w:pStyle w:val="cuatexto"/>
              <w:jc w:val="right"/>
            </w:pPr>
            <w:r>
              <w:t xml:space="preserve">374,47 </w:t>
            </w:r>
          </w:p>
        </w:tc>
        <w:tc>
          <w:tcPr>
            <w:tcW w:w="351" w:type="pct"/>
            <w:tcBorders>
              <w:top w:val="single" w:sz="2" w:space="0" w:color="auto"/>
              <w:left w:val="nil"/>
              <w:bottom w:val="single" w:sz="2" w:space="0" w:color="auto"/>
              <w:right w:val="nil"/>
            </w:tcBorders>
            <w:shd w:val="clear" w:color="auto" w:fill="auto"/>
            <w:vAlign w:val="center"/>
            <w:hideMark/>
          </w:tcPr>
          <w:p w14:paraId="5114FA94" w14:textId="77777777" w:rsidR="009D74E3" w:rsidRPr="003A115E" w:rsidRDefault="009D74E3" w:rsidP="00543AF5">
            <w:pPr>
              <w:pStyle w:val="cuatexto"/>
              <w:jc w:val="right"/>
            </w:pPr>
            <w:r>
              <w:t xml:space="preserve">404,74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CDDDE2D" w14:textId="77777777" w:rsidR="009D74E3" w:rsidRPr="003A115E" w:rsidRDefault="009D74E3" w:rsidP="00543AF5">
            <w:pPr>
              <w:pStyle w:val="cuatexto"/>
              <w:jc w:val="right"/>
            </w:pPr>
            <w:r>
              <w:t xml:space="preserve">438,14 </w:t>
            </w:r>
          </w:p>
        </w:tc>
        <w:tc>
          <w:tcPr>
            <w:tcW w:w="714" w:type="pct"/>
            <w:tcBorders>
              <w:top w:val="single" w:sz="2" w:space="0" w:color="auto"/>
              <w:left w:val="single" w:sz="2" w:space="0" w:color="auto"/>
              <w:bottom w:val="single" w:sz="2" w:space="0" w:color="auto"/>
            </w:tcBorders>
            <w:shd w:val="clear" w:color="auto" w:fill="auto"/>
            <w:vAlign w:val="center"/>
            <w:hideMark/>
          </w:tcPr>
          <w:p w14:paraId="56A13917" w14:textId="77777777" w:rsidR="009D74E3" w:rsidRPr="003A115E" w:rsidRDefault="009D74E3" w:rsidP="00543AF5">
            <w:pPr>
              <w:pStyle w:val="cuatexto"/>
              <w:jc w:val="right"/>
            </w:pPr>
            <w:r>
              <w:t>14</w:t>
            </w:r>
          </w:p>
        </w:tc>
        <w:tc>
          <w:tcPr>
            <w:tcW w:w="346" w:type="pct"/>
            <w:tcBorders>
              <w:top w:val="single" w:sz="2" w:space="0" w:color="auto"/>
              <w:bottom w:val="single" w:sz="2" w:space="0" w:color="auto"/>
            </w:tcBorders>
            <w:shd w:val="clear" w:color="auto" w:fill="auto"/>
            <w:vAlign w:val="center"/>
            <w:hideMark/>
          </w:tcPr>
          <w:p w14:paraId="021811E8" w14:textId="77777777" w:rsidR="009D74E3" w:rsidRPr="003A115E" w:rsidRDefault="009D74E3" w:rsidP="00543AF5">
            <w:pPr>
              <w:pStyle w:val="cuatexto"/>
              <w:jc w:val="right"/>
            </w:pPr>
            <w:r>
              <w:t xml:space="preserve">33,41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7073AFFE" w14:textId="77777777" w:rsidR="009D74E3" w:rsidRPr="003A115E" w:rsidRDefault="009D74E3" w:rsidP="00543AF5">
            <w:pPr>
              <w:pStyle w:val="cuatexto"/>
              <w:jc w:val="right"/>
            </w:pPr>
            <w:r>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133A4C1" w14:textId="77777777" w:rsidR="009D74E3" w:rsidRPr="003A115E" w:rsidRDefault="009D74E3" w:rsidP="00543AF5">
            <w:pPr>
              <w:pStyle w:val="cuatexto"/>
              <w:jc w:val="right"/>
            </w:pPr>
            <w:r>
              <w:t xml:space="preserve">515,21 </w:t>
            </w:r>
          </w:p>
        </w:tc>
      </w:tr>
      <w:tr w:rsidR="000A742F" w:rsidRPr="003A115E" w14:paraId="2B1D8E97"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73959F9" w14:textId="77777777" w:rsidR="009D74E3" w:rsidRPr="003A115E" w:rsidRDefault="009D74E3" w:rsidP="00543AF5">
            <w:pPr>
              <w:pStyle w:val="cuatexto"/>
            </w:pPr>
            <w:r>
              <w:t>Transferentzien bitartezko diru-sarrerak</w:t>
            </w:r>
          </w:p>
        </w:tc>
        <w:tc>
          <w:tcPr>
            <w:tcW w:w="461" w:type="pct"/>
            <w:tcBorders>
              <w:top w:val="single" w:sz="2" w:space="0" w:color="auto"/>
              <w:left w:val="nil"/>
              <w:bottom w:val="single" w:sz="2" w:space="0" w:color="auto"/>
              <w:right w:val="nil"/>
            </w:tcBorders>
            <w:shd w:val="clear" w:color="auto" w:fill="auto"/>
            <w:vAlign w:val="center"/>
            <w:hideMark/>
          </w:tcPr>
          <w:p w14:paraId="2E3D76C1" w14:textId="77777777" w:rsidR="009D74E3" w:rsidRPr="003A115E" w:rsidRDefault="009D74E3" w:rsidP="00543AF5">
            <w:pPr>
              <w:pStyle w:val="cuatexto"/>
              <w:jc w:val="right"/>
            </w:pPr>
            <w:r>
              <w:t xml:space="preserve">390,26 </w:t>
            </w:r>
          </w:p>
        </w:tc>
        <w:tc>
          <w:tcPr>
            <w:tcW w:w="513" w:type="pct"/>
            <w:tcBorders>
              <w:top w:val="single" w:sz="2" w:space="0" w:color="auto"/>
              <w:left w:val="nil"/>
              <w:bottom w:val="single" w:sz="2" w:space="0" w:color="auto"/>
              <w:right w:val="nil"/>
            </w:tcBorders>
            <w:shd w:val="clear" w:color="auto" w:fill="auto"/>
            <w:vAlign w:val="center"/>
            <w:hideMark/>
          </w:tcPr>
          <w:p w14:paraId="0701A707" w14:textId="77777777" w:rsidR="009D74E3" w:rsidRPr="003A115E" w:rsidRDefault="009D74E3" w:rsidP="00543AF5">
            <w:pPr>
              <w:pStyle w:val="cuatexto"/>
              <w:jc w:val="right"/>
            </w:pPr>
            <w:r>
              <w:t xml:space="preserve">424,10 </w:t>
            </w:r>
          </w:p>
        </w:tc>
        <w:tc>
          <w:tcPr>
            <w:tcW w:w="426" w:type="pct"/>
            <w:tcBorders>
              <w:top w:val="single" w:sz="2" w:space="0" w:color="auto"/>
              <w:left w:val="nil"/>
              <w:bottom w:val="single" w:sz="2" w:space="0" w:color="auto"/>
              <w:right w:val="nil"/>
            </w:tcBorders>
            <w:shd w:val="clear" w:color="auto" w:fill="auto"/>
            <w:vAlign w:val="center"/>
            <w:hideMark/>
          </w:tcPr>
          <w:p w14:paraId="65717402" w14:textId="77777777" w:rsidR="009D74E3" w:rsidRPr="003A115E" w:rsidRDefault="009D74E3" w:rsidP="00543AF5">
            <w:pPr>
              <w:pStyle w:val="cuatexto"/>
              <w:jc w:val="right"/>
            </w:pPr>
            <w:r>
              <w:t xml:space="preserve">429,54 </w:t>
            </w:r>
          </w:p>
        </w:tc>
        <w:tc>
          <w:tcPr>
            <w:tcW w:w="351" w:type="pct"/>
            <w:tcBorders>
              <w:top w:val="single" w:sz="2" w:space="0" w:color="auto"/>
              <w:left w:val="nil"/>
              <w:bottom w:val="single" w:sz="2" w:space="0" w:color="auto"/>
              <w:right w:val="nil"/>
            </w:tcBorders>
            <w:shd w:val="clear" w:color="auto" w:fill="auto"/>
            <w:vAlign w:val="center"/>
            <w:hideMark/>
          </w:tcPr>
          <w:p w14:paraId="4C7C60F8" w14:textId="77777777" w:rsidR="009D74E3" w:rsidRPr="003A115E" w:rsidRDefault="009D74E3" w:rsidP="00543AF5">
            <w:pPr>
              <w:pStyle w:val="cuatexto"/>
              <w:jc w:val="right"/>
            </w:pPr>
            <w:r>
              <w:t xml:space="preserve">421,43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5AA0E7AE" w14:textId="77777777" w:rsidR="009D74E3" w:rsidRPr="003A115E" w:rsidRDefault="009D74E3" w:rsidP="00543AF5">
            <w:pPr>
              <w:pStyle w:val="cuatexto"/>
              <w:jc w:val="right"/>
            </w:pPr>
            <w:r>
              <w:t xml:space="preserve">501,84 </w:t>
            </w:r>
          </w:p>
        </w:tc>
        <w:tc>
          <w:tcPr>
            <w:tcW w:w="714" w:type="pct"/>
            <w:tcBorders>
              <w:top w:val="single" w:sz="2" w:space="0" w:color="auto"/>
              <w:left w:val="single" w:sz="2" w:space="0" w:color="auto"/>
              <w:bottom w:val="single" w:sz="2" w:space="0" w:color="auto"/>
            </w:tcBorders>
            <w:shd w:val="clear" w:color="auto" w:fill="auto"/>
            <w:vAlign w:val="center"/>
            <w:hideMark/>
          </w:tcPr>
          <w:p w14:paraId="69E4D307" w14:textId="77777777" w:rsidR="009D74E3" w:rsidRPr="003A115E" w:rsidRDefault="009D74E3" w:rsidP="00543AF5">
            <w:pPr>
              <w:pStyle w:val="cuatexto"/>
              <w:jc w:val="right"/>
            </w:pPr>
            <w:r>
              <w:t>29</w:t>
            </w:r>
          </w:p>
        </w:tc>
        <w:tc>
          <w:tcPr>
            <w:tcW w:w="346" w:type="pct"/>
            <w:tcBorders>
              <w:top w:val="single" w:sz="2" w:space="0" w:color="auto"/>
              <w:bottom w:val="single" w:sz="2" w:space="0" w:color="auto"/>
            </w:tcBorders>
            <w:shd w:val="clear" w:color="auto" w:fill="auto"/>
            <w:vAlign w:val="center"/>
            <w:hideMark/>
          </w:tcPr>
          <w:p w14:paraId="0A80A510" w14:textId="77777777" w:rsidR="009D74E3" w:rsidRPr="003A115E" w:rsidRDefault="009D74E3" w:rsidP="00543AF5">
            <w:pPr>
              <w:pStyle w:val="cuatexto"/>
              <w:jc w:val="right"/>
            </w:pPr>
            <w:r>
              <w:t xml:space="preserve">80,41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04491169" w14:textId="77777777" w:rsidR="009D74E3" w:rsidRPr="003A115E" w:rsidRDefault="009D74E3" w:rsidP="00543AF5">
            <w:pPr>
              <w:pStyle w:val="cuatexto"/>
              <w:jc w:val="right"/>
            </w:pPr>
            <w:r>
              <w:t>19</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022D9E46" w14:textId="77777777" w:rsidR="009D74E3" w:rsidRPr="003A115E" w:rsidRDefault="009D74E3" w:rsidP="00543AF5">
            <w:pPr>
              <w:pStyle w:val="cuatexto"/>
              <w:jc w:val="right"/>
            </w:pPr>
            <w:r>
              <w:t xml:space="preserve">515,89 </w:t>
            </w:r>
          </w:p>
        </w:tc>
      </w:tr>
      <w:tr w:rsidR="000A742F" w:rsidRPr="003A115E" w14:paraId="2D5A8E9E"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7F40250" w14:textId="77777777" w:rsidR="009D74E3" w:rsidRPr="003A115E" w:rsidRDefault="009D74E3" w:rsidP="00543AF5">
            <w:pPr>
              <w:pStyle w:val="cuatexto"/>
            </w:pPr>
            <w:r>
              <w:t>Funtzionamendu-gastuak</w:t>
            </w:r>
          </w:p>
        </w:tc>
        <w:tc>
          <w:tcPr>
            <w:tcW w:w="461" w:type="pct"/>
            <w:tcBorders>
              <w:top w:val="single" w:sz="2" w:space="0" w:color="auto"/>
              <w:left w:val="nil"/>
              <w:bottom w:val="single" w:sz="2" w:space="0" w:color="auto"/>
              <w:right w:val="nil"/>
            </w:tcBorders>
            <w:shd w:val="clear" w:color="auto" w:fill="auto"/>
            <w:vAlign w:val="center"/>
            <w:hideMark/>
          </w:tcPr>
          <w:p w14:paraId="57097E2B" w14:textId="77777777" w:rsidR="009D74E3" w:rsidRPr="003A115E" w:rsidRDefault="009D74E3" w:rsidP="00543AF5">
            <w:pPr>
              <w:pStyle w:val="cuatexto"/>
              <w:jc w:val="right"/>
            </w:pPr>
            <w:r>
              <w:t xml:space="preserve">626,02 </w:t>
            </w:r>
          </w:p>
        </w:tc>
        <w:tc>
          <w:tcPr>
            <w:tcW w:w="513" w:type="pct"/>
            <w:tcBorders>
              <w:top w:val="single" w:sz="2" w:space="0" w:color="auto"/>
              <w:left w:val="nil"/>
              <w:bottom w:val="single" w:sz="2" w:space="0" w:color="auto"/>
              <w:right w:val="nil"/>
            </w:tcBorders>
            <w:shd w:val="clear" w:color="auto" w:fill="auto"/>
            <w:vAlign w:val="center"/>
            <w:hideMark/>
          </w:tcPr>
          <w:p w14:paraId="223A1FEC" w14:textId="77777777" w:rsidR="009D74E3" w:rsidRPr="003A115E" w:rsidRDefault="009D74E3" w:rsidP="00543AF5">
            <w:pPr>
              <w:pStyle w:val="cuatexto"/>
              <w:jc w:val="right"/>
            </w:pPr>
            <w:r>
              <w:t xml:space="preserve">653,91 </w:t>
            </w:r>
          </w:p>
        </w:tc>
        <w:tc>
          <w:tcPr>
            <w:tcW w:w="426" w:type="pct"/>
            <w:tcBorders>
              <w:top w:val="single" w:sz="2" w:space="0" w:color="auto"/>
              <w:left w:val="nil"/>
              <w:bottom w:val="single" w:sz="2" w:space="0" w:color="auto"/>
              <w:right w:val="nil"/>
            </w:tcBorders>
            <w:shd w:val="clear" w:color="auto" w:fill="auto"/>
            <w:vAlign w:val="center"/>
            <w:hideMark/>
          </w:tcPr>
          <w:p w14:paraId="2AE77495" w14:textId="77777777" w:rsidR="009D74E3" w:rsidRPr="003A115E" w:rsidRDefault="009D74E3" w:rsidP="00543AF5">
            <w:pPr>
              <w:pStyle w:val="cuatexto"/>
              <w:jc w:val="right"/>
            </w:pPr>
            <w:r>
              <w:t xml:space="preserve">643,17 </w:t>
            </w:r>
          </w:p>
        </w:tc>
        <w:tc>
          <w:tcPr>
            <w:tcW w:w="351" w:type="pct"/>
            <w:tcBorders>
              <w:top w:val="single" w:sz="2" w:space="0" w:color="auto"/>
              <w:left w:val="nil"/>
              <w:bottom w:val="single" w:sz="2" w:space="0" w:color="auto"/>
              <w:right w:val="nil"/>
            </w:tcBorders>
            <w:shd w:val="clear" w:color="auto" w:fill="auto"/>
            <w:vAlign w:val="center"/>
            <w:hideMark/>
          </w:tcPr>
          <w:p w14:paraId="0C70356C" w14:textId="77777777" w:rsidR="009D74E3" w:rsidRPr="003A115E" w:rsidRDefault="009D74E3" w:rsidP="00543AF5">
            <w:pPr>
              <w:pStyle w:val="cuatexto"/>
              <w:jc w:val="right"/>
            </w:pPr>
            <w:r>
              <w:t xml:space="preserve">690,47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47BE3A0A" w14:textId="77777777" w:rsidR="009D74E3" w:rsidRPr="003A115E" w:rsidRDefault="009D74E3" w:rsidP="00543AF5">
            <w:pPr>
              <w:pStyle w:val="cuatexto"/>
              <w:jc w:val="right"/>
            </w:pPr>
            <w:r>
              <w:t xml:space="preserve">774,63 </w:t>
            </w:r>
          </w:p>
        </w:tc>
        <w:tc>
          <w:tcPr>
            <w:tcW w:w="714" w:type="pct"/>
            <w:tcBorders>
              <w:top w:val="single" w:sz="2" w:space="0" w:color="auto"/>
              <w:left w:val="single" w:sz="2" w:space="0" w:color="auto"/>
              <w:bottom w:val="single" w:sz="2" w:space="0" w:color="auto"/>
            </w:tcBorders>
            <w:shd w:val="clear" w:color="auto" w:fill="auto"/>
            <w:vAlign w:val="center"/>
            <w:hideMark/>
          </w:tcPr>
          <w:p w14:paraId="67C5683F" w14:textId="77777777" w:rsidR="009D74E3" w:rsidRPr="003A115E" w:rsidRDefault="009D74E3" w:rsidP="00543AF5">
            <w:pPr>
              <w:pStyle w:val="cuatexto"/>
              <w:jc w:val="right"/>
            </w:pPr>
            <w:r>
              <w:t>24</w:t>
            </w:r>
          </w:p>
        </w:tc>
        <w:tc>
          <w:tcPr>
            <w:tcW w:w="346" w:type="pct"/>
            <w:tcBorders>
              <w:top w:val="single" w:sz="2" w:space="0" w:color="auto"/>
              <w:bottom w:val="single" w:sz="2" w:space="0" w:color="auto"/>
            </w:tcBorders>
            <w:shd w:val="clear" w:color="auto" w:fill="auto"/>
            <w:vAlign w:val="center"/>
            <w:hideMark/>
          </w:tcPr>
          <w:p w14:paraId="1B3D3831" w14:textId="77777777" w:rsidR="009D74E3" w:rsidRPr="003A115E" w:rsidRDefault="009D74E3" w:rsidP="00543AF5">
            <w:pPr>
              <w:pStyle w:val="cuatexto"/>
              <w:jc w:val="right"/>
            </w:pPr>
            <w:r>
              <w:t xml:space="preserve">84,16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16A17A95" w14:textId="77777777" w:rsidR="009D74E3" w:rsidRPr="003A115E" w:rsidRDefault="009D74E3" w:rsidP="00543AF5">
            <w:pPr>
              <w:pStyle w:val="cuatexto"/>
              <w:jc w:val="right"/>
            </w:pPr>
            <w:r>
              <w:t>12</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BE8643E" w14:textId="77777777" w:rsidR="009D74E3" w:rsidRPr="003A115E" w:rsidRDefault="009D74E3" w:rsidP="00543AF5">
            <w:pPr>
              <w:pStyle w:val="cuatexto"/>
              <w:jc w:val="right"/>
            </w:pPr>
            <w:r>
              <w:t xml:space="preserve">848,33 </w:t>
            </w:r>
          </w:p>
        </w:tc>
      </w:tr>
      <w:tr w:rsidR="000A742F" w:rsidRPr="003A115E" w14:paraId="18AEE706"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61E130D" w14:textId="77777777" w:rsidR="009D74E3" w:rsidRPr="003A115E" w:rsidRDefault="009D74E3" w:rsidP="00543AF5">
            <w:pPr>
              <w:pStyle w:val="cuatexto"/>
            </w:pPr>
            <w:r>
              <w:t>Kapital-gastua</w:t>
            </w:r>
          </w:p>
        </w:tc>
        <w:tc>
          <w:tcPr>
            <w:tcW w:w="461" w:type="pct"/>
            <w:tcBorders>
              <w:top w:val="single" w:sz="2" w:space="0" w:color="auto"/>
              <w:left w:val="nil"/>
              <w:bottom w:val="single" w:sz="2" w:space="0" w:color="auto"/>
              <w:right w:val="nil"/>
            </w:tcBorders>
            <w:shd w:val="clear" w:color="auto" w:fill="auto"/>
            <w:vAlign w:val="center"/>
            <w:hideMark/>
          </w:tcPr>
          <w:p w14:paraId="4ACD906C" w14:textId="77777777" w:rsidR="009D74E3" w:rsidRPr="003A115E" w:rsidRDefault="009D74E3" w:rsidP="00543AF5">
            <w:pPr>
              <w:pStyle w:val="cuatexto"/>
              <w:jc w:val="right"/>
            </w:pPr>
            <w:r>
              <w:t xml:space="preserve">125,09 </w:t>
            </w:r>
          </w:p>
        </w:tc>
        <w:tc>
          <w:tcPr>
            <w:tcW w:w="513" w:type="pct"/>
            <w:tcBorders>
              <w:top w:val="single" w:sz="2" w:space="0" w:color="auto"/>
              <w:left w:val="nil"/>
              <w:bottom w:val="single" w:sz="2" w:space="0" w:color="auto"/>
              <w:right w:val="nil"/>
            </w:tcBorders>
            <w:shd w:val="clear" w:color="auto" w:fill="auto"/>
            <w:vAlign w:val="center"/>
            <w:hideMark/>
          </w:tcPr>
          <w:p w14:paraId="4B2A49A3" w14:textId="77777777" w:rsidR="009D74E3" w:rsidRPr="003A115E" w:rsidRDefault="009D74E3" w:rsidP="00543AF5">
            <w:pPr>
              <w:pStyle w:val="cuatexto"/>
              <w:jc w:val="right"/>
            </w:pPr>
            <w:r>
              <w:t xml:space="preserve">199,42 </w:t>
            </w:r>
          </w:p>
        </w:tc>
        <w:tc>
          <w:tcPr>
            <w:tcW w:w="426" w:type="pct"/>
            <w:tcBorders>
              <w:top w:val="single" w:sz="2" w:space="0" w:color="auto"/>
              <w:left w:val="nil"/>
              <w:bottom w:val="single" w:sz="2" w:space="0" w:color="auto"/>
              <w:right w:val="nil"/>
            </w:tcBorders>
            <w:shd w:val="clear" w:color="auto" w:fill="auto"/>
            <w:vAlign w:val="center"/>
            <w:hideMark/>
          </w:tcPr>
          <w:p w14:paraId="3057DA37" w14:textId="77777777" w:rsidR="009D74E3" w:rsidRPr="003A115E" w:rsidRDefault="009D74E3" w:rsidP="00543AF5">
            <w:pPr>
              <w:pStyle w:val="cuatexto"/>
              <w:jc w:val="right"/>
            </w:pPr>
            <w:r>
              <w:t xml:space="preserve">123,59 </w:t>
            </w:r>
          </w:p>
        </w:tc>
        <w:tc>
          <w:tcPr>
            <w:tcW w:w="351" w:type="pct"/>
            <w:tcBorders>
              <w:top w:val="single" w:sz="2" w:space="0" w:color="auto"/>
              <w:left w:val="nil"/>
              <w:bottom w:val="single" w:sz="2" w:space="0" w:color="auto"/>
              <w:right w:val="nil"/>
            </w:tcBorders>
            <w:shd w:val="clear" w:color="auto" w:fill="auto"/>
            <w:vAlign w:val="center"/>
            <w:hideMark/>
          </w:tcPr>
          <w:p w14:paraId="355B4E51" w14:textId="77777777" w:rsidR="009D74E3" w:rsidRPr="003A115E" w:rsidRDefault="009D74E3" w:rsidP="00543AF5">
            <w:pPr>
              <w:pStyle w:val="cuatexto"/>
              <w:jc w:val="right"/>
            </w:pPr>
            <w:r>
              <w:t xml:space="preserve">173,91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0AD84734" w14:textId="77777777" w:rsidR="009D74E3" w:rsidRPr="003A115E" w:rsidRDefault="009D74E3" w:rsidP="00543AF5">
            <w:pPr>
              <w:pStyle w:val="cuatexto"/>
              <w:jc w:val="right"/>
            </w:pPr>
            <w:r>
              <w:t xml:space="preserve">167,55 </w:t>
            </w:r>
          </w:p>
        </w:tc>
        <w:tc>
          <w:tcPr>
            <w:tcW w:w="714" w:type="pct"/>
            <w:tcBorders>
              <w:top w:val="single" w:sz="2" w:space="0" w:color="auto"/>
              <w:left w:val="single" w:sz="2" w:space="0" w:color="auto"/>
              <w:bottom w:val="single" w:sz="2" w:space="0" w:color="auto"/>
            </w:tcBorders>
            <w:shd w:val="clear" w:color="auto" w:fill="auto"/>
            <w:vAlign w:val="center"/>
            <w:hideMark/>
          </w:tcPr>
          <w:p w14:paraId="26305E33" w14:textId="77777777" w:rsidR="009D74E3" w:rsidRPr="003A115E" w:rsidRDefault="009D74E3" w:rsidP="00543AF5">
            <w:pPr>
              <w:pStyle w:val="cuatexto"/>
              <w:jc w:val="right"/>
            </w:pPr>
            <w:r>
              <w:t>34</w:t>
            </w:r>
          </w:p>
        </w:tc>
        <w:tc>
          <w:tcPr>
            <w:tcW w:w="346" w:type="pct"/>
            <w:tcBorders>
              <w:top w:val="single" w:sz="2" w:space="0" w:color="auto"/>
              <w:bottom w:val="single" w:sz="2" w:space="0" w:color="auto"/>
            </w:tcBorders>
            <w:shd w:val="clear" w:color="auto" w:fill="auto"/>
            <w:vAlign w:val="center"/>
            <w:hideMark/>
          </w:tcPr>
          <w:p w14:paraId="289A88DF" w14:textId="77777777" w:rsidR="009D74E3" w:rsidRPr="003A115E" w:rsidRDefault="009D74E3" w:rsidP="00543AF5">
            <w:pPr>
              <w:pStyle w:val="cuatexto"/>
              <w:jc w:val="right"/>
            </w:pPr>
            <w:r>
              <w:t xml:space="preserve">-6,36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4B818B48" w14:textId="77777777" w:rsidR="009D74E3" w:rsidRPr="003A115E" w:rsidRDefault="009D74E3" w:rsidP="00543AF5">
            <w:pPr>
              <w:pStyle w:val="cuatexto"/>
              <w:jc w:val="right"/>
            </w:pPr>
            <w:r>
              <w:t>-4</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3C932CE" w14:textId="77777777" w:rsidR="009D74E3" w:rsidRPr="003A115E" w:rsidRDefault="009D74E3" w:rsidP="00543AF5">
            <w:pPr>
              <w:pStyle w:val="cuatexto"/>
              <w:jc w:val="right"/>
            </w:pPr>
            <w:r>
              <w:t xml:space="preserve">191,96 </w:t>
            </w:r>
          </w:p>
        </w:tc>
      </w:tr>
      <w:tr w:rsidR="000A742F" w:rsidRPr="003A115E" w14:paraId="31E689D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8E19106" w14:textId="77777777" w:rsidR="009D74E3" w:rsidRPr="003A115E" w:rsidRDefault="009D74E3" w:rsidP="00543AF5">
            <w:pPr>
              <w:pStyle w:val="cuatexto"/>
            </w:pPr>
            <w:r>
              <w:t>Aurrekontu-emaitza ez-finantzarioa</w:t>
            </w:r>
          </w:p>
        </w:tc>
        <w:tc>
          <w:tcPr>
            <w:tcW w:w="461" w:type="pct"/>
            <w:tcBorders>
              <w:top w:val="single" w:sz="2" w:space="0" w:color="auto"/>
              <w:left w:val="nil"/>
              <w:bottom w:val="single" w:sz="2" w:space="0" w:color="auto"/>
              <w:right w:val="nil"/>
            </w:tcBorders>
            <w:shd w:val="clear" w:color="auto" w:fill="auto"/>
            <w:vAlign w:val="center"/>
            <w:hideMark/>
          </w:tcPr>
          <w:p w14:paraId="50853D5D" w14:textId="77777777" w:rsidR="009D74E3" w:rsidRPr="003A115E" w:rsidRDefault="009D74E3" w:rsidP="00543AF5">
            <w:pPr>
              <w:pStyle w:val="cuatexto"/>
              <w:jc w:val="right"/>
            </w:pPr>
            <w:r>
              <w:t xml:space="preserve">81,22 </w:t>
            </w:r>
          </w:p>
        </w:tc>
        <w:tc>
          <w:tcPr>
            <w:tcW w:w="513" w:type="pct"/>
            <w:tcBorders>
              <w:top w:val="single" w:sz="2" w:space="0" w:color="auto"/>
              <w:left w:val="nil"/>
              <w:bottom w:val="single" w:sz="2" w:space="0" w:color="auto"/>
              <w:right w:val="nil"/>
            </w:tcBorders>
            <w:shd w:val="clear" w:color="auto" w:fill="auto"/>
            <w:vAlign w:val="center"/>
            <w:hideMark/>
          </w:tcPr>
          <w:p w14:paraId="228FFCBE" w14:textId="77777777" w:rsidR="009D74E3" w:rsidRPr="003A115E" w:rsidRDefault="009D74E3" w:rsidP="00543AF5">
            <w:pPr>
              <w:pStyle w:val="cuatexto"/>
              <w:jc w:val="right"/>
            </w:pPr>
            <w:r>
              <w:t xml:space="preserve">31,16 </w:t>
            </w:r>
          </w:p>
        </w:tc>
        <w:tc>
          <w:tcPr>
            <w:tcW w:w="426" w:type="pct"/>
            <w:tcBorders>
              <w:top w:val="single" w:sz="2" w:space="0" w:color="auto"/>
              <w:left w:val="nil"/>
              <w:bottom w:val="single" w:sz="2" w:space="0" w:color="auto"/>
              <w:right w:val="nil"/>
            </w:tcBorders>
            <w:shd w:val="clear" w:color="auto" w:fill="auto"/>
            <w:vAlign w:val="center"/>
            <w:hideMark/>
          </w:tcPr>
          <w:p w14:paraId="08DFC457" w14:textId="77777777" w:rsidR="009D74E3" w:rsidRPr="003A115E" w:rsidRDefault="009D74E3" w:rsidP="00543AF5">
            <w:pPr>
              <w:pStyle w:val="cuatexto"/>
              <w:jc w:val="right"/>
            </w:pPr>
            <w:r>
              <w:t xml:space="preserve">78,00 </w:t>
            </w:r>
          </w:p>
        </w:tc>
        <w:tc>
          <w:tcPr>
            <w:tcW w:w="351" w:type="pct"/>
            <w:tcBorders>
              <w:top w:val="single" w:sz="2" w:space="0" w:color="auto"/>
              <w:left w:val="nil"/>
              <w:bottom w:val="single" w:sz="2" w:space="0" w:color="auto"/>
              <w:right w:val="nil"/>
            </w:tcBorders>
            <w:shd w:val="clear" w:color="auto" w:fill="auto"/>
            <w:vAlign w:val="center"/>
            <w:hideMark/>
          </w:tcPr>
          <w:p w14:paraId="0B7C03BE" w14:textId="77777777" w:rsidR="009D74E3" w:rsidRPr="003A115E" w:rsidRDefault="009D74E3" w:rsidP="00543AF5">
            <w:pPr>
              <w:pStyle w:val="cuatexto"/>
              <w:jc w:val="right"/>
            </w:pPr>
            <w:r>
              <w:t xml:space="preserve">24,43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FA8441A" w14:textId="77777777" w:rsidR="009D74E3" w:rsidRPr="003A115E" w:rsidRDefault="009D74E3" w:rsidP="00543AF5">
            <w:pPr>
              <w:pStyle w:val="cuatexto"/>
              <w:jc w:val="right"/>
            </w:pPr>
            <w:r>
              <w:t xml:space="preserve">77,36 </w:t>
            </w:r>
          </w:p>
        </w:tc>
        <w:tc>
          <w:tcPr>
            <w:tcW w:w="714" w:type="pct"/>
            <w:tcBorders>
              <w:top w:val="single" w:sz="2" w:space="0" w:color="auto"/>
              <w:left w:val="single" w:sz="2" w:space="0" w:color="auto"/>
              <w:bottom w:val="single" w:sz="2" w:space="0" w:color="auto"/>
            </w:tcBorders>
            <w:shd w:val="clear" w:color="auto" w:fill="auto"/>
            <w:vAlign w:val="center"/>
            <w:hideMark/>
          </w:tcPr>
          <w:p w14:paraId="65495623" w14:textId="77777777" w:rsidR="009D74E3" w:rsidRPr="003A115E" w:rsidRDefault="009D74E3" w:rsidP="00543AF5">
            <w:pPr>
              <w:pStyle w:val="cuatexto"/>
              <w:jc w:val="right"/>
            </w:pPr>
            <w:r>
              <w:t>-5</w:t>
            </w:r>
          </w:p>
        </w:tc>
        <w:tc>
          <w:tcPr>
            <w:tcW w:w="346" w:type="pct"/>
            <w:tcBorders>
              <w:top w:val="single" w:sz="2" w:space="0" w:color="auto"/>
              <w:bottom w:val="single" w:sz="2" w:space="0" w:color="auto"/>
            </w:tcBorders>
            <w:shd w:val="clear" w:color="auto" w:fill="auto"/>
            <w:vAlign w:val="center"/>
            <w:hideMark/>
          </w:tcPr>
          <w:p w14:paraId="497A5B80" w14:textId="77777777" w:rsidR="009D74E3" w:rsidRPr="003A115E" w:rsidRDefault="009D74E3" w:rsidP="00543AF5">
            <w:pPr>
              <w:pStyle w:val="cuatexto"/>
              <w:jc w:val="right"/>
            </w:pPr>
            <w:r>
              <w:t xml:space="preserve">52,92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76150EB8" w14:textId="77777777" w:rsidR="009D74E3" w:rsidRPr="003A115E" w:rsidRDefault="009D74E3" w:rsidP="00543AF5">
            <w:pPr>
              <w:pStyle w:val="cuatexto"/>
              <w:jc w:val="right"/>
            </w:pPr>
            <w:r>
              <w:t>217</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0E2A527" w14:textId="77777777" w:rsidR="009D74E3" w:rsidRPr="003A115E" w:rsidRDefault="009D74E3" w:rsidP="00543AF5">
            <w:pPr>
              <w:pStyle w:val="cuatexto"/>
              <w:jc w:val="right"/>
            </w:pPr>
            <w:r>
              <w:t xml:space="preserve">70,53 </w:t>
            </w:r>
          </w:p>
        </w:tc>
      </w:tr>
      <w:tr w:rsidR="000A742F" w:rsidRPr="003A115E" w14:paraId="42AB93D6"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744280D9" w14:textId="77777777" w:rsidR="009D74E3" w:rsidRPr="003A115E" w:rsidRDefault="009D74E3" w:rsidP="00543AF5">
            <w:pPr>
              <w:pStyle w:val="cuatexto"/>
            </w:pPr>
            <w:r>
              <w:t xml:space="preserve">Aurrezki gordina </w:t>
            </w:r>
          </w:p>
        </w:tc>
        <w:tc>
          <w:tcPr>
            <w:tcW w:w="461" w:type="pct"/>
            <w:tcBorders>
              <w:top w:val="single" w:sz="2" w:space="0" w:color="auto"/>
              <w:left w:val="nil"/>
              <w:bottom w:val="single" w:sz="2" w:space="0" w:color="auto"/>
              <w:right w:val="nil"/>
            </w:tcBorders>
            <w:shd w:val="clear" w:color="auto" w:fill="auto"/>
            <w:vAlign w:val="center"/>
            <w:hideMark/>
          </w:tcPr>
          <w:p w14:paraId="3656082F" w14:textId="77777777" w:rsidR="009D74E3" w:rsidRPr="003A115E" w:rsidRDefault="009D74E3" w:rsidP="00543AF5">
            <w:pPr>
              <w:pStyle w:val="cuatexto"/>
              <w:jc w:val="right"/>
            </w:pPr>
            <w:r>
              <w:t xml:space="preserve">126,60 </w:t>
            </w:r>
          </w:p>
        </w:tc>
        <w:tc>
          <w:tcPr>
            <w:tcW w:w="513" w:type="pct"/>
            <w:tcBorders>
              <w:top w:val="single" w:sz="2" w:space="0" w:color="auto"/>
              <w:left w:val="nil"/>
              <w:bottom w:val="single" w:sz="2" w:space="0" w:color="auto"/>
              <w:right w:val="nil"/>
            </w:tcBorders>
            <w:shd w:val="clear" w:color="auto" w:fill="auto"/>
            <w:vAlign w:val="center"/>
            <w:hideMark/>
          </w:tcPr>
          <w:p w14:paraId="1D84B696" w14:textId="77777777" w:rsidR="009D74E3" w:rsidRPr="003A115E" w:rsidRDefault="009D74E3" w:rsidP="00543AF5">
            <w:pPr>
              <w:pStyle w:val="cuatexto"/>
              <w:jc w:val="right"/>
            </w:pPr>
            <w:r>
              <w:t xml:space="preserve">137,68 </w:t>
            </w:r>
          </w:p>
        </w:tc>
        <w:tc>
          <w:tcPr>
            <w:tcW w:w="426" w:type="pct"/>
            <w:tcBorders>
              <w:top w:val="single" w:sz="2" w:space="0" w:color="auto"/>
              <w:left w:val="nil"/>
              <w:bottom w:val="single" w:sz="2" w:space="0" w:color="auto"/>
              <w:right w:val="nil"/>
            </w:tcBorders>
            <w:shd w:val="clear" w:color="auto" w:fill="auto"/>
            <w:vAlign w:val="center"/>
            <w:hideMark/>
          </w:tcPr>
          <w:p w14:paraId="075D6539" w14:textId="77777777" w:rsidR="009D74E3" w:rsidRPr="003A115E" w:rsidRDefault="009D74E3" w:rsidP="00543AF5">
            <w:pPr>
              <w:pStyle w:val="cuatexto"/>
              <w:jc w:val="right"/>
            </w:pPr>
            <w:r>
              <w:t xml:space="preserve">138,84 </w:t>
            </w:r>
          </w:p>
        </w:tc>
        <w:tc>
          <w:tcPr>
            <w:tcW w:w="351" w:type="pct"/>
            <w:tcBorders>
              <w:top w:val="single" w:sz="2" w:space="0" w:color="auto"/>
              <w:left w:val="nil"/>
              <w:bottom w:val="single" w:sz="2" w:space="0" w:color="auto"/>
              <w:right w:val="nil"/>
            </w:tcBorders>
            <w:shd w:val="clear" w:color="auto" w:fill="auto"/>
            <w:vAlign w:val="center"/>
            <w:hideMark/>
          </w:tcPr>
          <w:p w14:paraId="2500EF2F" w14:textId="77777777" w:rsidR="009D74E3" w:rsidRPr="003A115E" w:rsidRDefault="009D74E3" w:rsidP="00543AF5">
            <w:pPr>
              <w:pStyle w:val="cuatexto"/>
              <w:jc w:val="right"/>
            </w:pPr>
            <w:r>
              <w:t xml:space="preserve">139,09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FE4AFBF" w14:textId="77777777" w:rsidR="009D74E3" w:rsidRPr="003A115E" w:rsidRDefault="009D74E3" w:rsidP="00543AF5">
            <w:pPr>
              <w:pStyle w:val="cuatexto"/>
              <w:jc w:val="right"/>
            </w:pPr>
            <w:r>
              <w:t xml:space="preserve">128,57 </w:t>
            </w:r>
          </w:p>
        </w:tc>
        <w:tc>
          <w:tcPr>
            <w:tcW w:w="714" w:type="pct"/>
            <w:tcBorders>
              <w:top w:val="single" w:sz="2" w:space="0" w:color="auto"/>
              <w:left w:val="single" w:sz="2" w:space="0" w:color="auto"/>
              <w:bottom w:val="single" w:sz="2" w:space="0" w:color="auto"/>
            </w:tcBorders>
            <w:shd w:val="clear" w:color="auto" w:fill="auto"/>
            <w:vAlign w:val="center"/>
            <w:hideMark/>
          </w:tcPr>
          <w:p w14:paraId="73370BC6" w14:textId="77777777" w:rsidR="009D74E3" w:rsidRPr="003A115E" w:rsidRDefault="009D74E3" w:rsidP="00543AF5">
            <w:pPr>
              <w:pStyle w:val="cuatexto"/>
              <w:jc w:val="right"/>
            </w:pPr>
            <w:r>
              <w:t>2</w:t>
            </w:r>
          </w:p>
        </w:tc>
        <w:tc>
          <w:tcPr>
            <w:tcW w:w="346" w:type="pct"/>
            <w:tcBorders>
              <w:top w:val="single" w:sz="2" w:space="0" w:color="auto"/>
              <w:bottom w:val="single" w:sz="2" w:space="0" w:color="auto"/>
            </w:tcBorders>
            <w:shd w:val="clear" w:color="auto" w:fill="auto"/>
            <w:vAlign w:val="center"/>
            <w:hideMark/>
          </w:tcPr>
          <w:p w14:paraId="21CB9F85" w14:textId="77777777" w:rsidR="009D74E3" w:rsidRPr="003A115E" w:rsidRDefault="009D74E3" w:rsidP="00543AF5">
            <w:pPr>
              <w:pStyle w:val="cuatexto"/>
              <w:jc w:val="right"/>
            </w:pPr>
            <w:r>
              <w:t xml:space="preserve">-10,52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1BB37D12" w14:textId="77777777" w:rsidR="009D74E3" w:rsidRPr="003A115E" w:rsidRDefault="009D74E3" w:rsidP="00543AF5">
            <w:pPr>
              <w:pStyle w:val="cuatexto"/>
              <w:jc w:val="right"/>
            </w:pPr>
            <w:r>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FD1E784" w14:textId="77777777" w:rsidR="009D74E3" w:rsidRPr="003A115E" w:rsidRDefault="009D74E3" w:rsidP="00543AF5">
            <w:pPr>
              <w:pStyle w:val="cuatexto"/>
              <w:jc w:val="right"/>
            </w:pPr>
            <w:r>
              <w:t xml:space="preserve">140,56 </w:t>
            </w:r>
          </w:p>
        </w:tc>
      </w:tr>
      <w:tr w:rsidR="000A742F" w:rsidRPr="003A115E" w14:paraId="0082A9AC"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4B534D43" w14:textId="77777777" w:rsidR="009D74E3" w:rsidRPr="003A115E" w:rsidRDefault="009D74E3" w:rsidP="00543AF5">
            <w:pPr>
              <w:pStyle w:val="cuatexto"/>
            </w:pPr>
            <w:r>
              <w:t>Finantza-zama</w:t>
            </w:r>
          </w:p>
        </w:tc>
        <w:tc>
          <w:tcPr>
            <w:tcW w:w="461" w:type="pct"/>
            <w:tcBorders>
              <w:top w:val="single" w:sz="2" w:space="0" w:color="auto"/>
              <w:left w:val="nil"/>
              <w:bottom w:val="single" w:sz="2" w:space="0" w:color="auto"/>
              <w:right w:val="nil"/>
            </w:tcBorders>
            <w:shd w:val="clear" w:color="auto" w:fill="auto"/>
            <w:vAlign w:val="center"/>
            <w:hideMark/>
          </w:tcPr>
          <w:p w14:paraId="55C7D8FB" w14:textId="77777777" w:rsidR="009D74E3" w:rsidRPr="003A115E" w:rsidRDefault="009D74E3" w:rsidP="00543AF5">
            <w:pPr>
              <w:pStyle w:val="cuatexto"/>
              <w:jc w:val="right"/>
            </w:pPr>
            <w:r>
              <w:t xml:space="preserve">35,00 </w:t>
            </w:r>
          </w:p>
        </w:tc>
        <w:tc>
          <w:tcPr>
            <w:tcW w:w="513" w:type="pct"/>
            <w:tcBorders>
              <w:top w:val="single" w:sz="2" w:space="0" w:color="auto"/>
              <w:left w:val="nil"/>
              <w:bottom w:val="single" w:sz="2" w:space="0" w:color="auto"/>
              <w:right w:val="nil"/>
            </w:tcBorders>
            <w:shd w:val="clear" w:color="auto" w:fill="auto"/>
            <w:vAlign w:val="center"/>
            <w:hideMark/>
          </w:tcPr>
          <w:p w14:paraId="6EDC069F" w14:textId="77777777" w:rsidR="009D74E3" w:rsidRPr="003A115E" w:rsidRDefault="009D74E3" w:rsidP="00543AF5">
            <w:pPr>
              <w:pStyle w:val="cuatexto"/>
              <w:jc w:val="right"/>
            </w:pPr>
            <w:r>
              <w:t xml:space="preserve">30,54 </w:t>
            </w:r>
          </w:p>
        </w:tc>
        <w:tc>
          <w:tcPr>
            <w:tcW w:w="426" w:type="pct"/>
            <w:tcBorders>
              <w:top w:val="single" w:sz="2" w:space="0" w:color="auto"/>
              <w:left w:val="nil"/>
              <w:bottom w:val="single" w:sz="2" w:space="0" w:color="auto"/>
              <w:right w:val="nil"/>
            </w:tcBorders>
            <w:shd w:val="clear" w:color="auto" w:fill="auto"/>
            <w:vAlign w:val="center"/>
            <w:hideMark/>
          </w:tcPr>
          <w:p w14:paraId="09F7021E" w14:textId="77777777" w:rsidR="009D74E3" w:rsidRPr="003A115E" w:rsidRDefault="009D74E3" w:rsidP="00543AF5">
            <w:pPr>
              <w:pStyle w:val="cuatexto"/>
              <w:jc w:val="right"/>
            </w:pPr>
            <w:r>
              <w:t xml:space="preserve">30,33 </w:t>
            </w:r>
          </w:p>
        </w:tc>
        <w:tc>
          <w:tcPr>
            <w:tcW w:w="351" w:type="pct"/>
            <w:tcBorders>
              <w:top w:val="single" w:sz="2" w:space="0" w:color="auto"/>
              <w:left w:val="nil"/>
              <w:bottom w:val="single" w:sz="2" w:space="0" w:color="auto"/>
              <w:right w:val="nil"/>
            </w:tcBorders>
            <w:shd w:val="clear" w:color="auto" w:fill="auto"/>
            <w:vAlign w:val="center"/>
            <w:hideMark/>
          </w:tcPr>
          <w:p w14:paraId="6418F237" w14:textId="77777777" w:rsidR="009D74E3" w:rsidRPr="003A115E" w:rsidRDefault="009D74E3" w:rsidP="00543AF5">
            <w:pPr>
              <w:pStyle w:val="cuatexto"/>
              <w:jc w:val="right"/>
            </w:pPr>
            <w:r>
              <w:t xml:space="preserve">26,21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C112676" w14:textId="77777777" w:rsidR="009D74E3" w:rsidRPr="003A115E" w:rsidRDefault="009D74E3" w:rsidP="00543AF5">
            <w:pPr>
              <w:pStyle w:val="cuatexto"/>
              <w:jc w:val="right"/>
            </w:pPr>
            <w:r>
              <w:t xml:space="preserve">21,18 </w:t>
            </w:r>
          </w:p>
        </w:tc>
        <w:tc>
          <w:tcPr>
            <w:tcW w:w="714" w:type="pct"/>
            <w:tcBorders>
              <w:top w:val="single" w:sz="2" w:space="0" w:color="auto"/>
              <w:left w:val="single" w:sz="2" w:space="0" w:color="auto"/>
              <w:bottom w:val="single" w:sz="2" w:space="0" w:color="auto"/>
            </w:tcBorders>
            <w:shd w:val="clear" w:color="auto" w:fill="auto"/>
            <w:vAlign w:val="center"/>
            <w:hideMark/>
          </w:tcPr>
          <w:p w14:paraId="28FD47B9" w14:textId="77777777" w:rsidR="009D74E3" w:rsidRPr="003A115E" w:rsidRDefault="009D74E3" w:rsidP="00543AF5">
            <w:pPr>
              <w:pStyle w:val="cuatexto"/>
              <w:jc w:val="right"/>
            </w:pPr>
            <w:r>
              <w:t>-39</w:t>
            </w:r>
          </w:p>
        </w:tc>
        <w:tc>
          <w:tcPr>
            <w:tcW w:w="346" w:type="pct"/>
            <w:tcBorders>
              <w:top w:val="single" w:sz="2" w:space="0" w:color="auto"/>
              <w:bottom w:val="single" w:sz="2" w:space="0" w:color="auto"/>
            </w:tcBorders>
            <w:shd w:val="clear" w:color="auto" w:fill="auto"/>
            <w:vAlign w:val="center"/>
            <w:hideMark/>
          </w:tcPr>
          <w:p w14:paraId="17B5494B" w14:textId="77777777" w:rsidR="009D74E3" w:rsidRPr="003A115E" w:rsidRDefault="009D74E3" w:rsidP="00543AF5">
            <w:pPr>
              <w:pStyle w:val="cuatexto"/>
              <w:jc w:val="right"/>
            </w:pPr>
            <w:r>
              <w:t xml:space="preserve">-5,03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0C987DB" w14:textId="77777777" w:rsidR="009D74E3" w:rsidRPr="003A115E" w:rsidRDefault="009D74E3" w:rsidP="00543AF5">
            <w:pPr>
              <w:pStyle w:val="cuatexto"/>
              <w:jc w:val="right"/>
            </w:pPr>
            <w:r>
              <w:t>-19</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6E6DAC94" w14:textId="77777777" w:rsidR="009D74E3" w:rsidRPr="003A115E" w:rsidRDefault="009D74E3" w:rsidP="00543AF5">
            <w:pPr>
              <w:pStyle w:val="cuatexto"/>
              <w:jc w:val="right"/>
            </w:pPr>
            <w:r>
              <w:t xml:space="preserve">21,18 </w:t>
            </w:r>
          </w:p>
        </w:tc>
      </w:tr>
      <w:tr w:rsidR="000A742F" w:rsidRPr="003A115E" w14:paraId="57D0E45D"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FB3E15C" w14:textId="77777777" w:rsidR="009D74E3" w:rsidRPr="003A115E" w:rsidRDefault="009D74E3" w:rsidP="00543AF5">
            <w:pPr>
              <w:pStyle w:val="cuatexto"/>
            </w:pPr>
            <w:r>
              <w:t xml:space="preserve">Aurrezki garbia </w:t>
            </w:r>
          </w:p>
        </w:tc>
        <w:tc>
          <w:tcPr>
            <w:tcW w:w="461" w:type="pct"/>
            <w:tcBorders>
              <w:top w:val="single" w:sz="2" w:space="0" w:color="auto"/>
              <w:left w:val="nil"/>
              <w:bottom w:val="single" w:sz="2" w:space="0" w:color="auto"/>
              <w:right w:val="nil"/>
            </w:tcBorders>
            <w:shd w:val="clear" w:color="auto" w:fill="auto"/>
            <w:vAlign w:val="center"/>
            <w:hideMark/>
          </w:tcPr>
          <w:p w14:paraId="22D950E7" w14:textId="77777777" w:rsidR="009D74E3" w:rsidRPr="003A115E" w:rsidRDefault="009D74E3" w:rsidP="00543AF5">
            <w:pPr>
              <w:pStyle w:val="cuatexto"/>
              <w:jc w:val="right"/>
            </w:pPr>
            <w:r>
              <w:t xml:space="preserve">91,60 </w:t>
            </w:r>
          </w:p>
        </w:tc>
        <w:tc>
          <w:tcPr>
            <w:tcW w:w="513" w:type="pct"/>
            <w:tcBorders>
              <w:top w:val="single" w:sz="2" w:space="0" w:color="auto"/>
              <w:left w:val="nil"/>
              <w:bottom w:val="single" w:sz="2" w:space="0" w:color="auto"/>
              <w:right w:val="nil"/>
            </w:tcBorders>
            <w:shd w:val="clear" w:color="auto" w:fill="auto"/>
            <w:vAlign w:val="center"/>
            <w:hideMark/>
          </w:tcPr>
          <w:p w14:paraId="06018207" w14:textId="77777777" w:rsidR="009D74E3" w:rsidRPr="003A115E" w:rsidRDefault="009D74E3" w:rsidP="00543AF5">
            <w:pPr>
              <w:pStyle w:val="cuatexto"/>
              <w:jc w:val="right"/>
            </w:pPr>
            <w:r>
              <w:t xml:space="preserve">107,14 </w:t>
            </w:r>
          </w:p>
        </w:tc>
        <w:tc>
          <w:tcPr>
            <w:tcW w:w="426" w:type="pct"/>
            <w:tcBorders>
              <w:top w:val="single" w:sz="2" w:space="0" w:color="auto"/>
              <w:left w:val="nil"/>
              <w:bottom w:val="single" w:sz="2" w:space="0" w:color="auto"/>
              <w:right w:val="nil"/>
            </w:tcBorders>
            <w:shd w:val="clear" w:color="auto" w:fill="auto"/>
            <w:vAlign w:val="center"/>
            <w:hideMark/>
          </w:tcPr>
          <w:p w14:paraId="02E6090C" w14:textId="77777777" w:rsidR="009D74E3" w:rsidRPr="003A115E" w:rsidRDefault="009D74E3" w:rsidP="00543AF5">
            <w:pPr>
              <w:pStyle w:val="cuatexto"/>
              <w:jc w:val="right"/>
            </w:pPr>
            <w:r>
              <w:t xml:space="preserve">108,51 </w:t>
            </w:r>
          </w:p>
        </w:tc>
        <w:tc>
          <w:tcPr>
            <w:tcW w:w="351" w:type="pct"/>
            <w:tcBorders>
              <w:top w:val="single" w:sz="2" w:space="0" w:color="auto"/>
              <w:left w:val="nil"/>
              <w:bottom w:val="single" w:sz="2" w:space="0" w:color="auto"/>
              <w:right w:val="nil"/>
            </w:tcBorders>
            <w:shd w:val="clear" w:color="auto" w:fill="auto"/>
            <w:vAlign w:val="center"/>
            <w:hideMark/>
          </w:tcPr>
          <w:p w14:paraId="4DF5B98F" w14:textId="77777777" w:rsidR="009D74E3" w:rsidRPr="003A115E" w:rsidRDefault="009D74E3" w:rsidP="00543AF5">
            <w:pPr>
              <w:pStyle w:val="cuatexto"/>
              <w:jc w:val="right"/>
            </w:pPr>
            <w:r>
              <w:t xml:space="preserve">112,89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6DC7AE1" w14:textId="77777777" w:rsidR="009D74E3" w:rsidRPr="003A115E" w:rsidRDefault="009D74E3" w:rsidP="00543AF5">
            <w:pPr>
              <w:pStyle w:val="cuatexto"/>
              <w:jc w:val="right"/>
            </w:pPr>
            <w:r>
              <w:t xml:space="preserve">107,39 </w:t>
            </w:r>
          </w:p>
        </w:tc>
        <w:tc>
          <w:tcPr>
            <w:tcW w:w="714" w:type="pct"/>
            <w:tcBorders>
              <w:top w:val="single" w:sz="2" w:space="0" w:color="auto"/>
              <w:left w:val="single" w:sz="2" w:space="0" w:color="auto"/>
              <w:bottom w:val="single" w:sz="2" w:space="0" w:color="auto"/>
            </w:tcBorders>
            <w:shd w:val="clear" w:color="auto" w:fill="auto"/>
            <w:vAlign w:val="center"/>
            <w:hideMark/>
          </w:tcPr>
          <w:p w14:paraId="3362ED52" w14:textId="77777777" w:rsidR="009D74E3" w:rsidRPr="003A115E" w:rsidRDefault="009D74E3" w:rsidP="00543AF5">
            <w:pPr>
              <w:pStyle w:val="cuatexto"/>
              <w:jc w:val="right"/>
            </w:pPr>
            <w:r>
              <w:t>17</w:t>
            </w:r>
          </w:p>
        </w:tc>
        <w:tc>
          <w:tcPr>
            <w:tcW w:w="346" w:type="pct"/>
            <w:tcBorders>
              <w:top w:val="single" w:sz="2" w:space="0" w:color="auto"/>
              <w:bottom w:val="single" w:sz="2" w:space="0" w:color="auto"/>
            </w:tcBorders>
            <w:shd w:val="clear" w:color="auto" w:fill="auto"/>
            <w:vAlign w:val="center"/>
            <w:hideMark/>
          </w:tcPr>
          <w:p w14:paraId="7537259F" w14:textId="77777777" w:rsidR="009D74E3" w:rsidRPr="003A115E" w:rsidRDefault="009D74E3" w:rsidP="00543AF5">
            <w:pPr>
              <w:pStyle w:val="cuatexto"/>
              <w:jc w:val="right"/>
            </w:pPr>
            <w:r>
              <w:t xml:space="preserve">-5,50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5FAB45DD" w14:textId="77777777" w:rsidR="009D74E3" w:rsidRPr="003A115E" w:rsidRDefault="009D74E3" w:rsidP="00543AF5">
            <w:pPr>
              <w:pStyle w:val="cuatexto"/>
              <w:jc w:val="right"/>
            </w:pPr>
            <w:r>
              <w:t>-5</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8A407ED" w14:textId="77777777" w:rsidR="009D74E3" w:rsidRPr="003A115E" w:rsidRDefault="009D74E3" w:rsidP="00543AF5">
            <w:pPr>
              <w:pStyle w:val="cuatexto"/>
              <w:jc w:val="right"/>
            </w:pPr>
            <w:r>
              <w:t xml:space="preserve">119,38 </w:t>
            </w:r>
          </w:p>
        </w:tc>
      </w:tr>
      <w:tr w:rsidR="000A742F" w:rsidRPr="003A115E" w14:paraId="1CC7FDE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3D5B8C1" w14:textId="77777777" w:rsidR="009D74E3" w:rsidRPr="003A115E" w:rsidRDefault="009D74E3" w:rsidP="00543AF5">
            <w:pPr>
              <w:pStyle w:val="cuatexto"/>
            </w:pPr>
            <w:r>
              <w:t>Finantza-zamaren indizea</w:t>
            </w:r>
          </w:p>
        </w:tc>
        <w:tc>
          <w:tcPr>
            <w:tcW w:w="461" w:type="pct"/>
            <w:tcBorders>
              <w:top w:val="single" w:sz="2" w:space="0" w:color="auto"/>
              <w:left w:val="nil"/>
              <w:bottom w:val="single" w:sz="2" w:space="0" w:color="auto"/>
              <w:right w:val="nil"/>
            </w:tcBorders>
            <w:shd w:val="clear" w:color="auto" w:fill="auto"/>
            <w:vAlign w:val="center"/>
            <w:hideMark/>
          </w:tcPr>
          <w:p w14:paraId="391D65FB" w14:textId="77777777" w:rsidR="009D74E3" w:rsidRPr="003A115E" w:rsidRDefault="009D74E3" w:rsidP="00543AF5">
            <w:pPr>
              <w:pStyle w:val="cuatexto"/>
              <w:jc w:val="right"/>
            </w:pPr>
            <w:r>
              <w:t xml:space="preserve">4,65 </w:t>
            </w:r>
          </w:p>
        </w:tc>
        <w:tc>
          <w:tcPr>
            <w:tcW w:w="513" w:type="pct"/>
            <w:tcBorders>
              <w:top w:val="single" w:sz="2" w:space="0" w:color="auto"/>
              <w:left w:val="nil"/>
              <w:bottom w:val="single" w:sz="2" w:space="0" w:color="auto"/>
              <w:right w:val="nil"/>
            </w:tcBorders>
            <w:shd w:val="clear" w:color="auto" w:fill="auto"/>
            <w:vAlign w:val="center"/>
            <w:hideMark/>
          </w:tcPr>
          <w:p w14:paraId="37DE2BEB" w14:textId="77777777" w:rsidR="009D74E3" w:rsidRPr="003A115E" w:rsidRDefault="009D74E3" w:rsidP="00543AF5">
            <w:pPr>
              <w:pStyle w:val="cuatexto"/>
              <w:jc w:val="right"/>
            </w:pPr>
            <w:r>
              <w:t xml:space="preserve">3,86 </w:t>
            </w:r>
          </w:p>
        </w:tc>
        <w:tc>
          <w:tcPr>
            <w:tcW w:w="426" w:type="pct"/>
            <w:tcBorders>
              <w:top w:val="single" w:sz="2" w:space="0" w:color="auto"/>
              <w:left w:val="nil"/>
              <w:bottom w:val="single" w:sz="2" w:space="0" w:color="auto"/>
              <w:right w:val="nil"/>
            </w:tcBorders>
            <w:shd w:val="clear" w:color="auto" w:fill="auto"/>
            <w:vAlign w:val="center"/>
            <w:hideMark/>
          </w:tcPr>
          <w:p w14:paraId="6147B920" w14:textId="77777777" w:rsidR="009D74E3" w:rsidRPr="003A115E" w:rsidRDefault="009D74E3" w:rsidP="00543AF5">
            <w:pPr>
              <w:pStyle w:val="cuatexto"/>
              <w:jc w:val="right"/>
            </w:pPr>
            <w:r>
              <w:t xml:space="preserve">3,88 </w:t>
            </w:r>
          </w:p>
        </w:tc>
        <w:tc>
          <w:tcPr>
            <w:tcW w:w="351" w:type="pct"/>
            <w:tcBorders>
              <w:top w:val="single" w:sz="2" w:space="0" w:color="auto"/>
              <w:left w:val="nil"/>
              <w:bottom w:val="single" w:sz="2" w:space="0" w:color="auto"/>
              <w:right w:val="nil"/>
            </w:tcBorders>
            <w:shd w:val="clear" w:color="auto" w:fill="auto"/>
            <w:vAlign w:val="center"/>
            <w:hideMark/>
          </w:tcPr>
          <w:p w14:paraId="1795E9E7" w14:textId="77777777" w:rsidR="009D74E3" w:rsidRPr="003A115E" w:rsidRDefault="009D74E3" w:rsidP="00543AF5">
            <w:pPr>
              <w:pStyle w:val="cuatexto"/>
              <w:jc w:val="right"/>
            </w:pPr>
            <w:r>
              <w:t xml:space="preserve">3,16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D3AFE42" w14:textId="77777777" w:rsidR="009D74E3" w:rsidRPr="003A115E" w:rsidRDefault="009D74E3" w:rsidP="00543AF5">
            <w:pPr>
              <w:pStyle w:val="cuatexto"/>
              <w:jc w:val="right"/>
            </w:pPr>
            <w:r>
              <w:t xml:space="preserve">2,35 </w:t>
            </w:r>
          </w:p>
        </w:tc>
        <w:tc>
          <w:tcPr>
            <w:tcW w:w="714" w:type="pct"/>
            <w:tcBorders>
              <w:top w:val="single" w:sz="2" w:space="0" w:color="auto"/>
              <w:left w:val="single" w:sz="2" w:space="0" w:color="auto"/>
              <w:bottom w:val="single" w:sz="2" w:space="0" w:color="auto"/>
            </w:tcBorders>
            <w:shd w:val="clear" w:color="auto" w:fill="auto"/>
            <w:vAlign w:val="center"/>
            <w:hideMark/>
          </w:tcPr>
          <w:p w14:paraId="0B3924CA" w14:textId="77777777" w:rsidR="009D74E3" w:rsidRPr="003A115E" w:rsidRDefault="009D74E3" w:rsidP="00543AF5">
            <w:pPr>
              <w:pStyle w:val="cuatexto"/>
              <w:jc w:val="right"/>
            </w:pPr>
            <w:r>
              <w:t>-50</w:t>
            </w:r>
          </w:p>
        </w:tc>
        <w:tc>
          <w:tcPr>
            <w:tcW w:w="346" w:type="pct"/>
            <w:tcBorders>
              <w:top w:val="single" w:sz="2" w:space="0" w:color="auto"/>
              <w:bottom w:val="single" w:sz="2" w:space="0" w:color="auto"/>
            </w:tcBorders>
            <w:shd w:val="clear" w:color="auto" w:fill="auto"/>
            <w:vAlign w:val="center"/>
            <w:hideMark/>
          </w:tcPr>
          <w:p w14:paraId="2A4501C5" w14:textId="77777777" w:rsidR="009D74E3" w:rsidRPr="003A115E" w:rsidRDefault="009D74E3" w:rsidP="00543AF5">
            <w:pPr>
              <w:pStyle w:val="cuatexto"/>
              <w:jc w:val="right"/>
            </w:pPr>
            <w:r>
              <w:t xml:space="preserve">-0,81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3461B8BC" w14:textId="77777777" w:rsidR="009D74E3" w:rsidRPr="003A115E" w:rsidRDefault="009D74E3" w:rsidP="00543AF5">
            <w:pPr>
              <w:pStyle w:val="cuatexto"/>
              <w:jc w:val="right"/>
            </w:pPr>
            <w:r>
              <w:t>-26</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3F8D9CB" w14:textId="77777777" w:rsidR="009D74E3" w:rsidRPr="003A115E" w:rsidRDefault="009D74E3" w:rsidP="00543AF5">
            <w:pPr>
              <w:pStyle w:val="cuatexto"/>
              <w:jc w:val="right"/>
            </w:pPr>
            <w:r>
              <w:t xml:space="preserve">2,14 </w:t>
            </w:r>
          </w:p>
        </w:tc>
      </w:tr>
      <w:tr w:rsidR="000A742F" w:rsidRPr="003A115E" w14:paraId="0ADC1B5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F63CFB2" w14:textId="77777777" w:rsidR="009D74E3" w:rsidRPr="003A115E" w:rsidRDefault="009D74E3" w:rsidP="00543AF5">
            <w:pPr>
              <w:pStyle w:val="cuatexto"/>
            </w:pPr>
            <w:r>
              <w:t>Aurrezki gordina / diru-sarrera arruntak (%)</w:t>
            </w:r>
          </w:p>
        </w:tc>
        <w:tc>
          <w:tcPr>
            <w:tcW w:w="461" w:type="pct"/>
            <w:tcBorders>
              <w:top w:val="single" w:sz="2" w:space="0" w:color="auto"/>
              <w:left w:val="nil"/>
              <w:bottom w:val="single" w:sz="2" w:space="0" w:color="auto"/>
              <w:right w:val="nil"/>
            </w:tcBorders>
            <w:shd w:val="clear" w:color="auto" w:fill="auto"/>
            <w:vAlign w:val="center"/>
            <w:hideMark/>
          </w:tcPr>
          <w:p w14:paraId="7323BE85" w14:textId="77777777" w:rsidR="009D74E3" w:rsidRPr="003A115E" w:rsidRDefault="009D74E3" w:rsidP="00543AF5">
            <w:pPr>
              <w:pStyle w:val="cuatexto"/>
              <w:jc w:val="right"/>
            </w:pPr>
            <w:r>
              <w:t xml:space="preserve">16,82 </w:t>
            </w:r>
          </w:p>
        </w:tc>
        <w:tc>
          <w:tcPr>
            <w:tcW w:w="513" w:type="pct"/>
            <w:tcBorders>
              <w:top w:val="single" w:sz="2" w:space="0" w:color="auto"/>
              <w:left w:val="nil"/>
              <w:bottom w:val="single" w:sz="2" w:space="0" w:color="auto"/>
              <w:right w:val="nil"/>
            </w:tcBorders>
            <w:shd w:val="clear" w:color="auto" w:fill="auto"/>
            <w:vAlign w:val="center"/>
            <w:hideMark/>
          </w:tcPr>
          <w:p w14:paraId="3D50F2DF" w14:textId="77777777" w:rsidR="009D74E3" w:rsidRPr="003A115E" w:rsidRDefault="009D74E3" w:rsidP="00543AF5">
            <w:pPr>
              <w:pStyle w:val="cuatexto"/>
              <w:jc w:val="right"/>
            </w:pPr>
            <w:r>
              <w:t xml:space="preserve">17,39 </w:t>
            </w:r>
          </w:p>
        </w:tc>
        <w:tc>
          <w:tcPr>
            <w:tcW w:w="426" w:type="pct"/>
            <w:tcBorders>
              <w:top w:val="single" w:sz="2" w:space="0" w:color="auto"/>
              <w:left w:val="nil"/>
              <w:bottom w:val="single" w:sz="2" w:space="0" w:color="auto"/>
              <w:right w:val="nil"/>
            </w:tcBorders>
            <w:shd w:val="clear" w:color="auto" w:fill="auto"/>
            <w:vAlign w:val="center"/>
            <w:hideMark/>
          </w:tcPr>
          <w:p w14:paraId="658226E8" w14:textId="77777777" w:rsidR="009D74E3" w:rsidRPr="003A115E" w:rsidRDefault="009D74E3" w:rsidP="00543AF5">
            <w:pPr>
              <w:pStyle w:val="cuatexto"/>
              <w:jc w:val="right"/>
            </w:pPr>
            <w:r>
              <w:t xml:space="preserve">17,75 </w:t>
            </w:r>
          </w:p>
        </w:tc>
        <w:tc>
          <w:tcPr>
            <w:tcW w:w="351" w:type="pct"/>
            <w:tcBorders>
              <w:top w:val="single" w:sz="2" w:space="0" w:color="auto"/>
              <w:left w:val="nil"/>
              <w:bottom w:val="single" w:sz="2" w:space="0" w:color="auto"/>
              <w:right w:val="nil"/>
            </w:tcBorders>
            <w:shd w:val="clear" w:color="auto" w:fill="auto"/>
            <w:vAlign w:val="center"/>
            <w:hideMark/>
          </w:tcPr>
          <w:p w14:paraId="4D1B8093" w14:textId="77777777" w:rsidR="009D74E3" w:rsidRPr="003A115E" w:rsidRDefault="009D74E3" w:rsidP="00543AF5">
            <w:pPr>
              <w:pStyle w:val="cuatexto"/>
              <w:jc w:val="right"/>
            </w:pPr>
            <w:r>
              <w:t xml:space="preserve">16,77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33206FA1" w14:textId="77777777" w:rsidR="009D74E3" w:rsidRPr="003A115E" w:rsidRDefault="009D74E3" w:rsidP="00543AF5">
            <w:pPr>
              <w:pStyle w:val="cuatexto"/>
              <w:jc w:val="right"/>
            </w:pPr>
            <w:r>
              <w:t xml:space="preserve">14,23 </w:t>
            </w:r>
          </w:p>
        </w:tc>
        <w:tc>
          <w:tcPr>
            <w:tcW w:w="714" w:type="pct"/>
            <w:tcBorders>
              <w:top w:val="single" w:sz="2" w:space="0" w:color="auto"/>
              <w:left w:val="single" w:sz="2" w:space="0" w:color="auto"/>
              <w:bottom w:val="single" w:sz="2" w:space="0" w:color="auto"/>
            </w:tcBorders>
            <w:shd w:val="clear" w:color="auto" w:fill="auto"/>
            <w:vAlign w:val="center"/>
            <w:hideMark/>
          </w:tcPr>
          <w:p w14:paraId="7E67405C" w14:textId="77777777" w:rsidR="009D74E3" w:rsidRPr="003A115E" w:rsidRDefault="009D74E3" w:rsidP="00543AF5">
            <w:pPr>
              <w:pStyle w:val="cuatexto"/>
              <w:jc w:val="right"/>
            </w:pPr>
            <w:r>
              <w:t>-15</w:t>
            </w:r>
          </w:p>
        </w:tc>
        <w:tc>
          <w:tcPr>
            <w:tcW w:w="346" w:type="pct"/>
            <w:tcBorders>
              <w:top w:val="single" w:sz="2" w:space="0" w:color="auto"/>
              <w:bottom w:val="single" w:sz="2" w:space="0" w:color="auto"/>
            </w:tcBorders>
            <w:shd w:val="clear" w:color="auto" w:fill="auto"/>
            <w:vAlign w:val="center"/>
            <w:hideMark/>
          </w:tcPr>
          <w:p w14:paraId="5A1D178F" w14:textId="77777777" w:rsidR="009D74E3" w:rsidRPr="003A115E" w:rsidRDefault="009D74E3" w:rsidP="00543AF5">
            <w:pPr>
              <w:pStyle w:val="cuatexto"/>
              <w:jc w:val="right"/>
            </w:pPr>
            <w:r>
              <w:t xml:space="preserve">-2,53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91DB8D2" w14:textId="77777777" w:rsidR="009D74E3" w:rsidRPr="003A115E" w:rsidRDefault="009D74E3" w:rsidP="00543AF5">
            <w:pPr>
              <w:pStyle w:val="cuatexto"/>
              <w:jc w:val="right"/>
            </w:pPr>
            <w:r>
              <w:t>-15</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74480B08" w14:textId="77777777" w:rsidR="009D74E3" w:rsidRPr="003A115E" w:rsidRDefault="009D74E3" w:rsidP="00543AF5">
            <w:pPr>
              <w:pStyle w:val="cuatexto"/>
              <w:jc w:val="right"/>
            </w:pPr>
            <w:r>
              <w:t xml:space="preserve">14,21 </w:t>
            </w:r>
          </w:p>
        </w:tc>
      </w:tr>
      <w:tr w:rsidR="000A742F" w:rsidRPr="003A115E" w14:paraId="05732DF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911553C" w14:textId="77777777" w:rsidR="009D74E3" w:rsidRPr="003A115E" w:rsidRDefault="009D74E3" w:rsidP="00543AF5">
            <w:pPr>
              <w:pStyle w:val="cuatexto"/>
            </w:pPr>
            <w:r>
              <w:t>Zorpetze-ahalmena (%)</w:t>
            </w:r>
          </w:p>
        </w:tc>
        <w:tc>
          <w:tcPr>
            <w:tcW w:w="461" w:type="pct"/>
            <w:tcBorders>
              <w:top w:val="single" w:sz="2" w:space="0" w:color="auto"/>
              <w:left w:val="nil"/>
              <w:bottom w:val="single" w:sz="2" w:space="0" w:color="auto"/>
              <w:right w:val="nil"/>
            </w:tcBorders>
            <w:shd w:val="clear" w:color="auto" w:fill="auto"/>
            <w:vAlign w:val="center"/>
            <w:hideMark/>
          </w:tcPr>
          <w:p w14:paraId="68FFB1F7" w14:textId="77777777" w:rsidR="009D74E3" w:rsidRPr="003A115E" w:rsidRDefault="009D74E3" w:rsidP="00543AF5">
            <w:pPr>
              <w:pStyle w:val="cuatexto"/>
              <w:jc w:val="right"/>
            </w:pPr>
            <w:r>
              <w:t xml:space="preserve">12,17 </w:t>
            </w:r>
          </w:p>
        </w:tc>
        <w:tc>
          <w:tcPr>
            <w:tcW w:w="513" w:type="pct"/>
            <w:tcBorders>
              <w:top w:val="single" w:sz="2" w:space="0" w:color="auto"/>
              <w:left w:val="nil"/>
              <w:bottom w:val="single" w:sz="2" w:space="0" w:color="auto"/>
              <w:right w:val="nil"/>
            </w:tcBorders>
            <w:shd w:val="clear" w:color="auto" w:fill="auto"/>
            <w:vAlign w:val="center"/>
            <w:hideMark/>
          </w:tcPr>
          <w:p w14:paraId="345B4266" w14:textId="77777777" w:rsidR="009D74E3" w:rsidRPr="003A115E" w:rsidRDefault="009D74E3" w:rsidP="00543AF5">
            <w:pPr>
              <w:pStyle w:val="cuatexto"/>
              <w:jc w:val="right"/>
            </w:pPr>
            <w:r>
              <w:t xml:space="preserve">13,53 </w:t>
            </w:r>
          </w:p>
        </w:tc>
        <w:tc>
          <w:tcPr>
            <w:tcW w:w="426" w:type="pct"/>
            <w:tcBorders>
              <w:top w:val="single" w:sz="2" w:space="0" w:color="auto"/>
              <w:left w:val="nil"/>
              <w:bottom w:val="single" w:sz="2" w:space="0" w:color="auto"/>
              <w:right w:val="nil"/>
            </w:tcBorders>
            <w:shd w:val="clear" w:color="auto" w:fill="auto"/>
            <w:vAlign w:val="center"/>
            <w:hideMark/>
          </w:tcPr>
          <w:p w14:paraId="2C0F0B96" w14:textId="77777777" w:rsidR="009D74E3" w:rsidRPr="003A115E" w:rsidRDefault="009D74E3" w:rsidP="00543AF5">
            <w:pPr>
              <w:pStyle w:val="cuatexto"/>
              <w:jc w:val="right"/>
            </w:pPr>
            <w:r>
              <w:t xml:space="preserve">13,88 </w:t>
            </w:r>
          </w:p>
        </w:tc>
        <w:tc>
          <w:tcPr>
            <w:tcW w:w="351" w:type="pct"/>
            <w:tcBorders>
              <w:top w:val="single" w:sz="2" w:space="0" w:color="auto"/>
              <w:left w:val="nil"/>
              <w:bottom w:val="single" w:sz="2" w:space="0" w:color="auto"/>
              <w:right w:val="nil"/>
            </w:tcBorders>
            <w:shd w:val="clear" w:color="auto" w:fill="auto"/>
            <w:vAlign w:val="center"/>
            <w:hideMark/>
          </w:tcPr>
          <w:p w14:paraId="583C4CBD" w14:textId="77777777" w:rsidR="009D74E3" w:rsidRPr="003A115E" w:rsidRDefault="009D74E3" w:rsidP="00543AF5">
            <w:pPr>
              <w:pStyle w:val="cuatexto"/>
              <w:jc w:val="right"/>
            </w:pPr>
            <w:r>
              <w:t xml:space="preserve">13,61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1C58C0EF" w14:textId="77777777" w:rsidR="009D74E3" w:rsidRPr="003A115E" w:rsidRDefault="009D74E3" w:rsidP="00543AF5">
            <w:pPr>
              <w:pStyle w:val="cuatexto"/>
              <w:jc w:val="right"/>
            </w:pPr>
            <w:r>
              <w:t xml:space="preserve">11,89 </w:t>
            </w:r>
          </w:p>
        </w:tc>
        <w:tc>
          <w:tcPr>
            <w:tcW w:w="714" w:type="pct"/>
            <w:tcBorders>
              <w:top w:val="single" w:sz="2" w:space="0" w:color="auto"/>
              <w:left w:val="single" w:sz="2" w:space="0" w:color="auto"/>
              <w:bottom w:val="single" w:sz="2" w:space="0" w:color="auto"/>
            </w:tcBorders>
            <w:shd w:val="clear" w:color="auto" w:fill="auto"/>
            <w:vAlign w:val="center"/>
            <w:hideMark/>
          </w:tcPr>
          <w:p w14:paraId="13EE553D" w14:textId="77777777" w:rsidR="009D74E3" w:rsidRPr="003A115E" w:rsidRDefault="009D74E3" w:rsidP="00543AF5">
            <w:pPr>
              <w:pStyle w:val="cuatexto"/>
              <w:jc w:val="right"/>
            </w:pPr>
            <w:r>
              <w:t>-2</w:t>
            </w:r>
          </w:p>
        </w:tc>
        <w:tc>
          <w:tcPr>
            <w:tcW w:w="346" w:type="pct"/>
            <w:tcBorders>
              <w:top w:val="single" w:sz="2" w:space="0" w:color="auto"/>
              <w:bottom w:val="single" w:sz="2" w:space="0" w:color="auto"/>
            </w:tcBorders>
            <w:shd w:val="clear" w:color="auto" w:fill="auto"/>
            <w:vAlign w:val="center"/>
            <w:hideMark/>
          </w:tcPr>
          <w:p w14:paraId="3948B26B" w14:textId="77777777" w:rsidR="009D74E3" w:rsidRPr="003A115E" w:rsidRDefault="009D74E3" w:rsidP="00543AF5">
            <w:pPr>
              <w:pStyle w:val="cuatexto"/>
              <w:jc w:val="right"/>
            </w:pPr>
            <w:r>
              <w:t xml:space="preserve">-1,72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34F1819F" w14:textId="77777777" w:rsidR="009D74E3" w:rsidRPr="003A115E" w:rsidRDefault="009D74E3" w:rsidP="00543AF5">
            <w:pPr>
              <w:pStyle w:val="cuatexto"/>
              <w:jc w:val="right"/>
            </w:pPr>
            <w:r>
              <w:t>-13</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300686EE" w14:textId="77777777" w:rsidR="009D74E3" w:rsidRPr="003A115E" w:rsidRDefault="009D74E3" w:rsidP="00543AF5">
            <w:pPr>
              <w:pStyle w:val="cuatexto"/>
              <w:jc w:val="right"/>
            </w:pPr>
            <w:r>
              <w:t xml:space="preserve">12,07 </w:t>
            </w:r>
          </w:p>
        </w:tc>
      </w:tr>
      <w:tr w:rsidR="000A742F" w:rsidRPr="003A115E" w14:paraId="400F131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EB6CD26" w14:textId="77777777" w:rsidR="009D74E3" w:rsidRPr="003A115E" w:rsidRDefault="009D74E3" w:rsidP="00543AF5">
            <w:pPr>
              <w:pStyle w:val="cuatexto"/>
            </w:pPr>
            <w:r>
              <w:t>Zor bizia (2)</w:t>
            </w:r>
          </w:p>
        </w:tc>
        <w:tc>
          <w:tcPr>
            <w:tcW w:w="461" w:type="pct"/>
            <w:tcBorders>
              <w:top w:val="single" w:sz="2" w:space="0" w:color="auto"/>
              <w:left w:val="nil"/>
              <w:bottom w:val="single" w:sz="2" w:space="0" w:color="auto"/>
              <w:right w:val="nil"/>
            </w:tcBorders>
            <w:shd w:val="clear" w:color="auto" w:fill="auto"/>
            <w:vAlign w:val="center"/>
            <w:hideMark/>
          </w:tcPr>
          <w:p w14:paraId="35E8E6AC" w14:textId="77777777" w:rsidR="009D74E3" w:rsidRPr="003A115E" w:rsidRDefault="009D74E3" w:rsidP="00543AF5">
            <w:pPr>
              <w:pStyle w:val="cuatexto"/>
              <w:jc w:val="right"/>
            </w:pPr>
            <w:r>
              <w:t xml:space="preserve">207,63 </w:t>
            </w:r>
          </w:p>
        </w:tc>
        <w:tc>
          <w:tcPr>
            <w:tcW w:w="513" w:type="pct"/>
            <w:tcBorders>
              <w:top w:val="single" w:sz="2" w:space="0" w:color="auto"/>
              <w:left w:val="nil"/>
              <w:bottom w:val="single" w:sz="2" w:space="0" w:color="auto"/>
              <w:right w:val="nil"/>
            </w:tcBorders>
            <w:shd w:val="clear" w:color="auto" w:fill="auto"/>
            <w:vAlign w:val="center"/>
            <w:hideMark/>
          </w:tcPr>
          <w:p w14:paraId="42E63358" w14:textId="77777777" w:rsidR="009D74E3" w:rsidRPr="003A115E" w:rsidRDefault="009D74E3" w:rsidP="00543AF5">
            <w:pPr>
              <w:pStyle w:val="cuatexto"/>
              <w:jc w:val="right"/>
            </w:pPr>
            <w:r>
              <w:t xml:space="preserve">179,61 </w:t>
            </w:r>
          </w:p>
        </w:tc>
        <w:tc>
          <w:tcPr>
            <w:tcW w:w="426" w:type="pct"/>
            <w:tcBorders>
              <w:top w:val="single" w:sz="2" w:space="0" w:color="auto"/>
              <w:left w:val="nil"/>
              <w:bottom w:val="single" w:sz="2" w:space="0" w:color="auto"/>
              <w:right w:val="nil"/>
            </w:tcBorders>
            <w:shd w:val="clear" w:color="auto" w:fill="auto"/>
            <w:vAlign w:val="center"/>
            <w:hideMark/>
          </w:tcPr>
          <w:p w14:paraId="144C8F2A" w14:textId="77777777" w:rsidR="009D74E3" w:rsidRPr="003A115E" w:rsidRDefault="009D74E3" w:rsidP="00543AF5">
            <w:pPr>
              <w:pStyle w:val="cuatexto"/>
              <w:jc w:val="right"/>
            </w:pPr>
            <w:r>
              <w:t xml:space="preserve">137,74 </w:t>
            </w:r>
          </w:p>
        </w:tc>
        <w:tc>
          <w:tcPr>
            <w:tcW w:w="351" w:type="pct"/>
            <w:tcBorders>
              <w:top w:val="single" w:sz="2" w:space="0" w:color="auto"/>
              <w:left w:val="nil"/>
              <w:bottom w:val="single" w:sz="2" w:space="0" w:color="auto"/>
              <w:right w:val="nil"/>
            </w:tcBorders>
            <w:shd w:val="clear" w:color="auto" w:fill="auto"/>
            <w:vAlign w:val="center"/>
            <w:hideMark/>
          </w:tcPr>
          <w:p w14:paraId="581CE9B7" w14:textId="77777777" w:rsidR="009D74E3" w:rsidRPr="003A115E" w:rsidRDefault="009D74E3" w:rsidP="00543AF5">
            <w:pPr>
              <w:pStyle w:val="cuatexto"/>
              <w:jc w:val="right"/>
            </w:pPr>
            <w:r>
              <w:t xml:space="preserve">121,68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83EF8CE" w14:textId="77777777" w:rsidR="009D74E3" w:rsidRPr="003A115E" w:rsidRDefault="009D74E3" w:rsidP="00543AF5">
            <w:pPr>
              <w:pStyle w:val="cuatexto"/>
              <w:jc w:val="right"/>
            </w:pPr>
            <w:r>
              <w:t xml:space="preserve">118,56 </w:t>
            </w:r>
          </w:p>
        </w:tc>
        <w:tc>
          <w:tcPr>
            <w:tcW w:w="714" w:type="pct"/>
            <w:tcBorders>
              <w:top w:val="single" w:sz="2" w:space="0" w:color="auto"/>
              <w:left w:val="single" w:sz="2" w:space="0" w:color="auto"/>
              <w:bottom w:val="single" w:sz="2" w:space="0" w:color="auto"/>
            </w:tcBorders>
            <w:shd w:val="clear" w:color="auto" w:fill="auto"/>
            <w:vAlign w:val="center"/>
            <w:hideMark/>
          </w:tcPr>
          <w:p w14:paraId="52DBE32E" w14:textId="77777777" w:rsidR="009D74E3" w:rsidRPr="003A115E" w:rsidRDefault="009D74E3" w:rsidP="00543AF5">
            <w:pPr>
              <w:pStyle w:val="cuatexto"/>
              <w:jc w:val="right"/>
            </w:pPr>
            <w:r>
              <w:t>-43</w:t>
            </w:r>
          </w:p>
        </w:tc>
        <w:tc>
          <w:tcPr>
            <w:tcW w:w="346" w:type="pct"/>
            <w:tcBorders>
              <w:top w:val="single" w:sz="2" w:space="0" w:color="auto"/>
              <w:bottom w:val="single" w:sz="2" w:space="0" w:color="auto"/>
            </w:tcBorders>
            <w:shd w:val="clear" w:color="auto" w:fill="auto"/>
            <w:vAlign w:val="center"/>
            <w:hideMark/>
          </w:tcPr>
          <w:p w14:paraId="58A74E93" w14:textId="77777777" w:rsidR="009D74E3" w:rsidRPr="003A115E" w:rsidRDefault="009D74E3" w:rsidP="00543AF5">
            <w:pPr>
              <w:pStyle w:val="cuatexto"/>
              <w:jc w:val="right"/>
            </w:pPr>
            <w:r>
              <w:t xml:space="preserve">-3,12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57E48B4" w14:textId="77777777" w:rsidR="009D74E3" w:rsidRPr="003A115E" w:rsidRDefault="009D74E3" w:rsidP="00543AF5">
            <w:pPr>
              <w:pStyle w:val="cuatexto"/>
              <w:jc w:val="right"/>
            </w:pPr>
            <w:r>
              <w:t>-3</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78B7D90F" w14:textId="77777777" w:rsidR="009D74E3" w:rsidRPr="003A115E" w:rsidRDefault="009D74E3" w:rsidP="00543AF5">
            <w:pPr>
              <w:pStyle w:val="cuatexto"/>
              <w:jc w:val="right"/>
            </w:pPr>
            <w:r>
              <w:t xml:space="preserve">118,56 </w:t>
            </w:r>
          </w:p>
        </w:tc>
      </w:tr>
      <w:tr w:rsidR="000A742F" w:rsidRPr="003A115E" w14:paraId="088ADB0B" w14:textId="77777777" w:rsidTr="001C7883">
        <w:trPr>
          <w:trHeight w:val="198"/>
        </w:trPr>
        <w:tc>
          <w:tcPr>
            <w:tcW w:w="1089" w:type="pct"/>
            <w:tcBorders>
              <w:top w:val="single" w:sz="2" w:space="0" w:color="auto"/>
              <w:left w:val="nil"/>
              <w:bottom w:val="single" w:sz="4" w:space="0" w:color="auto"/>
              <w:right w:val="nil"/>
            </w:tcBorders>
            <w:shd w:val="clear" w:color="auto" w:fill="auto"/>
            <w:vAlign w:val="center"/>
            <w:hideMark/>
          </w:tcPr>
          <w:p w14:paraId="1D5BBF35" w14:textId="77777777" w:rsidR="009D74E3" w:rsidRPr="003A115E" w:rsidRDefault="009D74E3" w:rsidP="00543AF5">
            <w:pPr>
              <w:pStyle w:val="cuatexto"/>
            </w:pPr>
            <w:r>
              <w:t>Gastu orokorretarako diruzaintzako gerakina</w:t>
            </w:r>
          </w:p>
        </w:tc>
        <w:tc>
          <w:tcPr>
            <w:tcW w:w="461" w:type="pct"/>
            <w:tcBorders>
              <w:top w:val="single" w:sz="2" w:space="0" w:color="auto"/>
              <w:left w:val="nil"/>
              <w:bottom w:val="single" w:sz="4" w:space="0" w:color="auto"/>
              <w:right w:val="nil"/>
            </w:tcBorders>
            <w:shd w:val="clear" w:color="auto" w:fill="auto"/>
            <w:vAlign w:val="center"/>
            <w:hideMark/>
          </w:tcPr>
          <w:p w14:paraId="63C31F08" w14:textId="77777777" w:rsidR="009D74E3" w:rsidRPr="003A115E" w:rsidRDefault="009D74E3" w:rsidP="00543AF5">
            <w:pPr>
              <w:pStyle w:val="cuatexto"/>
              <w:jc w:val="right"/>
            </w:pPr>
            <w:r>
              <w:t xml:space="preserve">250,65 </w:t>
            </w:r>
          </w:p>
        </w:tc>
        <w:tc>
          <w:tcPr>
            <w:tcW w:w="513" w:type="pct"/>
            <w:tcBorders>
              <w:top w:val="single" w:sz="2" w:space="0" w:color="auto"/>
              <w:left w:val="nil"/>
              <w:bottom w:val="single" w:sz="4" w:space="0" w:color="auto"/>
              <w:right w:val="nil"/>
            </w:tcBorders>
            <w:shd w:val="clear" w:color="auto" w:fill="auto"/>
            <w:vAlign w:val="center"/>
            <w:hideMark/>
          </w:tcPr>
          <w:p w14:paraId="4F8A5A62" w14:textId="77777777" w:rsidR="009D74E3" w:rsidRPr="003A115E" w:rsidRDefault="009D74E3" w:rsidP="00543AF5">
            <w:pPr>
              <w:pStyle w:val="cuatexto"/>
              <w:jc w:val="right"/>
            </w:pPr>
            <w:r>
              <w:t xml:space="preserve">275,17 </w:t>
            </w:r>
          </w:p>
        </w:tc>
        <w:tc>
          <w:tcPr>
            <w:tcW w:w="426" w:type="pct"/>
            <w:tcBorders>
              <w:top w:val="single" w:sz="2" w:space="0" w:color="auto"/>
              <w:left w:val="nil"/>
              <w:bottom w:val="single" w:sz="4" w:space="0" w:color="auto"/>
              <w:right w:val="nil"/>
            </w:tcBorders>
            <w:shd w:val="clear" w:color="auto" w:fill="auto"/>
            <w:vAlign w:val="center"/>
            <w:hideMark/>
          </w:tcPr>
          <w:p w14:paraId="09BA51B3" w14:textId="77777777" w:rsidR="009D74E3" w:rsidRPr="003A115E" w:rsidRDefault="009D74E3" w:rsidP="00543AF5">
            <w:pPr>
              <w:pStyle w:val="cuatexto"/>
              <w:jc w:val="right"/>
            </w:pPr>
            <w:r>
              <w:t xml:space="preserve">301,52 </w:t>
            </w:r>
          </w:p>
        </w:tc>
        <w:tc>
          <w:tcPr>
            <w:tcW w:w="351" w:type="pct"/>
            <w:tcBorders>
              <w:top w:val="single" w:sz="2" w:space="0" w:color="auto"/>
              <w:left w:val="nil"/>
              <w:bottom w:val="single" w:sz="4" w:space="0" w:color="auto"/>
              <w:right w:val="nil"/>
            </w:tcBorders>
            <w:shd w:val="clear" w:color="auto" w:fill="auto"/>
            <w:vAlign w:val="center"/>
            <w:hideMark/>
          </w:tcPr>
          <w:p w14:paraId="4BDCE950" w14:textId="77777777" w:rsidR="009D74E3" w:rsidRPr="003A115E" w:rsidRDefault="009D74E3" w:rsidP="00543AF5">
            <w:pPr>
              <w:pStyle w:val="cuatexto"/>
              <w:jc w:val="right"/>
            </w:pPr>
            <w:r>
              <w:t xml:space="preserve">335,45 </w:t>
            </w:r>
          </w:p>
        </w:tc>
        <w:tc>
          <w:tcPr>
            <w:tcW w:w="409" w:type="pct"/>
            <w:tcBorders>
              <w:top w:val="single" w:sz="2" w:space="0" w:color="auto"/>
              <w:left w:val="nil"/>
              <w:bottom w:val="single" w:sz="4" w:space="0" w:color="auto"/>
              <w:right w:val="single" w:sz="2" w:space="0" w:color="auto"/>
            </w:tcBorders>
            <w:shd w:val="clear" w:color="auto" w:fill="auto"/>
            <w:vAlign w:val="center"/>
            <w:hideMark/>
          </w:tcPr>
          <w:p w14:paraId="74EF7F1F" w14:textId="77777777" w:rsidR="009D74E3" w:rsidRPr="003A115E" w:rsidRDefault="009D74E3" w:rsidP="00543AF5">
            <w:pPr>
              <w:pStyle w:val="cuatexto"/>
              <w:jc w:val="right"/>
            </w:pPr>
            <w:r>
              <w:t xml:space="preserve">373,99 </w:t>
            </w:r>
          </w:p>
        </w:tc>
        <w:tc>
          <w:tcPr>
            <w:tcW w:w="714" w:type="pct"/>
            <w:tcBorders>
              <w:top w:val="single" w:sz="2" w:space="0" w:color="auto"/>
              <w:left w:val="single" w:sz="2" w:space="0" w:color="auto"/>
              <w:bottom w:val="single" w:sz="4" w:space="0" w:color="auto"/>
            </w:tcBorders>
            <w:shd w:val="clear" w:color="auto" w:fill="auto"/>
            <w:vAlign w:val="center"/>
            <w:hideMark/>
          </w:tcPr>
          <w:p w14:paraId="22ECB908" w14:textId="77777777" w:rsidR="009D74E3" w:rsidRPr="003A115E" w:rsidRDefault="009D74E3" w:rsidP="00543AF5">
            <w:pPr>
              <w:pStyle w:val="cuatexto"/>
              <w:jc w:val="right"/>
            </w:pPr>
            <w:r>
              <w:t>49</w:t>
            </w:r>
          </w:p>
        </w:tc>
        <w:tc>
          <w:tcPr>
            <w:tcW w:w="346" w:type="pct"/>
            <w:tcBorders>
              <w:top w:val="single" w:sz="2" w:space="0" w:color="auto"/>
              <w:bottom w:val="single" w:sz="4" w:space="0" w:color="auto"/>
            </w:tcBorders>
            <w:shd w:val="clear" w:color="auto" w:fill="auto"/>
            <w:vAlign w:val="center"/>
            <w:hideMark/>
          </w:tcPr>
          <w:p w14:paraId="6E83299E" w14:textId="77777777" w:rsidR="009D74E3" w:rsidRPr="003A115E" w:rsidRDefault="009D74E3" w:rsidP="00543AF5">
            <w:pPr>
              <w:pStyle w:val="cuatexto"/>
              <w:jc w:val="right"/>
            </w:pPr>
            <w:r>
              <w:t xml:space="preserve">38,54 </w:t>
            </w:r>
          </w:p>
        </w:tc>
        <w:tc>
          <w:tcPr>
            <w:tcW w:w="346" w:type="pct"/>
            <w:tcBorders>
              <w:top w:val="single" w:sz="2" w:space="0" w:color="auto"/>
              <w:left w:val="nil"/>
              <w:bottom w:val="single" w:sz="4" w:space="0" w:color="auto"/>
              <w:right w:val="single" w:sz="2" w:space="0" w:color="auto"/>
            </w:tcBorders>
            <w:shd w:val="clear" w:color="auto" w:fill="auto"/>
            <w:vAlign w:val="center"/>
            <w:hideMark/>
          </w:tcPr>
          <w:p w14:paraId="38E077B4" w14:textId="77777777" w:rsidR="009D74E3" w:rsidRPr="003A115E" w:rsidRDefault="009D74E3" w:rsidP="00543AF5">
            <w:pPr>
              <w:pStyle w:val="cuatexto"/>
              <w:jc w:val="right"/>
            </w:pPr>
            <w:r>
              <w:t>11</w:t>
            </w:r>
          </w:p>
        </w:tc>
        <w:tc>
          <w:tcPr>
            <w:tcW w:w="346" w:type="pct"/>
            <w:tcBorders>
              <w:top w:val="single" w:sz="2" w:space="0" w:color="auto"/>
              <w:left w:val="single" w:sz="2" w:space="0" w:color="auto"/>
              <w:bottom w:val="single" w:sz="4" w:space="0" w:color="auto"/>
              <w:right w:val="nil"/>
            </w:tcBorders>
            <w:shd w:val="clear" w:color="auto" w:fill="auto"/>
            <w:vAlign w:val="center"/>
            <w:hideMark/>
          </w:tcPr>
          <w:p w14:paraId="165CFE0C" w14:textId="777434A0" w:rsidR="009D74E3" w:rsidRPr="003A115E" w:rsidRDefault="0082467B" w:rsidP="0082467B">
            <w:pPr>
              <w:pStyle w:val="cuatexto"/>
              <w:jc w:val="right"/>
            </w:pPr>
            <w:r>
              <w:t xml:space="preserve">Ez da aplikatzekoa </w:t>
            </w:r>
          </w:p>
        </w:tc>
      </w:tr>
    </w:tbl>
    <w:p w14:paraId="06B3A363" w14:textId="4BD2A60E" w:rsidR="002A4BE9" w:rsidRPr="003A115E" w:rsidRDefault="002A4BE9" w:rsidP="00E0306B">
      <w:pPr>
        <w:pStyle w:val="texto"/>
        <w:spacing w:before="60" w:after="0"/>
        <w:ind w:firstLine="0"/>
        <w:rPr>
          <w:rFonts w:ascii="Arial Narrow" w:hAnsi="Arial Narrow" w:cs="Arial"/>
          <w:sz w:val="16"/>
          <w:szCs w:val="16"/>
        </w:rPr>
      </w:pPr>
      <w:r>
        <w:rPr>
          <w:rFonts w:ascii="Arial" w:hAnsi="Arial"/>
          <w:sz w:val="14"/>
        </w:rPr>
        <w:t>(</w:t>
      </w:r>
      <w:r>
        <w:rPr>
          <w:rFonts w:ascii="Arial Narrow" w:hAnsi="Arial Narrow"/>
          <w:sz w:val="16"/>
        </w:rPr>
        <w:t xml:space="preserve">1) </w:t>
      </w:r>
      <w:proofErr w:type="spellStart"/>
      <w:r>
        <w:rPr>
          <w:rFonts w:ascii="Arial Narrow" w:hAnsi="Arial Narrow"/>
          <w:sz w:val="16"/>
        </w:rPr>
        <w:t>SCPSArekin</w:t>
      </w:r>
      <w:proofErr w:type="spellEnd"/>
      <w:r>
        <w:rPr>
          <w:rFonts w:ascii="Arial Narrow" w:hAnsi="Arial Narrow"/>
          <w:sz w:val="16"/>
        </w:rPr>
        <w:t xml:space="preserve"> bateratutako adierazleak.</w:t>
      </w:r>
    </w:p>
    <w:p w14:paraId="25675407" w14:textId="4E07A4BB" w:rsidR="002A4BE9" w:rsidRPr="003A115E" w:rsidRDefault="00E72E7F" w:rsidP="7A999140">
      <w:pPr>
        <w:pStyle w:val="texto"/>
        <w:spacing w:before="60" w:after="60"/>
        <w:ind w:firstLine="0"/>
        <w:rPr>
          <w:rFonts w:ascii="Arial Narrow" w:hAnsi="Arial Narrow" w:cs="Arial"/>
          <w:sz w:val="16"/>
          <w:szCs w:val="16"/>
        </w:rPr>
      </w:pPr>
      <w:r>
        <w:rPr>
          <w:rFonts w:ascii="Arial Narrow" w:hAnsi="Arial Narrow"/>
          <w:sz w:val="16"/>
        </w:rPr>
        <w:t xml:space="preserve">(2) Toki-sektore publiko osoarena, barnean harturik toki-entitateak, haien erakunde autonomoak eta haiek % 100eko partaidetza duten sozietate guztiak.  </w:t>
      </w:r>
    </w:p>
    <w:p w14:paraId="39BDAB77" w14:textId="3C742CCC" w:rsidR="0082467B" w:rsidRPr="003A115E" w:rsidRDefault="003E6EC3" w:rsidP="00C0014A">
      <w:pPr>
        <w:pStyle w:val="texto"/>
        <w:spacing w:before="200" w:after="120"/>
      </w:pPr>
      <w:r>
        <w:t xml:space="preserve">      Ez dago zehazterik gastu orokorretarako diruzaintza-gerakin bateratua; izan ere, duen izaera juridikoa dela-eta, </w:t>
      </w:r>
      <w:proofErr w:type="spellStart"/>
      <w:r>
        <w:t>SCPSAk</w:t>
      </w:r>
      <w:proofErr w:type="spellEnd"/>
      <w:r>
        <w:t xml:space="preserve"> ez dauka halako magnituderik. Alabaina, haren maniobra-funtsa </w:t>
      </w:r>
      <w:r w:rsidR="00C0014A" w:rsidRPr="003A115E">
        <w:rPr>
          <w:rStyle w:val="Refdenotaalpie"/>
        </w:rPr>
        <w:footnoteReference w:id="9"/>
      </w:r>
      <w:r>
        <w:t xml:space="preserve"> 38,79 milioikoa da.</w:t>
      </w:r>
    </w:p>
    <w:p w14:paraId="6CB29EE2" w14:textId="7BEFCDF8" w:rsidR="002A4BE9" w:rsidRPr="003A115E" w:rsidRDefault="002A4BE9" w:rsidP="007F034F">
      <w:pPr>
        <w:pStyle w:val="texto"/>
        <w:spacing w:before="200" w:after="120"/>
      </w:pPr>
      <w:r>
        <w:t>Aurreko taulako datuak aztertuta, honako zertzelada hauek azpimarratu behar ditugu:</w:t>
      </w:r>
    </w:p>
    <w:p w14:paraId="15215EE2" w14:textId="6E3E3B98" w:rsidR="007F034F" w:rsidRPr="003A115E" w:rsidRDefault="00407F5E"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t>2022an, diru-sarrerek ehuneko 16 egin dute gora aurreko ekitaldiarekin alderatuta, eta 2018koak baino ehuneko 24 gehiagokoak izatera iritsi dira.</w:t>
      </w:r>
    </w:p>
    <w:p w14:paraId="1B4E3143" w14:textId="0B82BF1D" w:rsidR="007F034F" w:rsidRPr="003A115E" w:rsidRDefault="229FD4D1"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lastRenderedPageBreak/>
        <w:t xml:space="preserve">2022ko guztizko gastuak ehuneko zortzi igo dira aurreko ekitaldiarekin alderatuta, eta 2018koak baino ehuneko 22 gehiagokoak izatera iritsi dira. </w:t>
      </w:r>
    </w:p>
    <w:p w14:paraId="05983C32" w14:textId="67015B35" w:rsidR="00AD655D" w:rsidRPr="003A115E" w:rsidRDefault="00AD655D" w:rsidP="00AD655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t>Funtzionamendu-gastuak ehuneko 12 hazi dira eta 774,63 milioira iritsi; hots, azken bost urteetako gehieneko zenbatekoa.</w:t>
      </w:r>
    </w:p>
    <w:p w14:paraId="3A14E628" w14:textId="34E12C50" w:rsidR="007D5CD1" w:rsidRPr="003A115E" w:rsidRDefault="007D5CD1" w:rsidP="007D5CD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t>Kapital-gastuak ehuneko lau murriztu dira, halatan 167,55 milioira iritsirik.</w:t>
      </w:r>
    </w:p>
    <w:p w14:paraId="4AFF5D3B" w14:textId="778ECDA4" w:rsidR="007F034F" w:rsidRPr="003A115E" w:rsidRDefault="1BC26375"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t xml:space="preserve">Finantza-kargak beheranzko joerari eutsi dio, 21,18 milioira iritsi arte; hau da, 2021ko eta 2018ko kopuruak baino ehuneko 19 eta ehuneko 39 gutxiago, hurrenez hurren. </w:t>
      </w:r>
    </w:p>
    <w:p w14:paraId="5DEE3C5A" w14:textId="4BBCC246" w:rsidR="003B00CD" w:rsidRPr="003A115E" w:rsidRDefault="1BC26375"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line="259" w:lineRule="auto"/>
        <w:ind w:left="0" w:firstLine="289"/>
        <w:rPr>
          <w:rFonts w:cs="Arial"/>
          <w:szCs w:val="26"/>
        </w:rPr>
      </w:pPr>
      <w:r>
        <w:t>Azaldutakoaren ondorioz, aurrezki garbia, funtzionamendu-gastuei eta finantza-zamari aurre egin ondoren, 107,39 milioikoa izan da, eta aski egonkor mantendu da azken lau ekitaldietan.</w:t>
      </w:r>
    </w:p>
    <w:p w14:paraId="4F7D794C" w14:textId="4FA6DECB" w:rsidR="002A4BE9" w:rsidRPr="003A115E" w:rsidRDefault="34CD8A04"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Nafarroako toki-entitateen zor bizia, 2022aren amaieran, haien erakunde publiko guztiak eta haiek partaidetza osoa duten sozietate publikoak kontuan hartuta, 118,56 milioikoa zen; hau da, 2021ekoa eta 2018koa baino ehuneko hiru eta ehuneko 43 txikiagoa, hurrenez hurren. Joera horrek zerikusi handia du Aurrekontu-egonkortasunari eta Finantza-iraunkortasunari buruzko Lege Organikoaren eskakizunekin. 2022an 20,1 milioiko zorra amortizatu zen, eta 19,4 milioiko zor berria hitzartu. Zor biziaren batez besteko interes tasa ehuneko 1,3koa da, eta batez besteko mugaeguneratze-epea, 8,96 urtekoa. </w:t>
      </w:r>
    </w:p>
    <w:p w14:paraId="5A8B89C0" w14:textId="27835636" w:rsidR="002A4BE9" w:rsidRPr="003A115E" w:rsidRDefault="34CD8A04" w:rsidP="0DF82E9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0"/>
        <w:ind w:left="0" w:firstLine="289"/>
        <w:rPr>
          <w:rFonts w:cs="Arial"/>
        </w:rPr>
      </w:pPr>
      <w:r>
        <w:t xml:space="preserve">Gastu orokorretarako diruzaintza-gerakina, alegia, sortutako baliabideen soberakina, etorkizuneko ekitaldietan gastu-aldaketak finantzatzeko erabiltzen ahal dena, azken urteotako joerari eutsiz, igo egin da eta 374 milioira iritsi da 2022aren amaieran. Horrenbestez, ehuneko 11 eta ehuneko 49 hazi da, hurrenez hurren, 2021ekoaren eta 2018koaren aldean. </w:t>
      </w:r>
    </w:p>
    <w:p w14:paraId="09188941" w14:textId="77777777" w:rsidR="00C05463" w:rsidRPr="003A115E" w:rsidRDefault="00C05463" w:rsidP="00C05463">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left="289" w:firstLine="0"/>
        <w:rPr>
          <w:rFonts w:cs="Arial"/>
          <w:lang w:val="es-ES"/>
        </w:rPr>
      </w:pPr>
    </w:p>
    <w:p w14:paraId="4D536727" w14:textId="1E30970B" w:rsidR="00B86F6D" w:rsidRPr="003A115E" w:rsidRDefault="0023757D" w:rsidP="0023757D">
      <w:pPr>
        <w:pStyle w:val="texto"/>
      </w:pPr>
      <w:r>
        <w:rPr>
          <w:b/>
        </w:rPr>
        <w:t xml:space="preserve">Laburbilduz, </w:t>
      </w:r>
      <w:r>
        <w:t>Nafarroako toki-entitateen egoera finantzarioa sasoitsua da 2022ko ekitaldian, azken ekitaldien ildo berari eutsirik. Diru-sarrerek gastuek baino proportzio handiagoan egin dute gora, eta horrek aurrekontu-emaitzaren gehikuntza ekarri du, 2021eko ekitaldiaren aldean. Nahiz eta ekitaldiko diru-sarrera arruntak nabarmen gehitu diren, ekitaldiko aurrezki gordina murriztu egin da 2021eko ekitaldiaren aldean, funtzionamendu-gastuek gorakada handiagoa izan dute-eta.</w:t>
      </w:r>
    </w:p>
    <w:p w14:paraId="17054152" w14:textId="55331002" w:rsidR="008B773A" w:rsidRPr="003A115E" w:rsidRDefault="00CF3F37" w:rsidP="00AA7F66">
      <w:pPr>
        <w:pStyle w:val="atitulo2"/>
        <w:spacing w:before="240"/>
        <w:rPr>
          <w:color w:val="auto"/>
        </w:rPr>
      </w:pPr>
      <w:bookmarkStart w:id="79" w:name="_Toc188511790"/>
      <w:r>
        <w:rPr>
          <w:color w:val="auto"/>
        </w:rPr>
        <w:t>VI.5 Nafarroako udalen arteko konparaziozko analisia, biztanleria-tarteen araberakoa</w:t>
      </w:r>
      <w:bookmarkEnd w:id="79"/>
    </w:p>
    <w:p w14:paraId="52DFB9B3" w14:textId="33E1FA35" w:rsidR="00AA7F66" w:rsidRPr="003A115E" w:rsidRDefault="008B773A" w:rsidP="008B773A">
      <w:pPr>
        <w:pStyle w:val="texto"/>
        <w:spacing w:before="120"/>
      </w:pPr>
      <w:r>
        <w:t>Hurrengo taulan, biztanleria-tarte desberdinetan dauden Nafarroako udalen</w:t>
      </w:r>
      <w:r w:rsidRPr="003A115E">
        <w:rPr>
          <w:rStyle w:val="Refdenotaalpie"/>
        </w:rPr>
        <w:footnoteReference w:id="10"/>
      </w:r>
      <w:r>
        <w:t xml:space="preserve"> adierazle-multzo bat konparatzen da</w:t>
      </w:r>
    </w:p>
    <w:p w14:paraId="7F489526" w14:textId="77777777" w:rsidR="00AA7F66" w:rsidRPr="003A115E" w:rsidRDefault="00AA7F66">
      <w:pPr>
        <w:rPr>
          <w:spacing w:val="6"/>
          <w:sz w:val="26"/>
        </w:rPr>
      </w:pPr>
      <w:r>
        <w:lastRenderedPageBreak/>
        <w:br w:type="page"/>
      </w:r>
    </w:p>
    <w:p w14:paraId="3D41D0B3" w14:textId="7E40AB5D" w:rsidR="008B773A" w:rsidRPr="003A115E" w:rsidRDefault="008B773A" w:rsidP="00CE7010">
      <w:pPr>
        <w:pStyle w:val="texto"/>
        <w:spacing w:before="120"/>
        <w:jc w:val="right"/>
        <w:rPr>
          <w:rStyle w:val="textoCar"/>
          <w:rFonts w:ascii="Arial Narrow" w:hAnsi="Arial Narrow"/>
          <w:sz w:val="18"/>
          <w:szCs w:val="18"/>
        </w:rPr>
      </w:pPr>
      <w:r>
        <w:rPr>
          <w:rStyle w:val="textoCar"/>
          <w:rFonts w:ascii="Arial Narrow" w:hAnsi="Arial Narrow"/>
          <w:sz w:val="18"/>
        </w:rPr>
        <w:lastRenderedPageBreak/>
        <w:t>(eurotan)</w:t>
      </w:r>
    </w:p>
    <w:tbl>
      <w:tblPr>
        <w:tblW w:w="5000" w:type="pct"/>
        <w:tblLayout w:type="fixed"/>
        <w:tblCellMar>
          <w:left w:w="70" w:type="dxa"/>
          <w:right w:w="70" w:type="dxa"/>
        </w:tblCellMar>
        <w:tblLook w:val="04A0" w:firstRow="1" w:lastRow="0" w:firstColumn="1" w:lastColumn="0" w:noHBand="0" w:noVBand="1"/>
      </w:tblPr>
      <w:tblGrid>
        <w:gridCol w:w="3261"/>
        <w:gridCol w:w="1105"/>
        <w:gridCol w:w="1105"/>
        <w:gridCol w:w="1106"/>
        <w:gridCol w:w="1105"/>
        <w:gridCol w:w="1106"/>
      </w:tblGrid>
      <w:tr w:rsidR="000A742F" w:rsidRPr="003A115E" w14:paraId="6EBAFEA8" w14:textId="77777777" w:rsidTr="00327F3B">
        <w:trPr>
          <w:trHeight w:val="255"/>
        </w:trPr>
        <w:tc>
          <w:tcPr>
            <w:tcW w:w="3261" w:type="dxa"/>
            <w:tcBorders>
              <w:top w:val="single" w:sz="4" w:space="0" w:color="auto"/>
              <w:left w:val="nil"/>
              <w:bottom w:val="single" w:sz="4" w:space="0" w:color="auto"/>
              <w:right w:val="nil"/>
            </w:tcBorders>
            <w:shd w:val="clear" w:color="auto" w:fill="FABF8F" w:themeFill="accent6" w:themeFillTint="99"/>
            <w:noWrap/>
            <w:vAlign w:val="center"/>
            <w:hideMark/>
          </w:tcPr>
          <w:p w14:paraId="20F02A10" w14:textId="77777777" w:rsidR="008B773A" w:rsidRPr="003A115E" w:rsidRDefault="008B773A" w:rsidP="005272BD">
            <w:pPr>
              <w:pStyle w:val="cuadroCabe"/>
            </w:pPr>
            <w:r>
              <w:t>Populazioa</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388A62C8" w14:textId="77777777" w:rsidR="008B773A" w:rsidRPr="003A115E" w:rsidRDefault="008B773A" w:rsidP="005272BD">
            <w:pPr>
              <w:pStyle w:val="cuadroCabe"/>
              <w:jc w:val="right"/>
            </w:pPr>
            <w:r>
              <w:t>1.000 bitarte</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2FFC6AA0" w14:textId="77777777" w:rsidR="008B773A" w:rsidRPr="003A115E" w:rsidRDefault="008B773A" w:rsidP="005272BD">
            <w:pPr>
              <w:pStyle w:val="cuadroCabe"/>
              <w:jc w:val="right"/>
            </w:pPr>
            <w:r>
              <w:t>1.000tik 5.000ra</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14:paraId="0193390C" w14:textId="77777777" w:rsidR="008B773A" w:rsidRPr="003A115E" w:rsidRDefault="008B773A" w:rsidP="005272BD">
            <w:pPr>
              <w:pStyle w:val="cuadroCabe"/>
              <w:jc w:val="right"/>
            </w:pPr>
            <w:r>
              <w:t>5.000tik 10.000ra</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08002853" w14:textId="77777777" w:rsidR="008B773A" w:rsidRPr="003A115E" w:rsidRDefault="008B773A" w:rsidP="005272BD">
            <w:pPr>
              <w:pStyle w:val="cuadroCabe"/>
              <w:jc w:val="right"/>
            </w:pPr>
            <w:r>
              <w:t>10.000tik 40.000ra</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14:paraId="0917BD04" w14:textId="77777777" w:rsidR="008B773A" w:rsidRPr="003A115E" w:rsidRDefault="008B773A" w:rsidP="0186A00D">
            <w:pPr>
              <w:pStyle w:val="cuadroCabe"/>
              <w:jc w:val="right"/>
            </w:pPr>
            <w:r>
              <w:t>40.000 baino gehiago</w:t>
            </w:r>
          </w:p>
        </w:tc>
      </w:tr>
      <w:tr w:rsidR="000A742F" w:rsidRPr="003A115E" w14:paraId="0B6661E9" w14:textId="77777777" w:rsidTr="00327F3B">
        <w:trPr>
          <w:trHeight w:val="198"/>
        </w:trPr>
        <w:tc>
          <w:tcPr>
            <w:tcW w:w="3261" w:type="dxa"/>
            <w:tcBorders>
              <w:top w:val="single" w:sz="4" w:space="0" w:color="auto"/>
              <w:left w:val="nil"/>
              <w:bottom w:val="single" w:sz="2" w:space="0" w:color="auto"/>
              <w:right w:val="nil"/>
            </w:tcBorders>
            <w:shd w:val="clear" w:color="auto" w:fill="auto"/>
            <w:noWrap/>
            <w:vAlign w:val="center"/>
            <w:hideMark/>
          </w:tcPr>
          <w:p w14:paraId="16C85E12" w14:textId="77777777" w:rsidR="008B773A" w:rsidRPr="003A115E" w:rsidRDefault="008B773A" w:rsidP="005272BD">
            <w:pPr>
              <w:pStyle w:val="cuatexto"/>
            </w:pPr>
            <w:r>
              <w:t>Udalen kopurua</w:t>
            </w:r>
          </w:p>
        </w:tc>
        <w:tc>
          <w:tcPr>
            <w:tcW w:w="1105" w:type="dxa"/>
            <w:tcBorders>
              <w:top w:val="single" w:sz="4" w:space="0" w:color="auto"/>
              <w:left w:val="nil"/>
              <w:bottom w:val="single" w:sz="2" w:space="0" w:color="auto"/>
              <w:right w:val="nil"/>
            </w:tcBorders>
            <w:shd w:val="clear" w:color="auto" w:fill="auto"/>
            <w:vAlign w:val="center"/>
            <w:hideMark/>
          </w:tcPr>
          <w:p w14:paraId="1FCD8B1E" w14:textId="77777777" w:rsidR="008B773A" w:rsidRPr="003A115E" w:rsidRDefault="008B773A" w:rsidP="005272BD">
            <w:pPr>
              <w:pStyle w:val="cuatexto"/>
              <w:jc w:val="right"/>
            </w:pPr>
            <w:r>
              <w:t>172</w:t>
            </w:r>
          </w:p>
        </w:tc>
        <w:tc>
          <w:tcPr>
            <w:tcW w:w="1105" w:type="dxa"/>
            <w:tcBorders>
              <w:top w:val="single" w:sz="4" w:space="0" w:color="auto"/>
              <w:left w:val="nil"/>
              <w:bottom w:val="single" w:sz="2" w:space="0" w:color="auto"/>
              <w:right w:val="nil"/>
            </w:tcBorders>
            <w:shd w:val="clear" w:color="auto" w:fill="auto"/>
            <w:vAlign w:val="center"/>
            <w:hideMark/>
          </w:tcPr>
          <w:p w14:paraId="2B5EC8AE" w14:textId="77777777" w:rsidR="008B773A" w:rsidRPr="003A115E" w:rsidRDefault="008B773A" w:rsidP="005272BD">
            <w:pPr>
              <w:pStyle w:val="cuatexto"/>
              <w:jc w:val="right"/>
            </w:pPr>
            <w:r>
              <w:t>59</w:t>
            </w:r>
          </w:p>
        </w:tc>
        <w:tc>
          <w:tcPr>
            <w:tcW w:w="1106" w:type="dxa"/>
            <w:tcBorders>
              <w:top w:val="single" w:sz="4" w:space="0" w:color="auto"/>
              <w:left w:val="nil"/>
              <w:bottom w:val="single" w:sz="2" w:space="0" w:color="auto"/>
              <w:right w:val="nil"/>
            </w:tcBorders>
            <w:shd w:val="clear" w:color="auto" w:fill="auto"/>
            <w:vAlign w:val="center"/>
            <w:hideMark/>
          </w:tcPr>
          <w:p w14:paraId="6E457953" w14:textId="77777777" w:rsidR="008B773A" w:rsidRPr="003A115E" w:rsidRDefault="008B773A" w:rsidP="005272BD">
            <w:pPr>
              <w:pStyle w:val="cuatexto"/>
              <w:jc w:val="right"/>
            </w:pPr>
            <w:r>
              <w:t>9</w:t>
            </w:r>
          </w:p>
        </w:tc>
        <w:tc>
          <w:tcPr>
            <w:tcW w:w="1105" w:type="dxa"/>
            <w:tcBorders>
              <w:top w:val="single" w:sz="4" w:space="0" w:color="auto"/>
              <w:left w:val="nil"/>
              <w:bottom w:val="single" w:sz="2" w:space="0" w:color="auto"/>
              <w:right w:val="nil"/>
            </w:tcBorders>
            <w:shd w:val="clear" w:color="auto" w:fill="auto"/>
            <w:vAlign w:val="center"/>
            <w:hideMark/>
          </w:tcPr>
          <w:p w14:paraId="7A4C553E" w14:textId="77777777" w:rsidR="008B773A" w:rsidRPr="003A115E" w:rsidRDefault="008B773A" w:rsidP="005272BD">
            <w:pPr>
              <w:pStyle w:val="cuatexto"/>
              <w:jc w:val="right"/>
            </w:pPr>
            <w:r>
              <w:t>11</w:t>
            </w:r>
          </w:p>
        </w:tc>
        <w:tc>
          <w:tcPr>
            <w:tcW w:w="1106" w:type="dxa"/>
            <w:tcBorders>
              <w:top w:val="single" w:sz="4" w:space="0" w:color="auto"/>
              <w:left w:val="nil"/>
              <w:bottom w:val="single" w:sz="2" w:space="0" w:color="auto"/>
              <w:right w:val="nil"/>
            </w:tcBorders>
            <w:shd w:val="clear" w:color="auto" w:fill="auto"/>
            <w:vAlign w:val="center"/>
            <w:hideMark/>
          </w:tcPr>
          <w:p w14:paraId="5D6F2189" w14:textId="77777777" w:rsidR="008B773A" w:rsidRPr="003A115E" w:rsidRDefault="008B773A" w:rsidP="005272BD">
            <w:pPr>
              <w:pStyle w:val="cuatexto"/>
              <w:jc w:val="right"/>
            </w:pPr>
            <w:r>
              <w:t>1</w:t>
            </w:r>
          </w:p>
        </w:tc>
      </w:tr>
      <w:tr w:rsidR="000A742F" w:rsidRPr="003A115E" w14:paraId="1B26F46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71C6D2A7" w14:textId="77777777" w:rsidR="008B773A" w:rsidRPr="003A115E" w:rsidRDefault="008B773A" w:rsidP="005272BD">
            <w:pPr>
              <w:pStyle w:val="cuatexto"/>
            </w:pPr>
            <w:r>
              <w:t>Biztanleria osoa</w:t>
            </w:r>
          </w:p>
        </w:tc>
        <w:tc>
          <w:tcPr>
            <w:tcW w:w="1105" w:type="dxa"/>
            <w:tcBorders>
              <w:top w:val="single" w:sz="2" w:space="0" w:color="auto"/>
              <w:left w:val="nil"/>
              <w:bottom w:val="single" w:sz="2" w:space="0" w:color="auto"/>
              <w:right w:val="nil"/>
            </w:tcBorders>
            <w:shd w:val="clear" w:color="auto" w:fill="auto"/>
            <w:vAlign w:val="center"/>
            <w:hideMark/>
          </w:tcPr>
          <w:p w14:paraId="738C348B" w14:textId="77777777" w:rsidR="008B773A" w:rsidRPr="003A115E" w:rsidRDefault="008B773A" w:rsidP="005272BD">
            <w:pPr>
              <w:pStyle w:val="cuatexto"/>
              <w:jc w:val="right"/>
            </w:pPr>
            <w:r>
              <w:t>51.667</w:t>
            </w:r>
          </w:p>
        </w:tc>
        <w:tc>
          <w:tcPr>
            <w:tcW w:w="1105" w:type="dxa"/>
            <w:tcBorders>
              <w:top w:val="single" w:sz="2" w:space="0" w:color="auto"/>
              <w:left w:val="nil"/>
              <w:bottom w:val="single" w:sz="2" w:space="0" w:color="auto"/>
              <w:right w:val="nil"/>
            </w:tcBorders>
            <w:shd w:val="clear" w:color="auto" w:fill="auto"/>
            <w:vAlign w:val="center"/>
            <w:hideMark/>
          </w:tcPr>
          <w:p w14:paraId="64C8BDA4" w14:textId="77777777" w:rsidR="008B773A" w:rsidRPr="003A115E" w:rsidRDefault="008B773A" w:rsidP="005272BD">
            <w:pPr>
              <w:pStyle w:val="cuatexto"/>
              <w:jc w:val="right"/>
            </w:pPr>
            <w:r>
              <w:t>146.889</w:t>
            </w:r>
          </w:p>
        </w:tc>
        <w:tc>
          <w:tcPr>
            <w:tcW w:w="1106" w:type="dxa"/>
            <w:tcBorders>
              <w:top w:val="single" w:sz="2" w:space="0" w:color="auto"/>
              <w:left w:val="nil"/>
              <w:bottom w:val="single" w:sz="2" w:space="0" w:color="auto"/>
              <w:right w:val="nil"/>
            </w:tcBorders>
            <w:shd w:val="clear" w:color="auto" w:fill="auto"/>
            <w:vAlign w:val="center"/>
            <w:hideMark/>
          </w:tcPr>
          <w:p w14:paraId="0420343E" w14:textId="77777777" w:rsidR="008B773A" w:rsidRPr="003A115E" w:rsidRDefault="008B773A" w:rsidP="005272BD">
            <w:pPr>
              <w:pStyle w:val="cuatexto"/>
              <w:jc w:val="right"/>
            </w:pPr>
            <w:r>
              <w:t>67.240</w:t>
            </w:r>
          </w:p>
        </w:tc>
        <w:tc>
          <w:tcPr>
            <w:tcW w:w="1105" w:type="dxa"/>
            <w:tcBorders>
              <w:top w:val="single" w:sz="2" w:space="0" w:color="auto"/>
              <w:left w:val="nil"/>
              <w:bottom w:val="single" w:sz="2" w:space="0" w:color="auto"/>
              <w:right w:val="nil"/>
            </w:tcBorders>
            <w:shd w:val="clear" w:color="auto" w:fill="auto"/>
            <w:vAlign w:val="center"/>
            <w:hideMark/>
          </w:tcPr>
          <w:p w14:paraId="6280E512" w14:textId="77777777" w:rsidR="008B773A" w:rsidRPr="003A115E" w:rsidRDefault="008B773A" w:rsidP="005272BD">
            <w:pPr>
              <w:pStyle w:val="cuatexto"/>
              <w:jc w:val="right"/>
            </w:pPr>
            <w:r>
              <w:t>182.558</w:t>
            </w:r>
          </w:p>
        </w:tc>
        <w:tc>
          <w:tcPr>
            <w:tcW w:w="1106" w:type="dxa"/>
            <w:tcBorders>
              <w:top w:val="single" w:sz="2" w:space="0" w:color="auto"/>
              <w:left w:val="nil"/>
              <w:bottom w:val="single" w:sz="2" w:space="0" w:color="auto"/>
              <w:right w:val="nil"/>
            </w:tcBorders>
            <w:shd w:val="clear" w:color="auto" w:fill="auto"/>
            <w:vAlign w:val="center"/>
            <w:hideMark/>
          </w:tcPr>
          <w:p w14:paraId="05E0C660" w14:textId="77777777" w:rsidR="008B773A" w:rsidRPr="003A115E" w:rsidRDefault="008B773A" w:rsidP="005272BD">
            <w:pPr>
              <w:pStyle w:val="cuatexto"/>
              <w:jc w:val="right"/>
            </w:pPr>
            <w:r>
              <w:t>203.418</w:t>
            </w:r>
          </w:p>
        </w:tc>
      </w:tr>
      <w:tr w:rsidR="000A742F" w:rsidRPr="003A115E" w14:paraId="41706E2B"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407A7DEA" w14:textId="77777777" w:rsidR="008B773A" w:rsidRPr="003A115E" w:rsidRDefault="008B773A" w:rsidP="005272BD">
            <w:pPr>
              <w:pStyle w:val="cuatexto"/>
            </w:pPr>
            <w:r>
              <w:t>Diru-sarrerak guztira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363D4ED4" w14:textId="77777777" w:rsidR="008B773A" w:rsidRPr="003A115E" w:rsidRDefault="008B773A" w:rsidP="005272BD">
            <w:pPr>
              <w:pStyle w:val="cuatexto"/>
              <w:jc w:val="right"/>
            </w:pPr>
            <w:r>
              <w:t>1.745</w:t>
            </w:r>
          </w:p>
        </w:tc>
        <w:tc>
          <w:tcPr>
            <w:tcW w:w="1105" w:type="dxa"/>
            <w:tcBorders>
              <w:top w:val="single" w:sz="2" w:space="0" w:color="auto"/>
              <w:left w:val="nil"/>
              <w:bottom w:val="single" w:sz="2" w:space="0" w:color="auto"/>
              <w:right w:val="nil"/>
            </w:tcBorders>
            <w:shd w:val="clear" w:color="auto" w:fill="auto"/>
            <w:noWrap/>
            <w:vAlign w:val="center"/>
            <w:hideMark/>
          </w:tcPr>
          <w:p w14:paraId="6905E62B" w14:textId="77777777" w:rsidR="008B773A" w:rsidRPr="003A115E" w:rsidRDefault="008B773A" w:rsidP="005272BD">
            <w:pPr>
              <w:pStyle w:val="cuatexto"/>
              <w:jc w:val="right"/>
            </w:pPr>
            <w:r>
              <w:t>1.448</w:t>
            </w:r>
          </w:p>
        </w:tc>
        <w:tc>
          <w:tcPr>
            <w:tcW w:w="1106" w:type="dxa"/>
            <w:tcBorders>
              <w:top w:val="single" w:sz="2" w:space="0" w:color="auto"/>
              <w:left w:val="nil"/>
              <w:bottom w:val="single" w:sz="2" w:space="0" w:color="auto"/>
              <w:right w:val="nil"/>
            </w:tcBorders>
            <w:shd w:val="clear" w:color="auto" w:fill="auto"/>
            <w:noWrap/>
            <w:vAlign w:val="center"/>
            <w:hideMark/>
          </w:tcPr>
          <w:p w14:paraId="225BE095" w14:textId="77777777" w:rsidR="008B773A" w:rsidRPr="003A115E" w:rsidRDefault="008B773A" w:rsidP="005272BD">
            <w:pPr>
              <w:pStyle w:val="cuatexto"/>
              <w:jc w:val="right"/>
            </w:pPr>
            <w:r>
              <w:t>1.232</w:t>
            </w:r>
          </w:p>
        </w:tc>
        <w:tc>
          <w:tcPr>
            <w:tcW w:w="1105" w:type="dxa"/>
            <w:tcBorders>
              <w:top w:val="single" w:sz="2" w:space="0" w:color="auto"/>
              <w:left w:val="nil"/>
              <w:bottom w:val="single" w:sz="2" w:space="0" w:color="auto"/>
              <w:right w:val="nil"/>
            </w:tcBorders>
            <w:shd w:val="clear" w:color="auto" w:fill="auto"/>
            <w:noWrap/>
            <w:vAlign w:val="center"/>
            <w:hideMark/>
          </w:tcPr>
          <w:p w14:paraId="39C36941" w14:textId="77777777" w:rsidR="008B773A" w:rsidRPr="003A115E" w:rsidRDefault="008B773A" w:rsidP="005272BD">
            <w:pPr>
              <w:pStyle w:val="cuatexto"/>
              <w:jc w:val="right"/>
            </w:pPr>
            <w:r>
              <w:t>1.117</w:t>
            </w:r>
          </w:p>
        </w:tc>
        <w:tc>
          <w:tcPr>
            <w:tcW w:w="1106" w:type="dxa"/>
            <w:tcBorders>
              <w:top w:val="single" w:sz="2" w:space="0" w:color="auto"/>
              <w:left w:val="nil"/>
              <w:bottom w:val="single" w:sz="2" w:space="0" w:color="auto"/>
              <w:right w:val="nil"/>
            </w:tcBorders>
            <w:shd w:val="clear" w:color="auto" w:fill="auto"/>
            <w:noWrap/>
            <w:vAlign w:val="center"/>
            <w:hideMark/>
          </w:tcPr>
          <w:p w14:paraId="18A9B423" w14:textId="77777777" w:rsidR="008B773A" w:rsidRPr="003A115E" w:rsidRDefault="008B773A" w:rsidP="005272BD">
            <w:pPr>
              <w:pStyle w:val="cuatexto"/>
              <w:jc w:val="right"/>
            </w:pPr>
            <w:r>
              <w:t>1.329</w:t>
            </w:r>
          </w:p>
        </w:tc>
      </w:tr>
      <w:tr w:rsidR="000A742F" w:rsidRPr="003A115E" w14:paraId="27DE45A3" w14:textId="77777777" w:rsidTr="00327F3B">
        <w:trPr>
          <w:trHeight w:val="198"/>
        </w:trPr>
        <w:tc>
          <w:tcPr>
            <w:tcW w:w="3261" w:type="dxa"/>
            <w:tcBorders>
              <w:top w:val="single" w:sz="2" w:space="0" w:color="auto"/>
              <w:left w:val="nil"/>
              <w:bottom w:val="single" w:sz="2" w:space="0" w:color="auto"/>
              <w:right w:val="nil"/>
            </w:tcBorders>
            <w:shd w:val="clear" w:color="auto" w:fill="auto"/>
            <w:vAlign w:val="center"/>
            <w:hideMark/>
          </w:tcPr>
          <w:p w14:paraId="113F3E17" w14:textId="77777777" w:rsidR="008B773A" w:rsidRPr="003A115E" w:rsidRDefault="008B773A" w:rsidP="005272BD">
            <w:pPr>
              <w:pStyle w:val="cuatexto"/>
            </w:pPr>
            <w:r>
              <w:t>Diru-sarrera arruntak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423DC35C" w14:textId="77777777" w:rsidR="008B773A" w:rsidRPr="003A115E" w:rsidRDefault="008B773A" w:rsidP="005272BD">
            <w:pPr>
              <w:pStyle w:val="cuatexto"/>
              <w:jc w:val="right"/>
            </w:pPr>
            <w:r>
              <w:t>1.441</w:t>
            </w:r>
          </w:p>
        </w:tc>
        <w:tc>
          <w:tcPr>
            <w:tcW w:w="1105" w:type="dxa"/>
            <w:tcBorders>
              <w:top w:val="single" w:sz="2" w:space="0" w:color="auto"/>
              <w:left w:val="nil"/>
              <w:bottom w:val="single" w:sz="2" w:space="0" w:color="auto"/>
              <w:right w:val="nil"/>
            </w:tcBorders>
            <w:shd w:val="clear" w:color="auto" w:fill="auto"/>
            <w:noWrap/>
            <w:vAlign w:val="center"/>
            <w:hideMark/>
          </w:tcPr>
          <w:p w14:paraId="567C7371" w14:textId="77777777" w:rsidR="008B773A" w:rsidRPr="003A115E" w:rsidRDefault="008B773A" w:rsidP="005272BD">
            <w:pPr>
              <w:pStyle w:val="cuatexto"/>
              <w:jc w:val="right"/>
            </w:pPr>
            <w:r>
              <w:t>1.257</w:t>
            </w:r>
          </w:p>
        </w:tc>
        <w:tc>
          <w:tcPr>
            <w:tcW w:w="1106" w:type="dxa"/>
            <w:tcBorders>
              <w:top w:val="single" w:sz="2" w:space="0" w:color="auto"/>
              <w:left w:val="nil"/>
              <w:bottom w:val="single" w:sz="2" w:space="0" w:color="auto"/>
              <w:right w:val="nil"/>
            </w:tcBorders>
            <w:shd w:val="clear" w:color="auto" w:fill="auto"/>
            <w:noWrap/>
            <w:vAlign w:val="center"/>
            <w:hideMark/>
          </w:tcPr>
          <w:p w14:paraId="7F6599C7" w14:textId="77777777" w:rsidR="008B773A" w:rsidRPr="003A115E" w:rsidRDefault="008B773A" w:rsidP="005272BD">
            <w:pPr>
              <w:pStyle w:val="cuatexto"/>
              <w:jc w:val="right"/>
            </w:pPr>
            <w:r>
              <w:t>1.132</w:t>
            </w:r>
          </w:p>
        </w:tc>
        <w:tc>
          <w:tcPr>
            <w:tcW w:w="1105" w:type="dxa"/>
            <w:tcBorders>
              <w:top w:val="single" w:sz="2" w:space="0" w:color="auto"/>
              <w:left w:val="nil"/>
              <w:bottom w:val="single" w:sz="2" w:space="0" w:color="auto"/>
              <w:right w:val="nil"/>
            </w:tcBorders>
            <w:shd w:val="clear" w:color="auto" w:fill="auto"/>
            <w:noWrap/>
            <w:vAlign w:val="center"/>
            <w:hideMark/>
          </w:tcPr>
          <w:p w14:paraId="77C95E6D" w14:textId="77777777" w:rsidR="008B773A" w:rsidRPr="003A115E" w:rsidRDefault="008B773A" w:rsidP="005272BD">
            <w:pPr>
              <w:pStyle w:val="cuatexto"/>
              <w:jc w:val="right"/>
            </w:pPr>
            <w:r>
              <w:t>992</w:t>
            </w:r>
          </w:p>
        </w:tc>
        <w:tc>
          <w:tcPr>
            <w:tcW w:w="1106" w:type="dxa"/>
            <w:tcBorders>
              <w:top w:val="single" w:sz="2" w:space="0" w:color="auto"/>
              <w:left w:val="nil"/>
              <w:bottom w:val="single" w:sz="2" w:space="0" w:color="auto"/>
              <w:right w:val="nil"/>
            </w:tcBorders>
            <w:shd w:val="clear" w:color="auto" w:fill="auto"/>
            <w:noWrap/>
            <w:vAlign w:val="center"/>
            <w:hideMark/>
          </w:tcPr>
          <w:p w14:paraId="0338749C" w14:textId="77777777" w:rsidR="008B773A" w:rsidRPr="003A115E" w:rsidRDefault="008B773A" w:rsidP="005272BD">
            <w:pPr>
              <w:pStyle w:val="cuatexto"/>
              <w:jc w:val="right"/>
            </w:pPr>
            <w:r>
              <w:t>1.129</w:t>
            </w:r>
          </w:p>
        </w:tc>
      </w:tr>
      <w:tr w:rsidR="000A742F" w:rsidRPr="003A115E" w14:paraId="752654F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15224434" w14:textId="77777777" w:rsidR="008B773A" w:rsidRPr="003A115E" w:rsidRDefault="008B773A" w:rsidP="005272BD">
            <w:pPr>
              <w:pStyle w:val="cuatexto"/>
            </w:pPr>
            <w:r>
              <w:t>Biztanle bakoitzeko kapital diru-sarrerak</w:t>
            </w:r>
          </w:p>
        </w:tc>
        <w:tc>
          <w:tcPr>
            <w:tcW w:w="1105" w:type="dxa"/>
            <w:tcBorders>
              <w:top w:val="single" w:sz="2" w:space="0" w:color="auto"/>
              <w:left w:val="nil"/>
              <w:bottom w:val="single" w:sz="2" w:space="0" w:color="auto"/>
              <w:right w:val="nil"/>
            </w:tcBorders>
            <w:shd w:val="clear" w:color="auto" w:fill="auto"/>
            <w:noWrap/>
            <w:vAlign w:val="center"/>
            <w:hideMark/>
          </w:tcPr>
          <w:p w14:paraId="5E9F3C08" w14:textId="77777777" w:rsidR="008B773A" w:rsidRPr="003A115E" w:rsidRDefault="008B773A" w:rsidP="005272BD">
            <w:pPr>
              <w:pStyle w:val="cuatexto"/>
              <w:jc w:val="right"/>
            </w:pPr>
            <w:r>
              <w:t>305</w:t>
            </w:r>
          </w:p>
        </w:tc>
        <w:tc>
          <w:tcPr>
            <w:tcW w:w="1105" w:type="dxa"/>
            <w:tcBorders>
              <w:top w:val="single" w:sz="2" w:space="0" w:color="auto"/>
              <w:left w:val="nil"/>
              <w:bottom w:val="single" w:sz="2" w:space="0" w:color="auto"/>
              <w:right w:val="nil"/>
            </w:tcBorders>
            <w:shd w:val="clear" w:color="auto" w:fill="auto"/>
            <w:noWrap/>
            <w:vAlign w:val="center"/>
            <w:hideMark/>
          </w:tcPr>
          <w:p w14:paraId="1DCEE124" w14:textId="77777777" w:rsidR="008B773A" w:rsidRPr="003A115E" w:rsidRDefault="008B773A" w:rsidP="005272BD">
            <w:pPr>
              <w:pStyle w:val="cuatexto"/>
              <w:jc w:val="right"/>
            </w:pPr>
            <w:r>
              <w:t>191</w:t>
            </w:r>
          </w:p>
        </w:tc>
        <w:tc>
          <w:tcPr>
            <w:tcW w:w="1106" w:type="dxa"/>
            <w:tcBorders>
              <w:top w:val="single" w:sz="2" w:space="0" w:color="auto"/>
              <w:left w:val="nil"/>
              <w:bottom w:val="single" w:sz="2" w:space="0" w:color="auto"/>
              <w:right w:val="nil"/>
            </w:tcBorders>
            <w:shd w:val="clear" w:color="auto" w:fill="auto"/>
            <w:noWrap/>
            <w:vAlign w:val="center"/>
            <w:hideMark/>
          </w:tcPr>
          <w:p w14:paraId="249FDA93" w14:textId="77777777" w:rsidR="008B773A" w:rsidRPr="003A115E" w:rsidRDefault="008B773A" w:rsidP="005272BD">
            <w:pPr>
              <w:pStyle w:val="cuatexto"/>
              <w:jc w:val="right"/>
            </w:pPr>
            <w:r>
              <w:t>99</w:t>
            </w:r>
          </w:p>
        </w:tc>
        <w:tc>
          <w:tcPr>
            <w:tcW w:w="1105" w:type="dxa"/>
            <w:tcBorders>
              <w:top w:val="single" w:sz="2" w:space="0" w:color="auto"/>
              <w:left w:val="nil"/>
              <w:bottom w:val="single" w:sz="2" w:space="0" w:color="auto"/>
              <w:right w:val="nil"/>
            </w:tcBorders>
            <w:shd w:val="clear" w:color="auto" w:fill="auto"/>
            <w:noWrap/>
            <w:vAlign w:val="center"/>
            <w:hideMark/>
          </w:tcPr>
          <w:p w14:paraId="23911198" w14:textId="77777777" w:rsidR="008B773A" w:rsidRPr="003A115E" w:rsidRDefault="008B773A" w:rsidP="005272BD">
            <w:pPr>
              <w:pStyle w:val="cuatexto"/>
              <w:jc w:val="right"/>
            </w:pPr>
            <w:r>
              <w:t>125</w:t>
            </w:r>
          </w:p>
        </w:tc>
        <w:tc>
          <w:tcPr>
            <w:tcW w:w="1106" w:type="dxa"/>
            <w:tcBorders>
              <w:top w:val="single" w:sz="2" w:space="0" w:color="auto"/>
              <w:left w:val="nil"/>
              <w:bottom w:val="single" w:sz="2" w:space="0" w:color="auto"/>
              <w:right w:val="nil"/>
            </w:tcBorders>
            <w:shd w:val="clear" w:color="auto" w:fill="auto"/>
            <w:noWrap/>
            <w:vAlign w:val="center"/>
            <w:hideMark/>
          </w:tcPr>
          <w:p w14:paraId="0F5CC60B" w14:textId="77777777" w:rsidR="008B773A" w:rsidRPr="003A115E" w:rsidRDefault="008B773A" w:rsidP="005272BD">
            <w:pPr>
              <w:pStyle w:val="cuatexto"/>
              <w:jc w:val="right"/>
            </w:pPr>
            <w:r>
              <w:t>200</w:t>
            </w:r>
          </w:p>
        </w:tc>
      </w:tr>
      <w:tr w:rsidR="000A742F" w:rsidRPr="003A115E" w14:paraId="29BAE732" w14:textId="77777777" w:rsidTr="00327F3B">
        <w:trPr>
          <w:trHeight w:val="198"/>
        </w:trPr>
        <w:tc>
          <w:tcPr>
            <w:tcW w:w="3261" w:type="dxa"/>
            <w:tcBorders>
              <w:top w:val="single" w:sz="2" w:space="0" w:color="auto"/>
              <w:left w:val="nil"/>
              <w:bottom w:val="single" w:sz="2" w:space="0" w:color="auto"/>
              <w:right w:val="nil"/>
            </w:tcBorders>
            <w:shd w:val="clear" w:color="auto" w:fill="auto"/>
            <w:vAlign w:val="center"/>
            <w:hideMark/>
          </w:tcPr>
          <w:p w14:paraId="5A962759" w14:textId="77777777" w:rsidR="008B773A" w:rsidRPr="003A115E" w:rsidRDefault="008B773A" w:rsidP="005272BD">
            <w:pPr>
              <w:pStyle w:val="cuatexto"/>
            </w:pPr>
            <w:r>
              <w:t>Funtzionamendu-gastuak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4D707459" w14:textId="77777777" w:rsidR="008B773A" w:rsidRPr="003A115E" w:rsidRDefault="008B773A" w:rsidP="005272BD">
            <w:pPr>
              <w:pStyle w:val="cuatexto"/>
              <w:jc w:val="right"/>
            </w:pPr>
            <w:r>
              <w:t>1.100</w:t>
            </w:r>
          </w:p>
        </w:tc>
        <w:tc>
          <w:tcPr>
            <w:tcW w:w="1105" w:type="dxa"/>
            <w:tcBorders>
              <w:top w:val="single" w:sz="2" w:space="0" w:color="auto"/>
              <w:left w:val="nil"/>
              <w:bottom w:val="single" w:sz="2" w:space="0" w:color="auto"/>
              <w:right w:val="nil"/>
            </w:tcBorders>
            <w:shd w:val="clear" w:color="auto" w:fill="auto"/>
            <w:noWrap/>
            <w:vAlign w:val="center"/>
            <w:hideMark/>
          </w:tcPr>
          <w:p w14:paraId="6E2C4D33" w14:textId="77777777" w:rsidR="008B773A" w:rsidRPr="003A115E" w:rsidRDefault="008B773A" w:rsidP="005272BD">
            <w:pPr>
              <w:pStyle w:val="cuatexto"/>
              <w:jc w:val="right"/>
            </w:pPr>
            <w:r>
              <w:t>1.049</w:t>
            </w:r>
          </w:p>
        </w:tc>
        <w:tc>
          <w:tcPr>
            <w:tcW w:w="1106" w:type="dxa"/>
            <w:tcBorders>
              <w:top w:val="single" w:sz="2" w:space="0" w:color="auto"/>
              <w:left w:val="nil"/>
              <w:bottom w:val="single" w:sz="2" w:space="0" w:color="auto"/>
              <w:right w:val="nil"/>
            </w:tcBorders>
            <w:shd w:val="clear" w:color="auto" w:fill="auto"/>
            <w:noWrap/>
            <w:vAlign w:val="center"/>
            <w:hideMark/>
          </w:tcPr>
          <w:p w14:paraId="349A99AF" w14:textId="77777777" w:rsidR="008B773A" w:rsidRPr="003A115E" w:rsidRDefault="008B773A" w:rsidP="005272BD">
            <w:pPr>
              <w:pStyle w:val="cuatexto"/>
              <w:jc w:val="right"/>
            </w:pPr>
            <w:r>
              <w:t>978</w:t>
            </w:r>
          </w:p>
        </w:tc>
        <w:tc>
          <w:tcPr>
            <w:tcW w:w="1105" w:type="dxa"/>
            <w:tcBorders>
              <w:top w:val="single" w:sz="2" w:space="0" w:color="auto"/>
              <w:left w:val="nil"/>
              <w:bottom w:val="single" w:sz="2" w:space="0" w:color="auto"/>
              <w:right w:val="nil"/>
            </w:tcBorders>
            <w:shd w:val="clear" w:color="auto" w:fill="auto"/>
            <w:noWrap/>
            <w:vAlign w:val="center"/>
            <w:hideMark/>
          </w:tcPr>
          <w:p w14:paraId="2A06A7AA" w14:textId="77777777" w:rsidR="008B773A" w:rsidRPr="003A115E" w:rsidRDefault="008B773A" w:rsidP="005272BD">
            <w:pPr>
              <w:pStyle w:val="cuatexto"/>
              <w:jc w:val="right"/>
            </w:pPr>
            <w:r>
              <w:t>887</w:t>
            </w:r>
          </w:p>
        </w:tc>
        <w:tc>
          <w:tcPr>
            <w:tcW w:w="1106" w:type="dxa"/>
            <w:tcBorders>
              <w:top w:val="single" w:sz="2" w:space="0" w:color="auto"/>
              <w:left w:val="nil"/>
              <w:bottom w:val="single" w:sz="2" w:space="0" w:color="auto"/>
              <w:right w:val="nil"/>
            </w:tcBorders>
            <w:shd w:val="clear" w:color="auto" w:fill="auto"/>
            <w:noWrap/>
            <w:vAlign w:val="center"/>
            <w:hideMark/>
          </w:tcPr>
          <w:p w14:paraId="5C5AFD79" w14:textId="77777777" w:rsidR="008B773A" w:rsidRPr="003A115E" w:rsidRDefault="008B773A" w:rsidP="005272BD">
            <w:pPr>
              <w:pStyle w:val="cuatexto"/>
              <w:jc w:val="right"/>
            </w:pPr>
            <w:r>
              <w:t>1.023</w:t>
            </w:r>
          </w:p>
        </w:tc>
      </w:tr>
      <w:tr w:rsidR="000A742F" w:rsidRPr="003A115E" w14:paraId="5B59B1ED"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024433A6" w14:textId="77777777" w:rsidR="008B773A" w:rsidRPr="003A115E" w:rsidRDefault="008B773A" w:rsidP="005272BD">
            <w:pPr>
              <w:pStyle w:val="cuatexto"/>
            </w:pPr>
            <w:r>
              <w:t>Kapital-gastuak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0D7E098D" w14:textId="77777777" w:rsidR="008B773A" w:rsidRPr="003A115E" w:rsidRDefault="008B773A" w:rsidP="005272BD">
            <w:pPr>
              <w:pStyle w:val="cuatexto"/>
              <w:jc w:val="right"/>
            </w:pPr>
            <w:r>
              <w:t>448</w:t>
            </w:r>
          </w:p>
        </w:tc>
        <w:tc>
          <w:tcPr>
            <w:tcW w:w="1105" w:type="dxa"/>
            <w:tcBorders>
              <w:top w:val="single" w:sz="2" w:space="0" w:color="auto"/>
              <w:left w:val="nil"/>
              <w:bottom w:val="single" w:sz="2" w:space="0" w:color="auto"/>
              <w:right w:val="nil"/>
            </w:tcBorders>
            <w:shd w:val="clear" w:color="auto" w:fill="auto"/>
            <w:noWrap/>
            <w:vAlign w:val="center"/>
            <w:hideMark/>
          </w:tcPr>
          <w:p w14:paraId="37411A14" w14:textId="77777777" w:rsidR="008B773A" w:rsidRPr="003A115E" w:rsidRDefault="008B773A" w:rsidP="005272BD">
            <w:pPr>
              <w:pStyle w:val="cuatexto"/>
              <w:jc w:val="right"/>
            </w:pPr>
            <w:r>
              <w:t>310</w:t>
            </w:r>
          </w:p>
        </w:tc>
        <w:tc>
          <w:tcPr>
            <w:tcW w:w="1106" w:type="dxa"/>
            <w:tcBorders>
              <w:top w:val="single" w:sz="2" w:space="0" w:color="auto"/>
              <w:left w:val="nil"/>
              <w:bottom w:val="single" w:sz="2" w:space="0" w:color="auto"/>
              <w:right w:val="nil"/>
            </w:tcBorders>
            <w:shd w:val="clear" w:color="auto" w:fill="auto"/>
            <w:noWrap/>
            <w:vAlign w:val="center"/>
            <w:hideMark/>
          </w:tcPr>
          <w:p w14:paraId="5792300E" w14:textId="77777777" w:rsidR="008B773A" w:rsidRPr="003A115E" w:rsidRDefault="008B773A" w:rsidP="005272BD">
            <w:pPr>
              <w:pStyle w:val="cuatexto"/>
              <w:jc w:val="right"/>
            </w:pPr>
            <w:r>
              <w:t>198</w:t>
            </w:r>
          </w:p>
        </w:tc>
        <w:tc>
          <w:tcPr>
            <w:tcW w:w="1105" w:type="dxa"/>
            <w:tcBorders>
              <w:top w:val="single" w:sz="2" w:space="0" w:color="auto"/>
              <w:left w:val="nil"/>
              <w:bottom w:val="single" w:sz="2" w:space="0" w:color="auto"/>
              <w:right w:val="nil"/>
            </w:tcBorders>
            <w:shd w:val="clear" w:color="auto" w:fill="auto"/>
            <w:noWrap/>
            <w:vAlign w:val="center"/>
            <w:hideMark/>
          </w:tcPr>
          <w:p w14:paraId="1E4A6B2B" w14:textId="77777777" w:rsidR="008B773A" w:rsidRPr="003A115E" w:rsidRDefault="008B773A" w:rsidP="005272BD">
            <w:pPr>
              <w:pStyle w:val="cuatexto"/>
              <w:jc w:val="right"/>
            </w:pPr>
            <w:r>
              <w:t>125</w:t>
            </w:r>
          </w:p>
        </w:tc>
        <w:tc>
          <w:tcPr>
            <w:tcW w:w="1106" w:type="dxa"/>
            <w:tcBorders>
              <w:top w:val="single" w:sz="2" w:space="0" w:color="auto"/>
              <w:left w:val="nil"/>
              <w:bottom w:val="single" w:sz="2" w:space="0" w:color="auto"/>
              <w:right w:val="nil"/>
            </w:tcBorders>
            <w:shd w:val="clear" w:color="auto" w:fill="auto"/>
            <w:noWrap/>
            <w:vAlign w:val="center"/>
            <w:hideMark/>
          </w:tcPr>
          <w:p w14:paraId="27FE218C" w14:textId="77777777" w:rsidR="008B773A" w:rsidRPr="003A115E" w:rsidRDefault="008B773A" w:rsidP="005272BD">
            <w:pPr>
              <w:pStyle w:val="cuatexto"/>
              <w:jc w:val="right"/>
            </w:pPr>
            <w:r>
              <w:t>171</w:t>
            </w:r>
          </w:p>
        </w:tc>
      </w:tr>
      <w:tr w:rsidR="000A742F" w:rsidRPr="003A115E" w14:paraId="428E36C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1B0BC889" w14:textId="77777777" w:rsidR="008B773A" w:rsidRPr="003A115E" w:rsidRDefault="008B773A" w:rsidP="005272BD">
            <w:pPr>
              <w:pStyle w:val="cuatexto"/>
            </w:pPr>
            <w:r>
              <w:t>Finantza-zama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2E18F7C7" w14:textId="77777777" w:rsidR="008B773A" w:rsidRPr="003A115E" w:rsidRDefault="008B773A" w:rsidP="005272BD">
            <w:pPr>
              <w:pStyle w:val="cuatexto"/>
              <w:jc w:val="right"/>
            </w:pPr>
            <w:r>
              <w:t>37</w:t>
            </w:r>
          </w:p>
        </w:tc>
        <w:tc>
          <w:tcPr>
            <w:tcW w:w="1105" w:type="dxa"/>
            <w:tcBorders>
              <w:top w:val="single" w:sz="2" w:space="0" w:color="auto"/>
              <w:left w:val="nil"/>
              <w:bottom w:val="single" w:sz="2" w:space="0" w:color="auto"/>
              <w:right w:val="nil"/>
            </w:tcBorders>
            <w:shd w:val="clear" w:color="auto" w:fill="auto"/>
            <w:noWrap/>
            <w:vAlign w:val="center"/>
            <w:hideMark/>
          </w:tcPr>
          <w:p w14:paraId="0EE65620" w14:textId="77777777" w:rsidR="008B773A" w:rsidRPr="003A115E" w:rsidRDefault="008B773A" w:rsidP="005272BD">
            <w:pPr>
              <w:pStyle w:val="cuatexto"/>
              <w:jc w:val="right"/>
            </w:pPr>
            <w:r>
              <w:t>34</w:t>
            </w:r>
          </w:p>
        </w:tc>
        <w:tc>
          <w:tcPr>
            <w:tcW w:w="1106" w:type="dxa"/>
            <w:tcBorders>
              <w:top w:val="single" w:sz="2" w:space="0" w:color="auto"/>
              <w:left w:val="nil"/>
              <w:bottom w:val="single" w:sz="2" w:space="0" w:color="auto"/>
              <w:right w:val="nil"/>
            </w:tcBorders>
            <w:shd w:val="clear" w:color="auto" w:fill="auto"/>
            <w:noWrap/>
            <w:vAlign w:val="center"/>
            <w:hideMark/>
          </w:tcPr>
          <w:p w14:paraId="3582D262" w14:textId="77777777" w:rsidR="008B773A" w:rsidRPr="003A115E" w:rsidRDefault="008B773A" w:rsidP="005272BD">
            <w:pPr>
              <w:pStyle w:val="cuatexto"/>
              <w:jc w:val="right"/>
            </w:pPr>
            <w:r>
              <w:t>27</w:t>
            </w:r>
          </w:p>
        </w:tc>
        <w:tc>
          <w:tcPr>
            <w:tcW w:w="1105" w:type="dxa"/>
            <w:tcBorders>
              <w:top w:val="single" w:sz="2" w:space="0" w:color="auto"/>
              <w:left w:val="nil"/>
              <w:bottom w:val="single" w:sz="2" w:space="0" w:color="auto"/>
              <w:right w:val="nil"/>
            </w:tcBorders>
            <w:shd w:val="clear" w:color="auto" w:fill="auto"/>
            <w:noWrap/>
            <w:vAlign w:val="center"/>
            <w:hideMark/>
          </w:tcPr>
          <w:p w14:paraId="76CDBB63" w14:textId="77777777" w:rsidR="008B773A" w:rsidRPr="003A115E" w:rsidRDefault="008B773A" w:rsidP="005272BD">
            <w:pPr>
              <w:pStyle w:val="cuatexto"/>
              <w:jc w:val="right"/>
            </w:pPr>
            <w:r>
              <w:t>18</w:t>
            </w:r>
          </w:p>
        </w:tc>
        <w:tc>
          <w:tcPr>
            <w:tcW w:w="1106" w:type="dxa"/>
            <w:tcBorders>
              <w:top w:val="single" w:sz="2" w:space="0" w:color="auto"/>
              <w:left w:val="nil"/>
              <w:bottom w:val="single" w:sz="2" w:space="0" w:color="auto"/>
              <w:right w:val="nil"/>
            </w:tcBorders>
            <w:shd w:val="clear" w:color="auto" w:fill="auto"/>
            <w:noWrap/>
            <w:vAlign w:val="center"/>
            <w:hideMark/>
          </w:tcPr>
          <w:p w14:paraId="4D9AB13C" w14:textId="77777777" w:rsidR="008B773A" w:rsidRPr="003A115E" w:rsidRDefault="008B773A" w:rsidP="005272BD">
            <w:pPr>
              <w:pStyle w:val="cuatexto"/>
              <w:jc w:val="right"/>
            </w:pPr>
            <w:r>
              <w:t>40</w:t>
            </w:r>
          </w:p>
        </w:tc>
      </w:tr>
      <w:tr w:rsidR="000A742F" w:rsidRPr="003A115E" w14:paraId="0E38F32C"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64D7F397" w14:textId="77777777" w:rsidR="008B773A" w:rsidRPr="003A115E" w:rsidRDefault="008B773A" w:rsidP="005272BD">
            <w:pPr>
              <w:pStyle w:val="cuatexto"/>
            </w:pPr>
            <w:r>
              <w:t>Aurrezki gordina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4BA8C165" w14:textId="77777777" w:rsidR="008B773A" w:rsidRPr="003A115E" w:rsidRDefault="008B773A" w:rsidP="005272BD">
            <w:pPr>
              <w:pStyle w:val="cuatexto"/>
              <w:jc w:val="right"/>
            </w:pPr>
            <w:r>
              <w:t>341</w:t>
            </w:r>
          </w:p>
        </w:tc>
        <w:tc>
          <w:tcPr>
            <w:tcW w:w="1105" w:type="dxa"/>
            <w:tcBorders>
              <w:top w:val="single" w:sz="2" w:space="0" w:color="auto"/>
              <w:left w:val="nil"/>
              <w:bottom w:val="single" w:sz="2" w:space="0" w:color="auto"/>
              <w:right w:val="nil"/>
            </w:tcBorders>
            <w:shd w:val="clear" w:color="auto" w:fill="auto"/>
            <w:noWrap/>
            <w:vAlign w:val="center"/>
            <w:hideMark/>
          </w:tcPr>
          <w:p w14:paraId="24101BDB" w14:textId="77777777" w:rsidR="008B773A" w:rsidRPr="003A115E" w:rsidRDefault="008B773A" w:rsidP="005272BD">
            <w:pPr>
              <w:pStyle w:val="cuatexto"/>
              <w:jc w:val="right"/>
            </w:pPr>
            <w:r>
              <w:t>208</w:t>
            </w:r>
          </w:p>
        </w:tc>
        <w:tc>
          <w:tcPr>
            <w:tcW w:w="1106" w:type="dxa"/>
            <w:tcBorders>
              <w:top w:val="single" w:sz="2" w:space="0" w:color="auto"/>
              <w:left w:val="nil"/>
              <w:bottom w:val="single" w:sz="2" w:space="0" w:color="auto"/>
              <w:right w:val="nil"/>
            </w:tcBorders>
            <w:shd w:val="clear" w:color="auto" w:fill="auto"/>
            <w:noWrap/>
            <w:vAlign w:val="center"/>
            <w:hideMark/>
          </w:tcPr>
          <w:p w14:paraId="19096412" w14:textId="77777777" w:rsidR="008B773A" w:rsidRPr="003A115E" w:rsidRDefault="008B773A" w:rsidP="005272BD">
            <w:pPr>
              <w:pStyle w:val="cuatexto"/>
              <w:jc w:val="right"/>
            </w:pPr>
            <w:r>
              <w:t>154</w:t>
            </w:r>
          </w:p>
        </w:tc>
        <w:tc>
          <w:tcPr>
            <w:tcW w:w="1105" w:type="dxa"/>
            <w:tcBorders>
              <w:top w:val="single" w:sz="2" w:space="0" w:color="auto"/>
              <w:left w:val="nil"/>
              <w:bottom w:val="single" w:sz="2" w:space="0" w:color="auto"/>
              <w:right w:val="nil"/>
            </w:tcBorders>
            <w:shd w:val="clear" w:color="auto" w:fill="auto"/>
            <w:noWrap/>
            <w:vAlign w:val="center"/>
            <w:hideMark/>
          </w:tcPr>
          <w:p w14:paraId="1850D345" w14:textId="77777777" w:rsidR="008B773A" w:rsidRPr="003A115E" w:rsidRDefault="008B773A" w:rsidP="005272BD">
            <w:pPr>
              <w:pStyle w:val="cuatexto"/>
              <w:jc w:val="right"/>
            </w:pPr>
            <w:r>
              <w:t>105</w:t>
            </w:r>
          </w:p>
        </w:tc>
        <w:tc>
          <w:tcPr>
            <w:tcW w:w="1106" w:type="dxa"/>
            <w:tcBorders>
              <w:top w:val="single" w:sz="2" w:space="0" w:color="auto"/>
              <w:left w:val="nil"/>
              <w:bottom w:val="single" w:sz="2" w:space="0" w:color="auto"/>
              <w:right w:val="nil"/>
            </w:tcBorders>
            <w:shd w:val="clear" w:color="auto" w:fill="auto"/>
            <w:noWrap/>
            <w:vAlign w:val="center"/>
            <w:hideMark/>
          </w:tcPr>
          <w:p w14:paraId="6FC5B18A" w14:textId="77777777" w:rsidR="008B773A" w:rsidRPr="003A115E" w:rsidRDefault="008B773A" w:rsidP="005272BD">
            <w:pPr>
              <w:pStyle w:val="cuatexto"/>
              <w:jc w:val="right"/>
            </w:pPr>
            <w:r>
              <w:t>107</w:t>
            </w:r>
          </w:p>
        </w:tc>
      </w:tr>
      <w:tr w:rsidR="000A742F" w:rsidRPr="003A115E" w14:paraId="0BA93528"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39D59229" w14:textId="77777777" w:rsidR="008B773A" w:rsidRPr="003A115E" w:rsidRDefault="008B773A" w:rsidP="005272BD">
            <w:pPr>
              <w:pStyle w:val="cuatexto"/>
            </w:pPr>
            <w:r>
              <w:t>Aurrezki garbia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51550B0E" w14:textId="77777777" w:rsidR="008B773A" w:rsidRPr="003A115E" w:rsidRDefault="008B773A" w:rsidP="005272BD">
            <w:pPr>
              <w:pStyle w:val="cuatexto"/>
              <w:jc w:val="right"/>
            </w:pPr>
            <w:r>
              <w:t>304</w:t>
            </w:r>
          </w:p>
        </w:tc>
        <w:tc>
          <w:tcPr>
            <w:tcW w:w="1105" w:type="dxa"/>
            <w:tcBorders>
              <w:top w:val="single" w:sz="2" w:space="0" w:color="auto"/>
              <w:left w:val="nil"/>
              <w:bottom w:val="single" w:sz="2" w:space="0" w:color="auto"/>
              <w:right w:val="nil"/>
            </w:tcBorders>
            <w:shd w:val="clear" w:color="auto" w:fill="auto"/>
            <w:noWrap/>
            <w:vAlign w:val="center"/>
            <w:hideMark/>
          </w:tcPr>
          <w:p w14:paraId="469601F6" w14:textId="77777777" w:rsidR="008B773A" w:rsidRPr="003A115E" w:rsidRDefault="008B773A" w:rsidP="005272BD">
            <w:pPr>
              <w:pStyle w:val="cuatexto"/>
              <w:jc w:val="right"/>
            </w:pPr>
            <w:r>
              <w:t>174</w:t>
            </w:r>
          </w:p>
        </w:tc>
        <w:tc>
          <w:tcPr>
            <w:tcW w:w="1106" w:type="dxa"/>
            <w:tcBorders>
              <w:top w:val="single" w:sz="2" w:space="0" w:color="auto"/>
              <w:left w:val="nil"/>
              <w:bottom w:val="single" w:sz="2" w:space="0" w:color="auto"/>
              <w:right w:val="nil"/>
            </w:tcBorders>
            <w:shd w:val="clear" w:color="auto" w:fill="auto"/>
            <w:noWrap/>
            <w:vAlign w:val="center"/>
            <w:hideMark/>
          </w:tcPr>
          <w:p w14:paraId="03D60719" w14:textId="77777777" w:rsidR="008B773A" w:rsidRPr="003A115E" w:rsidRDefault="008B773A" w:rsidP="005272BD">
            <w:pPr>
              <w:pStyle w:val="cuatexto"/>
              <w:jc w:val="right"/>
            </w:pPr>
            <w:r>
              <w:t>127</w:t>
            </w:r>
          </w:p>
        </w:tc>
        <w:tc>
          <w:tcPr>
            <w:tcW w:w="1105" w:type="dxa"/>
            <w:tcBorders>
              <w:top w:val="single" w:sz="2" w:space="0" w:color="auto"/>
              <w:left w:val="nil"/>
              <w:bottom w:val="single" w:sz="2" w:space="0" w:color="auto"/>
              <w:right w:val="nil"/>
            </w:tcBorders>
            <w:shd w:val="clear" w:color="auto" w:fill="auto"/>
            <w:noWrap/>
            <w:vAlign w:val="center"/>
            <w:hideMark/>
          </w:tcPr>
          <w:p w14:paraId="44DAFD8F" w14:textId="77777777" w:rsidR="008B773A" w:rsidRPr="003A115E" w:rsidRDefault="008B773A" w:rsidP="005272BD">
            <w:pPr>
              <w:pStyle w:val="cuatexto"/>
              <w:jc w:val="right"/>
            </w:pPr>
            <w:r>
              <w:t>87</w:t>
            </w:r>
          </w:p>
        </w:tc>
        <w:tc>
          <w:tcPr>
            <w:tcW w:w="1106" w:type="dxa"/>
            <w:tcBorders>
              <w:top w:val="single" w:sz="2" w:space="0" w:color="auto"/>
              <w:left w:val="nil"/>
              <w:bottom w:val="single" w:sz="2" w:space="0" w:color="auto"/>
              <w:right w:val="nil"/>
            </w:tcBorders>
            <w:shd w:val="clear" w:color="auto" w:fill="auto"/>
            <w:noWrap/>
            <w:vAlign w:val="center"/>
            <w:hideMark/>
          </w:tcPr>
          <w:p w14:paraId="203E28A0" w14:textId="77777777" w:rsidR="008B773A" w:rsidRPr="003A115E" w:rsidRDefault="008B773A" w:rsidP="005272BD">
            <w:pPr>
              <w:pStyle w:val="cuatexto"/>
              <w:jc w:val="right"/>
            </w:pPr>
            <w:r>
              <w:t>67</w:t>
            </w:r>
          </w:p>
        </w:tc>
      </w:tr>
      <w:tr w:rsidR="000A742F" w:rsidRPr="003A115E" w14:paraId="419EF9DF"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7568E764" w14:textId="0F333D92" w:rsidR="008B773A" w:rsidRPr="003A115E" w:rsidRDefault="008B773A" w:rsidP="005272BD">
            <w:pPr>
              <w:pStyle w:val="cuatexto"/>
            </w:pPr>
            <w:r>
              <w:t>Finantza-zamaren indizea (3. eta 9. kapituluak zati diru-sarrera arruntak)</w:t>
            </w:r>
          </w:p>
        </w:tc>
        <w:tc>
          <w:tcPr>
            <w:tcW w:w="1105" w:type="dxa"/>
            <w:tcBorders>
              <w:top w:val="single" w:sz="2" w:space="0" w:color="auto"/>
              <w:left w:val="nil"/>
              <w:bottom w:val="single" w:sz="2" w:space="0" w:color="auto"/>
              <w:right w:val="nil"/>
            </w:tcBorders>
            <w:shd w:val="clear" w:color="auto" w:fill="auto"/>
            <w:noWrap/>
            <w:vAlign w:val="center"/>
            <w:hideMark/>
          </w:tcPr>
          <w:p w14:paraId="5481D971" w14:textId="77777777" w:rsidR="008B773A" w:rsidRPr="003A115E" w:rsidRDefault="008B773A" w:rsidP="005272BD">
            <w:pPr>
              <w:pStyle w:val="cuatexto"/>
              <w:jc w:val="right"/>
            </w:pPr>
            <w:r>
              <w:t>3</w:t>
            </w:r>
          </w:p>
        </w:tc>
        <w:tc>
          <w:tcPr>
            <w:tcW w:w="1105" w:type="dxa"/>
            <w:tcBorders>
              <w:top w:val="single" w:sz="2" w:space="0" w:color="auto"/>
              <w:left w:val="nil"/>
              <w:bottom w:val="single" w:sz="2" w:space="0" w:color="auto"/>
              <w:right w:val="nil"/>
            </w:tcBorders>
            <w:shd w:val="clear" w:color="auto" w:fill="auto"/>
            <w:noWrap/>
            <w:vAlign w:val="center"/>
            <w:hideMark/>
          </w:tcPr>
          <w:p w14:paraId="147FB678" w14:textId="77777777" w:rsidR="008B773A" w:rsidRPr="003A115E" w:rsidRDefault="008B773A" w:rsidP="005272BD">
            <w:pPr>
              <w:pStyle w:val="cuatexto"/>
              <w:jc w:val="right"/>
            </w:pPr>
            <w:r>
              <w:t>3</w:t>
            </w:r>
          </w:p>
        </w:tc>
        <w:tc>
          <w:tcPr>
            <w:tcW w:w="1106" w:type="dxa"/>
            <w:tcBorders>
              <w:top w:val="single" w:sz="2" w:space="0" w:color="auto"/>
              <w:left w:val="nil"/>
              <w:bottom w:val="single" w:sz="2" w:space="0" w:color="auto"/>
              <w:right w:val="nil"/>
            </w:tcBorders>
            <w:shd w:val="clear" w:color="auto" w:fill="auto"/>
            <w:noWrap/>
            <w:vAlign w:val="center"/>
            <w:hideMark/>
          </w:tcPr>
          <w:p w14:paraId="0287DB16" w14:textId="77777777" w:rsidR="008B773A" w:rsidRPr="003A115E" w:rsidRDefault="008B773A" w:rsidP="005272BD">
            <w:pPr>
              <w:pStyle w:val="cuatexto"/>
              <w:jc w:val="right"/>
            </w:pPr>
            <w:r>
              <w:t>2</w:t>
            </w:r>
          </w:p>
        </w:tc>
        <w:tc>
          <w:tcPr>
            <w:tcW w:w="1105" w:type="dxa"/>
            <w:tcBorders>
              <w:top w:val="single" w:sz="2" w:space="0" w:color="auto"/>
              <w:left w:val="nil"/>
              <w:bottom w:val="single" w:sz="2" w:space="0" w:color="auto"/>
              <w:right w:val="nil"/>
            </w:tcBorders>
            <w:shd w:val="clear" w:color="auto" w:fill="auto"/>
            <w:noWrap/>
            <w:vAlign w:val="center"/>
            <w:hideMark/>
          </w:tcPr>
          <w:p w14:paraId="30EC8507" w14:textId="77777777" w:rsidR="008B773A" w:rsidRPr="003A115E" w:rsidRDefault="008B773A" w:rsidP="005272BD">
            <w:pPr>
              <w:pStyle w:val="cuatexto"/>
              <w:jc w:val="right"/>
            </w:pPr>
            <w:r>
              <w:t>2</w:t>
            </w:r>
          </w:p>
        </w:tc>
        <w:tc>
          <w:tcPr>
            <w:tcW w:w="1106" w:type="dxa"/>
            <w:tcBorders>
              <w:top w:val="single" w:sz="2" w:space="0" w:color="auto"/>
              <w:left w:val="nil"/>
              <w:bottom w:val="single" w:sz="2" w:space="0" w:color="auto"/>
              <w:right w:val="nil"/>
            </w:tcBorders>
            <w:shd w:val="clear" w:color="auto" w:fill="auto"/>
            <w:noWrap/>
            <w:vAlign w:val="center"/>
            <w:hideMark/>
          </w:tcPr>
          <w:p w14:paraId="7CB8338F" w14:textId="77777777" w:rsidR="008B773A" w:rsidRPr="003A115E" w:rsidRDefault="008B773A" w:rsidP="005272BD">
            <w:pPr>
              <w:pStyle w:val="cuatexto"/>
              <w:jc w:val="right"/>
            </w:pPr>
            <w:r>
              <w:t>4</w:t>
            </w:r>
          </w:p>
        </w:tc>
      </w:tr>
      <w:tr w:rsidR="000A742F" w:rsidRPr="003A115E" w14:paraId="0B266113"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0AE4C2D8" w14:textId="77777777" w:rsidR="008B773A" w:rsidRPr="003A115E" w:rsidRDefault="008B773A" w:rsidP="005272BD">
            <w:pPr>
              <w:pStyle w:val="cuatexto"/>
            </w:pPr>
            <w:r>
              <w:t xml:space="preserve">Aurrez. </w:t>
            </w:r>
            <w:proofErr w:type="spellStart"/>
            <w:r>
              <w:t>gord</w:t>
            </w:r>
            <w:proofErr w:type="spellEnd"/>
            <w:r>
              <w:t>. % diru-</w:t>
            </w:r>
            <w:proofErr w:type="spellStart"/>
            <w:r>
              <w:t>sarr</w:t>
            </w:r>
            <w:proofErr w:type="spellEnd"/>
            <w:r>
              <w:t>. arr. gabe (</w:t>
            </w:r>
            <w:proofErr w:type="spellStart"/>
            <w:r>
              <w:t>d.s</w:t>
            </w:r>
            <w:proofErr w:type="spellEnd"/>
            <w:r>
              <w:t xml:space="preserve">. arr. - </w:t>
            </w:r>
            <w:proofErr w:type="spellStart"/>
            <w:r>
              <w:t>funtz</w:t>
            </w:r>
            <w:proofErr w:type="spellEnd"/>
            <w:r>
              <w:t xml:space="preserve">. </w:t>
            </w:r>
            <w:proofErr w:type="spellStart"/>
            <w:r>
              <w:t>gast</w:t>
            </w:r>
            <w:proofErr w:type="spellEnd"/>
            <w:r>
              <w:t xml:space="preserve">. / </w:t>
            </w:r>
            <w:proofErr w:type="spellStart"/>
            <w:r>
              <w:t>d.s</w:t>
            </w:r>
            <w:proofErr w:type="spellEnd"/>
            <w:r>
              <w:t>. arr.)</w:t>
            </w:r>
          </w:p>
        </w:tc>
        <w:tc>
          <w:tcPr>
            <w:tcW w:w="1105" w:type="dxa"/>
            <w:tcBorders>
              <w:top w:val="single" w:sz="2" w:space="0" w:color="auto"/>
              <w:left w:val="nil"/>
              <w:bottom w:val="single" w:sz="2" w:space="0" w:color="auto"/>
              <w:right w:val="nil"/>
            </w:tcBorders>
            <w:shd w:val="clear" w:color="auto" w:fill="auto"/>
            <w:noWrap/>
            <w:vAlign w:val="center"/>
            <w:hideMark/>
          </w:tcPr>
          <w:p w14:paraId="0513A25A" w14:textId="77777777" w:rsidR="008B773A" w:rsidRPr="003A115E" w:rsidRDefault="008B773A" w:rsidP="005272BD">
            <w:pPr>
              <w:pStyle w:val="cuatexto"/>
              <w:jc w:val="right"/>
            </w:pPr>
            <w:r>
              <w:t>24</w:t>
            </w:r>
          </w:p>
        </w:tc>
        <w:tc>
          <w:tcPr>
            <w:tcW w:w="1105" w:type="dxa"/>
            <w:tcBorders>
              <w:top w:val="single" w:sz="2" w:space="0" w:color="auto"/>
              <w:left w:val="nil"/>
              <w:bottom w:val="single" w:sz="2" w:space="0" w:color="auto"/>
              <w:right w:val="nil"/>
            </w:tcBorders>
            <w:shd w:val="clear" w:color="auto" w:fill="auto"/>
            <w:noWrap/>
            <w:vAlign w:val="center"/>
            <w:hideMark/>
          </w:tcPr>
          <w:p w14:paraId="5D480DEA" w14:textId="77777777" w:rsidR="008B773A" w:rsidRPr="003A115E" w:rsidRDefault="008B773A" w:rsidP="005272BD">
            <w:pPr>
              <w:pStyle w:val="cuatexto"/>
              <w:jc w:val="right"/>
            </w:pPr>
            <w:r>
              <w:t>17</w:t>
            </w:r>
          </w:p>
        </w:tc>
        <w:tc>
          <w:tcPr>
            <w:tcW w:w="1106" w:type="dxa"/>
            <w:tcBorders>
              <w:top w:val="single" w:sz="2" w:space="0" w:color="auto"/>
              <w:left w:val="nil"/>
              <w:bottom w:val="single" w:sz="2" w:space="0" w:color="auto"/>
              <w:right w:val="nil"/>
            </w:tcBorders>
            <w:shd w:val="clear" w:color="auto" w:fill="auto"/>
            <w:noWrap/>
            <w:vAlign w:val="center"/>
            <w:hideMark/>
          </w:tcPr>
          <w:p w14:paraId="304AC531" w14:textId="77777777" w:rsidR="008B773A" w:rsidRPr="003A115E" w:rsidRDefault="008B773A" w:rsidP="005272BD">
            <w:pPr>
              <w:pStyle w:val="cuatexto"/>
              <w:jc w:val="right"/>
            </w:pPr>
            <w:r>
              <w:t>14</w:t>
            </w:r>
          </w:p>
        </w:tc>
        <w:tc>
          <w:tcPr>
            <w:tcW w:w="1105" w:type="dxa"/>
            <w:tcBorders>
              <w:top w:val="single" w:sz="2" w:space="0" w:color="auto"/>
              <w:left w:val="nil"/>
              <w:bottom w:val="single" w:sz="2" w:space="0" w:color="auto"/>
              <w:right w:val="nil"/>
            </w:tcBorders>
            <w:shd w:val="clear" w:color="auto" w:fill="auto"/>
            <w:noWrap/>
            <w:vAlign w:val="center"/>
            <w:hideMark/>
          </w:tcPr>
          <w:p w14:paraId="3F7BB3F4" w14:textId="77777777" w:rsidR="008B773A" w:rsidRPr="003A115E" w:rsidRDefault="008B773A" w:rsidP="005272BD">
            <w:pPr>
              <w:pStyle w:val="cuatexto"/>
              <w:jc w:val="right"/>
            </w:pPr>
            <w:r>
              <w:t>11</w:t>
            </w:r>
          </w:p>
        </w:tc>
        <w:tc>
          <w:tcPr>
            <w:tcW w:w="1106" w:type="dxa"/>
            <w:tcBorders>
              <w:top w:val="single" w:sz="2" w:space="0" w:color="auto"/>
              <w:left w:val="nil"/>
              <w:bottom w:val="single" w:sz="2" w:space="0" w:color="auto"/>
              <w:right w:val="nil"/>
            </w:tcBorders>
            <w:shd w:val="clear" w:color="auto" w:fill="auto"/>
            <w:noWrap/>
            <w:vAlign w:val="center"/>
            <w:hideMark/>
          </w:tcPr>
          <w:p w14:paraId="07B3789A" w14:textId="77777777" w:rsidR="008B773A" w:rsidRPr="003A115E" w:rsidRDefault="008B773A" w:rsidP="005272BD">
            <w:pPr>
              <w:pStyle w:val="cuatexto"/>
              <w:jc w:val="right"/>
            </w:pPr>
            <w:r>
              <w:t>9</w:t>
            </w:r>
          </w:p>
        </w:tc>
      </w:tr>
      <w:tr w:rsidR="000A742F" w:rsidRPr="003A115E" w14:paraId="10E13FF7"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5A66C10F" w14:textId="77777777" w:rsidR="008B773A" w:rsidRPr="003A115E" w:rsidRDefault="008B773A" w:rsidP="005272BD">
            <w:pPr>
              <w:pStyle w:val="cuatexto"/>
            </w:pPr>
            <w:r>
              <w:t>Transferentzia arruntengatiko diru-sarrerak (biztanleko)</w:t>
            </w:r>
          </w:p>
        </w:tc>
        <w:tc>
          <w:tcPr>
            <w:tcW w:w="1105" w:type="dxa"/>
            <w:tcBorders>
              <w:top w:val="single" w:sz="2" w:space="0" w:color="auto"/>
              <w:left w:val="nil"/>
              <w:bottom w:val="single" w:sz="2" w:space="0" w:color="auto"/>
              <w:right w:val="nil"/>
            </w:tcBorders>
            <w:shd w:val="clear" w:color="auto" w:fill="auto"/>
            <w:noWrap/>
            <w:vAlign w:val="center"/>
            <w:hideMark/>
          </w:tcPr>
          <w:p w14:paraId="33094E44" w14:textId="77777777" w:rsidR="008B773A" w:rsidRPr="003A115E" w:rsidRDefault="008B773A" w:rsidP="005272BD">
            <w:pPr>
              <w:pStyle w:val="cuatexto"/>
              <w:jc w:val="right"/>
            </w:pPr>
            <w:r>
              <w:t>596</w:t>
            </w:r>
          </w:p>
        </w:tc>
        <w:tc>
          <w:tcPr>
            <w:tcW w:w="1105" w:type="dxa"/>
            <w:tcBorders>
              <w:top w:val="single" w:sz="2" w:space="0" w:color="auto"/>
              <w:left w:val="nil"/>
              <w:bottom w:val="single" w:sz="2" w:space="0" w:color="auto"/>
              <w:right w:val="nil"/>
            </w:tcBorders>
            <w:shd w:val="clear" w:color="auto" w:fill="auto"/>
            <w:noWrap/>
            <w:vAlign w:val="center"/>
            <w:hideMark/>
          </w:tcPr>
          <w:p w14:paraId="070C5D2D" w14:textId="77777777" w:rsidR="008B773A" w:rsidRPr="003A115E" w:rsidRDefault="008B773A" w:rsidP="005272BD">
            <w:pPr>
              <w:pStyle w:val="cuatexto"/>
              <w:jc w:val="right"/>
            </w:pPr>
            <w:r>
              <w:t>528</w:t>
            </w:r>
          </w:p>
        </w:tc>
        <w:tc>
          <w:tcPr>
            <w:tcW w:w="1106" w:type="dxa"/>
            <w:tcBorders>
              <w:top w:val="single" w:sz="2" w:space="0" w:color="auto"/>
              <w:left w:val="nil"/>
              <w:bottom w:val="single" w:sz="2" w:space="0" w:color="auto"/>
              <w:right w:val="nil"/>
            </w:tcBorders>
            <w:shd w:val="clear" w:color="auto" w:fill="auto"/>
            <w:noWrap/>
            <w:vAlign w:val="center"/>
            <w:hideMark/>
          </w:tcPr>
          <w:p w14:paraId="005F2BFE" w14:textId="77777777" w:rsidR="008B773A" w:rsidRPr="003A115E" w:rsidRDefault="008B773A" w:rsidP="005272BD">
            <w:pPr>
              <w:pStyle w:val="cuatexto"/>
              <w:jc w:val="right"/>
            </w:pPr>
            <w:r>
              <w:t>475</w:t>
            </w:r>
          </w:p>
        </w:tc>
        <w:tc>
          <w:tcPr>
            <w:tcW w:w="1105" w:type="dxa"/>
            <w:tcBorders>
              <w:top w:val="single" w:sz="2" w:space="0" w:color="auto"/>
              <w:left w:val="nil"/>
              <w:bottom w:val="single" w:sz="2" w:space="0" w:color="auto"/>
              <w:right w:val="nil"/>
            </w:tcBorders>
            <w:shd w:val="clear" w:color="auto" w:fill="auto"/>
            <w:noWrap/>
            <w:vAlign w:val="center"/>
            <w:hideMark/>
          </w:tcPr>
          <w:p w14:paraId="5E275BEE" w14:textId="77777777" w:rsidR="008B773A" w:rsidRPr="003A115E" w:rsidRDefault="008B773A" w:rsidP="005272BD">
            <w:pPr>
              <w:pStyle w:val="cuatexto"/>
              <w:jc w:val="right"/>
            </w:pPr>
            <w:r>
              <w:t>468</w:t>
            </w:r>
          </w:p>
        </w:tc>
        <w:tc>
          <w:tcPr>
            <w:tcW w:w="1106" w:type="dxa"/>
            <w:tcBorders>
              <w:top w:val="single" w:sz="2" w:space="0" w:color="auto"/>
              <w:left w:val="nil"/>
              <w:bottom w:val="single" w:sz="2" w:space="0" w:color="auto"/>
              <w:right w:val="nil"/>
            </w:tcBorders>
            <w:shd w:val="clear" w:color="auto" w:fill="auto"/>
            <w:noWrap/>
            <w:vAlign w:val="center"/>
            <w:hideMark/>
          </w:tcPr>
          <w:p w14:paraId="26FE9D32" w14:textId="77777777" w:rsidR="008B773A" w:rsidRPr="003A115E" w:rsidRDefault="008B773A" w:rsidP="005272BD">
            <w:pPr>
              <w:pStyle w:val="cuatexto"/>
              <w:jc w:val="right"/>
            </w:pPr>
            <w:r>
              <w:t>549</w:t>
            </w:r>
          </w:p>
        </w:tc>
      </w:tr>
      <w:tr w:rsidR="008B773A" w:rsidRPr="003A115E" w14:paraId="24DB8E67" w14:textId="77777777" w:rsidTr="00327F3B">
        <w:trPr>
          <w:trHeight w:val="198"/>
        </w:trPr>
        <w:tc>
          <w:tcPr>
            <w:tcW w:w="3261" w:type="dxa"/>
            <w:tcBorders>
              <w:top w:val="single" w:sz="2" w:space="0" w:color="auto"/>
              <w:left w:val="nil"/>
              <w:bottom w:val="single" w:sz="4" w:space="0" w:color="auto"/>
              <w:right w:val="nil"/>
            </w:tcBorders>
            <w:shd w:val="clear" w:color="auto" w:fill="auto"/>
            <w:noWrap/>
            <w:vAlign w:val="center"/>
            <w:hideMark/>
          </w:tcPr>
          <w:p w14:paraId="2C5F8E12" w14:textId="77777777" w:rsidR="008B773A" w:rsidRPr="003A115E" w:rsidRDefault="008B773A" w:rsidP="0186A00D">
            <w:pPr>
              <w:pStyle w:val="cuatexto"/>
            </w:pPr>
            <w:r>
              <w:t>Transferentzia arruntez finantzatutako gastu arrunten ehunekoa</w:t>
            </w:r>
          </w:p>
        </w:tc>
        <w:tc>
          <w:tcPr>
            <w:tcW w:w="1105" w:type="dxa"/>
            <w:tcBorders>
              <w:top w:val="single" w:sz="2" w:space="0" w:color="auto"/>
              <w:left w:val="nil"/>
              <w:bottom w:val="single" w:sz="4" w:space="0" w:color="auto"/>
              <w:right w:val="nil"/>
            </w:tcBorders>
            <w:shd w:val="clear" w:color="auto" w:fill="auto"/>
            <w:noWrap/>
            <w:vAlign w:val="center"/>
            <w:hideMark/>
          </w:tcPr>
          <w:p w14:paraId="68DA09E0" w14:textId="77777777" w:rsidR="008B773A" w:rsidRPr="003A115E" w:rsidRDefault="008B773A" w:rsidP="005272BD">
            <w:pPr>
              <w:pStyle w:val="cuatexto"/>
              <w:jc w:val="right"/>
            </w:pPr>
            <w:r>
              <w:t>54</w:t>
            </w:r>
          </w:p>
        </w:tc>
        <w:tc>
          <w:tcPr>
            <w:tcW w:w="1105" w:type="dxa"/>
            <w:tcBorders>
              <w:top w:val="single" w:sz="2" w:space="0" w:color="auto"/>
              <w:left w:val="nil"/>
              <w:bottom w:val="single" w:sz="4" w:space="0" w:color="auto"/>
              <w:right w:val="nil"/>
            </w:tcBorders>
            <w:shd w:val="clear" w:color="auto" w:fill="auto"/>
            <w:noWrap/>
            <w:vAlign w:val="center"/>
            <w:hideMark/>
          </w:tcPr>
          <w:p w14:paraId="0FB9BF34" w14:textId="77777777" w:rsidR="008B773A" w:rsidRPr="003A115E" w:rsidRDefault="008B773A" w:rsidP="005272BD">
            <w:pPr>
              <w:pStyle w:val="cuatexto"/>
              <w:jc w:val="right"/>
            </w:pPr>
            <w:r>
              <w:t>50</w:t>
            </w:r>
          </w:p>
        </w:tc>
        <w:tc>
          <w:tcPr>
            <w:tcW w:w="1106" w:type="dxa"/>
            <w:tcBorders>
              <w:top w:val="single" w:sz="2" w:space="0" w:color="auto"/>
              <w:left w:val="nil"/>
              <w:bottom w:val="single" w:sz="4" w:space="0" w:color="auto"/>
              <w:right w:val="nil"/>
            </w:tcBorders>
            <w:shd w:val="clear" w:color="auto" w:fill="auto"/>
            <w:noWrap/>
            <w:vAlign w:val="center"/>
            <w:hideMark/>
          </w:tcPr>
          <w:p w14:paraId="63E8E5C9" w14:textId="77777777" w:rsidR="008B773A" w:rsidRPr="003A115E" w:rsidRDefault="008B773A" w:rsidP="005272BD">
            <w:pPr>
              <w:pStyle w:val="cuatexto"/>
              <w:jc w:val="right"/>
            </w:pPr>
            <w:r>
              <w:t>48</w:t>
            </w:r>
          </w:p>
        </w:tc>
        <w:tc>
          <w:tcPr>
            <w:tcW w:w="1105" w:type="dxa"/>
            <w:tcBorders>
              <w:top w:val="single" w:sz="2" w:space="0" w:color="auto"/>
              <w:left w:val="nil"/>
              <w:bottom w:val="single" w:sz="4" w:space="0" w:color="auto"/>
              <w:right w:val="nil"/>
            </w:tcBorders>
            <w:shd w:val="clear" w:color="auto" w:fill="auto"/>
            <w:noWrap/>
            <w:vAlign w:val="center"/>
            <w:hideMark/>
          </w:tcPr>
          <w:p w14:paraId="78C43D30" w14:textId="77777777" w:rsidR="008B773A" w:rsidRPr="003A115E" w:rsidRDefault="008B773A" w:rsidP="005272BD">
            <w:pPr>
              <w:pStyle w:val="cuatexto"/>
              <w:jc w:val="right"/>
            </w:pPr>
            <w:r>
              <w:t>53</w:t>
            </w:r>
          </w:p>
        </w:tc>
        <w:tc>
          <w:tcPr>
            <w:tcW w:w="1106" w:type="dxa"/>
            <w:tcBorders>
              <w:top w:val="single" w:sz="2" w:space="0" w:color="auto"/>
              <w:left w:val="nil"/>
              <w:bottom w:val="single" w:sz="4" w:space="0" w:color="auto"/>
              <w:right w:val="nil"/>
            </w:tcBorders>
            <w:shd w:val="clear" w:color="auto" w:fill="auto"/>
            <w:noWrap/>
            <w:vAlign w:val="center"/>
            <w:hideMark/>
          </w:tcPr>
          <w:p w14:paraId="1B6C4D3B" w14:textId="77777777" w:rsidR="008B773A" w:rsidRPr="003A115E" w:rsidRDefault="008B773A" w:rsidP="005272BD">
            <w:pPr>
              <w:pStyle w:val="cuatexto"/>
              <w:jc w:val="right"/>
            </w:pPr>
            <w:r>
              <w:t>54</w:t>
            </w:r>
          </w:p>
        </w:tc>
      </w:tr>
    </w:tbl>
    <w:p w14:paraId="15F2C137" w14:textId="77777777" w:rsidR="008B773A" w:rsidRPr="003A115E" w:rsidRDefault="008B773A" w:rsidP="008B773A">
      <w:pPr>
        <w:ind w:right="-1" w:firstLine="284"/>
        <w:jc w:val="right"/>
        <w:rPr>
          <w:rStyle w:val="textoCar"/>
          <w:rFonts w:ascii="Arial Narrow" w:hAnsi="Arial Narrow"/>
          <w:sz w:val="18"/>
          <w:szCs w:val="18"/>
          <w:lang w:val="es-ES"/>
        </w:rPr>
      </w:pPr>
    </w:p>
    <w:p w14:paraId="6A0C9CE9" w14:textId="74D40359" w:rsidR="008B773A" w:rsidRPr="003A115E" w:rsidRDefault="008B773A" w:rsidP="00D57958">
      <w:pPr>
        <w:pStyle w:val="texto"/>
        <w:spacing w:before="240" w:after="360"/>
      </w:pPr>
      <w:r>
        <w:t>Iruña izan ezik, udalerria zenbat eta handiagoa izan orduan eta txikiagoak dira guztizko diru-sarrerak, diru-sarrera arruntak eta kapitalekoak, bai eta biztanleko aurrezki gordina eta funtzionamendu- eta kapital-gastuak.</w:t>
      </w:r>
    </w:p>
    <w:p w14:paraId="638617F0" w14:textId="56FB99A4" w:rsidR="002A4BE9" w:rsidRPr="003A115E" w:rsidRDefault="00CF3F37" w:rsidP="00AA7F66">
      <w:pPr>
        <w:pStyle w:val="atitulo2"/>
        <w:spacing w:before="240" w:after="360"/>
        <w:rPr>
          <w:color w:val="auto"/>
        </w:rPr>
      </w:pPr>
      <w:bookmarkStart w:id="80" w:name="_Toc529773885"/>
      <w:bookmarkStart w:id="81" w:name="_Toc24100146"/>
      <w:bookmarkStart w:id="82" w:name="_Toc52348294"/>
      <w:bookmarkStart w:id="83" w:name="_Toc123547411"/>
      <w:bookmarkStart w:id="84" w:name="_Toc188511791"/>
      <w:r>
        <w:rPr>
          <w:color w:val="auto"/>
        </w:rPr>
        <w:t>VI.6 Aurrekontu egonkortasuneko eta finantza iraunkortasuneko helburuak</w:t>
      </w:r>
      <w:bookmarkEnd w:id="80"/>
      <w:bookmarkEnd w:id="81"/>
      <w:bookmarkEnd w:id="82"/>
      <w:bookmarkEnd w:id="83"/>
      <w:bookmarkEnd w:id="84"/>
    </w:p>
    <w:p w14:paraId="400170AE" w14:textId="77777777" w:rsidR="002A4BE9" w:rsidRPr="003A115E" w:rsidRDefault="002A4BE9" w:rsidP="31020D79">
      <w:pPr>
        <w:tabs>
          <w:tab w:val="center" w:pos="2835"/>
          <w:tab w:val="center" w:pos="3969"/>
          <w:tab w:val="center" w:pos="5103"/>
          <w:tab w:val="center" w:pos="6237"/>
          <w:tab w:val="center" w:pos="7371"/>
        </w:tabs>
        <w:ind w:firstLine="284"/>
        <w:rPr>
          <w:spacing w:val="6"/>
          <w:sz w:val="26"/>
          <w:szCs w:val="26"/>
        </w:rPr>
      </w:pPr>
      <w:proofErr w:type="spellStart"/>
      <w:r>
        <w:rPr>
          <w:sz w:val="26"/>
        </w:rPr>
        <w:t>AEFILOren</w:t>
      </w:r>
      <w:proofErr w:type="spellEnd"/>
      <w:r>
        <w:rPr>
          <w:sz w:val="26"/>
        </w:rPr>
        <w:t xml:space="preserve"> arabera, Toki Administrazioaren esparruan arau fiskal hauek bete behar dira:</w:t>
      </w:r>
    </w:p>
    <w:p w14:paraId="388C8AB9" w14:textId="77777777"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 Aurrekontu-egonkortasuna: finantzatzeko ahalmena izatea, kontabilitate nazionaleko terminoetan neurtuta.</w:t>
      </w:r>
    </w:p>
    <w:p w14:paraId="02A1DBD6" w14:textId="654CFB2A"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Gastu-araua: gastu konputagarriaren urtetik urterako aldaketak ez du gainditu behar </w:t>
      </w:r>
      <w:proofErr w:type="spellStart"/>
      <w:r>
        <w:t>BPGaren</w:t>
      </w:r>
      <w:proofErr w:type="spellEnd"/>
      <w:r>
        <w:t xml:space="preserve"> epe ertaineko hazkundearen erreferentzia-tasa.</w:t>
      </w:r>
    </w:p>
    <w:p w14:paraId="53467F0A" w14:textId="5401BB9E"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Zor publikoaren jasangarritasuna: toki-entitate bakoitzaren zor biziak, gure araudiaren arabera, ez du gainditu behar bere diru-sarrera arrunten ehuneko 110.</w:t>
      </w:r>
    </w:p>
    <w:p w14:paraId="2FD8E8B4" w14:textId="0BFE65DB"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Merkataritza-zorraren jasangarritasuna: hornitzaileei ordaintzeko batez besteko epeak ezin du gainditu 30 eguneko epea.</w:t>
      </w:r>
    </w:p>
    <w:p w14:paraId="449EE60B" w14:textId="1B0E5818"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Pr>
          <w:sz w:val="26"/>
        </w:rPr>
        <w:t>Hori horrela, Departamentuak emandako informazioan ez da Nafarroako “Toki Administrazioa” azpisektorea hertsiki Kontabilitate Nazionaleko (SEC-2010) irizpi</w:t>
      </w:r>
      <w:r>
        <w:rPr>
          <w:sz w:val="26"/>
        </w:rPr>
        <w:lastRenderedPageBreak/>
        <w:t>deekin zedarritzen, baizik eta toki-entitateen eta haien erakunde autonomoen multzoari buruzko datuak eskaintzen dira, barne harturik, zor publikoari dagokionez, toki-entitateek partaidetza osoa duten sozietateak ere.</w:t>
      </w:r>
    </w:p>
    <w:p w14:paraId="60D39F58" w14:textId="77777777" w:rsidR="007F034F" w:rsidRPr="003A115E" w:rsidRDefault="007F034F" w:rsidP="00EF427F">
      <w:pPr>
        <w:tabs>
          <w:tab w:val="center" w:pos="2835"/>
          <w:tab w:val="center" w:pos="3969"/>
          <w:tab w:val="center" w:pos="5103"/>
          <w:tab w:val="center" w:pos="6237"/>
          <w:tab w:val="center" w:pos="7371"/>
        </w:tabs>
        <w:spacing w:after="120"/>
        <w:ind w:firstLine="284"/>
        <w:jc w:val="both"/>
        <w:rPr>
          <w:spacing w:val="6"/>
          <w:sz w:val="26"/>
          <w:szCs w:val="26"/>
        </w:rPr>
      </w:pPr>
      <w:r>
        <w:rPr>
          <w:sz w:val="26"/>
        </w:rPr>
        <w:t xml:space="preserve">COVID-19aren pandemiak ekarritako krisi sanitario, sozial eta ekonomikoa zela-eta, eta Europako Batzordearen gomendioei jarraituz, 2020ko urrian Diputatuen Kongresuak aparteko larrialdi bat gertatu zela jo zuen, Konstituzioaren 135.4 artikuluan eta </w:t>
      </w:r>
      <w:proofErr w:type="spellStart"/>
      <w:r>
        <w:rPr>
          <w:sz w:val="26"/>
        </w:rPr>
        <w:t>AEFILOn</w:t>
      </w:r>
      <w:proofErr w:type="spellEnd"/>
      <w:r>
        <w:rPr>
          <w:sz w:val="26"/>
        </w:rPr>
        <w:t xml:space="preserve"> ezarritakoarekin bat. Horrenbestez, 2020-2021 aldirako etenda gelditu ziren aurrekontu-egonkortasunaren, zor publikoaren eta gastu-arauaren helburuak, eta etenaldi hori luzatuz joan da denboran zehar, 2022ko eta 2023ko ekitaldietara. </w:t>
      </w:r>
    </w:p>
    <w:p w14:paraId="49F33DFB" w14:textId="1AC56D90"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Pr>
          <w:sz w:val="26"/>
        </w:rPr>
        <w:t>Nolanahi ere, ardura fiskalerako eta zuhurtziarako oharmenak ikusarazten du komeni dela etendako arauek aipatzen dituzten aldagaien bilakaerari ere jaramon egitea. Hartara:</w:t>
      </w:r>
    </w:p>
    <w:p w14:paraId="5F3AF5AD" w14:textId="20047867" w:rsidR="002A4BE9" w:rsidRPr="003A115E" w:rsidRDefault="002A4BE9" w:rsidP="00EF427F">
      <w:pPr>
        <w:tabs>
          <w:tab w:val="center" w:pos="2835"/>
          <w:tab w:val="center" w:pos="3969"/>
          <w:tab w:val="center" w:pos="5103"/>
          <w:tab w:val="center" w:pos="6237"/>
          <w:tab w:val="center" w:pos="7371"/>
        </w:tabs>
        <w:spacing w:after="80"/>
        <w:ind w:firstLine="284"/>
        <w:jc w:val="both"/>
        <w:rPr>
          <w:spacing w:val="6"/>
          <w:sz w:val="26"/>
          <w:szCs w:val="26"/>
        </w:rPr>
      </w:pPr>
      <w:r>
        <w:rPr>
          <w:sz w:val="26"/>
        </w:rPr>
        <w:t>a) Aurrekontu egonkortasunaren arauari dagokionez, toki-sektore publikoak 97,72 milioiko finantzaketa-ahalmena du, beheko taulan xehetasunez azaltzen denez:</w:t>
      </w:r>
    </w:p>
    <w:p w14:paraId="4D035EC7" w14:textId="5A20B5CA" w:rsidR="002A4BE9" w:rsidRPr="003A115E" w:rsidRDefault="00357131" w:rsidP="00E77948">
      <w:pPr>
        <w:pStyle w:val="texto"/>
        <w:spacing w:after="0"/>
        <w:jc w:val="right"/>
        <w:rPr>
          <w:rFonts w:ascii="Arial Narrow" w:hAnsi="Arial Narrow"/>
          <w:sz w:val="18"/>
          <w:szCs w:val="18"/>
        </w:rPr>
      </w:pPr>
      <w:r>
        <w:rPr>
          <w:rFonts w:ascii="Arial Narrow" w:hAnsi="Arial Narrow"/>
          <w:sz w:val="18"/>
        </w:rPr>
        <w:t>(milioiak)</w:t>
      </w:r>
    </w:p>
    <w:tbl>
      <w:tblPr>
        <w:tblW w:w="5001" w:type="pct"/>
        <w:tblCellMar>
          <w:left w:w="70" w:type="dxa"/>
          <w:right w:w="70" w:type="dxa"/>
        </w:tblCellMar>
        <w:tblLook w:val="04A0" w:firstRow="1" w:lastRow="0" w:firstColumn="1" w:lastColumn="0" w:noHBand="0" w:noVBand="1"/>
      </w:tblPr>
      <w:tblGrid>
        <w:gridCol w:w="3401"/>
        <w:gridCol w:w="1389"/>
        <w:gridCol w:w="1391"/>
        <w:gridCol w:w="1391"/>
        <w:gridCol w:w="1218"/>
      </w:tblGrid>
      <w:tr w:rsidR="000A742F" w:rsidRPr="003A115E" w14:paraId="572F5BC2" w14:textId="77777777" w:rsidTr="005F3A0D">
        <w:trPr>
          <w:trHeight w:val="255"/>
        </w:trPr>
        <w:tc>
          <w:tcPr>
            <w:tcW w:w="1935" w:type="pct"/>
            <w:tcBorders>
              <w:top w:val="single" w:sz="4" w:space="0" w:color="auto"/>
              <w:left w:val="nil"/>
              <w:bottom w:val="single" w:sz="4" w:space="0" w:color="auto"/>
              <w:right w:val="nil"/>
            </w:tcBorders>
            <w:shd w:val="clear" w:color="auto" w:fill="FABF8F" w:themeFill="accent6" w:themeFillTint="99"/>
            <w:vAlign w:val="center"/>
            <w:hideMark/>
          </w:tcPr>
          <w:p w14:paraId="74371713" w14:textId="77777777" w:rsidR="00E60D20" w:rsidRPr="003A115E" w:rsidRDefault="00E60D20" w:rsidP="005272BD">
            <w:pPr>
              <w:pStyle w:val="cuadroCabe"/>
            </w:pPr>
            <w:r>
              <w:t>Finantzaketa-gaitasuna/-beharra</w:t>
            </w:r>
          </w:p>
        </w:tc>
        <w:tc>
          <w:tcPr>
            <w:tcW w:w="790" w:type="pct"/>
            <w:tcBorders>
              <w:top w:val="single" w:sz="4" w:space="0" w:color="auto"/>
              <w:left w:val="nil"/>
              <w:bottom w:val="single" w:sz="4" w:space="0" w:color="auto"/>
              <w:right w:val="nil"/>
            </w:tcBorders>
            <w:shd w:val="clear" w:color="auto" w:fill="FABF8F" w:themeFill="accent6" w:themeFillTint="99"/>
            <w:vAlign w:val="center"/>
            <w:hideMark/>
          </w:tcPr>
          <w:p w14:paraId="007D2978" w14:textId="77777777" w:rsidR="00E60D20" w:rsidRPr="003A115E" w:rsidRDefault="00E60D20" w:rsidP="005272BD">
            <w:pPr>
              <w:pStyle w:val="cuadroCabe"/>
              <w:jc w:val="right"/>
            </w:pPr>
            <w:r>
              <w:t>2019</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5CAC93EB" w14:textId="77777777" w:rsidR="00E60D20" w:rsidRPr="003A115E" w:rsidRDefault="00E60D20" w:rsidP="005272BD">
            <w:pPr>
              <w:pStyle w:val="cuadroCabe"/>
              <w:jc w:val="right"/>
            </w:pPr>
            <w:r>
              <w:t>2020</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63B38878" w14:textId="77777777" w:rsidR="00E60D20" w:rsidRPr="003A115E" w:rsidRDefault="00E60D20" w:rsidP="005272BD">
            <w:pPr>
              <w:pStyle w:val="cuadroCabe"/>
              <w:jc w:val="right"/>
            </w:pPr>
            <w:r>
              <w:t>2021</w:t>
            </w:r>
          </w:p>
        </w:tc>
        <w:tc>
          <w:tcPr>
            <w:tcW w:w="694" w:type="pct"/>
            <w:tcBorders>
              <w:top w:val="single" w:sz="4" w:space="0" w:color="auto"/>
              <w:left w:val="nil"/>
              <w:bottom w:val="single" w:sz="4" w:space="0" w:color="auto"/>
              <w:right w:val="nil"/>
            </w:tcBorders>
            <w:shd w:val="clear" w:color="auto" w:fill="FABF8F" w:themeFill="accent6" w:themeFillTint="99"/>
            <w:vAlign w:val="center"/>
            <w:hideMark/>
          </w:tcPr>
          <w:p w14:paraId="798750B0" w14:textId="77777777" w:rsidR="00E60D20" w:rsidRPr="003A115E" w:rsidRDefault="00E60D20" w:rsidP="005272BD">
            <w:pPr>
              <w:pStyle w:val="cuadroCabe"/>
              <w:jc w:val="right"/>
            </w:pPr>
            <w:r>
              <w:t>2022</w:t>
            </w:r>
          </w:p>
        </w:tc>
      </w:tr>
      <w:tr w:rsidR="000A742F" w:rsidRPr="003A115E" w14:paraId="2FA054A8" w14:textId="77777777" w:rsidTr="00C0775A">
        <w:trPr>
          <w:trHeight w:val="198"/>
        </w:trPr>
        <w:tc>
          <w:tcPr>
            <w:tcW w:w="1935" w:type="pct"/>
            <w:tcBorders>
              <w:top w:val="single" w:sz="4" w:space="0" w:color="auto"/>
              <w:left w:val="nil"/>
              <w:bottom w:val="single" w:sz="2" w:space="0" w:color="auto"/>
              <w:right w:val="nil"/>
            </w:tcBorders>
            <w:shd w:val="clear" w:color="auto" w:fill="auto"/>
            <w:vAlign w:val="center"/>
            <w:hideMark/>
          </w:tcPr>
          <w:p w14:paraId="4EE00A00" w14:textId="77777777" w:rsidR="00E60D20" w:rsidRPr="003A115E" w:rsidRDefault="00E60D20" w:rsidP="005272BD">
            <w:pPr>
              <w:pStyle w:val="cuatexto"/>
            </w:pPr>
            <w:r>
              <w:t>Aurrekontu-saldo ez-finantzarioa</w:t>
            </w:r>
          </w:p>
        </w:tc>
        <w:tc>
          <w:tcPr>
            <w:tcW w:w="790" w:type="pct"/>
            <w:tcBorders>
              <w:top w:val="single" w:sz="4" w:space="0" w:color="auto"/>
              <w:left w:val="nil"/>
              <w:bottom w:val="single" w:sz="2" w:space="0" w:color="auto"/>
              <w:right w:val="nil"/>
            </w:tcBorders>
            <w:shd w:val="clear" w:color="auto" w:fill="auto"/>
            <w:vAlign w:val="center"/>
            <w:hideMark/>
          </w:tcPr>
          <w:p w14:paraId="03EC8AC1" w14:textId="1C06B0A2" w:rsidR="00E60D20" w:rsidRPr="003A115E" w:rsidRDefault="00E60D20" w:rsidP="005272BD">
            <w:pPr>
              <w:pStyle w:val="cuatexto"/>
              <w:jc w:val="right"/>
            </w:pPr>
            <w:r>
              <w:t>31,16</w:t>
            </w:r>
          </w:p>
        </w:tc>
        <w:tc>
          <w:tcPr>
            <w:tcW w:w="791" w:type="pct"/>
            <w:tcBorders>
              <w:top w:val="single" w:sz="4" w:space="0" w:color="auto"/>
              <w:left w:val="nil"/>
              <w:bottom w:val="single" w:sz="2" w:space="0" w:color="auto"/>
              <w:right w:val="nil"/>
            </w:tcBorders>
            <w:shd w:val="clear" w:color="auto" w:fill="auto"/>
            <w:vAlign w:val="center"/>
            <w:hideMark/>
          </w:tcPr>
          <w:p w14:paraId="2493BF0B" w14:textId="395541D7" w:rsidR="00E60D20" w:rsidRPr="003A115E" w:rsidRDefault="00E60D20" w:rsidP="005272BD">
            <w:pPr>
              <w:pStyle w:val="cuatexto"/>
              <w:jc w:val="right"/>
            </w:pPr>
            <w:r>
              <w:t>78,00</w:t>
            </w:r>
          </w:p>
        </w:tc>
        <w:tc>
          <w:tcPr>
            <w:tcW w:w="791" w:type="pct"/>
            <w:tcBorders>
              <w:top w:val="single" w:sz="4" w:space="0" w:color="auto"/>
              <w:left w:val="nil"/>
              <w:bottom w:val="single" w:sz="2" w:space="0" w:color="auto"/>
              <w:right w:val="nil"/>
            </w:tcBorders>
            <w:shd w:val="clear" w:color="auto" w:fill="auto"/>
            <w:vAlign w:val="center"/>
            <w:hideMark/>
          </w:tcPr>
          <w:p w14:paraId="5314D3EC" w14:textId="1BFB2E82" w:rsidR="00E60D20" w:rsidRPr="003A115E" w:rsidRDefault="00E60D20" w:rsidP="005272BD">
            <w:pPr>
              <w:pStyle w:val="cuatexto"/>
              <w:jc w:val="right"/>
            </w:pPr>
            <w:r>
              <w:t>24,43</w:t>
            </w:r>
          </w:p>
        </w:tc>
        <w:tc>
          <w:tcPr>
            <w:tcW w:w="694" w:type="pct"/>
            <w:tcBorders>
              <w:top w:val="single" w:sz="4" w:space="0" w:color="auto"/>
              <w:left w:val="nil"/>
              <w:bottom w:val="single" w:sz="2" w:space="0" w:color="auto"/>
              <w:right w:val="nil"/>
            </w:tcBorders>
            <w:shd w:val="clear" w:color="auto" w:fill="auto"/>
            <w:vAlign w:val="center"/>
            <w:hideMark/>
          </w:tcPr>
          <w:p w14:paraId="6112F726" w14:textId="77CE1F94" w:rsidR="00E60D20" w:rsidRPr="003A115E" w:rsidRDefault="00E60D20" w:rsidP="005272BD">
            <w:pPr>
              <w:pStyle w:val="cuatexto"/>
              <w:jc w:val="right"/>
            </w:pPr>
            <w:r>
              <w:t>77,36</w:t>
            </w:r>
          </w:p>
        </w:tc>
      </w:tr>
      <w:tr w:rsidR="000A742F" w:rsidRPr="003A115E" w14:paraId="23C15B52" w14:textId="77777777" w:rsidTr="00C0775A">
        <w:trPr>
          <w:trHeight w:val="198"/>
        </w:trPr>
        <w:tc>
          <w:tcPr>
            <w:tcW w:w="1935" w:type="pct"/>
            <w:tcBorders>
              <w:top w:val="single" w:sz="2" w:space="0" w:color="auto"/>
              <w:left w:val="nil"/>
              <w:bottom w:val="nil"/>
              <w:right w:val="nil"/>
            </w:tcBorders>
            <w:shd w:val="clear" w:color="auto" w:fill="auto"/>
            <w:vAlign w:val="center"/>
            <w:hideMark/>
          </w:tcPr>
          <w:p w14:paraId="34DC816E" w14:textId="77777777" w:rsidR="00E60D20" w:rsidRPr="003A115E" w:rsidRDefault="00E60D20" w:rsidP="005272BD">
            <w:pPr>
              <w:pStyle w:val="cuatexto"/>
            </w:pPr>
            <w:r>
              <w:t>Doikuntzak:</w:t>
            </w:r>
          </w:p>
        </w:tc>
        <w:tc>
          <w:tcPr>
            <w:tcW w:w="790" w:type="pct"/>
            <w:tcBorders>
              <w:top w:val="single" w:sz="2" w:space="0" w:color="auto"/>
              <w:left w:val="nil"/>
              <w:bottom w:val="nil"/>
              <w:right w:val="nil"/>
            </w:tcBorders>
            <w:shd w:val="clear" w:color="auto" w:fill="auto"/>
            <w:vAlign w:val="center"/>
            <w:hideMark/>
          </w:tcPr>
          <w:p w14:paraId="0A5E2EFB" w14:textId="399E5AA4" w:rsidR="00E60D20" w:rsidRPr="003A115E" w:rsidRDefault="00E60D20" w:rsidP="005272BD">
            <w:pPr>
              <w:pStyle w:val="cuatexto"/>
              <w:jc w:val="right"/>
            </w:pPr>
          </w:p>
        </w:tc>
        <w:tc>
          <w:tcPr>
            <w:tcW w:w="791" w:type="pct"/>
            <w:tcBorders>
              <w:top w:val="single" w:sz="2" w:space="0" w:color="auto"/>
              <w:left w:val="nil"/>
              <w:bottom w:val="nil"/>
              <w:right w:val="nil"/>
            </w:tcBorders>
            <w:shd w:val="clear" w:color="auto" w:fill="auto"/>
            <w:vAlign w:val="center"/>
            <w:hideMark/>
          </w:tcPr>
          <w:p w14:paraId="5A3D1ABD" w14:textId="0B081262" w:rsidR="00E60D20" w:rsidRPr="003A115E" w:rsidRDefault="00E60D20" w:rsidP="005272BD">
            <w:pPr>
              <w:pStyle w:val="cuatexto"/>
              <w:jc w:val="right"/>
            </w:pPr>
          </w:p>
        </w:tc>
        <w:tc>
          <w:tcPr>
            <w:tcW w:w="791" w:type="pct"/>
            <w:tcBorders>
              <w:top w:val="single" w:sz="2" w:space="0" w:color="auto"/>
              <w:left w:val="nil"/>
              <w:bottom w:val="nil"/>
              <w:right w:val="nil"/>
            </w:tcBorders>
            <w:shd w:val="clear" w:color="auto" w:fill="auto"/>
            <w:vAlign w:val="center"/>
            <w:hideMark/>
          </w:tcPr>
          <w:p w14:paraId="7537B067" w14:textId="4FB5F40C" w:rsidR="00E60D20" w:rsidRPr="003A115E" w:rsidRDefault="00E60D20" w:rsidP="005272BD">
            <w:pPr>
              <w:pStyle w:val="cuatexto"/>
              <w:jc w:val="right"/>
            </w:pPr>
          </w:p>
        </w:tc>
        <w:tc>
          <w:tcPr>
            <w:tcW w:w="694" w:type="pct"/>
            <w:tcBorders>
              <w:top w:val="single" w:sz="2" w:space="0" w:color="auto"/>
              <w:left w:val="nil"/>
              <w:bottom w:val="nil"/>
              <w:right w:val="nil"/>
            </w:tcBorders>
            <w:shd w:val="clear" w:color="auto" w:fill="auto"/>
            <w:vAlign w:val="center"/>
            <w:hideMark/>
          </w:tcPr>
          <w:p w14:paraId="74776743" w14:textId="12603DEA" w:rsidR="00E60D20" w:rsidRPr="003A115E" w:rsidRDefault="00E60D20" w:rsidP="005272BD">
            <w:pPr>
              <w:pStyle w:val="cuatexto"/>
              <w:jc w:val="right"/>
            </w:pPr>
          </w:p>
        </w:tc>
      </w:tr>
      <w:tr w:rsidR="000A742F" w:rsidRPr="003A115E" w14:paraId="307CBF69" w14:textId="77777777" w:rsidTr="00C0775A">
        <w:trPr>
          <w:trHeight w:val="198"/>
        </w:trPr>
        <w:tc>
          <w:tcPr>
            <w:tcW w:w="1935" w:type="pct"/>
            <w:tcBorders>
              <w:top w:val="nil"/>
              <w:left w:val="nil"/>
              <w:bottom w:val="nil"/>
              <w:right w:val="nil"/>
            </w:tcBorders>
            <w:shd w:val="clear" w:color="auto" w:fill="auto"/>
            <w:vAlign w:val="center"/>
            <w:hideMark/>
          </w:tcPr>
          <w:p w14:paraId="4BD91482" w14:textId="77777777" w:rsidR="00E60D20" w:rsidRPr="003A115E" w:rsidRDefault="00E60D20" w:rsidP="005272BD">
            <w:pPr>
              <w:pStyle w:val="cuatexto"/>
            </w:pPr>
            <w:r>
              <w:t>Diru-bilketa ez-seguruko diru-sarrerak</w:t>
            </w:r>
          </w:p>
        </w:tc>
        <w:tc>
          <w:tcPr>
            <w:tcW w:w="790" w:type="pct"/>
            <w:tcBorders>
              <w:top w:val="nil"/>
              <w:left w:val="nil"/>
              <w:bottom w:val="nil"/>
              <w:right w:val="nil"/>
            </w:tcBorders>
            <w:shd w:val="clear" w:color="auto" w:fill="auto"/>
            <w:vAlign w:val="center"/>
            <w:hideMark/>
          </w:tcPr>
          <w:p w14:paraId="61F49026" w14:textId="1133ED69" w:rsidR="00E60D20" w:rsidRPr="003A115E" w:rsidRDefault="00E60D20" w:rsidP="005272BD">
            <w:pPr>
              <w:pStyle w:val="cuatexto"/>
              <w:jc w:val="right"/>
            </w:pPr>
            <w:r>
              <w:t>-6,23</w:t>
            </w:r>
          </w:p>
        </w:tc>
        <w:tc>
          <w:tcPr>
            <w:tcW w:w="791" w:type="pct"/>
            <w:tcBorders>
              <w:top w:val="nil"/>
              <w:left w:val="nil"/>
              <w:bottom w:val="nil"/>
              <w:right w:val="nil"/>
            </w:tcBorders>
            <w:shd w:val="clear" w:color="auto" w:fill="auto"/>
            <w:vAlign w:val="center"/>
            <w:hideMark/>
          </w:tcPr>
          <w:p w14:paraId="7E4AE23C" w14:textId="10279FDA" w:rsidR="00E60D20" w:rsidRPr="003A115E" w:rsidRDefault="00E60D20" w:rsidP="005272BD">
            <w:pPr>
              <w:pStyle w:val="cuatexto"/>
              <w:jc w:val="right"/>
            </w:pPr>
            <w:r>
              <w:t>-11,66</w:t>
            </w:r>
          </w:p>
        </w:tc>
        <w:tc>
          <w:tcPr>
            <w:tcW w:w="791" w:type="pct"/>
            <w:tcBorders>
              <w:top w:val="nil"/>
              <w:left w:val="nil"/>
              <w:bottom w:val="nil"/>
              <w:right w:val="nil"/>
            </w:tcBorders>
            <w:shd w:val="clear" w:color="auto" w:fill="auto"/>
            <w:vAlign w:val="center"/>
            <w:hideMark/>
          </w:tcPr>
          <w:p w14:paraId="19D60F3C" w14:textId="5B2C2557" w:rsidR="00E60D20" w:rsidRPr="003A115E" w:rsidRDefault="00E60D20" w:rsidP="005272BD">
            <w:pPr>
              <w:pStyle w:val="cuatexto"/>
              <w:jc w:val="right"/>
            </w:pPr>
            <w:r>
              <w:t>-4,64*</w:t>
            </w:r>
          </w:p>
        </w:tc>
        <w:tc>
          <w:tcPr>
            <w:tcW w:w="694" w:type="pct"/>
            <w:tcBorders>
              <w:top w:val="nil"/>
              <w:left w:val="nil"/>
              <w:bottom w:val="nil"/>
              <w:right w:val="nil"/>
            </w:tcBorders>
            <w:shd w:val="clear" w:color="auto" w:fill="auto"/>
            <w:vAlign w:val="center"/>
            <w:hideMark/>
          </w:tcPr>
          <w:p w14:paraId="441338F4" w14:textId="47A16ED2" w:rsidR="00E60D20" w:rsidRPr="003A115E" w:rsidRDefault="00E60D20" w:rsidP="005272BD">
            <w:pPr>
              <w:pStyle w:val="cuatexto"/>
              <w:jc w:val="right"/>
            </w:pPr>
            <w:r>
              <w:t>-16,88</w:t>
            </w:r>
          </w:p>
        </w:tc>
      </w:tr>
      <w:tr w:rsidR="000A742F" w:rsidRPr="003A115E" w14:paraId="1D9A3000" w14:textId="77777777" w:rsidTr="00C0775A">
        <w:trPr>
          <w:trHeight w:val="198"/>
        </w:trPr>
        <w:tc>
          <w:tcPr>
            <w:tcW w:w="1935" w:type="pct"/>
            <w:tcBorders>
              <w:top w:val="nil"/>
              <w:left w:val="nil"/>
              <w:bottom w:val="single" w:sz="4" w:space="0" w:color="auto"/>
              <w:right w:val="nil"/>
            </w:tcBorders>
            <w:shd w:val="clear" w:color="auto" w:fill="auto"/>
            <w:vAlign w:val="center"/>
            <w:hideMark/>
          </w:tcPr>
          <w:p w14:paraId="3CC7DFA9" w14:textId="5376426D" w:rsidR="00E60D20" w:rsidRPr="003A115E" w:rsidRDefault="00E60D20" w:rsidP="005272BD">
            <w:pPr>
              <w:pStyle w:val="cuatexto"/>
            </w:pPr>
            <w:r>
              <w:t>Beste administrazio publiko batzuengandik jasotako transferentziak</w:t>
            </w:r>
          </w:p>
        </w:tc>
        <w:tc>
          <w:tcPr>
            <w:tcW w:w="790" w:type="pct"/>
            <w:tcBorders>
              <w:top w:val="nil"/>
              <w:left w:val="nil"/>
              <w:bottom w:val="single" w:sz="4" w:space="0" w:color="auto"/>
              <w:right w:val="nil"/>
            </w:tcBorders>
            <w:shd w:val="clear" w:color="auto" w:fill="auto"/>
            <w:vAlign w:val="center"/>
            <w:hideMark/>
          </w:tcPr>
          <w:p w14:paraId="5ADC18EE" w14:textId="0AB79DE6" w:rsidR="00E60D20" w:rsidRPr="003A115E" w:rsidRDefault="00E60D20" w:rsidP="005272BD">
            <w:pPr>
              <w:pStyle w:val="cuatexto"/>
              <w:jc w:val="right"/>
            </w:pPr>
            <w:r>
              <w:t>12,85</w:t>
            </w:r>
          </w:p>
        </w:tc>
        <w:tc>
          <w:tcPr>
            <w:tcW w:w="791" w:type="pct"/>
            <w:tcBorders>
              <w:top w:val="nil"/>
              <w:left w:val="nil"/>
              <w:bottom w:val="single" w:sz="4" w:space="0" w:color="auto"/>
              <w:right w:val="nil"/>
            </w:tcBorders>
            <w:shd w:val="clear" w:color="auto" w:fill="auto"/>
            <w:vAlign w:val="center"/>
            <w:hideMark/>
          </w:tcPr>
          <w:p w14:paraId="48B547B0" w14:textId="186C3FA8" w:rsidR="00E60D20" w:rsidRPr="003A115E" w:rsidRDefault="00E60D20" w:rsidP="005272BD">
            <w:pPr>
              <w:pStyle w:val="cuatexto"/>
              <w:jc w:val="right"/>
            </w:pPr>
            <w:r>
              <w:t>21,46</w:t>
            </w:r>
          </w:p>
        </w:tc>
        <w:tc>
          <w:tcPr>
            <w:tcW w:w="791" w:type="pct"/>
            <w:tcBorders>
              <w:top w:val="nil"/>
              <w:left w:val="nil"/>
              <w:bottom w:val="single" w:sz="4" w:space="0" w:color="auto"/>
              <w:right w:val="nil"/>
            </w:tcBorders>
            <w:shd w:val="clear" w:color="auto" w:fill="auto"/>
            <w:vAlign w:val="center"/>
            <w:hideMark/>
          </w:tcPr>
          <w:p w14:paraId="6D8C13FC" w14:textId="32F31DC0" w:rsidR="00E60D20" w:rsidRPr="003A115E" w:rsidRDefault="00E60D20" w:rsidP="005272BD">
            <w:pPr>
              <w:pStyle w:val="cuatexto"/>
              <w:jc w:val="right"/>
            </w:pPr>
            <w:r>
              <w:t>20,08</w:t>
            </w:r>
          </w:p>
        </w:tc>
        <w:tc>
          <w:tcPr>
            <w:tcW w:w="694" w:type="pct"/>
            <w:tcBorders>
              <w:top w:val="nil"/>
              <w:left w:val="nil"/>
              <w:bottom w:val="single" w:sz="4" w:space="0" w:color="auto"/>
              <w:right w:val="nil"/>
            </w:tcBorders>
            <w:shd w:val="clear" w:color="auto" w:fill="auto"/>
            <w:vAlign w:val="center"/>
            <w:hideMark/>
          </w:tcPr>
          <w:p w14:paraId="31E79DB6" w14:textId="431F08F5" w:rsidR="00E60D20" w:rsidRPr="003A115E" w:rsidRDefault="00E60D20" w:rsidP="005272BD">
            <w:pPr>
              <w:pStyle w:val="cuatexto"/>
              <w:jc w:val="right"/>
            </w:pPr>
            <w:r>
              <w:t>37,24</w:t>
            </w:r>
          </w:p>
        </w:tc>
      </w:tr>
      <w:tr w:rsidR="000A742F" w:rsidRPr="003A115E" w14:paraId="060FA6B2" w14:textId="77777777" w:rsidTr="005F3A0D">
        <w:trPr>
          <w:trHeight w:val="255"/>
        </w:trPr>
        <w:tc>
          <w:tcPr>
            <w:tcW w:w="1935" w:type="pct"/>
            <w:tcBorders>
              <w:top w:val="single" w:sz="4" w:space="0" w:color="auto"/>
              <w:left w:val="nil"/>
              <w:bottom w:val="single" w:sz="4" w:space="0" w:color="auto"/>
              <w:right w:val="nil"/>
            </w:tcBorders>
            <w:shd w:val="clear" w:color="auto" w:fill="FABF8F" w:themeFill="accent6" w:themeFillTint="99"/>
            <w:vAlign w:val="center"/>
            <w:hideMark/>
          </w:tcPr>
          <w:p w14:paraId="3F304485" w14:textId="77777777" w:rsidR="00E60D20" w:rsidRPr="003A115E" w:rsidRDefault="00E60D20" w:rsidP="005272BD">
            <w:pPr>
              <w:pStyle w:val="cuadroCabe"/>
            </w:pPr>
            <w:r>
              <w:t>Finantzaketa-ahalmena</w:t>
            </w:r>
          </w:p>
        </w:tc>
        <w:tc>
          <w:tcPr>
            <w:tcW w:w="790" w:type="pct"/>
            <w:tcBorders>
              <w:top w:val="single" w:sz="4" w:space="0" w:color="auto"/>
              <w:left w:val="nil"/>
              <w:bottom w:val="single" w:sz="4" w:space="0" w:color="auto"/>
              <w:right w:val="nil"/>
            </w:tcBorders>
            <w:shd w:val="clear" w:color="auto" w:fill="FABF8F" w:themeFill="accent6" w:themeFillTint="99"/>
            <w:vAlign w:val="center"/>
            <w:hideMark/>
          </w:tcPr>
          <w:p w14:paraId="39C177F6" w14:textId="694185C1" w:rsidR="00E60D20" w:rsidRPr="003A115E" w:rsidRDefault="00E60D20" w:rsidP="005272BD">
            <w:pPr>
              <w:pStyle w:val="cuadroCabe"/>
              <w:jc w:val="right"/>
            </w:pPr>
            <w:r>
              <w:t>37,78</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4E23E372" w14:textId="6E9F9962" w:rsidR="00E60D20" w:rsidRPr="003A115E" w:rsidRDefault="00E60D20" w:rsidP="005272BD">
            <w:pPr>
              <w:pStyle w:val="cuadroCabe"/>
              <w:jc w:val="right"/>
            </w:pPr>
            <w:r>
              <w:t>87,80</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51D96667" w14:textId="73194473" w:rsidR="00E60D20" w:rsidRPr="003A115E" w:rsidRDefault="001048EE" w:rsidP="005272BD">
            <w:pPr>
              <w:pStyle w:val="cuadroCabe"/>
              <w:jc w:val="right"/>
            </w:pPr>
            <w:r>
              <w:t>39,88</w:t>
            </w:r>
          </w:p>
        </w:tc>
        <w:tc>
          <w:tcPr>
            <w:tcW w:w="694" w:type="pct"/>
            <w:tcBorders>
              <w:top w:val="single" w:sz="4" w:space="0" w:color="auto"/>
              <w:left w:val="nil"/>
              <w:bottom w:val="single" w:sz="4" w:space="0" w:color="auto"/>
              <w:right w:val="nil"/>
            </w:tcBorders>
            <w:shd w:val="clear" w:color="auto" w:fill="FABF8F" w:themeFill="accent6" w:themeFillTint="99"/>
            <w:vAlign w:val="center"/>
            <w:hideMark/>
          </w:tcPr>
          <w:p w14:paraId="1C3A5D07" w14:textId="4981C363" w:rsidR="00E60D20" w:rsidRPr="003A115E" w:rsidRDefault="00E60D20" w:rsidP="005272BD">
            <w:pPr>
              <w:pStyle w:val="cuadroCabe"/>
              <w:jc w:val="right"/>
            </w:pPr>
            <w:r>
              <w:t>97,72</w:t>
            </w:r>
          </w:p>
        </w:tc>
      </w:tr>
    </w:tbl>
    <w:p w14:paraId="5090F16A" w14:textId="2D414996" w:rsidR="005B552E" w:rsidRPr="003A115E" w:rsidRDefault="005B552E" w:rsidP="00B739A9">
      <w:pPr>
        <w:tabs>
          <w:tab w:val="center" w:pos="2835"/>
          <w:tab w:val="center" w:pos="3969"/>
          <w:tab w:val="center" w:pos="5103"/>
          <w:tab w:val="center" w:pos="6237"/>
          <w:tab w:val="center" w:pos="7371"/>
        </w:tabs>
        <w:spacing w:before="60"/>
        <w:rPr>
          <w:rFonts w:ascii="Arial Narrow" w:hAnsi="Arial Narrow" w:cs="Arial"/>
          <w:spacing w:val="6"/>
          <w:sz w:val="16"/>
          <w:szCs w:val="16"/>
        </w:rPr>
      </w:pPr>
      <w:r>
        <w:rPr>
          <w:rFonts w:ascii="Arial Narrow" w:hAnsi="Arial Narrow"/>
          <w:sz w:val="16"/>
        </w:rPr>
        <w:t xml:space="preserve">(*) </w:t>
      </w:r>
      <w:proofErr w:type="spellStart"/>
      <w:r>
        <w:rPr>
          <w:rFonts w:ascii="Arial Narrow" w:hAnsi="Arial Narrow"/>
          <w:sz w:val="16"/>
        </w:rPr>
        <w:t>TADZNek</w:t>
      </w:r>
      <w:proofErr w:type="spellEnd"/>
      <w:r>
        <w:rPr>
          <w:rFonts w:ascii="Arial Narrow" w:hAnsi="Arial Narrow"/>
          <w:sz w:val="16"/>
        </w:rPr>
        <w:t xml:space="preserve"> 2023ko azaroan emandako datua, zuzendaritza nagusi horrek 2023ko apirilean finantza-egoerari buruz egindako txostenean jasotakoa zuzentzekoa.</w:t>
      </w:r>
    </w:p>
    <w:p w14:paraId="42F49275" w14:textId="5BC85739" w:rsidR="002A4BE9" w:rsidRPr="003A115E" w:rsidRDefault="002A4BE9" w:rsidP="00EF427F">
      <w:pPr>
        <w:tabs>
          <w:tab w:val="center" w:pos="2835"/>
          <w:tab w:val="center" w:pos="3969"/>
          <w:tab w:val="center" w:pos="5103"/>
          <w:tab w:val="center" w:pos="6237"/>
          <w:tab w:val="center" w:pos="7371"/>
        </w:tabs>
        <w:spacing w:before="80" w:after="120"/>
        <w:ind w:firstLine="284"/>
        <w:jc w:val="both"/>
        <w:rPr>
          <w:spacing w:val="6"/>
          <w:sz w:val="26"/>
          <w:szCs w:val="26"/>
        </w:rPr>
      </w:pPr>
      <w:r>
        <w:rPr>
          <w:sz w:val="26"/>
        </w:rPr>
        <w:t xml:space="preserve">b) Gastu-arauari dagokionez, 2022ko ekitaldirako gastu-araua eten zenez, ez zen epe ertainerako </w:t>
      </w:r>
      <w:proofErr w:type="spellStart"/>
      <w:r>
        <w:rPr>
          <w:sz w:val="26"/>
        </w:rPr>
        <w:t>BPGren</w:t>
      </w:r>
      <w:proofErr w:type="spellEnd"/>
      <w:r>
        <w:rPr>
          <w:sz w:val="26"/>
        </w:rPr>
        <w:t xml:space="preserve"> hazkundearen erreferentzia-tasarik ezarri ondorio horietarako. Departamentuaren txostenak ez duenez eskatutako informazioa jasotzen, ez du gastu konputagarriaren aldaketa-tasari buruzko daturik. </w:t>
      </w:r>
    </w:p>
    <w:p w14:paraId="6B223629" w14:textId="52BA8A3C"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Pr>
          <w:sz w:val="26"/>
        </w:rPr>
        <w:t>c) Zor publikoaren jasangarritasunari dagokionez, toki-sektore publikoaren zor bizia 118,56 milioikoa zen 2022ko abenduaren 31n; hau da, diru-sarrera arrunten ehuneko 13.</w:t>
      </w:r>
    </w:p>
    <w:p w14:paraId="2BC6DCB4" w14:textId="073137BA" w:rsidR="00B113F4"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Pr>
          <w:sz w:val="26"/>
        </w:rPr>
        <w:t>d) Merkataritza-zorraren jasangarritasun-araua indarrean zegoen 2022an, baina txostenak ez du haren betetzeari buruzko informaziorik ematen. Hiru hilean behin Ogasun Ministerioak gai horretaz argitaratzen duen informazioan azaltzen dira Nafarroako 79tik 91ra bitarte toki-entitateri (hiruhilekoaren arabera) buruzko datuak bakarrik; alegia, soilik Nafarroako toki-entitateen ehuneko 13k igortzen dute informazio hori. Horren arabera, informazioa eman duten toki-entitateak multzoan harturik, batez besteko ordaintze-epea legez ezarritako 30 eguneko gehieneko epea baino laburragoa izan zen, argi eta garbi, urtearen lau hiruhilekoetan; eta, zehazki, laugarren hiruhilekoan 20,22 egunekoa izan zen.</w:t>
      </w:r>
    </w:p>
    <w:p w14:paraId="0225BED0" w14:textId="77777777" w:rsidR="00345C6C" w:rsidRPr="003A115E" w:rsidRDefault="00345C6C" w:rsidP="00442CCA">
      <w:pPr>
        <w:pStyle w:val="atitulo1"/>
        <w:rPr>
          <w:color w:val="auto"/>
        </w:rPr>
      </w:pPr>
      <w:bookmarkStart w:id="85" w:name="_Toc188511792"/>
      <w:r>
        <w:rPr>
          <w:color w:val="auto"/>
        </w:rPr>
        <w:lastRenderedPageBreak/>
        <w:t>VII. Kontratazio administratiboa</w:t>
      </w:r>
      <w:bookmarkEnd w:id="58"/>
      <w:bookmarkEnd w:id="59"/>
      <w:bookmarkEnd w:id="85"/>
    </w:p>
    <w:p w14:paraId="1DC1DE15" w14:textId="191B3D72" w:rsidR="0017101E" w:rsidRPr="003A115E" w:rsidRDefault="0017101E" w:rsidP="00EF33ED">
      <w:pPr>
        <w:pStyle w:val="texto"/>
      </w:pPr>
      <w:bookmarkStart w:id="86" w:name="_Toc52348296"/>
      <w:r>
        <w:t xml:space="preserve">Atal honetan, Kontratazio Publikorako Batzordeak kudeatutako kontratu-erregistroko informazioaren arabera toki-entitateek eta haien menpeko erakundeek 2022. urtean adjudikatu zituzten kontratuak aztertzen dira. Informazio horrek ez ditu barne hartzen munta txikiko kontratuetarako araubide bereziaren bitartez eginiko kontratazioak. </w:t>
      </w:r>
    </w:p>
    <w:p w14:paraId="256C37D9" w14:textId="28601DBC" w:rsidR="0017101E" w:rsidRPr="003A115E" w:rsidRDefault="0017101E" w:rsidP="00EF33ED">
      <w:pPr>
        <w:pStyle w:val="texto"/>
        <w:spacing w:after="120"/>
      </w:pPr>
      <w:r>
        <w:t>Hurrengo taulan, toki-sektore publikoaren 2022ko kontratazio-jarduera laburbiltzen da, kontratu-kopurua eta haien esleitze-zenbatekoa adierazita.</w:t>
      </w:r>
    </w:p>
    <w:p w14:paraId="590DC3B1" w14:textId="214C574F" w:rsidR="0017101E" w:rsidRPr="003A115E" w:rsidRDefault="0017101E" w:rsidP="0017101E">
      <w:pPr>
        <w:pStyle w:val="texto"/>
        <w:spacing w:after="0"/>
        <w:jc w:val="right"/>
        <w:rPr>
          <w:rFonts w:ascii="Arial Narrow" w:hAnsi="Arial Narrow"/>
          <w:sz w:val="20"/>
          <w:szCs w:val="20"/>
        </w:rPr>
      </w:pPr>
      <w:r>
        <w:rPr>
          <w:rFonts w:ascii="Arial Narrow" w:hAnsi="Arial Narrow"/>
          <w:sz w:val="20"/>
        </w:rPr>
        <w:t>(milakoak)</w:t>
      </w:r>
    </w:p>
    <w:tbl>
      <w:tblPr>
        <w:tblW w:w="5000" w:type="pct"/>
        <w:tblCellMar>
          <w:left w:w="70" w:type="dxa"/>
          <w:right w:w="70" w:type="dxa"/>
        </w:tblCellMar>
        <w:tblLook w:val="04A0" w:firstRow="1" w:lastRow="0" w:firstColumn="1" w:lastColumn="0" w:noHBand="0" w:noVBand="1"/>
      </w:tblPr>
      <w:tblGrid>
        <w:gridCol w:w="2672"/>
        <w:gridCol w:w="505"/>
        <w:gridCol w:w="727"/>
        <w:gridCol w:w="459"/>
        <w:gridCol w:w="727"/>
        <w:gridCol w:w="459"/>
        <w:gridCol w:w="727"/>
        <w:gridCol w:w="551"/>
        <w:gridCol w:w="621"/>
        <w:gridCol w:w="507"/>
        <w:gridCol w:w="833"/>
      </w:tblGrid>
      <w:tr w:rsidR="000A742F" w:rsidRPr="003A115E" w14:paraId="2F0EC89D" w14:textId="77777777" w:rsidTr="005F3A0D">
        <w:trPr>
          <w:trHeight w:val="255"/>
        </w:trPr>
        <w:tc>
          <w:tcPr>
            <w:tcW w:w="129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0E29F752" w14:textId="746C6D45" w:rsidR="00631726" w:rsidRPr="003A115E" w:rsidRDefault="00631726" w:rsidP="009E7912">
            <w:pPr>
              <w:pStyle w:val="cuadroCabe"/>
            </w:pPr>
          </w:p>
        </w:tc>
        <w:tc>
          <w:tcPr>
            <w:tcW w:w="741"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B01CA52" w14:textId="77777777" w:rsidR="00631726" w:rsidRPr="003A115E" w:rsidRDefault="00631726" w:rsidP="00CC28BD">
            <w:pPr>
              <w:pStyle w:val="cuadroCabe"/>
              <w:jc w:val="center"/>
            </w:pPr>
            <w:r>
              <w:t>Obrak</w:t>
            </w:r>
          </w:p>
        </w:tc>
        <w:tc>
          <w:tcPr>
            <w:tcW w:w="74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0EBB9B36" w14:textId="77777777" w:rsidR="00631726" w:rsidRPr="003A115E" w:rsidRDefault="00631726" w:rsidP="00CC28BD">
            <w:pPr>
              <w:pStyle w:val="cuadroCabe"/>
              <w:jc w:val="center"/>
            </w:pPr>
            <w:r>
              <w:t>Zerbitzuak</w:t>
            </w:r>
          </w:p>
        </w:tc>
        <w:tc>
          <w:tcPr>
            <w:tcW w:w="69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E3E1DFD" w14:textId="77777777" w:rsidR="00631726" w:rsidRPr="003A115E" w:rsidRDefault="00631726" w:rsidP="00CC28BD">
            <w:pPr>
              <w:pStyle w:val="cuadroCabe"/>
              <w:jc w:val="center"/>
            </w:pPr>
            <w:r>
              <w:t>Hornidurak</w:t>
            </w:r>
          </w:p>
        </w:tc>
        <w:tc>
          <w:tcPr>
            <w:tcW w:w="73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01155AA" w14:textId="4B0EF9A7" w:rsidR="00631726" w:rsidRPr="003A115E" w:rsidRDefault="00631726" w:rsidP="00CC28BD">
            <w:pPr>
              <w:pStyle w:val="cuadroCabe"/>
              <w:jc w:val="center"/>
            </w:pPr>
            <w:r>
              <w:t>Herri-lanen/zerbitzuen emakida</w:t>
            </w:r>
          </w:p>
        </w:tc>
        <w:tc>
          <w:tcPr>
            <w:tcW w:w="802"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4104407" w14:textId="77777777" w:rsidR="00631726" w:rsidRPr="003A115E" w:rsidRDefault="00631726" w:rsidP="00CC28BD">
            <w:pPr>
              <w:pStyle w:val="cuadroCabe"/>
              <w:jc w:val="center"/>
            </w:pPr>
            <w:r>
              <w:t>Guztira</w:t>
            </w:r>
          </w:p>
        </w:tc>
      </w:tr>
      <w:tr w:rsidR="000A742F" w:rsidRPr="003A115E" w14:paraId="61A1EE0E" w14:textId="77777777" w:rsidTr="005F3A0D">
        <w:trPr>
          <w:trHeight w:val="255"/>
        </w:trPr>
        <w:tc>
          <w:tcPr>
            <w:tcW w:w="1296" w:type="pct"/>
            <w:vMerge/>
            <w:shd w:val="clear" w:color="auto" w:fill="FABF8F" w:themeFill="accent6" w:themeFillTint="99"/>
            <w:vAlign w:val="center"/>
            <w:hideMark/>
          </w:tcPr>
          <w:p w14:paraId="6533037A" w14:textId="77777777" w:rsidR="00631726" w:rsidRPr="003A115E" w:rsidRDefault="00631726" w:rsidP="00631726">
            <w:pPr>
              <w:jc w:val="center"/>
              <w:rPr>
                <w:rFonts w:ascii="Arial Narrow" w:hAnsi="Arial Narrow" w:cs="Calibri"/>
                <w:sz w:val="16"/>
                <w:szCs w:val="16"/>
              </w:rPr>
            </w:pPr>
          </w:p>
        </w:tc>
        <w:tc>
          <w:tcPr>
            <w:tcW w:w="327" w:type="pct"/>
            <w:tcBorders>
              <w:top w:val="single" w:sz="4" w:space="0" w:color="auto"/>
              <w:left w:val="nil"/>
              <w:bottom w:val="nil"/>
              <w:right w:val="nil"/>
            </w:tcBorders>
            <w:shd w:val="clear" w:color="auto" w:fill="FABF8F" w:themeFill="accent6" w:themeFillTint="99"/>
            <w:vAlign w:val="center"/>
            <w:hideMark/>
          </w:tcPr>
          <w:p w14:paraId="7119545B" w14:textId="77777777" w:rsidR="00631726" w:rsidRPr="003A115E" w:rsidRDefault="00631726" w:rsidP="00631726">
            <w:pPr>
              <w:jc w:val="right"/>
              <w:rPr>
                <w:rFonts w:ascii="Arial Narrow" w:hAnsi="Arial Narrow" w:cs="Calibri"/>
                <w:sz w:val="18"/>
                <w:szCs w:val="16"/>
              </w:rPr>
            </w:pPr>
            <w:r>
              <w:rPr>
                <w:rFonts w:ascii="Arial Narrow" w:hAnsi="Arial Narrow"/>
                <w:sz w:val="18"/>
              </w:rPr>
              <w:t>Kop.</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3C61C9E" w14:textId="77777777" w:rsidR="00631726" w:rsidRPr="003A115E" w:rsidRDefault="00631726" w:rsidP="00631726">
            <w:pPr>
              <w:jc w:val="right"/>
              <w:rPr>
                <w:rFonts w:ascii="Arial Narrow" w:hAnsi="Arial Narrow" w:cs="Calibri"/>
                <w:sz w:val="18"/>
                <w:szCs w:val="16"/>
              </w:rPr>
            </w:pPr>
            <w:r>
              <w:rPr>
                <w:rFonts w:ascii="Arial Narrow" w:hAnsi="Arial Narrow"/>
                <w:sz w:val="18"/>
              </w:rPr>
              <w:t>Zenbatekoa</w:t>
            </w:r>
          </w:p>
        </w:tc>
        <w:tc>
          <w:tcPr>
            <w:tcW w:w="327" w:type="pct"/>
            <w:tcBorders>
              <w:top w:val="single" w:sz="4" w:space="0" w:color="auto"/>
              <w:left w:val="single" w:sz="2" w:space="0" w:color="auto"/>
              <w:bottom w:val="nil"/>
              <w:right w:val="nil"/>
            </w:tcBorders>
            <w:shd w:val="clear" w:color="auto" w:fill="FABF8F" w:themeFill="accent6" w:themeFillTint="99"/>
            <w:vAlign w:val="center"/>
            <w:hideMark/>
          </w:tcPr>
          <w:p w14:paraId="1244D974" w14:textId="77777777" w:rsidR="00631726" w:rsidRPr="003A115E" w:rsidRDefault="00631726" w:rsidP="00631726">
            <w:pPr>
              <w:jc w:val="right"/>
              <w:rPr>
                <w:rFonts w:ascii="Arial Narrow" w:hAnsi="Arial Narrow" w:cs="Calibri"/>
                <w:sz w:val="18"/>
                <w:szCs w:val="16"/>
              </w:rPr>
            </w:pPr>
            <w:r>
              <w:rPr>
                <w:rFonts w:ascii="Arial Narrow" w:hAnsi="Arial Narrow"/>
                <w:sz w:val="18"/>
              </w:rPr>
              <w:t>Kop.</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656FAF3" w14:textId="77777777" w:rsidR="00631726" w:rsidRPr="003A115E" w:rsidRDefault="00631726" w:rsidP="00631726">
            <w:pPr>
              <w:jc w:val="right"/>
              <w:rPr>
                <w:rFonts w:ascii="Arial Narrow" w:hAnsi="Arial Narrow" w:cs="Calibri"/>
                <w:sz w:val="18"/>
                <w:szCs w:val="16"/>
              </w:rPr>
            </w:pPr>
            <w:r>
              <w:rPr>
                <w:rFonts w:ascii="Arial Narrow" w:hAnsi="Arial Narrow"/>
                <w:sz w:val="18"/>
              </w:rPr>
              <w:t>Zenbatekoa</w:t>
            </w:r>
          </w:p>
        </w:tc>
        <w:tc>
          <w:tcPr>
            <w:tcW w:w="327" w:type="pct"/>
            <w:tcBorders>
              <w:top w:val="single" w:sz="4" w:space="0" w:color="auto"/>
              <w:left w:val="single" w:sz="2" w:space="0" w:color="auto"/>
              <w:bottom w:val="nil"/>
              <w:right w:val="nil"/>
            </w:tcBorders>
            <w:shd w:val="clear" w:color="auto" w:fill="FABF8F" w:themeFill="accent6" w:themeFillTint="99"/>
            <w:vAlign w:val="center"/>
            <w:hideMark/>
          </w:tcPr>
          <w:p w14:paraId="01E624E2" w14:textId="77777777" w:rsidR="00631726" w:rsidRPr="003A115E" w:rsidRDefault="00631726" w:rsidP="00631726">
            <w:pPr>
              <w:jc w:val="right"/>
              <w:rPr>
                <w:rFonts w:ascii="Arial Narrow" w:hAnsi="Arial Narrow" w:cs="Calibri"/>
                <w:sz w:val="18"/>
                <w:szCs w:val="16"/>
              </w:rPr>
            </w:pPr>
            <w:r>
              <w:rPr>
                <w:rFonts w:ascii="Arial Narrow" w:hAnsi="Arial Narrow"/>
                <w:sz w:val="18"/>
              </w:rPr>
              <w:t>Kop.</w:t>
            </w:r>
          </w:p>
        </w:tc>
        <w:tc>
          <w:tcPr>
            <w:tcW w:w="364" w:type="pct"/>
            <w:tcBorders>
              <w:top w:val="single" w:sz="4" w:space="0" w:color="auto"/>
              <w:left w:val="nil"/>
              <w:bottom w:val="nil"/>
              <w:right w:val="single" w:sz="2" w:space="0" w:color="auto"/>
            </w:tcBorders>
            <w:shd w:val="clear" w:color="auto" w:fill="FABF8F" w:themeFill="accent6" w:themeFillTint="99"/>
            <w:vAlign w:val="center"/>
            <w:hideMark/>
          </w:tcPr>
          <w:p w14:paraId="75219517" w14:textId="77777777" w:rsidR="00631726" w:rsidRPr="003A115E" w:rsidRDefault="00631726" w:rsidP="00631726">
            <w:pPr>
              <w:jc w:val="right"/>
              <w:rPr>
                <w:rFonts w:ascii="Arial Narrow" w:hAnsi="Arial Narrow" w:cs="Calibri"/>
                <w:sz w:val="18"/>
                <w:szCs w:val="16"/>
              </w:rPr>
            </w:pPr>
            <w:r>
              <w:rPr>
                <w:rFonts w:ascii="Arial Narrow" w:hAnsi="Arial Narrow"/>
                <w:sz w:val="18"/>
              </w:rPr>
              <w:t>Zenbatekoa</w:t>
            </w:r>
          </w:p>
        </w:tc>
        <w:tc>
          <w:tcPr>
            <w:tcW w:w="377" w:type="pct"/>
            <w:tcBorders>
              <w:top w:val="single" w:sz="4" w:space="0" w:color="auto"/>
              <w:left w:val="single" w:sz="2" w:space="0" w:color="auto"/>
              <w:bottom w:val="nil"/>
              <w:right w:val="nil"/>
            </w:tcBorders>
            <w:shd w:val="clear" w:color="auto" w:fill="FABF8F" w:themeFill="accent6" w:themeFillTint="99"/>
            <w:vAlign w:val="center"/>
            <w:hideMark/>
          </w:tcPr>
          <w:p w14:paraId="24618CE5" w14:textId="77777777" w:rsidR="00631726" w:rsidRPr="003A115E" w:rsidRDefault="00631726" w:rsidP="00631726">
            <w:pPr>
              <w:jc w:val="right"/>
              <w:rPr>
                <w:rFonts w:ascii="Arial Narrow" w:hAnsi="Arial Narrow" w:cs="Calibri"/>
                <w:sz w:val="18"/>
                <w:szCs w:val="16"/>
              </w:rPr>
            </w:pPr>
            <w:r>
              <w:rPr>
                <w:rFonts w:ascii="Arial Narrow" w:hAnsi="Arial Narrow"/>
                <w:sz w:val="18"/>
              </w:rPr>
              <w:t>Kop.</w:t>
            </w:r>
          </w:p>
        </w:tc>
        <w:tc>
          <w:tcPr>
            <w:tcW w:w="353" w:type="pct"/>
            <w:tcBorders>
              <w:top w:val="single" w:sz="4" w:space="0" w:color="auto"/>
              <w:left w:val="nil"/>
              <w:bottom w:val="nil"/>
              <w:right w:val="single" w:sz="2" w:space="0" w:color="auto"/>
            </w:tcBorders>
            <w:shd w:val="clear" w:color="auto" w:fill="FABF8F" w:themeFill="accent6" w:themeFillTint="99"/>
            <w:vAlign w:val="center"/>
            <w:hideMark/>
          </w:tcPr>
          <w:p w14:paraId="4D66E935" w14:textId="77777777" w:rsidR="00631726" w:rsidRPr="003A115E" w:rsidRDefault="00631726" w:rsidP="00631726">
            <w:pPr>
              <w:jc w:val="right"/>
              <w:rPr>
                <w:rFonts w:ascii="Arial Narrow" w:hAnsi="Arial Narrow" w:cs="Calibri"/>
                <w:sz w:val="18"/>
                <w:szCs w:val="16"/>
              </w:rPr>
            </w:pPr>
            <w:r>
              <w:rPr>
                <w:rFonts w:ascii="Arial Narrow" w:hAnsi="Arial Narrow"/>
                <w:sz w:val="18"/>
              </w:rPr>
              <w:t>Zenbatekoa</w:t>
            </w:r>
          </w:p>
        </w:tc>
        <w:tc>
          <w:tcPr>
            <w:tcW w:w="328" w:type="pct"/>
            <w:tcBorders>
              <w:top w:val="single" w:sz="4" w:space="0" w:color="auto"/>
              <w:left w:val="single" w:sz="2" w:space="0" w:color="auto"/>
              <w:bottom w:val="nil"/>
              <w:right w:val="nil"/>
            </w:tcBorders>
            <w:shd w:val="clear" w:color="auto" w:fill="FABF8F" w:themeFill="accent6" w:themeFillTint="99"/>
            <w:vAlign w:val="center"/>
            <w:hideMark/>
          </w:tcPr>
          <w:p w14:paraId="000D830E" w14:textId="77777777" w:rsidR="00631726" w:rsidRPr="003A115E" w:rsidRDefault="00631726" w:rsidP="00631726">
            <w:pPr>
              <w:jc w:val="right"/>
              <w:rPr>
                <w:rFonts w:ascii="Arial Narrow" w:hAnsi="Arial Narrow" w:cs="Calibri"/>
                <w:sz w:val="18"/>
                <w:szCs w:val="16"/>
              </w:rPr>
            </w:pPr>
            <w:r>
              <w:rPr>
                <w:rFonts w:ascii="Arial Narrow" w:hAnsi="Arial Narrow"/>
                <w:sz w:val="18"/>
              </w:rPr>
              <w:t>Kop.</w:t>
            </w:r>
          </w:p>
        </w:tc>
        <w:tc>
          <w:tcPr>
            <w:tcW w:w="474" w:type="pct"/>
            <w:tcBorders>
              <w:top w:val="single" w:sz="4" w:space="0" w:color="auto"/>
              <w:left w:val="nil"/>
              <w:bottom w:val="nil"/>
              <w:right w:val="nil"/>
            </w:tcBorders>
            <w:shd w:val="clear" w:color="auto" w:fill="FABF8F" w:themeFill="accent6" w:themeFillTint="99"/>
            <w:vAlign w:val="center"/>
            <w:hideMark/>
          </w:tcPr>
          <w:p w14:paraId="216959AC" w14:textId="77777777" w:rsidR="00631726" w:rsidRPr="003A115E" w:rsidRDefault="00631726" w:rsidP="00631726">
            <w:pPr>
              <w:jc w:val="right"/>
              <w:rPr>
                <w:rFonts w:ascii="Arial Narrow" w:hAnsi="Arial Narrow" w:cs="Calibri"/>
                <w:sz w:val="18"/>
                <w:szCs w:val="16"/>
              </w:rPr>
            </w:pPr>
            <w:r>
              <w:rPr>
                <w:rFonts w:ascii="Arial Narrow" w:hAnsi="Arial Narrow"/>
                <w:sz w:val="18"/>
              </w:rPr>
              <w:t>Zenbatekoa</w:t>
            </w:r>
          </w:p>
        </w:tc>
      </w:tr>
      <w:tr w:rsidR="000A742F" w:rsidRPr="003A115E" w14:paraId="69ADCB6E" w14:textId="77777777" w:rsidTr="00E80C67">
        <w:trPr>
          <w:trHeight w:val="198"/>
        </w:trPr>
        <w:tc>
          <w:tcPr>
            <w:tcW w:w="1296" w:type="pct"/>
            <w:tcBorders>
              <w:top w:val="nil"/>
              <w:left w:val="nil"/>
              <w:bottom w:val="single" w:sz="2" w:space="0" w:color="auto"/>
              <w:right w:val="nil"/>
            </w:tcBorders>
            <w:shd w:val="clear" w:color="auto" w:fill="auto"/>
            <w:vAlign w:val="center"/>
            <w:hideMark/>
          </w:tcPr>
          <w:p w14:paraId="1C367D02" w14:textId="77777777" w:rsidR="00631726" w:rsidRPr="003A115E" w:rsidRDefault="00631726" w:rsidP="009E7912">
            <w:pPr>
              <w:pStyle w:val="cuatexto"/>
            </w:pPr>
            <w:r>
              <w:t>Udalak</w:t>
            </w:r>
          </w:p>
        </w:tc>
        <w:tc>
          <w:tcPr>
            <w:tcW w:w="327" w:type="pct"/>
            <w:tcBorders>
              <w:top w:val="single" w:sz="4" w:space="0" w:color="auto"/>
              <w:left w:val="nil"/>
              <w:bottom w:val="single" w:sz="2" w:space="0" w:color="auto"/>
              <w:right w:val="nil"/>
            </w:tcBorders>
            <w:shd w:val="clear" w:color="auto" w:fill="auto"/>
            <w:noWrap/>
            <w:vAlign w:val="center"/>
            <w:hideMark/>
          </w:tcPr>
          <w:p w14:paraId="71667B1C" w14:textId="32AEB1E3" w:rsidR="00631726" w:rsidRPr="003A115E" w:rsidRDefault="00631726" w:rsidP="009E7912">
            <w:pPr>
              <w:pStyle w:val="cuatexto"/>
              <w:jc w:val="right"/>
            </w:pPr>
            <w:r>
              <w:t>302</w:t>
            </w:r>
          </w:p>
        </w:tc>
        <w:tc>
          <w:tcPr>
            <w:tcW w:w="414" w:type="pct"/>
            <w:tcBorders>
              <w:top w:val="single" w:sz="4" w:space="0" w:color="auto"/>
              <w:left w:val="nil"/>
              <w:bottom w:val="single" w:sz="2" w:space="0" w:color="auto"/>
              <w:right w:val="single" w:sz="2" w:space="0" w:color="auto"/>
            </w:tcBorders>
            <w:shd w:val="clear" w:color="auto" w:fill="auto"/>
            <w:noWrap/>
            <w:vAlign w:val="center"/>
            <w:hideMark/>
          </w:tcPr>
          <w:p w14:paraId="038DC2A8" w14:textId="3EDE4F91" w:rsidR="00631726" w:rsidRPr="003A115E" w:rsidRDefault="00631726" w:rsidP="009E7912">
            <w:pPr>
              <w:pStyle w:val="cuatexto"/>
              <w:jc w:val="right"/>
            </w:pPr>
            <w:r>
              <w:t>72.239</w:t>
            </w:r>
          </w:p>
        </w:tc>
        <w:tc>
          <w:tcPr>
            <w:tcW w:w="327" w:type="pct"/>
            <w:tcBorders>
              <w:top w:val="single" w:sz="4" w:space="0" w:color="auto"/>
              <w:left w:val="single" w:sz="2" w:space="0" w:color="auto"/>
              <w:bottom w:val="single" w:sz="2" w:space="0" w:color="auto"/>
              <w:right w:val="nil"/>
            </w:tcBorders>
            <w:shd w:val="clear" w:color="auto" w:fill="auto"/>
            <w:noWrap/>
            <w:vAlign w:val="center"/>
            <w:hideMark/>
          </w:tcPr>
          <w:p w14:paraId="707166A5" w14:textId="0498FADF" w:rsidR="00631726" w:rsidRPr="003A115E" w:rsidRDefault="00631726" w:rsidP="009E7912">
            <w:pPr>
              <w:pStyle w:val="cuatexto"/>
              <w:jc w:val="right"/>
            </w:pPr>
            <w:r>
              <w:t>151</w:t>
            </w:r>
          </w:p>
        </w:tc>
        <w:tc>
          <w:tcPr>
            <w:tcW w:w="414" w:type="pct"/>
            <w:tcBorders>
              <w:top w:val="single" w:sz="4" w:space="0" w:color="auto"/>
              <w:left w:val="nil"/>
              <w:bottom w:val="single" w:sz="2" w:space="0" w:color="auto"/>
              <w:right w:val="single" w:sz="2" w:space="0" w:color="auto"/>
            </w:tcBorders>
            <w:shd w:val="clear" w:color="auto" w:fill="auto"/>
            <w:noWrap/>
            <w:vAlign w:val="center"/>
            <w:hideMark/>
          </w:tcPr>
          <w:p w14:paraId="497BA9F3" w14:textId="68B49E0B" w:rsidR="00631726" w:rsidRPr="003A115E" w:rsidRDefault="00631726" w:rsidP="009E7912">
            <w:pPr>
              <w:pStyle w:val="cuatexto"/>
              <w:jc w:val="right"/>
            </w:pPr>
            <w:r>
              <w:t>27.188</w:t>
            </w:r>
          </w:p>
        </w:tc>
        <w:tc>
          <w:tcPr>
            <w:tcW w:w="327" w:type="pct"/>
            <w:tcBorders>
              <w:top w:val="single" w:sz="4" w:space="0" w:color="auto"/>
              <w:left w:val="single" w:sz="2" w:space="0" w:color="auto"/>
              <w:bottom w:val="single" w:sz="2" w:space="0" w:color="auto"/>
              <w:right w:val="nil"/>
            </w:tcBorders>
            <w:shd w:val="clear" w:color="auto" w:fill="auto"/>
            <w:noWrap/>
            <w:vAlign w:val="center"/>
            <w:hideMark/>
          </w:tcPr>
          <w:p w14:paraId="2833993C" w14:textId="07F78673" w:rsidR="00631726" w:rsidRPr="003A115E" w:rsidRDefault="00631726" w:rsidP="009E7912">
            <w:pPr>
              <w:pStyle w:val="cuatexto"/>
              <w:jc w:val="right"/>
            </w:pPr>
            <w:r>
              <w:t>63</w:t>
            </w:r>
          </w:p>
        </w:tc>
        <w:tc>
          <w:tcPr>
            <w:tcW w:w="364" w:type="pct"/>
            <w:tcBorders>
              <w:top w:val="single" w:sz="4" w:space="0" w:color="auto"/>
              <w:left w:val="nil"/>
              <w:bottom w:val="single" w:sz="2" w:space="0" w:color="auto"/>
              <w:right w:val="single" w:sz="2" w:space="0" w:color="auto"/>
            </w:tcBorders>
            <w:shd w:val="clear" w:color="auto" w:fill="auto"/>
            <w:noWrap/>
            <w:vAlign w:val="center"/>
            <w:hideMark/>
          </w:tcPr>
          <w:p w14:paraId="5E8A50FC" w14:textId="61F57E6B" w:rsidR="00631726" w:rsidRPr="003A115E" w:rsidRDefault="00631726" w:rsidP="009E7912">
            <w:pPr>
              <w:pStyle w:val="cuatexto"/>
              <w:jc w:val="right"/>
            </w:pPr>
            <w:r>
              <w:t>3.535</w:t>
            </w:r>
          </w:p>
        </w:tc>
        <w:tc>
          <w:tcPr>
            <w:tcW w:w="377" w:type="pct"/>
            <w:tcBorders>
              <w:top w:val="single" w:sz="4" w:space="0" w:color="auto"/>
              <w:left w:val="single" w:sz="2" w:space="0" w:color="auto"/>
              <w:bottom w:val="single" w:sz="2" w:space="0" w:color="auto"/>
              <w:right w:val="nil"/>
            </w:tcBorders>
            <w:shd w:val="clear" w:color="auto" w:fill="auto"/>
            <w:noWrap/>
            <w:vAlign w:val="center"/>
            <w:hideMark/>
          </w:tcPr>
          <w:p w14:paraId="7B51CA9B" w14:textId="6ADDBE6C" w:rsidR="00631726" w:rsidRPr="003A115E" w:rsidRDefault="00631726" w:rsidP="009E7912">
            <w:pPr>
              <w:pStyle w:val="cuatexto"/>
              <w:jc w:val="right"/>
            </w:pPr>
            <w:r>
              <w:t>23</w:t>
            </w:r>
          </w:p>
        </w:tc>
        <w:tc>
          <w:tcPr>
            <w:tcW w:w="353" w:type="pct"/>
            <w:tcBorders>
              <w:top w:val="single" w:sz="4" w:space="0" w:color="auto"/>
              <w:left w:val="nil"/>
              <w:bottom w:val="single" w:sz="2" w:space="0" w:color="auto"/>
              <w:right w:val="single" w:sz="2" w:space="0" w:color="auto"/>
            </w:tcBorders>
            <w:shd w:val="clear" w:color="auto" w:fill="auto"/>
            <w:noWrap/>
            <w:vAlign w:val="center"/>
            <w:hideMark/>
          </w:tcPr>
          <w:p w14:paraId="0BD68E34" w14:textId="24E48B8C" w:rsidR="00631726" w:rsidRPr="003A115E" w:rsidRDefault="00631726" w:rsidP="009E7912">
            <w:pPr>
              <w:pStyle w:val="cuatexto"/>
              <w:jc w:val="right"/>
            </w:pPr>
            <w:r>
              <w:t>3.627</w:t>
            </w:r>
          </w:p>
        </w:tc>
        <w:tc>
          <w:tcPr>
            <w:tcW w:w="328" w:type="pct"/>
            <w:tcBorders>
              <w:top w:val="single" w:sz="4" w:space="0" w:color="auto"/>
              <w:left w:val="single" w:sz="2" w:space="0" w:color="auto"/>
              <w:bottom w:val="single" w:sz="2" w:space="0" w:color="auto"/>
              <w:right w:val="nil"/>
            </w:tcBorders>
            <w:shd w:val="clear" w:color="auto" w:fill="auto"/>
            <w:noWrap/>
            <w:vAlign w:val="center"/>
            <w:hideMark/>
          </w:tcPr>
          <w:p w14:paraId="411A17F7" w14:textId="5DFAA53F" w:rsidR="00631726" w:rsidRPr="003A115E" w:rsidRDefault="00631726" w:rsidP="009E7912">
            <w:pPr>
              <w:pStyle w:val="cuatexto"/>
              <w:jc w:val="right"/>
            </w:pPr>
            <w:r>
              <w:t>539</w:t>
            </w:r>
          </w:p>
        </w:tc>
        <w:tc>
          <w:tcPr>
            <w:tcW w:w="474" w:type="pct"/>
            <w:tcBorders>
              <w:top w:val="single" w:sz="4" w:space="0" w:color="auto"/>
              <w:left w:val="nil"/>
              <w:bottom w:val="single" w:sz="2" w:space="0" w:color="auto"/>
              <w:right w:val="nil"/>
            </w:tcBorders>
            <w:shd w:val="clear" w:color="auto" w:fill="auto"/>
            <w:noWrap/>
            <w:vAlign w:val="center"/>
            <w:hideMark/>
          </w:tcPr>
          <w:p w14:paraId="2116259D" w14:textId="36692BBD" w:rsidR="00631726" w:rsidRPr="003A115E" w:rsidRDefault="00631726" w:rsidP="009E7912">
            <w:pPr>
              <w:pStyle w:val="cuatexto"/>
              <w:jc w:val="right"/>
            </w:pPr>
            <w:r>
              <w:t>106.589</w:t>
            </w:r>
          </w:p>
        </w:tc>
      </w:tr>
      <w:tr w:rsidR="000A742F" w:rsidRPr="003A115E" w14:paraId="05017BF4"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4B621B2B" w14:textId="265E4312" w:rsidR="00631726" w:rsidRPr="003A115E" w:rsidRDefault="00631726" w:rsidP="009E7912">
            <w:pPr>
              <w:pStyle w:val="cuatexto"/>
            </w:pPr>
            <w:r>
              <w:t>Kontzejuak</w:t>
            </w:r>
          </w:p>
        </w:tc>
        <w:tc>
          <w:tcPr>
            <w:tcW w:w="327" w:type="pct"/>
            <w:tcBorders>
              <w:top w:val="single" w:sz="2" w:space="0" w:color="auto"/>
              <w:left w:val="nil"/>
              <w:bottom w:val="single" w:sz="2" w:space="0" w:color="auto"/>
              <w:right w:val="nil"/>
            </w:tcBorders>
            <w:shd w:val="clear" w:color="auto" w:fill="auto"/>
            <w:noWrap/>
            <w:vAlign w:val="center"/>
            <w:hideMark/>
          </w:tcPr>
          <w:p w14:paraId="0DB92328" w14:textId="0456E88F" w:rsidR="00631726" w:rsidRPr="003A115E" w:rsidRDefault="00631726" w:rsidP="009E7912">
            <w:pPr>
              <w:pStyle w:val="cuatexto"/>
              <w:jc w:val="right"/>
            </w:pPr>
            <w:r>
              <w:t>12</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286638A" w14:textId="3309B3F5" w:rsidR="00631726" w:rsidRPr="003A115E" w:rsidRDefault="00631726" w:rsidP="009E7912">
            <w:pPr>
              <w:pStyle w:val="cuatexto"/>
              <w:jc w:val="right"/>
            </w:pPr>
            <w:r>
              <w:t>1.211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8A56CD7" w14:textId="1F2258DA" w:rsidR="00631726" w:rsidRPr="003A115E" w:rsidRDefault="00631726" w:rsidP="009E7912">
            <w:pPr>
              <w:pStyle w:val="cuatexto"/>
              <w:jc w:val="right"/>
            </w:pPr>
            <w:r>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0D4D476E" w14:textId="2DACBD54" w:rsidR="00631726" w:rsidRPr="003A115E" w:rsidRDefault="00631726" w:rsidP="009E7912">
            <w:pPr>
              <w:pStyle w:val="cuatexto"/>
              <w:jc w:val="right"/>
            </w:pPr>
            <w:r>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8B9F9D6" w14:textId="1D7873E5" w:rsidR="00631726" w:rsidRPr="003A115E" w:rsidRDefault="00631726" w:rsidP="009E7912">
            <w:pPr>
              <w:pStyle w:val="cuatexto"/>
              <w:jc w:val="right"/>
            </w:pPr>
            <w:r>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41B26D65" w14:textId="5357B046" w:rsidR="00631726" w:rsidRPr="003A115E" w:rsidRDefault="00631726" w:rsidP="009E7912">
            <w:pPr>
              <w:pStyle w:val="cuatexto"/>
              <w:jc w:val="right"/>
            </w:pPr>
            <w:r>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751B8FAF" w14:textId="697B0EC0"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3D641E2A" w14:textId="455721F0"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4E6192F" w14:textId="20C35B21" w:rsidR="00631726" w:rsidRPr="003A115E" w:rsidRDefault="00631726" w:rsidP="009E7912">
            <w:pPr>
              <w:pStyle w:val="cuatexto"/>
              <w:jc w:val="right"/>
            </w:pPr>
            <w:r>
              <w:t>12</w:t>
            </w:r>
          </w:p>
        </w:tc>
        <w:tc>
          <w:tcPr>
            <w:tcW w:w="474" w:type="pct"/>
            <w:tcBorders>
              <w:top w:val="single" w:sz="2" w:space="0" w:color="auto"/>
              <w:left w:val="nil"/>
              <w:bottom w:val="single" w:sz="2" w:space="0" w:color="auto"/>
              <w:right w:val="nil"/>
            </w:tcBorders>
            <w:shd w:val="clear" w:color="auto" w:fill="auto"/>
            <w:noWrap/>
            <w:vAlign w:val="center"/>
            <w:hideMark/>
          </w:tcPr>
          <w:p w14:paraId="4A60F771" w14:textId="68718112" w:rsidR="00631726" w:rsidRPr="003A115E" w:rsidRDefault="00631726" w:rsidP="009E7912">
            <w:pPr>
              <w:pStyle w:val="cuatexto"/>
              <w:jc w:val="right"/>
            </w:pPr>
            <w:r>
              <w:t>1.211</w:t>
            </w:r>
          </w:p>
        </w:tc>
      </w:tr>
      <w:tr w:rsidR="000A742F" w:rsidRPr="003A115E" w14:paraId="1AE4A5DD"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24FCE136" w14:textId="77777777" w:rsidR="00631726" w:rsidRPr="003A115E" w:rsidRDefault="00631726" w:rsidP="009E7912">
            <w:pPr>
              <w:pStyle w:val="cuatexto"/>
            </w:pPr>
            <w:r>
              <w:t>Batasunak</w:t>
            </w:r>
          </w:p>
        </w:tc>
        <w:tc>
          <w:tcPr>
            <w:tcW w:w="327" w:type="pct"/>
            <w:tcBorders>
              <w:top w:val="single" w:sz="2" w:space="0" w:color="auto"/>
              <w:left w:val="nil"/>
              <w:bottom w:val="single" w:sz="2" w:space="0" w:color="auto"/>
              <w:right w:val="nil"/>
            </w:tcBorders>
            <w:shd w:val="clear" w:color="auto" w:fill="auto"/>
            <w:noWrap/>
            <w:vAlign w:val="center"/>
            <w:hideMark/>
          </w:tcPr>
          <w:p w14:paraId="1458967B" w14:textId="4FA194CC" w:rsidR="00631726" w:rsidRPr="003A115E" w:rsidRDefault="00631726" w:rsidP="009E7912">
            <w:pPr>
              <w:pStyle w:val="cuatexto"/>
              <w:jc w:val="right"/>
            </w:pPr>
            <w:r>
              <w:t>6</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591B990" w14:textId="2A8C9156" w:rsidR="00631726" w:rsidRPr="003A115E" w:rsidRDefault="00631726" w:rsidP="009E7912">
            <w:pPr>
              <w:pStyle w:val="cuatexto"/>
              <w:jc w:val="right"/>
            </w:pPr>
            <w:r>
              <w:t>522</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2888AB9" w14:textId="205EC1C8" w:rsidR="00631726" w:rsidRPr="003A115E" w:rsidRDefault="00631726" w:rsidP="009E7912">
            <w:pPr>
              <w:pStyle w:val="cuatexto"/>
              <w:jc w:val="right"/>
            </w:pPr>
            <w:r>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B3ECB00" w14:textId="3083866B" w:rsidR="00631726" w:rsidRPr="003A115E" w:rsidRDefault="00631726" w:rsidP="009E7912">
            <w:pPr>
              <w:pStyle w:val="cuatexto"/>
              <w:jc w:val="right"/>
            </w:pPr>
            <w:r>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22FE9924" w14:textId="652018EE" w:rsidR="00631726" w:rsidRPr="003A115E" w:rsidRDefault="00631726" w:rsidP="009E7912">
            <w:pPr>
              <w:pStyle w:val="cuatexto"/>
              <w:jc w:val="right"/>
            </w:pPr>
            <w:r>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1C45C143" w14:textId="33E1321B" w:rsidR="00631726" w:rsidRPr="003A115E" w:rsidRDefault="00631726" w:rsidP="009E7912">
            <w:pPr>
              <w:pStyle w:val="cuatexto"/>
              <w:jc w:val="right"/>
            </w:pPr>
            <w:r>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3B13F03F" w14:textId="3B38450D"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6F4709D" w14:textId="24C7878F"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6A90F4B3" w14:textId="720788E2" w:rsidR="00631726" w:rsidRPr="003A115E" w:rsidRDefault="00631726" w:rsidP="009E7912">
            <w:pPr>
              <w:pStyle w:val="cuatexto"/>
              <w:jc w:val="right"/>
            </w:pPr>
            <w:r>
              <w:t>6</w:t>
            </w:r>
          </w:p>
        </w:tc>
        <w:tc>
          <w:tcPr>
            <w:tcW w:w="474" w:type="pct"/>
            <w:tcBorders>
              <w:top w:val="single" w:sz="2" w:space="0" w:color="auto"/>
              <w:left w:val="nil"/>
              <w:bottom w:val="single" w:sz="2" w:space="0" w:color="auto"/>
              <w:right w:val="nil"/>
            </w:tcBorders>
            <w:shd w:val="clear" w:color="auto" w:fill="auto"/>
            <w:noWrap/>
            <w:vAlign w:val="center"/>
            <w:hideMark/>
          </w:tcPr>
          <w:p w14:paraId="560863AC" w14:textId="7FD22B2A" w:rsidR="00631726" w:rsidRPr="003A115E" w:rsidRDefault="00631726" w:rsidP="009E7912">
            <w:pPr>
              <w:pStyle w:val="cuatexto"/>
              <w:jc w:val="right"/>
            </w:pPr>
            <w:r>
              <w:t>522</w:t>
            </w:r>
          </w:p>
        </w:tc>
      </w:tr>
      <w:tr w:rsidR="000A742F" w:rsidRPr="003A115E" w14:paraId="01BB86FA"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50BBC3BC" w14:textId="77777777" w:rsidR="00631726" w:rsidRPr="003A115E" w:rsidRDefault="00631726" w:rsidP="009E7912">
            <w:pPr>
              <w:pStyle w:val="cuatexto"/>
            </w:pPr>
            <w:r>
              <w:t>Mankomunitateak</w:t>
            </w:r>
          </w:p>
        </w:tc>
        <w:tc>
          <w:tcPr>
            <w:tcW w:w="327" w:type="pct"/>
            <w:tcBorders>
              <w:top w:val="single" w:sz="2" w:space="0" w:color="auto"/>
              <w:left w:val="nil"/>
              <w:bottom w:val="single" w:sz="2" w:space="0" w:color="auto"/>
              <w:right w:val="nil"/>
            </w:tcBorders>
            <w:shd w:val="clear" w:color="auto" w:fill="auto"/>
            <w:noWrap/>
            <w:vAlign w:val="center"/>
            <w:hideMark/>
          </w:tcPr>
          <w:p w14:paraId="4E50E2D4" w14:textId="6986DCB8" w:rsidR="00631726" w:rsidRPr="003A115E" w:rsidRDefault="00631726" w:rsidP="009E7912">
            <w:pPr>
              <w:pStyle w:val="cuatexto"/>
              <w:jc w:val="right"/>
            </w:pPr>
            <w:r>
              <w:t>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01ACF90" w14:textId="09101908" w:rsidR="00631726" w:rsidRPr="003A115E" w:rsidRDefault="00631726" w:rsidP="009E7912">
            <w:pPr>
              <w:pStyle w:val="cuatexto"/>
              <w:jc w:val="right"/>
            </w:pPr>
            <w:r>
              <w:t>2.943</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F99740B" w14:textId="294A4EE9" w:rsidR="00631726" w:rsidRPr="003A115E" w:rsidRDefault="00631726" w:rsidP="009E7912">
            <w:pPr>
              <w:pStyle w:val="cuatexto"/>
              <w:jc w:val="right"/>
            </w:pPr>
            <w:r>
              <w:t>17</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D05B4B1" w14:textId="075188D5" w:rsidR="00631726" w:rsidRPr="003A115E" w:rsidRDefault="00631726" w:rsidP="009E7912">
            <w:pPr>
              <w:pStyle w:val="cuatexto"/>
              <w:jc w:val="right"/>
            </w:pPr>
            <w:r>
              <w:t>3.131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0EF1DD52" w14:textId="01F81499" w:rsidR="00631726" w:rsidRPr="003A115E" w:rsidRDefault="00631726" w:rsidP="009E7912">
            <w:pPr>
              <w:pStyle w:val="cuatexto"/>
              <w:jc w:val="right"/>
            </w:pPr>
            <w:r>
              <w:t>13</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6FC43F5E" w14:textId="5E30509B" w:rsidR="00631726" w:rsidRPr="003A115E" w:rsidRDefault="00631726" w:rsidP="009E7912">
            <w:pPr>
              <w:pStyle w:val="cuatexto"/>
              <w:jc w:val="right"/>
            </w:pPr>
            <w:r>
              <w:t>1.113</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56BFFC46" w14:textId="24B3CE7B"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1E3DDE7A" w14:textId="5C14D07D"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68CA804" w14:textId="02077DBC" w:rsidR="00631726" w:rsidRPr="003A115E" w:rsidRDefault="00631726" w:rsidP="009E7912">
            <w:pPr>
              <w:pStyle w:val="cuatexto"/>
              <w:jc w:val="right"/>
            </w:pPr>
            <w:r>
              <w:t>35</w:t>
            </w:r>
          </w:p>
        </w:tc>
        <w:tc>
          <w:tcPr>
            <w:tcW w:w="474" w:type="pct"/>
            <w:tcBorders>
              <w:top w:val="single" w:sz="2" w:space="0" w:color="auto"/>
              <w:left w:val="nil"/>
              <w:bottom w:val="single" w:sz="2" w:space="0" w:color="auto"/>
              <w:right w:val="nil"/>
            </w:tcBorders>
            <w:shd w:val="clear" w:color="auto" w:fill="auto"/>
            <w:noWrap/>
            <w:vAlign w:val="center"/>
            <w:hideMark/>
          </w:tcPr>
          <w:p w14:paraId="1D16760D" w14:textId="69CF420E" w:rsidR="00631726" w:rsidRPr="003A115E" w:rsidRDefault="00631726" w:rsidP="009E7912">
            <w:pPr>
              <w:pStyle w:val="cuatexto"/>
              <w:jc w:val="right"/>
            </w:pPr>
            <w:r>
              <w:t>7.187</w:t>
            </w:r>
          </w:p>
        </w:tc>
      </w:tr>
      <w:tr w:rsidR="000A742F" w:rsidRPr="003A115E" w14:paraId="096B748A"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1235C56B" w14:textId="77777777" w:rsidR="00631726" w:rsidRPr="003A115E" w:rsidRDefault="00631726" w:rsidP="0186A00D">
            <w:pPr>
              <w:pStyle w:val="cuatexto"/>
              <w:rPr>
                <w:b/>
                <w:bCs/>
                <w:i/>
                <w:iCs/>
              </w:rPr>
            </w:pPr>
            <w:r>
              <w:rPr>
                <w:b/>
                <w:i/>
              </w:rPr>
              <w:t>Toki-entitateak, guztira</w:t>
            </w:r>
          </w:p>
        </w:tc>
        <w:tc>
          <w:tcPr>
            <w:tcW w:w="327" w:type="pct"/>
            <w:tcBorders>
              <w:top w:val="single" w:sz="2" w:space="0" w:color="auto"/>
              <w:left w:val="nil"/>
              <w:bottom w:val="single" w:sz="2" w:space="0" w:color="auto"/>
              <w:right w:val="nil"/>
            </w:tcBorders>
            <w:shd w:val="clear" w:color="auto" w:fill="auto"/>
            <w:noWrap/>
            <w:vAlign w:val="center"/>
            <w:hideMark/>
          </w:tcPr>
          <w:p w14:paraId="33E34DE0" w14:textId="7E46C306" w:rsidR="00631726" w:rsidRPr="003A115E" w:rsidRDefault="00631726" w:rsidP="009E7912">
            <w:pPr>
              <w:pStyle w:val="cuatexto"/>
              <w:jc w:val="right"/>
              <w:rPr>
                <w:b/>
                <w:bCs/>
                <w:i/>
                <w:iCs/>
              </w:rPr>
            </w:pPr>
            <w:r>
              <w:rPr>
                <w:b/>
                <w:i/>
              </w:rPr>
              <w:t>325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322F571A" w14:textId="5E56BB6B" w:rsidR="00631726" w:rsidRPr="003A115E" w:rsidRDefault="00631726" w:rsidP="009E7912">
            <w:pPr>
              <w:pStyle w:val="cuatexto"/>
              <w:jc w:val="right"/>
              <w:rPr>
                <w:b/>
                <w:bCs/>
                <w:i/>
                <w:iCs/>
              </w:rPr>
            </w:pPr>
            <w:r>
              <w:rPr>
                <w:b/>
                <w:i/>
              </w:rPr>
              <w:t>76.915</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5D2D5A48" w14:textId="5F5F6D82" w:rsidR="00631726" w:rsidRPr="003A115E" w:rsidRDefault="00631726" w:rsidP="009E7912">
            <w:pPr>
              <w:pStyle w:val="cuatexto"/>
              <w:jc w:val="right"/>
              <w:rPr>
                <w:b/>
                <w:bCs/>
                <w:i/>
                <w:iCs/>
              </w:rPr>
            </w:pPr>
            <w:r>
              <w:rPr>
                <w:b/>
                <w:i/>
              </w:rPr>
              <w:t>168</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FED7431" w14:textId="6E91E8A6" w:rsidR="00631726" w:rsidRPr="003A115E" w:rsidRDefault="00631726" w:rsidP="009E7912">
            <w:pPr>
              <w:pStyle w:val="cuatexto"/>
              <w:jc w:val="right"/>
              <w:rPr>
                <w:b/>
                <w:bCs/>
                <w:i/>
                <w:iCs/>
              </w:rPr>
            </w:pPr>
            <w:r>
              <w:rPr>
                <w:b/>
                <w:i/>
              </w:rPr>
              <w:t>30.319</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38F5531" w14:textId="389ACDBB" w:rsidR="00631726" w:rsidRPr="003A115E" w:rsidRDefault="00631726" w:rsidP="009E7912">
            <w:pPr>
              <w:pStyle w:val="cuatexto"/>
              <w:jc w:val="right"/>
              <w:rPr>
                <w:b/>
                <w:bCs/>
                <w:i/>
                <w:iCs/>
              </w:rPr>
            </w:pPr>
            <w:r>
              <w:rPr>
                <w:b/>
                <w:i/>
              </w:rPr>
              <w:t>76</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6CC40706" w14:textId="38E76B42" w:rsidR="00631726" w:rsidRPr="003A115E" w:rsidRDefault="00631726" w:rsidP="009E7912">
            <w:pPr>
              <w:pStyle w:val="cuatexto"/>
              <w:jc w:val="right"/>
              <w:rPr>
                <w:b/>
                <w:bCs/>
                <w:i/>
                <w:iCs/>
              </w:rPr>
            </w:pPr>
            <w:r>
              <w:rPr>
                <w:b/>
                <w:i/>
              </w:rPr>
              <w:t>4.648</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374E634C" w14:textId="2BB3B7B1" w:rsidR="00631726" w:rsidRPr="003A115E" w:rsidRDefault="00631726" w:rsidP="009E7912">
            <w:pPr>
              <w:pStyle w:val="cuatexto"/>
              <w:jc w:val="right"/>
              <w:rPr>
                <w:b/>
                <w:bCs/>
                <w:i/>
                <w:iCs/>
              </w:rPr>
            </w:pPr>
            <w:r>
              <w:rPr>
                <w:b/>
                <w:i/>
              </w:rPr>
              <w:t>23</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554426A9" w14:textId="53BF74D3" w:rsidR="00631726" w:rsidRPr="003A115E" w:rsidRDefault="00631726" w:rsidP="009E7912">
            <w:pPr>
              <w:pStyle w:val="cuatexto"/>
              <w:jc w:val="right"/>
              <w:rPr>
                <w:b/>
                <w:bCs/>
                <w:i/>
                <w:iCs/>
              </w:rPr>
            </w:pPr>
            <w:r>
              <w:rPr>
                <w:b/>
                <w:i/>
              </w:rPr>
              <w:t>3.627</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328C093F" w14:textId="3A91997F" w:rsidR="00631726" w:rsidRPr="003A115E" w:rsidRDefault="00631726" w:rsidP="009E7912">
            <w:pPr>
              <w:pStyle w:val="cuatexto"/>
              <w:jc w:val="right"/>
              <w:rPr>
                <w:b/>
                <w:bCs/>
                <w:i/>
                <w:iCs/>
              </w:rPr>
            </w:pPr>
            <w:r>
              <w:rPr>
                <w:b/>
                <w:i/>
              </w:rPr>
              <w:t>592</w:t>
            </w:r>
          </w:p>
        </w:tc>
        <w:tc>
          <w:tcPr>
            <w:tcW w:w="474" w:type="pct"/>
            <w:tcBorders>
              <w:top w:val="single" w:sz="2" w:space="0" w:color="auto"/>
              <w:left w:val="nil"/>
              <w:bottom w:val="single" w:sz="2" w:space="0" w:color="auto"/>
              <w:right w:val="nil"/>
            </w:tcBorders>
            <w:shd w:val="clear" w:color="auto" w:fill="auto"/>
            <w:noWrap/>
            <w:vAlign w:val="center"/>
            <w:hideMark/>
          </w:tcPr>
          <w:p w14:paraId="414B8649" w14:textId="52B82363" w:rsidR="00631726" w:rsidRPr="003A115E" w:rsidRDefault="00631726" w:rsidP="009E7912">
            <w:pPr>
              <w:pStyle w:val="cuatexto"/>
              <w:jc w:val="right"/>
              <w:rPr>
                <w:b/>
                <w:bCs/>
                <w:i/>
                <w:iCs/>
              </w:rPr>
            </w:pPr>
            <w:r>
              <w:rPr>
                <w:b/>
                <w:i/>
              </w:rPr>
              <w:t>115.508</w:t>
            </w:r>
          </w:p>
        </w:tc>
      </w:tr>
      <w:tr w:rsidR="000A742F" w:rsidRPr="003A115E" w14:paraId="656CB0E0" w14:textId="77777777" w:rsidTr="00E80C67">
        <w:trPr>
          <w:trHeight w:val="198"/>
        </w:trPr>
        <w:tc>
          <w:tcPr>
            <w:tcW w:w="1296" w:type="pct"/>
            <w:tcBorders>
              <w:top w:val="single" w:sz="2" w:space="0" w:color="auto"/>
              <w:left w:val="nil"/>
              <w:bottom w:val="single" w:sz="2" w:space="0" w:color="auto"/>
              <w:right w:val="nil"/>
            </w:tcBorders>
            <w:shd w:val="clear" w:color="auto" w:fill="FFFFFF" w:themeFill="background1"/>
            <w:vAlign w:val="center"/>
            <w:hideMark/>
          </w:tcPr>
          <w:p w14:paraId="7A6299B0" w14:textId="77777777" w:rsidR="00631726" w:rsidRPr="003A115E" w:rsidRDefault="00631726" w:rsidP="009E7912">
            <w:pPr>
              <w:pStyle w:val="cuatexto"/>
            </w:pPr>
            <w:r>
              <w:t>Erakunde autonomoak</w:t>
            </w:r>
          </w:p>
        </w:tc>
        <w:tc>
          <w:tcPr>
            <w:tcW w:w="327" w:type="pct"/>
            <w:tcBorders>
              <w:top w:val="single" w:sz="2" w:space="0" w:color="auto"/>
              <w:left w:val="nil"/>
              <w:bottom w:val="single" w:sz="2" w:space="0" w:color="auto"/>
              <w:right w:val="nil"/>
            </w:tcBorders>
            <w:shd w:val="clear" w:color="auto" w:fill="FFFFFF" w:themeFill="background1"/>
            <w:noWrap/>
            <w:vAlign w:val="center"/>
            <w:hideMark/>
          </w:tcPr>
          <w:p w14:paraId="33AEE0AF" w14:textId="14002318" w:rsidR="00631726" w:rsidRPr="003A115E" w:rsidRDefault="00631726" w:rsidP="009E7912">
            <w:pPr>
              <w:pStyle w:val="cuatexto"/>
              <w:jc w:val="right"/>
            </w:pPr>
            <w:r>
              <w:t>-</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56EE7B34" w14:textId="477C585A" w:rsidR="00631726" w:rsidRPr="003A115E" w:rsidRDefault="00631726" w:rsidP="009E7912">
            <w:pPr>
              <w:pStyle w:val="cuatexto"/>
              <w:jc w:val="right"/>
            </w:pPr>
            <w:r>
              <w:t>-</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15F96DBC" w14:textId="71D07249" w:rsidR="00631726" w:rsidRPr="003A115E" w:rsidRDefault="00631726" w:rsidP="009E7912">
            <w:pPr>
              <w:pStyle w:val="cuatexto"/>
              <w:jc w:val="right"/>
            </w:pPr>
            <w:r>
              <w:t>2</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1CF371BB" w14:textId="4B93E7E4" w:rsidR="00631726" w:rsidRPr="003A115E" w:rsidRDefault="00631726" w:rsidP="009E7912">
            <w:pPr>
              <w:pStyle w:val="cuatexto"/>
              <w:jc w:val="right"/>
            </w:pPr>
            <w:r>
              <w:t>123</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425EE1C2" w14:textId="5689EFC9" w:rsidR="00631726" w:rsidRPr="003A115E" w:rsidRDefault="00631726" w:rsidP="009E7912">
            <w:pPr>
              <w:pStyle w:val="cuatexto"/>
              <w:jc w:val="right"/>
            </w:pPr>
            <w:r>
              <w:t>1</w:t>
            </w:r>
          </w:p>
        </w:tc>
        <w:tc>
          <w:tcPr>
            <w:tcW w:w="36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4D07AC9D" w14:textId="7408E0B4" w:rsidR="00631726" w:rsidRPr="003A115E" w:rsidRDefault="00631726" w:rsidP="009E7912">
            <w:pPr>
              <w:pStyle w:val="cuatexto"/>
              <w:jc w:val="right"/>
            </w:pPr>
            <w:r>
              <w:t>7</w:t>
            </w:r>
          </w:p>
        </w:tc>
        <w:tc>
          <w:tcPr>
            <w:tcW w:w="37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3A75D468" w14:textId="2CB8336B" w:rsidR="00631726" w:rsidRPr="003A115E" w:rsidRDefault="00631726" w:rsidP="009E7912">
            <w:pPr>
              <w:pStyle w:val="cuatexto"/>
              <w:jc w:val="right"/>
            </w:pPr>
            <w:r>
              <w:t>1</w:t>
            </w:r>
          </w:p>
        </w:tc>
        <w:tc>
          <w:tcPr>
            <w:tcW w:w="353"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55627DA9" w14:textId="620104C0" w:rsidR="00631726" w:rsidRPr="003A115E" w:rsidRDefault="00631726" w:rsidP="009E7912">
            <w:pPr>
              <w:pStyle w:val="cuatexto"/>
              <w:jc w:val="right"/>
            </w:pPr>
            <w:r>
              <w:t>1</w:t>
            </w:r>
          </w:p>
        </w:tc>
        <w:tc>
          <w:tcPr>
            <w:tcW w:w="328"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3E7B9B1B" w14:textId="56A7AD80" w:rsidR="00631726" w:rsidRPr="003A115E" w:rsidRDefault="00631726" w:rsidP="009E7912">
            <w:pPr>
              <w:pStyle w:val="cuatexto"/>
              <w:jc w:val="right"/>
            </w:pPr>
            <w:r>
              <w:t>4</w:t>
            </w:r>
          </w:p>
        </w:tc>
        <w:tc>
          <w:tcPr>
            <w:tcW w:w="474" w:type="pct"/>
            <w:tcBorders>
              <w:top w:val="single" w:sz="2" w:space="0" w:color="auto"/>
              <w:left w:val="nil"/>
              <w:bottom w:val="single" w:sz="2" w:space="0" w:color="auto"/>
              <w:right w:val="nil"/>
            </w:tcBorders>
            <w:shd w:val="clear" w:color="auto" w:fill="FFFFFF" w:themeFill="background1"/>
            <w:noWrap/>
            <w:vAlign w:val="center"/>
            <w:hideMark/>
          </w:tcPr>
          <w:p w14:paraId="26FA2510" w14:textId="1E49B869" w:rsidR="00631726" w:rsidRPr="003A115E" w:rsidRDefault="00631726" w:rsidP="009E7912">
            <w:pPr>
              <w:pStyle w:val="cuatexto"/>
              <w:jc w:val="right"/>
            </w:pPr>
            <w:r>
              <w:t>132</w:t>
            </w:r>
          </w:p>
        </w:tc>
      </w:tr>
      <w:tr w:rsidR="000A742F" w:rsidRPr="003A115E" w14:paraId="062C273D" w14:textId="77777777" w:rsidTr="00E80C67">
        <w:trPr>
          <w:trHeight w:val="198"/>
        </w:trPr>
        <w:tc>
          <w:tcPr>
            <w:tcW w:w="1296" w:type="pct"/>
            <w:tcBorders>
              <w:top w:val="single" w:sz="2" w:space="0" w:color="auto"/>
              <w:left w:val="nil"/>
              <w:bottom w:val="single" w:sz="2" w:space="0" w:color="auto"/>
              <w:right w:val="nil"/>
            </w:tcBorders>
            <w:shd w:val="clear" w:color="auto" w:fill="FFFFFF" w:themeFill="background1"/>
            <w:vAlign w:val="center"/>
            <w:hideMark/>
          </w:tcPr>
          <w:p w14:paraId="15CA67F4" w14:textId="77777777" w:rsidR="00631726" w:rsidRPr="003A115E" w:rsidRDefault="00631726" w:rsidP="009E7912">
            <w:pPr>
              <w:pStyle w:val="cuatexto"/>
            </w:pPr>
            <w:r>
              <w:t>Enpresa-entitate publikoak</w:t>
            </w:r>
          </w:p>
        </w:tc>
        <w:tc>
          <w:tcPr>
            <w:tcW w:w="327" w:type="pct"/>
            <w:tcBorders>
              <w:top w:val="single" w:sz="2" w:space="0" w:color="auto"/>
              <w:left w:val="nil"/>
              <w:bottom w:val="single" w:sz="2" w:space="0" w:color="auto"/>
              <w:right w:val="nil"/>
            </w:tcBorders>
            <w:shd w:val="clear" w:color="auto" w:fill="FFFFFF" w:themeFill="background1"/>
            <w:noWrap/>
            <w:vAlign w:val="center"/>
            <w:hideMark/>
          </w:tcPr>
          <w:p w14:paraId="1102C8AC" w14:textId="2A3C29F8" w:rsidR="00631726" w:rsidRPr="003A115E" w:rsidRDefault="00631726" w:rsidP="009E7912">
            <w:pPr>
              <w:pStyle w:val="cuatexto"/>
              <w:jc w:val="right"/>
            </w:pPr>
            <w:r>
              <w:t>-</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32D91779" w14:textId="111B83D9" w:rsidR="00631726" w:rsidRPr="003A115E" w:rsidRDefault="00631726" w:rsidP="009E7912">
            <w:pPr>
              <w:pStyle w:val="cuatexto"/>
              <w:jc w:val="right"/>
            </w:pPr>
            <w:r>
              <w:t>-</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4D663E25" w14:textId="2C661887" w:rsidR="00631726" w:rsidRPr="003A115E" w:rsidRDefault="00631726" w:rsidP="009E7912">
            <w:pPr>
              <w:pStyle w:val="cuatexto"/>
              <w:jc w:val="right"/>
            </w:pPr>
            <w:r>
              <w:t>1</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666AEC54" w14:textId="00E3E49C" w:rsidR="00631726" w:rsidRPr="003A115E" w:rsidRDefault="00631726" w:rsidP="009E7912">
            <w:pPr>
              <w:pStyle w:val="cuatexto"/>
              <w:jc w:val="right"/>
            </w:pPr>
            <w:r>
              <w:t>12</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2EF93905" w14:textId="5E2EA515" w:rsidR="00631726" w:rsidRPr="003A115E" w:rsidRDefault="00631726" w:rsidP="009E7912">
            <w:pPr>
              <w:pStyle w:val="cuatexto"/>
              <w:jc w:val="right"/>
            </w:pPr>
            <w:r>
              <w:t>-</w:t>
            </w:r>
          </w:p>
        </w:tc>
        <w:tc>
          <w:tcPr>
            <w:tcW w:w="36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2A0D3AE0" w14:textId="506C3868" w:rsidR="00631726" w:rsidRPr="003A115E" w:rsidRDefault="00631726" w:rsidP="009E7912">
            <w:pPr>
              <w:pStyle w:val="cuatexto"/>
              <w:jc w:val="right"/>
            </w:pPr>
            <w:r>
              <w:t>-</w:t>
            </w:r>
          </w:p>
        </w:tc>
        <w:tc>
          <w:tcPr>
            <w:tcW w:w="37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589876D8" w14:textId="0167F7BD"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6C1423A5" w14:textId="31CE3070"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5BA84F5A" w14:textId="7BD0AE7B" w:rsidR="00631726" w:rsidRPr="003A115E" w:rsidRDefault="00631726" w:rsidP="009E7912">
            <w:pPr>
              <w:pStyle w:val="cuatexto"/>
              <w:jc w:val="right"/>
            </w:pPr>
            <w:r>
              <w:t>1</w:t>
            </w:r>
          </w:p>
        </w:tc>
        <w:tc>
          <w:tcPr>
            <w:tcW w:w="474" w:type="pct"/>
            <w:tcBorders>
              <w:top w:val="single" w:sz="2" w:space="0" w:color="auto"/>
              <w:left w:val="nil"/>
              <w:bottom w:val="single" w:sz="2" w:space="0" w:color="auto"/>
              <w:right w:val="nil"/>
            </w:tcBorders>
            <w:shd w:val="clear" w:color="auto" w:fill="FFFFFF" w:themeFill="background1"/>
            <w:noWrap/>
            <w:vAlign w:val="center"/>
            <w:hideMark/>
          </w:tcPr>
          <w:p w14:paraId="62F90470" w14:textId="367C29F9" w:rsidR="00631726" w:rsidRPr="003A115E" w:rsidRDefault="00631726" w:rsidP="009E7912">
            <w:pPr>
              <w:pStyle w:val="cuatexto"/>
              <w:jc w:val="right"/>
            </w:pPr>
            <w:r>
              <w:t>12</w:t>
            </w:r>
          </w:p>
        </w:tc>
      </w:tr>
      <w:tr w:rsidR="000A742F" w:rsidRPr="003A115E" w14:paraId="4E7E4380"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66EA0DE0" w14:textId="77777777" w:rsidR="00631726" w:rsidRPr="003A115E" w:rsidRDefault="00631726" w:rsidP="009E7912">
            <w:pPr>
              <w:pStyle w:val="cuatexto"/>
            </w:pPr>
            <w:r>
              <w:t>Sozietate publikoak</w:t>
            </w:r>
          </w:p>
        </w:tc>
        <w:tc>
          <w:tcPr>
            <w:tcW w:w="327" w:type="pct"/>
            <w:tcBorders>
              <w:top w:val="single" w:sz="2" w:space="0" w:color="auto"/>
              <w:left w:val="nil"/>
              <w:bottom w:val="single" w:sz="2" w:space="0" w:color="auto"/>
              <w:right w:val="nil"/>
            </w:tcBorders>
            <w:shd w:val="clear" w:color="auto" w:fill="auto"/>
            <w:noWrap/>
            <w:vAlign w:val="center"/>
            <w:hideMark/>
          </w:tcPr>
          <w:p w14:paraId="3C23257D" w14:textId="7568DE22" w:rsidR="00631726" w:rsidRPr="003A115E" w:rsidRDefault="00631726" w:rsidP="009E7912">
            <w:pPr>
              <w:pStyle w:val="cuatexto"/>
              <w:jc w:val="right"/>
            </w:pPr>
            <w:r>
              <w:t>15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B620175" w14:textId="5E52F5D1" w:rsidR="00631726" w:rsidRPr="003A115E" w:rsidRDefault="00631726" w:rsidP="009E7912">
            <w:pPr>
              <w:pStyle w:val="cuatexto"/>
              <w:jc w:val="right"/>
            </w:pPr>
            <w:r>
              <w:t>14.533</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9DE9F32" w14:textId="2272C32D" w:rsidR="00631726" w:rsidRPr="003A115E" w:rsidRDefault="00631726" w:rsidP="009E7912">
            <w:pPr>
              <w:pStyle w:val="cuatexto"/>
              <w:jc w:val="right"/>
            </w:pPr>
            <w:r>
              <w:t>35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C8E3C20" w14:textId="1C6FBAA3" w:rsidR="00631726" w:rsidRPr="003A115E" w:rsidRDefault="00631726" w:rsidP="009E7912">
            <w:pPr>
              <w:pStyle w:val="cuatexto"/>
              <w:jc w:val="right"/>
            </w:pPr>
            <w:r>
              <w:t>6.251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17A54DE0" w14:textId="14BBF072" w:rsidR="00631726" w:rsidRPr="003A115E" w:rsidRDefault="00631726" w:rsidP="009E7912">
            <w:pPr>
              <w:pStyle w:val="cuatexto"/>
              <w:jc w:val="right"/>
            </w:pPr>
            <w:r>
              <w:t>26</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3BA95155" w14:textId="778CFEB7" w:rsidR="00631726" w:rsidRPr="003A115E" w:rsidRDefault="00631726" w:rsidP="009E7912">
            <w:pPr>
              <w:pStyle w:val="cuatexto"/>
              <w:jc w:val="right"/>
            </w:pPr>
            <w:r>
              <w:t>9.051</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69A2043D" w14:textId="6D12782F"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7899A9D" w14:textId="34C9DE34"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4FD3594" w14:textId="1C12DFE3" w:rsidR="00631726" w:rsidRPr="003A115E" w:rsidRDefault="00631726" w:rsidP="009E7912">
            <w:pPr>
              <w:pStyle w:val="cuatexto"/>
              <w:jc w:val="right"/>
            </w:pPr>
            <w:r>
              <w:t>76</w:t>
            </w:r>
          </w:p>
        </w:tc>
        <w:tc>
          <w:tcPr>
            <w:tcW w:w="474" w:type="pct"/>
            <w:tcBorders>
              <w:top w:val="single" w:sz="2" w:space="0" w:color="auto"/>
              <w:left w:val="nil"/>
              <w:bottom w:val="single" w:sz="2" w:space="0" w:color="auto"/>
              <w:right w:val="nil"/>
            </w:tcBorders>
            <w:shd w:val="clear" w:color="auto" w:fill="auto"/>
            <w:noWrap/>
            <w:vAlign w:val="center"/>
            <w:hideMark/>
          </w:tcPr>
          <w:p w14:paraId="40FD3F9D" w14:textId="494B0D3C" w:rsidR="00631726" w:rsidRPr="003A115E" w:rsidRDefault="00631726" w:rsidP="009E7912">
            <w:pPr>
              <w:pStyle w:val="cuatexto"/>
              <w:jc w:val="right"/>
            </w:pPr>
            <w:r>
              <w:t>29.835</w:t>
            </w:r>
          </w:p>
        </w:tc>
      </w:tr>
      <w:tr w:rsidR="000A742F" w:rsidRPr="003A115E" w14:paraId="362B6E41"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5CF05AB1" w14:textId="77777777" w:rsidR="00631726" w:rsidRPr="003A115E" w:rsidRDefault="00631726" w:rsidP="009E7912">
            <w:pPr>
              <w:pStyle w:val="cuatexto"/>
            </w:pPr>
            <w:r>
              <w:t>Fundazioak</w:t>
            </w:r>
          </w:p>
        </w:tc>
        <w:tc>
          <w:tcPr>
            <w:tcW w:w="327" w:type="pct"/>
            <w:tcBorders>
              <w:top w:val="single" w:sz="2" w:space="0" w:color="auto"/>
              <w:left w:val="nil"/>
              <w:bottom w:val="single" w:sz="2" w:space="0" w:color="auto"/>
              <w:right w:val="nil"/>
            </w:tcBorders>
            <w:shd w:val="clear" w:color="auto" w:fill="auto"/>
            <w:noWrap/>
            <w:vAlign w:val="center"/>
            <w:hideMark/>
          </w:tcPr>
          <w:p w14:paraId="0BD4264D" w14:textId="56651BD1" w:rsidR="00631726" w:rsidRPr="003A115E" w:rsidRDefault="00631726" w:rsidP="009E7912">
            <w:pPr>
              <w:pStyle w:val="cuatexto"/>
              <w:jc w:val="right"/>
            </w:pPr>
            <w:r>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4CDFDF6" w14:textId="2C1C1282" w:rsidR="00631726" w:rsidRPr="003A115E" w:rsidRDefault="00631726" w:rsidP="009E7912">
            <w:pPr>
              <w:pStyle w:val="cuatexto"/>
              <w:jc w:val="right"/>
            </w:pPr>
            <w:r>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D94A3BA" w14:textId="0AAC6D44" w:rsidR="00631726" w:rsidRPr="003A115E" w:rsidRDefault="00631726" w:rsidP="009E7912">
            <w:pPr>
              <w:pStyle w:val="cuatexto"/>
              <w:jc w:val="right"/>
            </w:pPr>
            <w:r>
              <w:t>1</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5A59FCD9" w14:textId="5AD1CB77" w:rsidR="00631726" w:rsidRPr="003A115E" w:rsidRDefault="00631726" w:rsidP="009E7912">
            <w:pPr>
              <w:pStyle w:val="cuatexto"/>
              <w:jc w:val="right"/>
            </w:pPr>
            <w:r>
              <w:t>181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945E859" w14:textId="2C55DCBA" w:rsidR="00631726" w:rsidRPr="003A115E" w:rsidRDefault="00631726" w:rsidP="009E7912">
            <w:pPr>
              <w:pStyle w:val="cuatexto"/>
              <w:jc w:val="right"/>
            </w:pPr>
            <w:r>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19EF7E2B" w14:textId="584DE02E" w:rsidR="00631726" w:rsidRPr="003A115E" w:rsidRDefault="00631726" w:rsidP="009E7912">
            <w:pPr>
              <w:pStyle w:val="cuatexto"/>
              <w:jc w:val="right"/>
            </w:pPr>
            <w:r>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13C7F750" w14:textId="5711AA56"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79677AAC" w14:textId="04A9C55B"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11DA04AF" w14:textId="54D1DFDC" w:rsidR="00631726" w:rsidRPr="003A115E" w:rsidRDefault="00631726" w:rsidP="009E7912">
            <w:pPr>
              <w:pStyle w:val="cuatexto"/>
              <w:jc w:val="right"/>
            </w:pPr>
            <w:r>
              <w:t>1</w:t>
            </w:r>
          </w:p>
        </w:tc>
        <w:tc>
          <w:tcPr>
            <w:tcW w:w="474" w:type="pct"/>
            <w:tcBorders>
              <w:top w:val="single" w:sz="2" w:space="0" w:color="auto"/>
              <w:left w:val="nil"/>
              <w:bottom w:val="single" w:sz="2" w:space="0" w:color="auto"/>
              <w:right w:val="nil"/>
            </w:tcBorders>
            <w:shd w:val="clear" w:color="auto" w:fill="auto"/>
            <w:noWrap/>
            <w:vAlign w:val="center"/>
            <w:hideMark/>
          </w:tcPr>
          <w:p w14:paraId="73F26C23" w14:textId="31E16C27" w:rsidR="00631726" w:rsidRPr="003A115E" w:rsidRDefault="00631726" w:rsidP="009E7912">
            <w:pPr>
              <w:pStyle w:val="cuatexto"/>
              <w:jc w:val="right"/>
            </w:pPr>
            <w:r>
              <w:t>181</w:t>
            </w:r>
          </w:p>
        </w:tc>
      </w:tr>
      <w:tr w:rsidR="000A742F" w:rsidRPr="003A115E" w14:paraId="36DCC625"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3B31910D" w14:textId="77777777" w:rsidR="00631726" w:rsidRPr="003A115E" w:rsidRDefault="00631726" w:rsidP="009E7912">
            <w:pPr>
              <w:pStyle w:val="cuatexto"/>
            </w:pPr>
            <w:r>
              <w:t>Partzuergoak</w:t>
            </w:r>
          </w:p>
        </w:tc>
        <w:tc>
          <w:tcPr>
            <w:tcW w:w="327" w:type="pct"/>
            <w:tcBorders>
              <w:top w:val="single" w:sz="2" w:space="0" w:color="auto"/>
              <w:left w:val="nil"/>
              <w:bottom w:val="single" w:sz="2" w:space="0" w:color="auto"/>
              <w:right w:val="nil"/>
            </w:tcBorders>
            <w:shd w:val="clear" w:color="auto" w:fill="auto"/>
            <w:noWrap/>
            <w:vAlign w:val="center"/>
            <w:hideMark/>
          </w:tcPr>
          <w:p w14:paraId="7796669A" w14:textId="60400871" w:rsidR="00631726" w:rsidRPr="003A115E" w:rsidRDefault="00631726" w:rsidP="009E7912">
            <w:pPr>
              <w:pStyle w:val="cuatexto"/>
              <w:jc w:val="right"/>
            </w:pPr>
            <w:r>
              <w:t>1</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5FEB1BB4" w14:textId="348AE236" w:rsidR="00631726" w:rsidRPr="003A115E" w:rsidRDefault="00631726" w:rsidP="009E7912">
            <w:pPr>
              <w:pStyle w:val="cuatexto"/>
              <w:jc w:val="right"/>
            </w:pPr>
            <w:r>
              <w:t>39</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5992A8AC" w14:textId="7499425B" w:rsidR="00631726" w:rsidRPr="003A115E" w:rsidRDefault="00631726" w:rsidP="009E7912">
            <w:pPr>
              <w:pStyle w:val="cuatexto"/>
              <w:jc w:val="right"/>
            </w:pPr>
            <w:r>
              <w:t>3</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A5DB7FB" w14:textId="55CE9EA3" w:rsidR="00631726" w:rsidRPr="003A115E" w:rsidRDefault="00631726" w:rsidP="009E7912">
            <w:pPr>
              <w:pStyle w:val="cuatexto"/>
              <w:jc w:val="right"/>
            </w:pPr>
            <w:r>
              <w:t>248</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28680ECC" w14:textId="4EF7C1BF" w:rsidR="00631726" w:rsidRPr="003A115E" w:rsidRDefault="00631726" w:rsidP="009E7912">
            <w:pPr>
              <w:pStyle w:val="cuatexto"/>
              <w:jc w:val="right"/>
            </w:pPr>
            <w:r>
              <w:t>1</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3B0C7031" w14:textId="089ED213" w:rsidR="00631726" w:rsidRPr="003A115E" w:rsidRDefault="00631726" w:rsidP="009E7912">
            <w:pPr>
              <w:pStyle w:val="cuatexto"/>
              <w:jc w:val="right"/>
            </w:pPr>
            <w:r>
              <w:t>26</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6738D799" w14:textId="74797F8F" w:rsidR="00631726" w:rsidRPr="003A115E" w:rsidRDefault="00631726" w:rsidP="009E7912">
            <w:pPr>
              <w:pStyle w:val="cuatexto"/>
              <w:jc w:val="right"/>
            </w:pPr>
            <w:r>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AB3F395" w14:textId="79AE9B4F" w:rsidR="00631726" w:rsidRPr="003A115E" w:rsidRDefault="00631726" w:rsidP="009E7912">
            <w:pPr>
              <w:pStyle w:val="cuatexto"/>
              <w:jc w:val="right"/>
            </w:pPr>
            <w:r>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34945D4B" w14:textId="397D2C4E" w:rsidR="00631726" w:rsidRPr="003A115E" w:rsidRDefault="00631726" w:rsidP="009E7912">
            <w:pPr>
              <w:pStyle w:val="cuatexto"/>
              <w:jc w:val="right"/>
            </w:pPr>
            <w:r>
              <w:t>5</w:t>
            </w:r>
          </w:p>
        </w:tc>
        <w:tc>
          <w:tcPr>
            <w:tcW w:w="474" w:type="pct"/>
            <w:tcBorders>
              <w:top w:val="single" w:sz="2" w:space="0" w:color="auto"/>
              <w:left w:val="nil"/>
              <w:bottom w:val="single" w:sz="2" w:space="0" w:color="auto"/>
              <w:right w:val="nil"/>
            </w:tcBorders>
            <w:shd w:val="clear" w:color="auto" w:fill="auto"/>
            <w:noWrap/>
            <w:vAlign w:val="center"/>
            <w:hideMark/>
          </w:tcPr>
          <w:p w14:paraId="3ACBC8A2" w14:textId="774EA8C0" w:rsidR="00631726" w:rsidRPr="003A115E" w:rsidRDefault="00631726" w:rsidP="009E7912">
            <w:pPr>
              <w:pStyle w:val="cuatexto"/>
              <w:jc w:val="right"/>
            </w:pPr>
            <w:r>
              <w:t>313</w:t>
            </w:r>
          </w:p>
        </w:tc>
      </w:tr>
      <w:tr w:rsidR="000A742F" w:rsidRPr="003A115E" w14:paraId="75A08A37" w14:textId="77777777" w:rsidTr="009B06A9">
        <w:trPr>
          <w:trHeight w:val="366"/>
        </w:trPr>
        <w:tc>
          <w:tcPr>
            <w:tcW w:w="1296" w:type="pct"/>
            <w:tcBorders>
              <w:top w:val="single" w:sz="2" w:space="0" w:color="auto"/>
              <w:left w:val="nil"/>
              <w:bottom w:val="single" w:sz="4" w:space="0" w:color="auto"/>
              <w:right w:val="nil"/>
            </w:tcBorders>
            <w:shd w:val="clear" w:color="auto" w:fill="auto"/>
            <w:vAlign w:val="center"/>
            <w:hideMark/>
          </w:tcPr>
          <w:p w14:paraId="4EAA445E" w14:textId="77777777" w:rsidR="00631726" w:rsidRPr="003A115E" w:rsidRDefault="00631726" w:rsidP="0186A00D">
            <w:pPr>
              <w:pStyle w:val="cuatexto"/>
              <w:rPr>
                <w:b/>
                <w:bCs/>
                <w:i/>
                <w:iCs/>
              </w:rPr>
            </w:pPr>
            <w:r>
              <w:rPr>
                <w:b/>
                <w:i/>
              </w:rPr>
              <w:t>Menpeko erakundeak eta partzuergoak, guztira</w:t>
            </w:r>
          </w:p>
        </w:tc>
        <w:tc>
          <w:tcPr>
            <w:tcW w:w="327" w:type="pct"/>
            <w:tcBorders>
              <w:top w:val="single" w:sz="2" w:space="0" w:color="auto"/>
              <w:left w:val="nil"/>
              <w:bottom w:val="single" w:sz="4" w:space="0" w:color="auto"/>
              <w:right w:val="nil"/>
            </w:tcBorders>
            <w:shd w:val="clear" w:color="auto" w:fill="auto"/>
            <w:noWrap/>
            <w:vAlign w:val="bottom"/>
            <w:hideMark/>
          </w:tcPr>
          <w:p w14:paraId="750DBC90" w14:textId="42D901CD" w:rsidR="00631726" w:rsidRPr="003A115E" w:rsidRDefault="00631726" w:rsidP="009B06A9">
            <w:pPr>
              <w:pStyle w:val="cuatexto"/>
              <w:jc w:val="right"/>
              <w:rPr>
                <w:b/>
                <w:bCs/>
                <w:i/>
                <w:iCs/>
              </w:rPr>
            </w:pPr>
            <w:r>
              <w:rPr>
                <w:b/>
                <w:i/>
              </w:rPr>
              <w:t>16</w:t>
            </w:r>
          </w:p>
        </w:tc>
        <w:tc>
          <w:tcPr>
            <w:tcW w:w="414" w:type="pct"/>
            <w:tcBorders>
              <w:top w:val="single" w:sz="2" w:space="0" w:color="auto"/>
              <w:left w:val="nil"/>
              <w:bottom w:val="single" w:sz="4" w:space="0" w:color="auto"/>
              <w:right w:val="single" w:sz="2" w:space="0" w:color="auto"/>
            </w:tcBorders>
            <w:shd w:val="clear" w:color="auto" w:fill="auto"/>
            <w:noWrap/>
            <w:vAlign w:val="bottom"/>
            <w:hideMark/>
          </w:tcPr>
          <w:p w14:paraId="2B07C82A" w14:textId="60815B36" w:rsidR="00631726" w:rsidRPr="003A115E" w:rsidRDefault="00631726" w:rsidP="009B06A9">
            <w:pPr>
              <w:pStyle w:val="cuatexto"/>
              <w:jc w:val="right"/>
              <w:rPr>
                <w:b/>
                <w:bCs/>
                <w:i/>
                <w:iCs/>
              </w:rPr>
            </w:pPr>
            <w:r>
              <w:rPr>
                <w:b/>
                <w:i/>
              </w:rPr>
              <w:t>14.573</w:t>
            </w:r>
          </w:p>
        </w:tc>
        <w:tc>
          <w:tcPr>
            <w:tcW w:w="327" w:type="pct"/>
            <w:tcBorders>
              <w:top w:val="single" w:sz="2" w:space="0" w:color="auto"/>
              <w:left w:val="single" w:sz="2" w:space="0" w:color="auto"/>
              <w:bottom w:val="single" w:sz="4" w:space="0" w:color="auto"/>
              <w:right w:val="nil"/>
            </w:tcBorders>
            <w:shd w:val="clear" w:color="auto" w:fill="auto"/>
            <w:noWrap/>
            <w:vAlign w:val="bottom"/>
            <w:hideMark/>
          </w:tcPr>
          <w:p w14:paraId="6496C3CE" w14:textId="391CB038" w:rsidR="00631726" w:rsidRPr="003A115E" w:rsidRDefault="00631726" w:rsidP="009B06A9">
            <w:pPr>
              <w:pStyle w:val="cuatexto"/>
              <w:jc w:val="right"/>
              <w:rPr>
                <w:b/>
                <w:bCs/>
                <w:i/>
                <w:iCs/>
              </w:rPr>
            </w:pPr>
            <w:r>
              <w:rPr>
                <w:b/>
                <w:i/>
              </w:rPr>
              <w:t>42</w:t>
            </w:r>
          </w:p>
        </w:tc>
        <w:tc>
          <w:tcPr>
            <w:tcW w:w="414" w:type="pct"/>
            <w:tcBorders>
              <w:top w:val="single" w:sz="2" w:space="0" w:color="auto"/>
              <w:left w:val="nil"/>
              <w:bottom w:val="single" w:sz="4" w:space="0" w:color="auto"/>
              <w:right w:val="single" w:sz="2" w:space="0" w:color="auto"/>
            </w:tcBorders>
            <w:shd w:val="clear" w:color="auto" w:fill="auto"/>
            <w:noWrap/>
            <w:vAlign w:val="bottom"/>
            <w:hideMark/>
          </w:tcPr>
          <w:p w14:paraId="06E299CB" w14:textId="6CD4C57F" w:rsidR="00631726" w:rsidRPr="003A115E" w:rsidRDefault="00631726" w:rsidP="009B06A9">
            <w:pPr>
              <w:pStyle w:val="cuatexto"/>
              <w:jc w:val="right"/>
              <w:rPr>
                <w:b/>
                <w:bCs/>
                <w:i/>
                <w:iCs/>
              </w:rPr>
            </w:pPr>
            <w:r>
              <w:rPr>
                <w:b/>
                <w:i/>
              </w:rPr>
              <w:t>6.815</w:t>
            </w:r>
          </w:p>
        </w:tc>
        <w:tc>
          <w:tcPr>
            <w:tcW w:w="327" w:type="pct"/>
            <w:tcBorders>
              <w:top w:val="single" w:sz="2" w:space="0" w:color="auto"/>
              <w:left w:val="single" w:sz="2" w:space="0" w:color="auto"/>
              <w:bottom w:val="single" w:sz="4" w:space="0" w:color="auto"/>
              <w:right w:val="nil"/>
            </w:tcBorders>
            <w:shd w:val="clear" w:color="auto" w:fill="auto"/>
            <w:noWrap/>
            <w:vAlign w:val="bottom"/>
            <w:hideMark/>
          </w:tcPr>
          <w:p w14:paraId="3E32C010" w14:textId="37EB6D1E" w:rsidR="00631726" w:rsidRPr="003A115E" w:rsidRDefault="00631726" w:rsidP="009B06A9">
            <w:pPr>
              <w:pStyle w:val="cuatexto"/>
              <w:jc w:val="right"/>
              <w:rPr>
                <w:b/>
                <w:bCs/>
                <w:i/>
                <w:iCs/>
              </w:rPr>
            </w:pPr>
            <w:r>
              <w:rPr>
                <w:b/>
                <w:i/>
              </w:rPr>
              <w:t>28</w:t>
            </w:r>
          </w:p>
        </w:tc>
        <w:tc>
          <w:tcPr>
            <w:tcW w:w="364" w:type="pct"/>
            <w:tcBorders>
              <w:top w:val="single" w:sz="2" w:space="0" w:color="auto"/>
              <w:left w:val="nil"/>
              <w:bottom w:val="single" w:sz="4" w:space="0" w:color="auto"/>
              <w:right w:val="single" w:sz="2" w:space="0" w:color="auto"/>
            </w:tcBorders>
            <w:shd w:val="clear" w:color="auto" w:fill="auto"/>
            <w:noWrap/>
            <w:vAlign w:val="bottom"/>
            <w:hideMark/>
          </w:tcPr>
          <w:p w14:paraId="3BFEEBF2" w14:textId="0D845516" w:rsidR="00631726" w:rsidRPr="003A115E" w:rsidRDefault="00631726" w:rsidP="009B06A9">
            <w:pPr>
              <w:pStyle w:val="cuatexto"/>
              <w:jc w:val="right"/>
              <w:rPr>
                <w:b/>
                <w:bCs/>
                <w:i/>
                <w:iCs/>
              </w:rPr>
            </w:pPr>
            <w:r>
              <w:rPr>
                <w:b/>
                <w:i/>
              </w:rPr>
              <w:t>9.085</w:t>
            </w:r>
          </w:p>
        </w:tc>
        <w:tc>
          <w:tcPr>
            <w:tcW w:w="377" w:type="pct"/>
            <w:tcBorders>
              <w:top w:val="single" w:sz="2" w:space="0" w:color="auto"/>
              <w:left w:val="single" w:sz="2" w:space="0" w:color="auto"/>
              <w:bottom w:val="single" w:sz="4" w:space="0" w:color="auto"/>
              <w:right w:val="nil"/>
            </w:tcBorders>
            <w:shd w:val="clear" w:color="auto" w:fill="auto"/>
            <w:noWrap/>
            <w:vAlign w:val="bottom"/>
            <w:hideMark/>
          </w:tcPr>
          <w:p w14:paraId="3DAE7D5A" w14:textId="0B08866A" w:rsidR="00631726" w:rsidRPr="003A115E" w:rsidRDefault="00631726" w:rsidP="009B06A9">
            <w:pPr>
              <w:pStyle w:val="cuatexto"/>
              <w:jc w:val="right"/>
              <w:rPr>
                <w:b/>
                <w:bCs/>
                <w:i/>
                <w:iCs/>
              </w:rPr>
            </w:pPr>
            <w:r>
              <w:rPr>
                <w:b/>
                <w:i/>
              </w:rPr>
              <w:t>1</w:t>
            </w:r>
          </w:p>
        </w:tc>
        <w:tc>
          <w:tcPr>
            <w:tcW w:w="353" w:type="pct"/>
            <w:tcBorders>
              <w:top w:val="single" w:sz="2" w:space="0" w:color="auto"/>
              <w:left w:val="nil"/>
              <w:bottom w:val="single" w:sz="4" w:space="0" w:color="auto"/>
              <w:right w:val="single" w:sz="2" w:space="0" w:color="auto"/>
            </w:tcBorders>
            <w:shd w:val="clear" w:color="auto" w:fill="auto"/>
            <w:noWrap/>
            <w:vAlign w:val="bottom"/>
            <w:hideMark/>
          </w:tcPr>
          <w:p w14:paraId="6A0BC8C0" w14:textId="2303F8B1" w:rsidR="00631726" w:rsidRPr="003A115E" w:rsidRDefault="00631726" w:rsidP="009B06A9">
            <w:pPr>
              <w:pStyle w:val="cuatexto"/>
              <w:jc w:val="right"/>
              <w:rPr>
                <w:b/>
                <w:bCs/>
                <w:i/>
                <w:iCs/>
              </w:rPr>
            </w:pPr>
            <w:r>
              <w:rPr>
                <w:b/>
                <w:i/>
              </w:rPr>
              <w:t>1</w:t>
            </w:r>
          </w:p>
        </w:tc>
        <w:tc>
          <w:tcPr>
            <w:tcW w:w="328" w:type="pct"/>
            <w:tcBorders>
              <w:top w:val="single" w:sz="2" w:space="0" w:color="auto"/>
              <w:left w:val="single" w:sz="2" w:space="0" w:color="auto"/>
              <w:bottom w:val="single" w:sz="4" w:space="0" w:color="auto"/>
              <w:right w:val="nil"/>
            </w:tcBorders>
            <w:shd w:val="clear" w:color="auto" w:fill="auto"/>
            <w:noWrap/>
            <w:vAlign w:val="bottom"/>
            <w:hideMark/>
          </w:tcPr>
          <w:p w14:paraId="61214C88" w14:textId="437FBE24" w:rsidR="00631726" w:rsidRPr="003A115E" w:rsidRDefault="00631726" w:rsidP="009B06A9">
            <w:pPr>
              <w:pStyle w:val="cuatexto"/>
              <w:jc w:val="right"/>
              <w:rPr>
                <w:b/>
                <w:bCs/>
                <w:i/>
                <w:iCs/>
              </w:rPr>
            </w:pPr>
            <w:r>
              <w:rPr>
                <w:b/>
                <w:i/>
              </w:rPr>
              <w:t>87</w:t>
            </w:r>
          </w:p>
        </w:tc>
        <w:tc>
          <w:tcPr>
            <w:tcW w:w="474" w:type="pct"/>
            <w:tcBorders>
              <w:top w:val="single" w:sz="2" w:space="0" w:color="auto"/>
              <w:left w:val="nil"/>
              <w:bottom w:val="single" w:sz="4" w:space="0" w:color="auto"/>
              <w:right w:val="nil"/>
            </w:tcBorders>
            <w:shd w:val="clear" w:color="auto" w:fill="auto"/>
            <w:noWrap/>
            <w:vAlign w:val="bottom"/>
            <w:hideMark/>
          </w:tcPr>
          <w:p w14:paraId="5581F4FE" w14:textId="35466C2D" w:rsidR="00631726" w:rsidRPr="003A115E" w:rsidRDefault="00631726" w:rsidP="009B06A9">
            <w:pPr>
              <w:pStyle w:val="cuatexto"/>
              <w:jc w:val="right"/>
              <w:rPr>
                <w:b/>
                <w:bCs/>
                <w:i/>
                <w:iCs/>
              </w:rPr>
            </w:pPr>
            <w:r>
              <w:rPr>
                <w:b/>
                <w:i/>
              </w:rPr>
              <w:t>30.474</w:t>
            </w:r>
          </w:p>
        </w:tc>
      </w:tr>
      <w:tr w:rsidR="000A742F" w:rsidRPr="003A115E" w14:paraId="05A1931D" w14:textId="77777777" w:rsidTr="005F3A0D">
        <w:trPr>
          <w:trHeight w:val="255"/>
        </w:trPr>
        <w:tc>
          <w:tcPr>
            <w:tcW w:w="1296" w:type="pct"/>
            <w:tcBorders>
              <w:top w:val="single" w:sz="4" w:space="0" w:color="auto"/>
              <w:left w:val="nil"/>
              <w:bottom w:val="single" w:sz="4" w:space="0" w:color="auto"/>
              <w:right w:val="nil"/>
            </w:tcBorders>
            <w:shd w:val="clear" w:color="auto" w:fill="FABF8F" w:themeFill="accent6" w:themeFillTint="99"/>
            <w:noWrap/>
            <w:vAlign w:val="center"/>
            <w:hideMark/>
          </w:tcPr>
          <w:p w14:paraId="2AE346EF" w14:textId="77777777" w:rsidR="00631726" w:rsidRPr="003A115E" w:rsidRDefault="00631726" w:rsidP="009E7912">
            <w:pPr>
              <w:pStyle w:val="cuadroCabe"/>
            </w:pPr>
            <w:r>
              <w:t>Toki-sektore publikoa, guztira</w:t>
            </w:r>
          </w:p>
        </w:tc>
        <w:tc>
          <w:tcPr>
            <w:tcW w:w="327" w:type="pct"/>
            <w:tcBorders>
              <w:top w:val="single" w:sz="4" w:space="0" w:color="auto"/>
              <w:left w:val="nil"/>
              <w:bottom w:val="single" w:sz="4" w:space="0" w:color="auto"/>
              <w:right w:val="nil"/>
            </w:tcBorders>
            <w:shd w:val="clear" w:color="auto" w:fill="FABF8F" w:themeFill="accent6" w:themeFillTint="99"/>
            <w:noWrap/>
            <w:vAlign w:val="center"/>
            <w:hideMark/>
          </w:tcPr>
          <w:p w14:paraId="6C25087A" w14:textId="3D3C8478" w:rsidR="00631726" w:rsidRPr="003A115E" w:rsidRDefault="00631726" w:rsidP="00E80C67">
            <w:pPr>
              <w:pStyle w:val="cuadroCabe"/>
              <w:jc w:val="right"/>
            </w:pPr>
            <w:r>
              <w:t>341</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3C31F5D" w14:textId="434BC283" w:rsidR="00631726" w:rsidRPr="003A115E" w:rsidRDefault="00631726" w:rsidP="009E7912">
            <w:pPr>
              <w:pStyle w:val="cuadroCabe"/>
            </w:pPr>
            <w:r>
              <w:t>91.487</w:t>
            </w:r>
          </w:p>
        </w:tc>
        <w:tc>
          <w:tcPr>
            <w:tcW w:w="3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F97141E" w14:textId="47D651AE" w:rsidR="00631726" w:rsidRPr="003A115E" w:rsidRDefault="00631726" w:rsidP="00E80C67">
            <w:pPr>
              <w:pStyle w:val="cuadroCabe"/>
              <w:jc w:val="right"/>
            </w:pPr>
            <w:r>
              <w:t>210</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1EB9ADD" w14:textId="50060FCC" w:rsidR="00631726" w:rsidRPr="003A115E" w:rsidRDefault="00631726" w:rsidP="009E7912">
            <w:pPr>
              <w:pStyle w:val="cuadroCabe"/>
            </w:pPr>
            <w:r>
              <w:t>37.134</w:t>
            </w:r>
          </w:p>
        </w:tc>
        <w:tc>
          <w:tcPr>
            <w:tcW w:w="3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6A0F390" w14:textId="6D9C2031" w:rsidR="00631726" w:rsidRPr="003A115E" w:rsidRDefault="00631726" w:rsidP="00E80C67">
            <w:pPr>
              <w:pStyle w:val="cuadroCabe"/>
              <w:jc w:val="right"/>
            </w:pPr>
            <w:r>
              <w:t>104</w:t>
            </w:r>
          </w:p>
        </w:tc>
        <w:tc>
          <w:tcPr>
            <w:tcW w:w="36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ACCF14" w14:textId="296E336B" w:rsidR="00631726" w:rsidRPr="003A115E" w:rsidRDefault="00631726" w:rsidP="009E7912">
            <w:pPr>
              <w:pStyle w:val="cuadroCabe"/>
            </w:pPr>
            <w:r>
              <w:t>13.733</w:t>
            </w:r>
          </w:p>
        </w:tc>
        <w:tc>
          <w:tcPr>
            <w:tcW w:w="37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B90FE2B" w14:textId="2E95DA55" w:rsidR="00631726" w:rsidRPr="003A115E" w:rsidRDefault="00631726" w:rsidP="00E80C67">
            <w:pPr>
              <w:pStyle w:val="cuadroCabe"/>
              <w:jc w:val="right"/>
            </w:pPr>
            <w:r>
              <w:t>24</w:t>
            </w:r>
          </w:p>
        </w:tc>
        <w:tc>
          <w:tcPr>
            <w:tcW w:w="35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739188" w14:textId="1B047003" w:rsidR="00631726" w:rsidRPr="003A115E" w:rsidRDefault="00631726" w:rsidP="009E7912">
            <w:pPr>
              <w:pStyle w:val="cuadroCabe"/>
            </w:pPr>
            <w:r>
              <w:t>3.628</w:t>
            </w:r>
          </w:p>
        </w:tc>
        <w:tc>
          <w:tcPr>
            <w:tcW w:w="32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0A30D69" w14:textId="6F1571B7" w:rsidR="00631726" w:rsidRPr="003A115E" w:rsidRDefault="00631726" w:rsidP="00E80C67">
            <w:pPr>
              <w:pStyle w:val="cuadroCabe"/>
              <w:jc w:val="right"/>
            </w:pPr>
            <w:r>
              <w:t>679</w:t>
            </w:r>
          </w:p>
        </w:tc>
        <w:tc>
          <w:tcPr>
            <w:tcW w:w="474" w:type="pct"/>
            <w:tcBorders>
              <w:top w:val="single" w:sz="4" w:space="0" w:color="auto"/>
              <w:left w:val="nil"/>
              <w:bottom w:val="single" w:sz="4" w:space="0" w:color="auto"/>
              <w:right w:val="nil"/>
            </w:tcBorders>
            <w:shd w:val="clear" w:color="auto" w:fill="FABF8F" w:themeFill="accent6" w:themeFillTint="99"/>
            <w:noWrap/>
            <w:vAlign w:val="center"/>
            <w:hideMark/>
          </w:tcPr>
          <w:p w14:paraId="4A464A6A" w14:textId="54C4D8E0" w:rsidR="00631726" w:rsidRPr="003A115E" w:rsidRDefault="00631726" w:rsidP="009E7912">
            <w:pPr>
              <w:pStyle w:val="cuadroCabe"/>
            </w:pPr>
            <w:r>
              <w:t>145.982</w:t>
            </w:r>
          </w:p>
        </w:tc>
      </w:tr>
    </w:tbl>
    <w:p w14:paraId="2E4A6AD8" w14:textId="4EB0AC16" w:rsidR="0017101E" w:rsidRPr="003A115E" w:rsidRDefault="009D1EF7" w:rsidP="00664DE6">
      <w:pPr>
        <w:pStyle w:val="texto"/>
        <w:tabs>
          <w:tab w:val="left" w:pos="580"/>
        </w:tabs>
        <w:spacing w:before="240"/>
        <w:ind w:firstLine="0"/>
        <w:rPr>
          <w:w w:val="103"/>
        </w:rPr>
      </w:pPr>
      <w:r>
        <w:rPr>
          <w:rFonts w:ascii="Arial Narrow" w:hAnsi="Arial Narrow"/>
          <w:sz w:val="20"/>
        </w:rPr>
        <w:tab/>
      </w:r>
      <w:r>
        <w:t xml:space="preserve">2022an, toki-entitateek, haien menpeko entitateek eta partzuergoek, guztira, 679 kontratu esleitu zituzten, eta horien esleipenaren guztizko zenbatekoa 145,98 milioikoa izan zen. </w:t>
      </w:r>
    </w:p>
    <w:p w14:paraId="6FBCADD0" w14:textId="0BA15BC9" w:rsidR="0017101E" w:rsidRPr="003A115E" w:rsidRDefault="0017101E" w:rsidP="00EF33ED">
      <w:pPr>
        <w:pStyle w:val="texto"/>
        <w:tabs>
          <w:tab w:val="left" w:pos="2977"/>
        </w:tabs>
        <w:rPr>
          <w:w w:val="103"/>
        </w:rPr>
      </w:pPr>
      <w:r>
        <w:t>Kontratazio-jarduera udaletan eta sozietate publikoetan kontzentratzen da. Udalek kontratuen ehuneko 79 esleitu zituzten; hots, guztizko esleitze-zenbatekoaren ehuneko 73. Entitate horien kontratuetatik, ehuneko 56 obra-kontratuak dira.</w:t>
      </w:r>
    </w:p>
    <w:p w14:paraId="6FF60EB8" w14:textId="7C51A224" w:rsidR="00BD6542" w:rsidRPr="003A115E" w:rsidRDefault="0017101E" w:rsidP="31020D79">
      <w:pPr>
        <w:pStyle w:val="texto"/>
        <w:tabs>
          <w:tab w:val="left" w:pos="2977"/>
        </w:tabs>
        <w:rPr>
          <w:w w:val="103"/>
        </w:rPr>
      </w:pPr>
      <w:r>
        <w:t>Bestalde, sozietate publikoek kontratuen ehuneko 11 esleitu zituzten; horrek egiten du toki-sektore publikoak esleitutako zenbatekoaren ehuneko 20.</w:t>
      </w:r>
    </w:p>
    <w:p w14:paraId="3738393B" w14:textId="544CE33B" w:rsidR="0042557D" w:rsidRDefault="0017101E" w:rsidP="00EF33ED">
      <w:pPr>
        <w:pStyle w:val="texto"/>
        <w:tabs>
          <w:tab w:val="left" w:pos="2977"/>
        </w:tabs>
        <w:rPr>
          <w:w w:val="103"/>
        </w:rPr>
      </w:pPr>
      <w:r>
        <w:t>Beheko taulan kontratazio-jarduera bildu da, kontratu-kopurua eta esleitze-zenbatekoa adieraziz, kontratu-motaren eta esleipen-prozeduraren arabera.</w:t>
      </w:r>
    </w:p>
    <w:p w14:paraId="24B63DEE" w14:textId="77777777" w:rsidR="0042557D" w:rsidRDefault="0042557D">
      <w:pPr>
        <w:rPr>
          <w:spacing w:val="6"/>
          <w:w w:val="103"/>
          <w:sz w:val="26"/>
        </w:rPr>
      </w:pPr>
      <w:r>
        <w:br w:type="page"/>
      </w:r>
    </w:p>
    <w:p w14:paraId="7FC17160" w14:textId="1F5374E0" w:rsidR="006F66AB" w:rsidRPr="003A115E" w:rsidRDefault="006F66AB" w:rsidP="00812D02">
      <w:pPr>
        <w:pStyle w:val="texto"/>
        <w:spacing w:after="0"/>
        <w:ind w:right="-143"/>
        <w:jc w:val="right"/>
        <w:rPr>
          <w:rFonts w:ascii="Arial Narrow" w:hAnsi="Arial Narrow"/>
          <w:sz w:val="20"/>
          <w:szCs w:val="20"/>
        </w:rPr>
      </w:pPr>
      <w:r>
        <w:rPr>
          <w:rFonts w:ascii="Arial Narrow" w:hAnsi="Arial Narrow"/>
          <w:sz w:val="20"/>
        </w:rPr>
        <w:lastRenderedPageBreak/>
        <w:t>(milakoak)</w:t>
      </w:r>
    </w:p>
    <w:tbl>
      <w:tblPr>
        <w:tblW w:w="5162" w:type="pct"/>
        <w:jc w:val="center"/>
        <w:tblLayout w:type="fixed"/>
        <w:tblCellMar>
          <w:left w:w="70" w:type="dxa"/>
          <w:right w:w="70" w:type="dxa"/>
        </w:tblCellMar>
        <w:tblLook w:val="04A0" w:firstRow="1" w:lastRow="0" w:firstColumn="1" w:lastColumn="0" w:noHBand="0" w:noVBand="1"/>
      </w:tblPr>
      <w:tblGrid>
        <w:gridCol w:w="1209"/>
        <w:gridCol w:w="459"/>
        <w:gridCol w:w="833"/>
        <w:gridCol w:w="374"/>
        <w:gridCol w:w="441"/>
        <w:gridCol w:w="325"/>
        <w:gridCol w:w="475"/>
        <w:gridCol w:w="354"/>
        <w:gridCol w:w="622"/>
        <w:gridCol w:w="461"/>
        <w:gridCol w:w="691"/>
        <w:gridCol w:w="230"/>
        <w:gridCol w:w="461"/>
        <w:gridCol w:w="392"/>
        <w:gridCol w:w="461"/>
        <w:gridCol w:w="459"/>
        <w:gridCol w:w="826"/>
      </w:tblGrid>
      <w:tr w:rsidR="000A742F" w:rsidRPr="003A115E" w14:paraId="37E1CEEC" w14:textId="77777777" w:rsidTr="00FA749D">
        <w:trPr>
          <w:trHeight w:val="255"/>
          <w:jc w:val="center"/>
        </w:trPr>
        <w:tc>
          <w:tcPr>
            <w:tcW w:w="66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370A89D3" w14:textId="225E92D4" w:rsidR="0075499D" w:rsidRPr="003A115E" w:rsidRDefault="0075499D" w:rsidP="004A506D">
            <w:pPr>
              <w:pStyle w:val="cuadroCabe"/>
            </w:pPr>
          </w:p>
        </w:tc>
        <w:tc>
          <w:tcPr>
            <w:tcW w:w="712" w:type="pct"/>
            <w:gridSpan w:val="2"/>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2A563E18" w14:textId="77777777" w:rsidR="0075499D" w:rsidRPr="003A115E" w:rsidRDefault="0075499D" w:rsidP="00373140">
            <w:pPr>
              <w:pStyle w:val="cuadroCabe"/>
              <w:jc w:val="center"/>
            </w:pPr>
            <w:r>
              <w:t>Irekia</w:t>
            </w:r>
          </w:p>
        </w:tc>
        <w:tc>
          <w:tcPr>
            <w:tcW w:w="449"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998DB69" w14:textId="77777777" w:rsidR="0075499D" w:rsidRPr="003A115E" w:rsidRDefault="0075499D" w:rsidP="00216809">
            <w:pPr>
              <w:pStyle w:val="cuadroCabe"/>
              <w:jc w:val="center"/>
            </w:pPr>
            <w:r>
              <w:t>Proiektuen lehiaketa</w:t>
            </w:r>
          </w:p>
        </w:tc>
        <w:tc>
          <w:tcPr>
            <w:tcW w:w="441"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82629EF" w14:textId="77777777" w:rsidR="0075499D" w:rsidRPr="003A115E" w:rsidRDefault="0075499D" w:rsidP="00216809">
            <w:pPr>
              <w:pStyle w:val="cuadroCabe"/>
              <w:jc w:val="center"/>
            </w:pPr>
            <w:r>
              <w:t>Negoziatua</w:t>
            </w:r>
          </w:p>
        </w:tc>
        <w:tc>
          <w:tcPr>
            <w:tcW w:w="537"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B2360AF" w14:textId="77777777" w:rsidR="0075499D" w:rsidRPr="003A115E" w:rsidRDefault="0075499D" w:rsidP="00216809">
            <w:pPr>
              <w:pStyle w:val="cuadroCabe"/>
              <w:jc w:val="center"/>
            </w:pPr>
            <w:r>
              <w:t>Negoziatua, lizitazio-deialdirik gabekoa</w:t>
            </w:r>
          </w:p>
        </w:tc>
        <w:tc>
          <w:tcPr>
            <w:tcW w:w="634"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5740EF84" w14:textId="77777777" w:rsidR="0075499D" w:rsidRPr="003A115E" w:rsidRDefault="0075499D" w:rsidP="00216809">
            <w:pPr>
              <w:pStyle w:val="cuadroCabe"/>
              <w:jc w:val="center"/>
            </w:pPr>
            <w:r>
              <w:t xml:space="preserve">Prozedura </w:t>
            </w:r>
            <w:proofErr w:type="spellStart"/>
            <w:r>
              <w:t>erraztua</w:t>
            </w:r>
            <w:proofErr w:type="spellEnd"/>
          </w:p>
        </w:tc>
        <w:tc>
          <w:tcPr>
            <w:tcW w:w="380"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713181E7" w14:textId="77777777" w:rsidR="0075499D" w:rsidRPr="003A115E" w:rsidRDefault="0075499D" w:rsidP="00216809">
            <w:pPr>
              <w:pStyle w:val="cuadroCabe"/>
              <w:jc w:val="center"/>
            </w:pPr>
            <w:r>
              <w:t>Murriztua</w:t>
            </w:r>
          </w:p>
        </w:tc>
        <w:tc>
          <w:tcPr>
            <w:tcW w:w="470"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13516ACA" w14:textId="6B299962" w:rsidR="0075499D" w:rsidRPr="003A115E" w:rsidRDefault="227C7E19" w:rsidP="00216809">
            <w:pPr>
              <w:pStyle w:val="cuadroCabe"/>
              <w:jc w:val="center"/>
            </w:pPr>
            <w:r>
              <w:t>Prozedurarik gabe</w:t>
            </w:r>
            <w:r w:rsidR="0075499D" w:rsidRPr="003A115E">
              <w:rPr>
                <w:rStyle w:val="Refdenotaalpie"/>
              </w:rPr>
              <w:footnoteReference w:id="11"/>
            </w:r>
          </w:p>
        </w:tc>
        <w:tc>
          <w:tcPr>
            <w:tcW w:w="711"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357A8234" w14:textId="77777777" w:rsidR="0075499D" w:rsidRPr="003A115E" w:rsidRDefault="0075499D" w:rsidP="00216809">
            <w:pPr>
              <w:pStyle w:val="cuadroCabe"/>
              <w:jc w:val="center"/>
            </w:pPr>
            <w:r>
              <w:t>Guztira</w:t>
            </w:r>
          </w:p>
        </w:tc>
      </w:tr>
      <w:tr w:rsidR="000A742F" w:rsidRPr="003A115E" w14:paraId="0EB217EE" w14:textId="77777777" w:rsidTr="00FA749D">
        <w:trPr>
          <w:trHeight w:val="255"/>
          <w:jc w:val="center"/>
        </w:trPr>
        <w:tc>
          <w:tcPr>
            <w:tcW w:w="666" w:type="pct"/>
            <w:vMerge/>
            <w:tcBorders>
              <w:top w:val="single" w:sz="4" w:space="0" w:color="auto"/>
              <w:bottom w:val="single" w:sz="4" w:space="0" w:color="auto"/>
            </w:tcBorders>
            <w:vAlign w:val="center"/>
            <w:hideMark/>
          </w:tcPr>
          <w:p w14:paraId="6CCBF8E4" w14:textId="77777777" w:rsidR="0075499D" w:rsidRPr="003A115E" w:rsidRDefault="0075499D" w:rsidP="0075499D">
            <w:pPr>
              <w:jc w:val="center"/>
              <w:rPr>
                <w:rFonts w:ascii="Arial Narrow" w:hAnsi="Arial Narrow" w:cs="Calibri"/>
                <w:sz w:val="16"/>
                <w:szCs w:val="16"/>
              </w:rPr>
            </w:pPr>
          </w:p>
        </w:tc>
        <w:tc>
          <w:tcPr>
            <w:tcW w:w="253" w:type="pct"/>
            <w:tcBorders>
              <w:top w:val="single" w:sz="2" w:space="0" w:color="auto"/>
              <w:left w:val="nil"/>
              <w:bottom w:val="nil"/>
              <w:right w:val="nil"/>
            </w:tcBorders>
            <w:shd w:val="clear" w:color="auto" w:fill="FABF8F" w:themeFill="accent6" w:themeFillTint="99"/>
            <w:vAlign w:val="center"/>
            <w:hideMark/>
          </w:tcPr>
          <w:p w14:paraId="681835C4" w14:textId="77777777" w:rsidR="0075499D" w:rsidRPr="003A115E" w:rsidRDefault="0075499D" w:rsidP="0075499D">
            <w:pPr>
              <w:jc w:val="center"/>
              <w:rPr>
                <w:rFonts w:ascii="Arial Narrow" w:hAnsi="Arial Narrow" w:cs="Calibri"/>
                <w:sz w:val="16"/>
                <w:szCs w:val="16"/>
              </w:rPr>
            </w:pPr>
            <w:r>
              <w:rPr>
                <w:rFonts w:ascii="Arial Narrow" w:hAnsi="Arial Narrow"/>
                <w:sz w:val="16"/>
              </w:rPr>
              <w:t>Kop.</w:t>
            </w:r>
          </w:p>
        </w:tc>
        <w:tc>
          <w:tcPr>
            <w:tcW w:w="459" w:type="pct"/>
            <w:tcBorders>
              <w:top w:val="single" w:sz="2" w:space="0" w:color="auto"/>
              <w:left w:val="nil"/>
              <w:bottom w:val="nil"/>
              <w:right w:val="single" w:sz="2" w:space="0" w:color="auto"/>
            </w:tcBorders>
            <w:shd w:val="clear" w:color="auto" w:fill="FABF8F" w:themeFill="accent6" w:themeFillTint="99"/>
            <w:vAlign w:val="center"/>
            <w:hideMark/>
          </w:tcPr>
          <w:p w14:paraId="03D3929F" w14:textId="77777777" w:rsidR="0075499D" w:rsidRPr="003A115E" w:rsidRDefault="0075499D" w:rsidP="0075499D">
            <w:pPr>
              <w:jc w:val="center"/>
              <w:rPr>
                <w:rFonts w:ascii="Arial Narrow" w:hAnsi="Arial Narrow" w:cs="Calibri"/>
                <w:sz w:val="16"/>
                <w:szCs w:val="16"/>
              </w:rPr>
            </w:pPr>
            <w:r>
              <w:rPr>
                <w:rFonts w:ascii="Arial Narrow" w:hAnsi="Arial Narrow"/>
                <w:sz w:val="16"/>
              </w:rPr>
              <w:t>Zenbatekoa</w:t>
            </w:r>
          </w:p>
        </w:tc>
        <w:tc>
          <w:tcPr>
            <w:tcW w:w="206" w:type="pct"/>
            <w:tcBorders>
              <w:top w:val="single" w:sz="2" w:space="0" w:color="auto"/>
              <w:left w:val="single" w:sz="2" w:space="0" w:color="auto"/>
              <w:bottom w:val="nil"/>
              <w:right w:val="nil"/>
            </w:tcBorders>
            <w:shd w:val="clear" w:color="auto" w:fill="FABF8F" w:themeFill="accent6" w:themeFillTint="99"/>
            <w:vAlign w:val="center"/>
            <w:hideMark/>
          </w:tcPr>
          <w:p w14:paraId="66AC9F3F" w14:textId="77777777" w:rsidR="0075499D" w:rsidRPr="003A115E" w:rsidRDefault="0075499D" w:rsidP="0075499D">
            <w:pPr>
              <w:jc w:val="center"/>
              <w:rPr>
                <w:rFonts w:ascii="Arial Narrow" w:hAnsi="Arial Narrow" w:cs="Calibri"/>
                <w:sz w:val="16"/>
                <w:szCs w:val="16"/>
              </w:rPr>
            </w:pPr>
            <w:r>
              <w:rPr>
                <w:rFonts w:ascii="Arial Narrow" w:hAnsi="Arial Narrow"/>
                <w:sz w:val="16"/>
              </w:rPr>
              <w:t>Kop.</w:t>
            </w:r>
          </w:p>
        </w:tc>
        <w:tc>
          <w:tcPr>
            <w:tcW w:w="243" w:type="pct"/>
            <w:tcBorders>
              <w:top w:val="single" w:sz="2" w:space="0" w:color="auto"/>
              <w:left w:val="nil"/>
              <w:bottom w:val="nil"/>
              <w:right w:val="single" w:sz="2" w:space="0" w:color="auto"/>
            </w:tcBorders>
            <w:shd w:val="clear" w:color="auto" w:fill="FABF8F" w:themeFill="accent6" w:themeFillTint="99"/>
            <w:vAlign w:val="center"/>
            <w:hideMark/>
          </w:tcPr>
          <w:p w14:paraId="07662AA7" w14:textId="77777777" w:rsidR="0075499D" w:rsidRPr="003A115E" w:rsidRDefault="0075499D" w:rsidP="0075499D">
            <w:pPr>
              <w:jc w:val="center"/>
              <w:rPr>
                <w:rFonts w:ascii="Arial Narrow" w:hAnsi="Arial Narrow" w:cs="Calibri"/>
                <w:sz w:val="16"/>
                <w:szCs w:val="16"/>
              </w:rPr>
            </w:pPr>
            <w:r>
              <w:rPr>
                <w:rFonts w:ascii="Arial Narrow" w:hAnsi="Arial Narrow"/>
                <w:sz w:val="16"/>
              </w:rPr>
              <w:t>Zenbatekoa</w:t>
            </w:r>
          </w:p>
        </w:tc>
        <w:tc>
          <w:tcPr>
            <w:tcW w:w="179" w:type="pct"/>
            <w:tcBorders>
              <w:top w:val="single" w:sz="2" w:space="0" w:color="auto"/>
              <w:left w:val="single" w:sz="2" w:space="0" w:color="auto"/>
              <w:bottom w:val="nil"/>
              <w:right w:val="nil"/>
            </w:tcBorders>
            <w:shd w:val="clear" w:color="auto" w:fill="FABF8F" w:themeFill="accent6" w:themeFillTint="99"/>
            <w:vAlign w:val="center"/>
            <w:hideMark/>
          </w:tcPr>
          <w:p w14:paraId="757EF852" w14:textId="77777777" w:rsidR="0075499D" w:rsidRPr="003A115E" w:rsidRDefault="0075499D" w:rsidP="0075499D">
            <w:pPr>
              <w:jc w:val="center"/>
              <w:rPr>
                <w:rFonts w:ascii="Arial Narrow" w:hAnsi="Arial Narrow" w:cs="Calibri"/>
                <w:sz w:val="16"/>
                <w:szCs w:val="16"/>
              </w:rPr>
            </w:pPr>
            <w:r>
              <w:rPr>
                <w:rFonts w:ascii="Arial Narrow" w:hAnsi="Arial Narrow"/>
                <w:sz w:val="16"/>
              </w:rPr>
              <w:t>Kop.</w:t>
            </w:r>
          </w:p>
        </w:tc>
        <w:tc>
          <w:tcPr>
            <w:tcW w:w="262" w:type="pct"/>
            <w:tcBorders>
              <w:top w:val="single" w:sz="2" w:space="0" w:color="auto"/>
              <w:left w:val="nil"/>
              <w:bottom w:val="nil"/>
              <w:right w:val="single" w:sz="2" w:space="0" w:color="auto"/>
            </w:tcBorders>
            <w:shd w:val="clear" w:color="auto" w:fill="FABF8F" w:themeFill="accent6" w:themeFillTint="99"/>
            <w:vAlign w:val="center"/>
            <w:hideMark/>
          </w:tcPr>
          <w:p w14:paraId="23094FB6" w14:textId="77777777" w:rsidR="0075499D" w:rsidRPr="003A115E" w:rsidRDefault="0075499D" w:rsidP="0075499D">
            <w:pPr>
              <w:jc w:val="center"/>
              <w:rPr>
                <w:rFonts w:ascii="Arial Narrow" w:hAnsi="Arial Narrow" w:cs="Calibri"/>
                <w:sz w:val="16"/>
                <w:szCs w:val="16"/>
              </w:rPr>
            </w:pPr>
            <w:r>
              <w:rPr>
                <w:rFonts w:ascii="Arial Narrow" w:hAnsi="Arial Narrow"/>
                <w:sz w:val="16"/>
              </w:rPr>
              <w:t>Zenbatekoa</w:t>
            </w:r>
          </w:p>
        </w:tc>
        <w:tc>
          <w:tcPr>
            <w:tcW w:w="195" w:type="pct"/>
            <w:tcBorders>
              <w:top w:val="single" w:sz="2" w:space="0" w:color="auto"/>
              <w:left w:val="single" w:sz="2" w:space="0" w:color="auto"/>
              <w:bottom w:val="nil"/>
              <w:right w:val="nil"/>
            </w:tcBorders>
            <w:shd w:val="clear" w:color="auto" w:fill="FABF8F" w:themeFill="accent6" w:themeFillTint="99"/>
            <w:vAlign w:val="center"/>
            <w:hideMark/>
          </w:tcPr>
          <w:p w14:paraId="3743BE94" w14:textId="77777777" w:rsidR="0075499D" w:rsidRPr="003A115E" w:rsidRDefault="0075499D" w:rsidP="0075499D">
            <w:pPr>
              <w:jc w:val="center"/>
              <w:rPr>
                <w:rFonts w:ascii="Arial Narrow" w:hAnsi="Arial Narrow" w:cs="Calibri"/>
                <w:sz w:val="16"/>
                <w:szCs w:val="16"/>
              </w:rPr>
            </w:pPr>
            <w:r>
              <w:rPr>
                <w:rFonts w:ascii="Arial Narrow" w:hAnsi="Arial Narrow"/>
                <w:sz w:val="16"/>
              </w:rPr>
              <w:t>Kop.</w:t>
            </w:r>
          </w:p>
        </w:tc>
        <w:tc>
          <w:tcPr>
            <w:tcW w:w="343" w:type="pct"/>
            <w:tcBorders>
              <w:top w:val="single" w:sz="2" w:space="0" w:color="auto"/>
              <w:left w:val="nil"/>
              <w:bottom w:val="nil"/>
              <w:right w:val="single" w:sz="2" w:space="0" w:color="auto"/>
            </w:tcBorders>
            <w:shd w:val="clear" w:color="auto" w:fill="FABF8F" w:themeFill="accent6" w:themeFillTint="99"/>
            <w:vAlign w:val="center"/>
            <w:hideMark/>
          </w:tcPr>
          <w:p w14:paraId="3CF2F5DA" w14:textId="77777777" w:rsidR="0075499D" w:rsidRPr="003A115E" w:rsidRDefault="0075499D" w:rsidP="0075499D">
            <w:pPr>
              <w:jc w:val="center"/>
              <w:rPr>
                <w:rFonts w:ascii="Arial Narrow" w:hAnsi="Arial Narrow" w:cs="Calibri"/>
                <w:sz w:val="16"/>
                <w:szCs w:val="16"/>
              </w:rPr>
            </w:pPr>
            <w:r>
              <w:rPr>
                <w:rFonts w:ascii="Arial Narrow" w:hAnsi="Arial Narrow"/>
                <w:sz w:val="16"/>
              </w:rPr>
              <w:t>Zenbatekoa</w:t>
            </w:r>
          </w:p>
        </w:tc>
        <w:tc>
          <w:tcPr>
            <w:tcW w:w="254" w:type="pct"/>
            <w:tcBorders>
              <w:top w:val="single" w:sz="2" w:space="0" w:color="auto"/>
              <w:left w:val="single" w:sz="2" w:space="0" w:color="auto"/>
              <w:bottom w:val="nil"/>
              <w:right w:val="nil"/>
            </w:tcBorders>
            <w:shd w:val="clear" w:color="auto" w:fill="FABF8F" w:themeFill="accent6" w:themeFillTint="99"/>
            <w:vAlign w:val="center"/>
            <w:hideMark/>
          </w:tcPr>
          <w:p w14:paraId="4FCE8DFA" w14:textId="77777777" w:rsidR="0075499D" w:rsidRPr="003A115E" w:rsidRDefault="0075499D" w:rsidP="004A506D">
            <w:pPr>
              <w:jc w:val="right"/>
              <w:rPr>
                <w:rFonts w:ascii="Arial Narrow" w:hAnsi="Arial Narrow" w:cs="Calibri"/>
                <w:sz w:val="16"/>
                <w:szCs w:val="16"/>
              </w:rPr>
            </w:pPr>
            <w:r>
              <w:rPr>
                <w:rFonts w:ascii="Arial Narrow" w:hAnsi="Arial Narrow"/>
                <w:sz w:val="16"/>
              </w:rPr>
              <w:t>Kop.</w:t>
            </w:r>
          </w:p>
        </w:tc>
        <w:tc>
          <w:tcPr>
            <w:tcW w:w="381" w:type="pct"/>
            <w:tcBorders>
              <w:top w:val="single" w:sz="2" w:space="0" w:color="auto"/>
              <w:left w:val="nil"/>
              <w:bottom w:val="nil"/>
              <w:right w:val="single" w:sz="2" w:space="0" w:color="auto"/>
            </w:tcBorders>
            <w:shd w:val="clear" w:color="auto" w:fill="FABF8F" w:themeFill="accent6" w:themeFillTint="99"/>
            <w:vAlign w:val="center"/>
            <w:hideMark/>
          </w:tcPr>
          <w:p w14:paraId="42298B3C" w14:textId="77777777" w:rsidR="0075499D" w:rsidRPr="003A115E" w:rsidRDefault="0075499D" w:rsidP="004A506D">
            <w:pPr>
              <w:jc w:val="right"/>
              <w:rPr>
                <w:rFonts w:ascii="Arial Narrow" w:hAnsi="Arial Narrow" w:cs="Calibri"/>
                <w:sz w:val="16"/>
                <w:szCs w:val="16"/>
              </w:rPr>
            </w:pPr>
            <w:r>
              <w:rPr>
                <w:rFonts w:ascii="Arial Narrow" w:hAnsi="Arial Narrow"/>
                <w:sz w:val="16"/>
              </w:rPr>
              <w:t>Zenbatekoa</w:t>
            </w:r>
          </w:p>
        </w:tc>
        <w:tc>
          <w:tcPr>
            <w:tcW w:w="127" w:type="pct"/>
            <w:tcBorders>
              <w:top w:val="single" w:sz="2" w:space="0" w:color="auto"/>
              <w:left w:val="single" w:sz="2" w:space="0" w:color="auto"/>
              <w:bottom w:val="nil"/>
            </w:tcBorders>
            <w:shd w:val="clear" w:color="auto" w:fill="FABF8F" w:themeFill="accent6" w:themeFillTint="99"/>
            <w:vAlign w:val="center"/>
            <w:hideMark/>
          </w:tcPr>
          <w:p w14:paraId="4ECF475A" w14:textId="77777777" w:rsidR="0075499D" w:rsidRPr="003A115E" w:rsidRDefault="0075499D" w:rsidP="004A506D">
            <w:pPr>
              <w:jc w:val="right"/>
              <w:rPr>
                <w:rFonts w:ascii="Arial Narrow" w:hAnsi="Arial Narrow" w:cs="Calibri"/>
                <w:sz w:val="16"/>
                <w:szCs w:val="16"/>
              </w:rPr>
            </w:pPr>
            <w:r>
              <w:rPr>
                <w:rFonts w:ascii="Arial Narrow" w:hAnsi="Arial Narrow"/>
                <w:sz w:val="16"/>
              </w:rPr>
              <w:t>Kop.</w:t>
            </w:r>
          </w:p>
        </w:tc>
        <w:tc>
          <w:tcPr>
            <w:tcW w:w="254" w:type="pct"/>
            <w:tcBorders>
              <w:top w:val="single" w:sz="2" w:space="0" w:color="auto"/>
              <w:left w:val="nil"/>
              <w:bottom w:val="nil"/>
              <w:right w:val="single" w:sz="2" w:space="0" w:color="auto"/>
            </w:tcBorders>
            <w:shd w:val="clear" w:color="auto" w:fill="FABF8F" w:themeFill="accent6" w:themeFillTint="99"/>
            <w:vAlign w:val="center"/>
            <w:hideMark/>
          </w:tcPr>
          <w:p w14:paraId="00F11746" w14:textId="77777777" w:rsidR="0075499D" w:rsidRPr="003A115E" w:rsidRDefault="0075499D" w:rsidP="004A506D">
            <w:pPr>
              <w:jc w:val="right"/>
              <w:rPr>
                <w:rFonts w:ascii="Arial Narrow" w:hAnsi="Arial Narrow" w:cs="Calibri"/>
                <w:sz w:val="16"/>
                <w:szCs w:val="16"/>
              </w:rPr>
            </w:pPr>
            <w:r>
              <w:rPr>
                <w:rFonts w:ascii="Arial Narrow" w:hAnsi="Arial Narrow"/>
                <w:sz w:val="16"/>
              </w:rPr>
              <w:t>Zenbatekoa</w:t>
            </w:r>
          </w:p>
        </w:tc>
        <w:tc>
          <w:tcPr>
            <w:tcW w:w="216" w:type="pct"/>
            <w:tcBorders>
              <w:top w:val="single" w:sz="2" w:space="0" w:color="auto"/>
              <w:left w:val="single" w:sz="2" w:space="0" w:color="auto"/>
              <w:bottom w:val="nil"/>
              <w:right w:val="nil"/>
            </w:tcBorders>
            <w:shd w:val="clear" w:color="auto" w:fill="FABF8F" w:themeFill="accent6" w:themeFillTint="99"/>
            <w:vAlign w:val="center"/>
            <w:hideMark/>
          </w:tcPr>
          <w:p w14:paraId="3C168829" w14:textId="77777777" w:rsidR="0075499D" w:rsidRPr="003A115E" w:rsidRDefault="0075499D" w:rsidP="004A506D">
            <w:pPr>
              <w:jc w:val="right"/>
              <w:rPr>
                <w:rFonts w:ascii="Arial Narrow" w:hAnsi="Arial Narrow" w:cs="Calibri"/>
                <w:sz w:val="16"/>
                <w:szCs w:val="16"/>
              </w:rPr>
            </w:pPr>
            <w:r>
              <w:rPr>
                <w:rFonts w:ascii="Arial Narrow" w:hAnsi="Arial Narrow"/>
                <w:sz w:val="16"/>
              </w:rPr>
              <w:t>Kop.</w:t>
            </w:r>
          </w:p>
        </w:tc>
        <w:tc>
          <w:tcPr>
            <w:tcW w:w="254" w:type="pct"/>
            <w:tcBorders>
              <w:top w:val="single" w:sz="2" w:space="0" w:color="auto"/>
              <w:left w:val="nil"/>
              <w:bottom w:val="nil"/>
              <w:right w:val="single" w:sz="2" w:space="0" w:color="auto"/>
            </w:tcBorders>
            <w:shd w:val="clear" w:color="auto" w:fill="FABF8F" w:themeFill="accent6" w:themeFillTint="99"/>
            <w:vAlign w:val="center"/>
            <w:hideMark/>
          </w:tcPr>
          <w:p w14:paraId="47725B6C" w14:textId="77777777" w:rsidR="0075499D" w:rsidRPr="003A115E" w:rsidRDefault="0075499D" w:rsidP="004A506D">
            <w:pPr>
              <w:jc w:val="right"/>
              <w:rPr>
                <w:rFonts w:ascii="Arial Narrow" w:hAnsi="Arial Narrow" w:cs="Calibri"/>
                <w:sz w:val="16"/>
                <w:szCs w:val="16"/>
              </w:rPr>
            </w:pPr>
            <w:r>
              <w:rPr>
                <w:rFonts w:ascii="Arial Narrow" w:hAnsi="Arial Narrow"/>
                <w:sz w:val="16"/>
              </w:rPr>
              <w:t>Zenbatekoa</w:t>
            </w:r>
          </w:p>
        </w:tc>
        <w:tc>
          <w:tcPr>
            <w:tcW w:w="253" w:type="pct"/>
            <w:tcBorders>
              <w:top w:val="single" w:sz="2" w:space="0" w:color="auto"/>
              <w:left w:val="single" w:sz="2" w:space="0" w:color="auto"/>
              <w:bottom w:val="nil"/>
              <w:right w:val="nil"/>
            </w:tcBorders>
            <w:shd w:val="clear" w:color="auto" w:fill="FABF8F" w:themeFill="accent6" w:themeFillTint="99"/>
            <w:vAlign w:val="center"/>
            <w:hideMark/>
          </w:tcPr>
          <w:p w14:paraId="092A0AF7" w14:textId="77777777" w:rsidR="0075499D" w:rsidRPr="003A115E" w:rsidRDefault="0075499D" w:rsidP="004A506D">
            <w:pPr>
              <w:jc w:val="right"/>
              <w:rPr>
                <w:rFonts w:ascii="Arial Narrow" w:hAnsi="Arial Narrow" w:cs="Calibri"/>
                <w:sz w:val="16"/>
                <w:szCs w:val="16"/>
              </w:rPr>
            </w:pPr>
            <w:r>
              <w:rPr>
                <w:rFonts w:ascii="Arial Narrow" w:hAnsi="Arial Narrow"/>
                <w:sz w:val="16"/>
              </w:rPr>
              <w:t>Kop.</w:t>
            </w:r>
          </w:p>
        </w:tc>
        <w:tc>
          <w:tcPr>
            <w:tcW w:w="458" w:type="pct"/>
            <w:tcBorders>
              <w:top w:val="single" w:sz="2" w:space="0" w:color="auto"/>
              <w:left w:val="nil"/>
              <w:bottom w:val="nil"/>
              <w:right w:val="nil"/>
            </w:tcBorders>
            <w:shd w:val="clear" w:color="auto" w:fill="FABF8F" w:themeFill="accent6" w:themeFillTint="99"/>
            <w:vAlign w:val="center"/>
            <w:hideMark/>
          </w:tcPr>
          <w:p w14:paraId="2CF35935" w14:textId="77777777" w:rsidR="0075499D" w:rsidRPr="003A115E" w:rsidRDefault="0075499D" w:rsidP="004A506D">
            <w:pPr>
              <w:jc w:val="right"/>
              <w:rPr>
                <w:rFonts w:ascii="Arial Narrow" w:hAnsi="Arial Narrow" w:cs="Calibri"/>
                <w:sz w:val="16"/>
                <w:szCs w:val="16"/>
              </w:rPr>
            </w:pPr>
            <w:r>
              <w:rPr>
                <w:rFonts w:ascii="Arial Narrow" w:hAnsi="Arial Narrow"/>
                <w:sz w:val="16"/>
              </w:rPr>
              <w:t>Zenbatekoa</w:t>
            </w:r>
          </w:p>
        </w:tc>
      </w:tr>
      <w:tr w:rsidR="000A742F" w:rsidRPr="003A115E" w14:paraId="40B1B931" w14:textId="77777777" w:rsidTr="00FA749D">
        <w:trPr>
          <w:trHeight w:val="198"/>
          <w:jc w:val="center"/>
        </w:trPr>
        <w:tc>
          <w:tcPr>
            <w:tcW w:w="666" w:type="pct"/>
            <w:tcBorders>
              <w:top w:val="single" w:sz="4" w:space="0" w:color="auto"/>
              <w:left w:val="nil"/>
              <w:bottom w:val="single" w:sz="2" w:space="0" w:color="auto"/>
              <w:right w:val="nil"/>
            </w:tcBorders>
            <w:shd w:val="clear" w:color="auto" w:fill="auto"/>
            <w:vAlign w:val="center"/>
            <w:hideMark/>
          </w:tcPr>
          <w:p w14:paraId="614CB87C" w14:textId="77777777" w:rsidR="0075499D" w:rsidRPr="003A115E" w:rsidRDefault="0075499D" w:rsidP="00FA045A">
            <w:pPr>
              <w:pStyle w:val="cuatexto"/>
            </w:pPr>
            <w:r>
              <w:t>Obrak</w:t>
            </w:r>
          </w:p>
        </w:tc>
        <w:tc>
          <w:tcPr>
            <w:tcW w:w="253" w:type="pct"/>
            <w:tcBorders>
              <w:top w:val="single" w:sz="4" w:space="0" w:color="auto"/>
              <w:left w:val="nil"/>
              <w:bottom w:val="single" w:sz="2" w:space="0" w:color="auto"/>
              <w:right w:val="nil"/>
            </w:tcBorders>
            <w:shd w:val="clear" w:color="auto" w:fill="auto"/>
            <w:noWrap/>
            <w:vAlign w:val="center"/>
            <w:hideMark/>
          </w:tcPr>
          <w:p w14:paraId="574E61A2" w14:textId="5346C93C" w:rsidR="0075499D" w:rsidRPr="003A115E" w:rsidRDefault="0075499D" w:rsidP="00472474">
            <w:pPr>
              <w:pStyle w:val="cuatexto"/>
              <w:jc w:val="right"/>
            </w:pPr>
            <w:r>
              <w:t>218</w:t>
            </w:r>
          </w:p>
        </w:tc>
        <w:tc>
          <w:tcPr>
            <w:tcW w:w="459" w:type="pct"/>
            <w:tcBorders>
              <w:top w:val="single" w:sz="4" w:space="0" w:color="auto"/>
              <w:left w:val="nil"/>
              <w:bottom w:val="single" w:sz="2" w:space="0" w:color="auto"/>
              <w:right w:val="single" w:sz="2" w:space="0" w:color="auto"/>
            </w:tcBorders>
            <w:shd w:val="clear" w:color="auto" w:fill="auto"/>
            <w:noWrap/>
            <w:vAlign w:val="center"/>
            <w:hideMark/>
          </w:tcPr>
          <w:p w14:paraId="750475F7" w14:textId="4B72F0D6" w:rsidR="0075499D" w:rsidRPr="003A115E" w:rsidRDefault="0075499D" w:rsidP="00472474">
            <w:pPr>
              <w:pStyle w:val="cuatexto"/>
              <w:jc w:val="right"/>
            </w:pPr>
            <w:r>
              <w:t>81.992</w:t>
            </w:r>
          </w:p>
        </w:tc>
        <w:tc>
          <w:tcPr>
            <w:tcW w:w="206" w:type="pct"/>
            <w:tcBorders>
              <w:top w:val="single" w:sz="4" w:space="0" w:color="auto"/>
              <w:left w:val="single" w:sz="2" w:space="0" w:color="auto"/>
              <w:bottom w:val="single" w:sz="2" w:space="0" w:color="auto"/>
              <w:right w:val="nil"/>
            </w:tcBorders>
            <w:shd w:val="clear" w:color="auto" w:fill="auto"/>
            <w:noWrap/>
            <w:vAlign w:val="center"/>
            <w:hideMark/>
          </w:tcPr>
          <w:p w14:paraId="472E7712" w14:textId="4D5D7975" w:rsidR="0075499D" w:rsidRPr="003A115E" w:rsidRDefault="0075499D" w:rsidP="00472474">
            <w:pPr>
              <w:pStyle w:val="cuatexto"/>
              <w:jc w:val="right"/>
            </w:pPr>
            <w:r>
              <w:t>-</w:t>
            </w:r>
          </w:p>
        </w:tc>
        <w:tc>
          <w:tcPr>
            <w:tcW w:w="243" w:type="pct"/>
            <w:tcBorders>
              <w:top w:val="single" w:sz="4" w:space="0" w:color="auto"/>
              <w:left w:val="nil"/>
              <w:bottom w:val="single" w:sz="2" w:space="0" w:color="auto"/>
              <w:right w:val="single" w:sz="2" w:space="0" w:color="auto"/>
            </w:tcBorders>
            <w:shd w:val="clear" w:color="auto" w:fill="auto"/>
            <w:noWrap/>
            <w:vAlign w:val="center"/>
            <w:hideMark/>
          </w:tcPr>
          <w:p w14:paraId="5C9ACE92" w14:textId="7E93E635" w:rsidR="0075499D" w:rsidRPr="003A115E" w:rsidRDefault="0075499D" w:rsidP="00472474">
            <w:pPr>
              <w:pStyle w:val="cuatexto"/>
              <w:jc w:val="right"/>
            </w:pPr>
            <w:r>
              <w:t>-</w:t>
            </w:r>
          </w:p>
        </w:tc>
        <w:tc>
          <w:tcPr>
            <w:tcW w:w="179" w:type="pct"/>
            <w:tcBorders>
              <w:top w:val="single" w:sz="4" w:space="0" w:color="auto"/>
              <w:left w:val="single" w:sz="2" w:space="0" w:color="auto"/>
              <w:bottom w:val="single" w:sz="2" w:space="0" w:color="auto"/>
              <w:right w:val="nil"/>
            </w:tcBorders>
            <w:shd w:val="clear" w:color="auto" w:fill="auto"/>
            <w:noWrap/>
            <w:vAlign w:val="center"/>
            <w:hideMark/>
          </w:tcPr>
          <w:p w14:paraId="39F3997F" w14:textId="3A118164" w:rsidR="0075499D" w:rsidRPr="003A115E" w:rsidRDefault="0075499D" w:rsidP="00472474">
            <w:pPr>
              <w:pStyle w:val="cuatexto"/>
              <w:jc w:val="right"/>
            </w:pPr>
            <w:r>
              <w:t>1</w:t>
            </w:r>
          </w:p>
        </w:tc>
        <w:tc>
          <w:tcPr>
            <w:tcW w:w="262" w:type="pct"/>
            <w:tcBorders>
              <w:top w:val="single" w:sz="4" w:space="0" w:color="auto"/>
              <w:left w:val="nil"/>
              <w:bottom w:val="single" w:sz="2" w:space="0" w:color="auto"/>
              <w:right w:val="single" w:sz="2" w:space="0" w:color="auto"/>
            </w:tcBorders>
            <w:shd w:val="clear" w:color="auto" w:fill="auto"/>
            <w:noWrap/>
            <w:vAlign w:val="center"/>
            <w:hideMark/>
          </w:tcPr>
          <w:p w14:paraId="51546A89" w14:textId="56AD8449" w:rsidR="0075499D" w:rsidRPr="003A115E" w:rsidRDefault="0075499D" w:rsidP="00472474">
            <w:pPr>
              <w:pStyle w:val="cuatexto"/>
              <w:jc w:val="right"/>
            </w:pPr>
            <w:r>
              <w:t>66</w:t>
            </w:r>
          </w:p>
        </w:tc>
        <w:tc>
          <w:tcPr>
            <w:tcW w:w="195" w:type="pct"/>
            <w:tcBorders>
              <w:top w:val="single" w:sz="4" w:space="0" w:color="auto"/>
              <w:left w:val="single" w:sz="2" w:space="0" w:color="auto"/>
              <w:bottom w:val="single" w:sz="2" w:space="0" w:color="auto"/>
              <w:right w:val="nil"/>
            </w:tcBorders>
            <w:shd w:val="clear" w:color="auto" w:fill="auto"/>
            <w:noWrap/>
            <w:vAlign w:val="center"/>
            <w:hideMark/>
          </w:tcPr>
          <w:p w14:paraId="2E87FBF6" w14:textId="22C15AB0" w:rsidR="0075499D" w:rsidRPr="003A115E" w:rsidRDefault="0075499D" w:rsidP="00472474">
            <w:pPr>
              <w:pStyle w:val="cuatexto"/>
              <w:jc w:val="right"/>
            </w:pPr>
            <w:r>
              <w:t>13</w:t>
            </w:r>
          </w:p>
        </w:tc>
        <w:tc>
          <w:tcPr>
            <w:tcW w:w="343" w:type="pct"/>
            <w:tcBorders>
              <w:top w:val="single" w:sz="4" w:space="0" w:color="auto"/>
              <w:left w:val="nil"/>
              <w:bottom w:val="single" w:sz="2" w:space="0" w:color="auto"/>
              <w:right w:val="single" w:sz="2" w:space="0" w:color="auto"/>
            </w:tcBorders>
            <w:shd w:val="clear" w:color="auto" w:fill="auto"/>
            <w:noWrap/>
            <w:vAlign w:val="center"/>
            <w:hideMark/>
          </w:tcPr>
          <w:p w14:paraId="31D9DF50" w14:textId="74DDDF9E" w:rsidR="0075499D" w:rsidRPr="003A115E" w:rsidRDefault="0075499D" w:rsidP="00472474">
            <w:pPr>
              <w:pStyle w:val="cuatexto"/>
              <w:jc w:val="right"/>
            </w:pPr>
            <w:r>
              <w:t>1.674</w:t>
            </w:r>
          </w:p>
        </w:tc>
        <w:tc>
          <w:tcPr>
            <w:tcW w:w="254" w:type="pct"/>
            <w:tcBorders>
              <w:top w:val="single" w:sz="4" w:space="0" w:color="auto"/>
              <w:left w:val="single" w:sz="2" w:space="0" w:color="auto"/>
              <w:bottom w:val="single" w:sz="2" w:space="0" w:color="auto"/>
              <w:right w:val="nil"/>
            </w:tcBorders>
            <w:shd w:val="clear" w:color="auto" w:fill="auto"/>
            <w:noWrap/>
            <w:vAlign w:val="center"/>
            <w:hideMark/>
          </w:tcPr>
          <w:p w14:paraId="0E58DCD4" w14:textId="565E3F55" w:rsidR="0075499D" w:rsidRPr="003A115E" w:rsidRDefault="0075499D" w:rsidP="00472474">
            <w:pPr>
              <w:pStyle w:val="cuatexto"/>
              <w:jc w:val="right"/>
            </w:pPr>
            <w:r>
              <w:t>86</w:t>
            </w:r>
          </w:p>
        </w:tc>
        <w:tc>
          <w:tcPr>
            <w:tcW w:w="381" w:type="pct"/>
            <w:tcBorders>
              <w:top w:val="single" w:sz="4" w:space="0" w:color="auto"/>
              <w:left w:val="nil"/>
              <w:bottom w:val="single" w:sz="2" w:space="0" w:color="auto"/>
              <w:right w:val="single" w:sz="2" w:space="0" w:color="auto"/>
            </w:tcBorders>
            <w:shd w:val="clear" w:color="auto" w:fill="auto"/>
            <w:noWrap/>
            <w:vAlign w:val="center"/>
            <w:hideMark/>
          </w:tcPr>
          <w:p w14:paraId="021C5F8D" w14:textId="299B6715" w:rsidR="0075499D" w:rsidRPr="003A115E" w:rsidRDefault="0075499D" w:rsidP="00472474">
            <w:pPr>
              <w:pStyle w:val="cuatexto"/>
              <w:jc w:val="right"/>
            </w:pPr>
            <w:r>
              <w:t>6.814</w:t>
            </w:r>
          </w:p>
        </w:tc>
        <w:tc>
          <w:tcPr>
            <w:tcW w:w="127" w:type="pct"/>
            <w:tcBorders>
              <w:top w:val="single" w:sz="4" w:space="0" w:color="auto"/>
              <w:left w:val="single" w:sz="2" w:space="0" w:color="auto"/>
              <w:bottom w:val="single" w:sz="2" w:space="0" w:color="auto"/>
            </w:tcBorders>
            <w:shd w:val="clear" w:color="auto" w:fill="auto"/>
            <w:noWrap/>
            <w:vAlign w:val="center"/>
            <w:hideMark/>
          </w:tcPr>
          <w:p w14:paraId="158A4FFC" w14:textId="09A18B47" w:rsidR="0075499D" w:rsidRPr="003A115E" w:rsidRDefault="0075499D" w:rsidP="00472474">
            <w:pPr>
              <w:pStyle w:val="cuatexto"/>
              <w:jc w:val="right"/>
            </w:pPr>
            <w:r>
              <w:t>2</w:t>
            </w:r>
          </w:p>
        </w:tc>
        <w:tc>
          <w:tcPr>
            <w:tcW w:w="254" w:type="pct"/>
            <w:tcBorders>
              <w:top w:val="single" w:sz="4" w:space="0" w:color="auto"/>
              <w:left w:val="nil"/>
              <w:bottom w:val="single" w:sz="2" w:space="0" w:color="auto"/>
              <w:right w:val="single" w:sz="2" w:space="0" w:color="auto"/>
            </w:tcBorders>
            <w:shd w:val="clear" w:color="auto" w:fill="auto"/>
            <w:noWrap/>
            <w:vAlign w:val="center"/>
            <w:hideMark/>
          </w:tcPr>
          <w:p w14:paraId="762B2D05" w14:textId="70F9B1DC" w:rsidR="0075499D" w:rsidRPr="003A115E" w:rsidRDefault="0075499D" w:rsidP="00472474">
            <w:pPr>
              <w:pStyle w:val="cuatexto"/>
              <w:jc w:val="right"/>
            </w:pPr>
            <w:r>
              <w:t>269</w:t>
            </w:r>
          </w:p>
        </w:tc>
        <w:tc>
          <w:tcPr>
            <w:tcW w:w="216" w:type="pct"/>
            <w:tcBorders>
              <w:top w:val="single" w:sz="4" w:space="0" w:color="auto"/>
              <w:left w:val="single" w:sz="2" w:space="0" w:color="auto"/>
              <w:bottom w:val="single" w:sz="2" w:space="0" w:color="auto"/>
              <w:right w:val="nil"/>
            </w:tcBorders>
            <w:shd w:val="clear" w:color="auto" w:fill="auto"/>
            <w:noWrap/>
            <w:vAlign w:val="center"/>
            <w:hideMark/>
          </w:tcPr>
          <w:p w14:paraId="716B0BAE" w14:textId="63DB6195" w:rsidR="0075499D" w:rsidRPr="003A115E" w:rsidRDefault="0075499D" w:rsidP="00472474">
            <w:pPr>
              <w:pStyle w:val="cuatexto"/>
              <w:jc w:val="right"/>
            </w:pPr>
            <w:r>
              <w:t>21</w:t>
            </w:r>
          </w:p>
        </w:tc>
        <w:tc>
          <w:tcPr>
            <w:tcW w:w="254" w:type="pct"/>
            <w:tcBorders>
              <w:top w:val="single" w:sz="4" w:space="0" w:color="auto"/>
              <w:left w:val="nil"/>
              <w:bottom w:val="single" w:sz="2" w:space="0" w:color="auto"/>
              <w:right w:val="single" w:sz="2" w:space="0" w:color="auto"/>
            </w:tcBorders>
            <w:shd w:val="clear" w:color="auto" w:fill="auto"/>
            <w:noWrap/>
            <w:vAlign w:val="center"/>
            <w:hideMark/>
          </w:tcPr>
          <w:p w14:paraId="32ABFD96" w14:textId="7096EED1" w:rsidR="0075499D" w:rsidRPr="003A115E" w:rsidRDefault="0075499D" w:rsidP="00472474">
            <w:pPr>
              <w:pStyle w:val="cuatexto"/>
              <w:jc w:val="right"/>
            </w:pPr>
            <w:r>
              <w:t>671</w:t>
            </w:r>
          </w:p>
        </w:tc>
        <w:tc>
          <w:tcPr>
            <w:tcW w:w="253" w:type="pct"/>
            <w:tcBorders>
              <w:top w:val="single" w:sz="4" w:space="0" w:color="auto"/>
              <w:left w:val="single" w:sz="2" w:space="0" w:color="auto"/>
              <w:bottom w:val="single" w:sz="2" w:space="0" w:color="auto"/>
              <w:right w:val="nil"/>
            </w:tcBorders>
            <w:shd w:val="clear" w:color="auto" w:fill="auto"/>
            <w:noWrap/>
            <w:vAlign w:val="center"/>
            <w:hideMark/>
          </w:tcPr>
          <w:p w14:paraId="0B2C2236" w14:textId="7488ABFE" w:rsidR="0075499D" w:rsidRPr="003A115E" w:rsidRDefault="0075499D" w:rsidP="00472474">
            <w:pPr>
              <w:pStyle w:val="cuatexto"/>
              <w:jc w:val="right"/>
            </w:pPr>
            <w:r>
              <w:t>341</w:t>
            </w:r>
          </w:p>
        </w:tc>
        <w:tc>
          <w:tcPr>
            <w:tcW w:w="458" w:type="pct"/>
            <w:tcBorders>
              <w:top w:val="single" w:sz="4" w:space="0" w:color="auto"/>
              <w:left w:val="nil"/>
              <w:bottom w:val="single" w:sz="2" w:space="0" w:color="auto"/>
              <w:right w:val="nil"/>
            </w:tcBorders>
            <w:shd w:val="clear" w:color="auto" w:fill="auto"/>
            <w:noWrap/>
            <w:vAlign w:val="center"/>
            <w:hideMark/>
          </w:tcPr>
          <w:p w14:paraId="3729265E" w14:textId="080FB5BC" w:rsidR="0075499D" w:rsidRPr="003A115E" w:rsidRDefault="0075499D" w:rsidP="00472474">
            <w:pPr>
              <w:pStyle w:val="cuatexto"/>
              <w:jc w:val="right"/>
            </w:pPr>
            <w:r>
              <w:t>91.487</w:t>
            </w:r>
          </w:p>
        </w:tc>
      </w:tr>
      <w:tr w:rsidR="000A742F" w:rsidRPr="003A115E" w14:paraId="26419DDB"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7D1A6CDB" w14:textId="77777777" w:rsidR="0075499D" w:rsidRPr="003A115E" w:rsidRDefault="0075499D" w:rsidP="00FA045A">
            <w:pPr>
              <w:pStyle w:val="cuatexto"/>
            </w:pPr>
            <w:r>
              <w:t>Zerbitzuak</w:t>
            </w:r>
          </w:p>
        </w:tc>
        <w:tc>
          <w:tcPr>
            <w:tcW w:w="253" w:type="pct"/>
            <w:tcBorders>
              <w:top w:val="single" w:sz="2" w:space="0" w:color="auto"/>
              <w:left w:val="nil"/>
              <w:bottom w:val="single" w:sz="2" w:space="0" w:color="auto"/>
              <w:right w:val="nil"/>
            </w:tcBorders>
            <w:shd w:val="clear" w:color="auto" w:fill="auto"/>
            <w:noWrap/>
            <w:vAlign w:val="center"/>
            <w:hideMark/>
          </w:tcPr>
          <w:p w14:paraId="79CF0883" w14:textId="0113C91E" w:rsidR="0075499D" w:rsidRPr="003A115E" w:rsidRDefault="0075499D" w:rsidP="00472474">
            <w:pPr>
              <w:pStyle w:val="cuatexto"/>
              <w:jc w:val="right"/>
            </w:pPr>
            <w:r>
              <w:t>160</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16868CA4" w14:textId="661C2D6C" w:rsidR="0075499D" w:rsidRPr="003A115E" w:rsidRDefault="0075499D" w:rsidP="00472474">
            <w:pPr>
              <w:pStyle w:val="cuatexto"/>
              <w:jc w:val="right"/>
            </w:pPr>
            <w:r>
              <w:t>35.112</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42CE3D94" w14:textId="50E57D97" w:rsidR="0075499D" w:rsidRPr="003A115E" w:rsidRDefault="0075499D" w:rsidP="00472474">
            <w:pPr>
              <w:pStyle w:val="cuatexto"/>
              <w:jc w:val="right"/>
            </w:pPr>
            <w:r>
              <w:t>2</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7D1D33F9" w14:textId="70B2E8EB" w:rsidR="0075499D" w:rsidRPr="003A115E" w:rsidRDefault="0075499D" w:rsidP="00472474">
            <w:pPr>
              <w:pStyle w:val="cuatexto"/>
              <w:jc w:val="right"/>
            </w:pPr>
            <w:r>
              <w:t>42</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645FD629" w14:textId="4BB3D19E" w:rsidR="0075499D" w:rsidRPr="003A115E" w:rsidRDefault="0075499D" w:rsidP="00472474">
            <w:pPr>
              <w:pStyle w:val="cuatexto"/>
              <w:jc w:val="right"/>
            </w:pPr>
            <w:r>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4BA7C2BA" w14:textId="03E3F9B5" w:rsidR="0075499D" w:rsidRPr="003A115E" w:rsidRDefault="0075499D" w:rsidP="00472474">
            <w:pPr>
              <w:pStyle w:val="cuatexto"/>
              <w:jc w:val="right"/>
            </w:pPr>
            <w:r>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7DE63F9F" w14:textId="05037900" w:rsidR="0075499D" w:rsidRPr="003A115E" w:rsidRDefault="0075499D" w:rsidP="00472474">
            <w:pPr>
              <w:pStyle w:val="cuatexto"/>
              <w:jc w:val="right"/>
            </w:pPr>
            <w:r>
              <w:t>14</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05239FBD" w14:textId="15B9A063" w:rsidR="0075499D" w:rsidRPr="003A115E" w:rsidRDefault="0075499D" w:rsidP="00472474">
            <w:pPr>
              <w:pStyle w:val="cuatexto"/>
              <w:jc w:val="right"/>
            </w:pPr>
            <w:r>
              <w:t>857</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42B3DB92" w14:textId="05AC1635" w:rsidR="0075499D" w:rsidRPr="003A115E" w:rsidRDefault="0075499D" w:rsidP="00472474">
            <w:pPr>
              <w:pStyle w:val="cuatexto"/>
              <w:jc w:val="right"/>
            </w:pPr>
            <w:r>
              <w:t>34</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08FB3594" w14:textId="6CEB6B23" w:rsidR="0075499D" w:rsidRPr="003A115E" w:rsidRDefault="0075499D" w:rsidP="00472474">
            <w:pPr>
              <w:pStyle w:val="cuatexto"/>
              <w:jc w:val="right"/>
            </w:pPr>
            <w:r>
              <w:t>1.123</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28431176" w14:textId="4BA72B77"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3001932A" w14:textId="6A796B56" w:rsidR="0075499D" w:rsidRPr="003A115E" w:rsidRDefault="0075499D" w:rsidP="00472474">
            <w:pPr>
              <w:pStyle w:val="cuatexto"/>
              <w:jc w:val="right"/>
            </w:pPr>
            <w:r>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47778E0B" w14:textId="5B71D945"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50912964" w14:textId="24C481E9" w:rsidR="0075499D" w:rsidRPr="003A115E" w:rsidRDefault="0075499D" w:rsidP="00472474">
            <w:pPr>
              <w:pStyle w:val="cuatexto"/>
              <w:jc w:val="right"/>
            </w:pPr>
            <w:r>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6BEDC2A8" w14:textId="41EFD10A" w:rsidR="0075499D" w:rsidRPr="003A115E" w:rsidRDefault="0075499D" w:rsidP="00472474">
            <w:pPr>
              <w:pStyle w:val="cuatexto"/>
              <w:jc w:val="right"/>
            </w:pPr>
            <w:r>
              <w:t>210</w:t>
            </w:r>
          </w:p>
        </w:tc>
        <w:tc>
          <w:tcPr>
            <w:tcW w:w="458" w:type="pct"/>
            <w:tcBorders>
              <w:top w:val="single" w:sz="2" w:space="0" w:color="auto"/>
              <w:left w:val="nil"/>
              <w:bottom w:val="single" w:sz="2" w:space="0" w:color="auto"/>
              <w:right w:val="nil"/>
            </w:tcBorders>
            <w:shd w:val="clear" w:color="auto" w:fill="auto"/>
            <w:noWrap/>
            <w:vAlign w:val="center"/>
            <w:hideMark/>
          </w:tcPr>
          <w:p w14:paraId="1B51A55D" w14:textId="5270FE23" w:rsidR="0075499D" w:rsidRPr="003A115E" w:rsidRDefault="0075499D" w:rsidP="00472474">
            <w:pPr>
              <w:pStyle w:val="cuatexto"/>
              <w:jc w:val="right"/>
            </w:pPr>
            <w:r>
              <w:t>37.134</w:t>
            </w:r>
          </w:p>
        </w:tc>
      </w:tr>
      <w:tr w:rsidR="000A742F" w:rsidRPr="003A115E" w14:paraId="562BF8B2"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3E518F75" w14:textId="77777777" w:rsidR="0075499D" w:rsidRPr="003A115E" w:rsidRDefault="0075499D" w:rsidP="00FA045A">
            <w:pPr>
              <w:pStyle w:val="cuatexto"/>
            </w:pPr>
            <w:r>
              <w:t>Hornikuntza</w:t>
            </w:r>
          </w:p>
        </w:tc>
        <w:tc>
          <w:tcPr>
            <w:tcW w:w="253" w:type="pct"/>
            <w:tcBorders>
              <w:top w:val="single" w:sz="2" w:space="0" w:color="auto"/>
              <w:left w:val="nil"/>
              <w:bottom w:val="single" w:sz="2" w:space="0" w:color="auto"/>
              <w:right w:val="nil"/>
            </w:tcBorders>
            <w:shd w:val="clear" w:color="auto" w:fill="auto"/>
            <w:noWrap/>
            <w:vAlign w:val="center"/>
            <w:hideMark/>
          </w:tcPr>
          <w:p w14:paraId="59F95E7C" w14:textId="49039970" w:rsidR="0075499D" w:rsidRPr="003A115E" w:rsidRDefault="0075499D" w:rsidP="00472474">
            <w:pPr>
              <w:pStyle w:val="cuatexto"/>
              <w:jc w:val="right"/>
            </w:pPr>
            <w:r>
              <w:t>83</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4EAA92DD" w14:textId="7E9C1D7F" w:rsidR="0075499D" w:rsidRPr="003A115E" w:rsidRDefault="0075499D" w:rsidP="00472474">
            <w:pPr>
              <w:pStyle w:val="cuatexto"/>
              <w:jc w:val="right"/>
            </w:pPr>
            <w:r>
              <w:t>12.813</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00D0FDA2" w14:textId="010B8942" w:rsidR="0075499D" w:rsidRPr="003A115E" w:rsidRDefault="0075499D" w:rsidP="00472474">
            <w:pPr>
              <w:pStyle w:val="cuatexto"/>
              <w:jc w:val="right"/>
            </w:pPr>
            <w:r>
              <w:t>-</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6C9EDF0E" w14:textId="5C212698" w:rsidR="0075499D" w:rsidRPr="003A115E" w:rsidRDefault="0075499D" w:rsidP="00472474">
            <w:pPr>
              <w:pStyle w:val="cuatexto"/>
              <w:jc w:val="right"/>
            </w:pPr>
            <w:r>
              <w:t>-</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25E00690" w14:textId="6BF0FD84" w:rsidR="0075499D" w:rsidRPr="003A115E" w:rsidRDefault="0075499D" w:rsidP="00472474">
            <w:pPr>
              <w:pStyle w:val="cuatexto"/>
              <w:jc w:val="right"/>
            </w:pPr>
            <w:r>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1E6885AD" w14:textId="3CD15526" w:rsidR="0075499D" w:rsidRPr="003A115E" w:rsidRDefault="0075499D" w:rsidP="00472474">
            <w:pPr>
              <w:pStyle w:val="cuatexto"/>
              <w:jc w:val="right"/>
            </w:pPr>
            <w:r>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2ADCFCA4" w14:textId="663103AD" w:rsidR="0075499D" w:rsidRPr="003A115E" w:rsidRDefault="0075499D" w:rsidP="00472474">
            <w:pPr>
              <w:pStyle w:val="cuatexto"/>
              <w:jc w:val="right"/>
            </w:pPr>
            <w:r>
              <w:t>6</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7AD4DB4B" w14:textId="640B46D2" w:rsidR="0075499D" w:rsidRPr="003A115E" w:rsidRDefault="0075499D" w:rsidP="00472474">
            <w:pPr>
              <w:pStyle w:val="cuatexto"/>
              <w:jc w:val="right"/>
            </w:pPr>
            <w:r>
              <w:t>345</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52EDC388" w14:textId="2B0D0A87" w:rsidR="0075499D" w:rsidRPr="003A115E" w:rsidRDefault="0075499D" w:rsidP="00472474">
            <w:pPr>
              <w:pStyle w:val="cuatexto"/>
              <w:jc w:val="right"/>
            </w:pPr>
            <w:r>
              <w:t>15</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067318D8" w14:textId="3F37B6E6" w:rsidR="0075499D" w:rsidRPr="003A115E" w:rsidRDefault="0075499D" w:rsidP="00472474">
            <w:pPr>
              <w:pStyle w:val="cuatexto"/>
              <w:jc w:val="right"/>
            </w:pPr>
            <w:r>
              <w:t>575</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088CC12E" w14:textId="1048BD8A"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1ADBC9B8" w14:textId="694D1FFB" w:rsidR="0075499D" w:rsidRPr="003A115E" w:rsidRDefault="0075499D" w:rsidP="00472474">
            <w:pPr>
              <w:pStyle w:val="cuatexto"/>
              <w:jc w:val="right"/>
            </w:pPr>
            <w:r>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7CD660AC" w14:textId="3C431E66"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4747959A" w14:textId="60B0D1D8" w:rsidR="0075499D" w:rsidRPr="003A115E" w:rsidRDefault="0075499D" w:rsidP="00472474">
            <w:pPr>
              <w:pStyle w:val="cuatexto"/>
              <w:jc w:val="right"/>
            </w:pPr>
            <w:r>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20431D2C" w14:textId="19806520" w:rsidR="0075499D" w:rsidRPr="003A115E" w:rsidRDefault="0075499D" w:rsidP="00472474">
            <w:pPr>
              <w:pStyle w:val="cuatexto"/>
              <w:jc w:val="right"/>
            </w:pPr>
            <w:r>
              <w:t>104</w:t>
            </w:r>
          </w:p>
        </w:tc>
        <w:tc>
          <w:tcPr>
            <w:tcW w:w="458" w:type="pct"/>
            <w:tcBorders>
              <w:top w:val="single" w:sz="2" w:space="0" w:color="auto"/>
              <w:left w:val="nil"/>
              <w:bottom w:val="single" w:sz="2" w:space="0" w:color="auto"/>
              <w:right w:val="nil"/>
            </w:tcBorders>
            <w:shd w:val="clear" w:color="auto" w:fill="auto"/>
            <w:noWrap/>
            <w:vAlign w:val="center"/>
            <w:hideMark/>
          </w:tcPr>
          <w:p w14:paraId="49C2EDDC" w14:textId="380FFFCE" w:rsidR="0075499D" w:rsidRPr="003A115E" w:rsidRDefault="0075499D" w:rsidP="00472474">
            <w:pPr>
              <w:pStyle w:val="cuatexto"/>
              <w:jc w:val="right"/>
            </w:pPr>
            <w:r>
              <w:t>13.733</w:t>
            </w:r>
          </w:p>
        </w:tc>
      </w:tr>
      <w:tr w:rsidR="000A742F" w:rsidRPr="003A115E" w14:paraId="0E97E343"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6FF0B474" w14:textId="77777777" w:rsidR="0075499D" w:rsidRPr="003A115E" w:rsidRDefault="0075499D" w:rsidP="00FA045A">
            <w:pPr>
              <w:pStyle w:val="cuatexto"/>
            </w:pPr>
            <w:r>
              <w:t>Herri-lanaren emakida</w:t>
            </w:r>
          </w:p>
        </w:tc>
        <w:tc>
          <w:tcPr>
            <w:tcW w:w="253" w:type="pct"/>
            <w:tcBorders>
              <w:top w:val="single" w:sz="2" w:space="0" w:color="auto"/>
              <w:left w:val="nil"/>
              <w:bottom w:val="single" w:sz="2" w:space="0" w:color="auto"/>
              <w:right w:val="nil"/>
            </w:tcBorders>
            <w:shd w:val="clear" w:color="auto" w:fill="auto"/>
            <w:noWrap/>
            <w:vAlign w:val="center"/>
            <w:hideMark/>
          </w:tcPr>
          <w:p w14:paraId="0047C6A6" w14:textId="0859797E" w:rsidR="0075499D" w:rsidRPr="003A115E" w:rsidRDefault="0075499D" w:rsidP="00472474">
            <w:pPr>
              <w:pStyle w:val="cuatexto"/>
              <w:jc w:val="right"/>
            </w:pPr>
            <w:r>
              <w:t>1</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5C9C6F32" w14:textId="0C33A90B" w:rsidR="0075499D" w:rsidRPr="003A115E" w:rsidRDefault="0075499D" w:rsidP="00472474">
            <w:pPr>
              <w:pStyle w:val="cuatexto"/>
              <w:jc w:val="right"/>
            </w:pPr>
            <w:r>
              <w:t>2.415</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7862C766" w14:textId="5EFA03F9" w:rsidR="0075499D" w:rsidRPr="003A115E" w:rsidRDefault="0075499D" w:rsidP="00472474">
            <w:pPr>
              <w:pStyle w:val="cuatexto"/>
              <w:jc w:val="right"/>
            </w:pPr>
            <w:r>
              <w:t>-</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00889469" w14:textId="55696BBE" w:rsidR="0075499D" w:rsidRPr="003A115E" w:rsidRDefault="0075499D" w:rsidP="00472474">
            <w:pPr>
              <w:pStyle w:val="cuatexto"/>
              <w:jc w:val="right"/>
            </w:pPr>
            <w:r>
              <w:t>-</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12B23978" w14:textId="53FE3E82" w:rsidR="0075499D" w:rsidRPr="003A115E" w:rsidRDefault="0075499D" w:rsidP="00472474">
            <w:pPr>
              <w:pStyle w:val="cuatexto"/>
              <w:jc w:val="right"/>
            </w:pPr>
            <w:r>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5A536259" w14:textId="2C691A7C" w:rsidR="0075499D" w:rsidRPr="003A115E" w:rsidRDefault="0075499D" w:rsidP="00472474">
            <w:pPr>
              <w:pStyle w:val="cuatexto"/>
              <w:jc w:val="right"/>
            </w:pPr>
            <w:r>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4BF0C6B0" w14:textId="7B1E47B9" w:rsidR="0075499D" w:rsidRPr="003A115E" w:rsidRDefault="0075499D" w:rsidP="00472474">
            <w:pPr>
              <w:pStyle w:val="cuatexto"/>
              <w:jc w:val="right"/>
            </w:pPr>
            <w:r>
              <w:t>-</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6F0321B4" w14:textId="003E5C89" w:rsidR="0075499D" w:rsidRPr="003A115E" w:rsidRDefault="0075499D" w:rsidP="00472474">
            <w:pPr>
              <w:pStyle w:val="cuatexto"/>
              <w:jc w:val="right"/>
            </w:pPr>
            <w:r>
              <w:t>-</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6630F970" w14:textId="4584B9C6" w:rsidR="0075499D" w:rsidRPr="003A115E" w:rsidRDefault="0075499D" w:rsidP="00472474">
            <w:pPr>
              <w:pStyle w:val="cuatexto"/>
              <w:jc w:val="right"/>
            </w:pPr>
            <w:r>
              <w:t>-</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7FDE320C" w14:textId="61BD6DE4" w:rsidR="0075499D" w:rsidRPr="003A115E" w:rsidRDefault="0075499D" w:rsidP="00472474">
            <w:pPr>
              <w:pStyle w:val="cuatexto"/>
              <w:jc w:val="right"/>
            </w:pPr>
            <w:r>
              <w:t>-</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0A32F9F0" w14:textId="64F18225"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60AB1E2A" w14:textId="3DC120C1" w:rsidR="0075499D" w:rsidRPr="003A115E" w:rsidRDefault="0075499D" w:rsidP="00472474">
            <w:pPr>
              <w:pStyle w:val="cuatexto"/>
              <w:jc w:val="right"/>
            </w:pPr>
            <w:r>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1FB11105" w14:textId="1A90F956" w:rsidR="0075499D" w:rsidRPr="003A115E" w:rsidRDefault="0075499D" w:rsidP="00472474">
            <w:pPr>
              <w:pStyle w:val="cuatexto"/>
              <w:jc w:val="right"/>
            </w:pPr>
            <w:r>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66E6A589" w14:textId="6DA7BDC0" w:rsidR="0075499D" w:rsidRPr="003A115E" w:rsidRDefault="0075499D" w:rsidP="00472474">
            <w:pPr>
              <w:pStyle w:val="cuatexto"/>
              <w:jc w:val="right"/>
            </w:pPr>
            <w:r>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396965DE" w14:textId="1CAAB17B" w:rsidR="0075499D" w:rsidRPr="003A115E" w:rsidRDefault="0075499D" w:rsidP="00472474">
            <w:pPr>
              <w:pStyle w:val="cuatexto"/>
              <w:jc w:val="right"/>
            </w:pPr>
            <w:r>
              <w:t>1</w:t>
            </w:r>
          </w:p>
        </w:tc>
        <w:tc>
          <w:tcPr>
            <w:tcW w:w="458" w:type="pct"/>
            <w:tcBorders>
              <w:top w:val="single" w:sz="2" w:space="0" w:color="auto"/>
              <w:left w:val="nil"/>
              <w:bottom w:val="single" w:sz="2" w:space="0" w:color="auto"/>
              <w:right w:val="nil"/>
            </w:tcBorders>
            <w:shd w:val="clear" w:color="auto" w:fill="auto"/>
            <w:noWrap/>
            <w:vAlign w:val="center"/>
            <w:hideMark/>
          </w:tcPr>
          <w:p w14:paraId="1B75BB1C" w14:textId="2A2EA8EC" w:rsidR="0075499D" w:rsidRPr="003A115E" w:rsidRDefault="0075499D" w:rsidP="00472474">
            <w:pPr>
              <w:pStyle w:val="cuatexto"/>
              <w:jc w:val="right"/>
            </w:pPr>
            <w:r>
              <w:t>2.415</w:t>
            </w:r>
          </w:p>
        </w:tc>
      </w:tr>
      <w:tr w:rsidR="000A742F" w:rsidRPr="003A115E" w14:paraId="6BC71D2B" w14:textId="77777777" w:rsidTr="00FA749D">
        <w:trPr>
          <w:trHeight w:val="198"/>
          <w:jc w:val="center"/>
        </w:trPr>
        <w:tc>
          <w:tcPr>
            <w:tcW w:w="666" w:type="pct"/>
            <w:tcBorders>
              <w:top w:val="single" w:sz="2" w:space="0" w:color="auto"/>
              <w:left w:val="nil"/>
              <w:bottom w:val="single" w:sz="4" w:space="0" w:color="auto"/>
              <w:right w:val="nil"/>
            </w:tcBorders>
            <w:shd w:val="clear" w:color="auto" w:fill="auto"/>
            <w:vAlign w:val="center"/>
            <w:hideMark/>
          </w:tcPr>
          <w:p w14:paraId="73F63CC1" w14:textId="77777777" w:rsidR="0075499D" w:rsidRPr="003A115E" w:rsidRDefault="0075499D" w:rsidP="00FA045A">
            <w:pPr>
              <w:pStyle w:val="cuatexto"/>
            </w:pPr>
            <w:r>
              <w:t>Zerbitzu-emakidak</w:t>
            </w:r>
          </w:p>
        </w:tc>
        <w:tc>
          <w:tcPr>
            <w:tcW w:w="253" w:type="pct"/>
            <w:tcBorders>
              <w:top w:val="single" w:sz="2" w:space="0" w:color="auto"/>
              <w:left w:val="nil"/>
              <w:bottom w:val="single" w:sz="4" w:space="0" w:color="auto"/>
              <w:right w:val="nil"/>
            </w:tcBorders>
            <w:shd w:val="clear" w:color="auto" w:fill="auto"/>
            <w:noWrap/>
            <w:vAlign w:val="center"/>
            <w:hideMark/>
          </w:tcPr>
          <w:p w14:paraId="4885B9E4" w14:textId="0953006B" w:rsidR="0075499D" w:rsidRPr="003A115E" w:rsidRDefault="0075499D" w:rsidP="00472474">
            <w:pPr>
              <w:pStyle w:val="cuatexto"/>
              <w:jc w:val="right"/>
            </w:pPr>
            <w:r>
              <w:t>23</w:t>
            </w:r>
          </w:p>
        </w:tc>
        <w:tc>
          <w:tcPr>
            <w:tcW w:w="459" w:type="pct"/>
            <w:tcBorders>
              <w:top w:val="single" w:sz="2" w:space="0" w:color="auto"/>
              <w:left w:val="nil"/>
              <w:bottom w:val="single" w:sz="4" w:space="0" w:color="auto"/>
              <w:right w:val="single" w:sz="2" w:space="0" w:color="auto"/>
            </w:tcBorders>
            <w:shd w:val="clear" w:color="auto" w:fill="auto"/>
            <w:noWrap/>
            <w:vAlign w:val="center"/>
            <w:hideMark/>
          </w:tcPr>
          <w:p w14:paraId="4D392A62" w14:textId="529D487E" w:rsidR="0075499D" w:rsidRPr="003A115E" w:rsidRDefault="0075499D" w:rsidP="00472474">
            <w:pPr>
              <w:pStyle w:val="cuatexto"/>
              <w:jc w:val="right"/>
            </w:pPr>
            <w:r>
              <w:t>1.213</w:t>
            </w:r>
          </w:p>
        </w:tc>
        <w:tc>
          <w:tcPr>
            <w:tcW w:w="206" w:type="pct"/>
            <w:tcBorders>
              <w:top w:val="single" w:sz="2" w:space="0" w:color="auto"/>
              <w:left w:val="single" w:sz="2" w:space="0" w:color="auto"/>
              <w:bottom w:val="single" w:sz="4" w:space="0" w:color="auto"/>
              <w:right w:val="nil"/>
            </w:tcBorders>
            <w:shd w:val="clear" w:color="auto" w:fill="auto"/>
            <w:noWrap/>
            <w:vAlign w:val="center"/>
            <w:hideMark/>
          </w:tcPr>
          <w:p w14:paraId="251BC12D" w14:textId="61885362" w:rsidR="0075499D" w:rsidRPr="003A115E" w:rsidRDefault="0075499D" w:rsidP="00472474">
            <w:pPr>
              <w:pStyle w:val="cuatexto"/>
              <w:jc w:val="right"/>
            </w:pPr>
            <w:r>
              <w:t>-</w:t>
            </w:r>
          </w:p>
        </w:tc>
        <w:tc>
          <w:tcPr>
            <w:tcW w:w="243" w:type="pct"/>
            <w:tcBorders>
              <w:top w:val="single" w:sz="2" w:space="0" w:color="auto"/>
              <w:left w:val="nil"/>
              <w:bottom w:val="single" w:sz="4" w:space="0" w:color="auto"/>
              <w:right w:val="single" w:sz="2" w:space="0" w:color="auto"/>
            </w:tcBorders>
            <w:shd w:val="clear" w:color="auto" w:fill="auto"/>
            <w:noWrap/>
            <w:vAlign w:val="center"/>
            <w:hideMark/>
          </w:tcPr>
          <w:p w14:paraId="34CEB171" w14:textId="3370D1F2" w:rsidR="0075499D" w:rsidRPr="003A115E" w:rsidRDefault="0075499D" w:rsidP="00472474">
            <w:pPr>
              <w:pStyle w:val="cuatexto"/>
              <w:jc w:val="right"/>
            </w:pPr>
            <w:r>
              <w:t>-</w:t>
            </w:r>
          </w:p>
        </w:tc>
        <w:tc>
          <w:tcPr>
            <w:tcW w:w="179" w:type="pct"/>
            <w:tcBorders>
              <w:top w:val="single" w:sz="2" w:space="0" w:color="auto"/>
              <w:left w:val="single" w:sz="2" w:space="0" w:color="auto"/>
              <w:bottom w:val="single" w:sz="4" w:space="0" w:color="auto"/>
              <w:right w:val="nil"/>
            </w:tcBorders>
            <w:shd w:val="clear" w:color="auto" w:fill="auto"/>
            <w:noWrap/>
            <w:vAlign w:val="center"/>
            <w:hideMark/>
          </w:tcPr>
          <w:p w14:paraId="787A0A93" w14:textId="5FDD8610" w:rsidR="0075499D" w:rsidRPr="003A115E" w:rsidRDefault="0075499D" w:rsidP="00472474">
            <w:pPr>
              <w:pStyle w:val="cuatexto"/>
              <w:jc w:val="right"/>
            </w:pPr>
            <w:r>
              <w:t>-</w:t>
            </w:r>
          </w:p>
        </w:tc>
        <w:tc>
          <w:tcPr>
            <w:tcW w:w="262" w:type="pct"/>
            <w:tcBorders>
              <w:top w:val="single" w:sz="2" w:space="0" w:color="auto"/>
              <w:left w:val="nil"/>
              <w:bottom w:val="single" w:sz="4" w:space="0" w:color="auto"/>
              <w:right w:val="single" w:sz="2" w:space="0" w:color="auto"/>
            </w:tcBorders>
            <w:shd w:val="clear" w:color="auto" w:fill="auto"/>
            <w:noWrap/>
            <w:vAlign w:val="center"/>
            <w:hideMark/>
          </w:tcPr>
          <w:p w14:paraId="7CF49106" w14:textId="02697D5B" w:rsidR="0075499D" w:rsidRPr="003A115E" w:rsidRDefault="0075499D" w:rsidP="00472474">
            <w:pPr>
              <w:pStyle w:val="cuatexto"/>
              <w:jc w:val="right"/>
            </w:pPr>
            <w:r>
              <w:t>-</w:t>
            </w:r>
          </w:p>
        </w:tc>
        <w:tc>
          <w:tcPr>
            <w:tcW w:w="195" w:type="pct"/>
            <w:tcBorders>
              <w:top w:val="single" w:sz="2" w:space="0" w:color="auto"/>
              <w:left w:val="single" w:sz="2" w:space="0" w:color="auto"/>
              <w:bottom w:val="single" w:sz="4" w:space="0" w:color="auto"/>
              <w:right w:val="nil"/>
            </w:tcBorders>
            <w:shd w:val="clear" w:color="auto" w:fill="auto"/>
            <w:noWrap/>
            <w:vAlign w:val="center"/>
            <w:hideMark/>
          </w:tcPr>
          <w:p w14:paraId="4D6C9B79" w14:textId="64734960" w:rsidR="0075499D" w:rsidRPr="003A115E" w:rsidRDefault="0075499D" w:rsidP="00472474">
            <w:pPr>
              <w:pStyle w:val="cuatexto"/>
              <w:jc w:val="right"/>
            </w:pPr>
            <w:r>
              <w:t>-</w:t>
            </w:r>
          </w:p>
        </w:tc>
        <w:tc>
          <w:tcPr>
            <w:tcW w:w="343" w:type="pct"/>
            <w:tcBorders>
              <w:top w:val="single" w:sz="2" w:space="0" w:color="auto"/>
              <w:left w:val="nil"/>
              <w:bottom w:val="single" w:sz="4" w:space="0" w:color="auto"/>
              <w:right w:val="single" w:sz="2" w:space="0" w:color="auto"/>
            </w:tcBorders>
            <w:shd w:val="clear" w:color="auto" w:fill="auto"/>
            <w:noWrap/>
            <w:vAlign w:val="center"/>
            <w:hideMark/>
          </w:tcPr>
          <w:p w14:paraId="5A955A61" w14:textId="7344254B" w:rsidR="0075499D" w:rsidRPr="003A115E" w:rsidRDefault="0075499D" w:rsidP="00472474">
            <w:pPr>
              <w:pStyle w:val="cuatexto"/>
              <w:jc w:val="right"/>
            </w:pPr>
            <w:r>
              <w:t>-</w:t>
            </w:r>
          </w:p>
        </w:tc>
        <w:tc>
          <w:tcPr>
            <w:tcW w:w="254" w:type="pct"/>
            <w:tcBorders>
              <w:top w:val="single" w:sz="2" w:space="0" w:color="auto"/>
              <w:left w:val="single" w:sz="2" w:space="0" w:color="auto"/>
              <w:bottom w:val="single" w:sz="4" w:space="0" w:color="auto"/>
              <w:right w:val="nil"/>
            </w:tcBorders>
            <w:shd w:val="clear" w:color="auto" w:fill="auto"/>
            <w:noWrap/>
            <w:vAlign w:val="center"/>
            <w:hideMark/>
          </w:tcPr>
          <w:p w14:paraId="2EB92AE2" w14:textId="75D7EE97" w:rsidR="0075499D" w:rsidRPr="003A115E" w:rsidRDefault="0075499D" w:rsidP="00472474">
            <w:pPr>
              <w:pStyle w:val="cuatexto"/>
              <w:jc w:val="right"/>
            </w:pPr>
            <w:r>
              <w:t>-</w:t>
            </w:r>
          </w:p>
        </w:tc>
        <w:tc>
          <w:tcPr>
            <w:tcW w:w="381" w:type="pct"/>
            <w:tcBorders>
              <w:top w:val="single" w:sz="2" w:space="0" w:color="auto"/>
              <w:left w:val="nil"/>
              <w:bottom w:val="single" w:sz="4" w:space="0" w:color="auto"/>
              <w:right w:val="single" w:sz="2" w:space="0" w:color="auto"/>
            </w:tcBorders>
            <w:shd w:val="clear" w:color="auto" w:fill="auto"/>
            <w:noWrap/>
            <w:vAlign w:val="center"/>
            <w:hideMark/>
          </w:tcPr>
          <w:p w14:paraId="10AEEC4F" w14:textId="412CAE8B" w:rsidR="0075499D" w:rsidRPr="003A115E" w:rsidRDefault="0075499D" w:rsidP="00472474">
            <w:pPr>
              <w:pStyle w:val="cuatexto"/>
              <w:jc w:val="right"/>
            </w:pPr>
            <w:r>
              <w:t>-</w:t>
            </w:r>
          </w:p>
        </w:tc>
        <w:tc>
          <w:tcPr>
            <w:tcW w:w="127" w:type="pct"/>
            <w:tcBorders>
              <w:top w:val="single" w:sz="2" w:space="0" w:color="auto"/>
              <w:left w:val="single" w:sz="2" w:space="0" w:color="auto"/>
              <w:bottom w:val="single" w:sz="4" w:space="0" w:color="auto"/>
            </w:tcBorders>
            <w:shd w:val="clear" w:color="auto" w:fill="auto"/>
            <w:noWrap/>
            <w:vAlign w:val="center"/>
            <w:hideMark/>
          </w:tcPr>
          <w:p w14:paraId="21AC3BC3" w14:textId="6FAC14CF" w:rsidR="0075499D" w:rsidRPr="003A115E" w:rsidRDefault="0075499D" w:rsidP="00472474">
            <w:pPr>
              <w:pStyle w:val="cuatexto"/>
              <w:jc w:val="right"/>
            </w:pPr>
            <w:r>
              <w:t>-</w:t>
            </w:r>
          </w:p>
        </w:tc>
        <w:tc>
          <w:tcPr>
            <w:tcW w:w="254" w:type="pct"/>
            <w:tcBorders>
              <w:top w:val="single" w:sz="2" w:space="0" w:color="auto"/>
              <w:left w:val="nil"/>
              <w:bottom w:val="single" w:sz="4" w:space="0" w:color="auto"/>
              <w:right w:val="single" w:sz="2" w:space="0" w:color="auto"/>
            </w:tcBorders>
            <w:shd w:val="clear" w:color="auto" w:fill="auto"/>
            <w:noWrap/>
            <w:vAlign w:val="center"/>
            <w:hideMark/>
          </w:tcPr>
          <w:p w14:paraId="677D6FFE" w14:textId="26FA0EB4" w:rsidR="0075499D" w:rsidRPr="003A115E" w:rsidRDefault="0075499D" w:rsidP="00472474">
            <w:pPr>
              <w:pStyle w:val="cuatexto"/>
              <w:jc w:val="right"/>
            </w:pPr>
            <w:r>
              <w:t>-</w:t>
            </w:r>
          </w:p>
        </w:tc>
        <w:tc>
          <w:tcPr>
            <w:tcW w:w="216" w:type="pct"/>
            <w:tcBorders>
              <w:top w:val="single" w:sz="2" w:space="0" w:color="auto"/>
              <w:left w:val="single" w:sz="2" w:space="0" w:color="auto"/>
              <w:bottom w:val="single" w:sz="4" w:space="0" w:color="auto"/>
              <w:right w:val="nil"/>
            </w:tcBorders>
            <w:shd w:val="clear" w:color="auto" w:fill="auto"/>
            <w:noWrap/>
            <w:vAlign w:val="center"/>
            <w:hideMark/>
          </w:tcPr>
          <w:p w14:paraId="523E6067" w14:textId="0648DF20" w:rsidR="0075499D" w:rsidRPr="003A115E" w:rsidRDefault="0075499D" w:rsidP="00472474">
            <w:pPr>
              <w:pStyle w:val="cuatexto"/>
              <w:jc w:val="right"/>
            </w:pPr>
            <w:r>
              <w:t>-</w:t>
            </w:r>
          </w:p>
        </w:tc>
        <w:tc>
          <w:tcPr>
            <w:tcW w:w="254" w:type="pct"/>
            <w:tcBorders>
              <w:top w:val="single" w:sz="2" w:space="0" w:color="auto"/>
              <w:left w:val="nil"/>
              <w:bottom w:val="single" w:sz="4" w:space="0" w:color="auto"/>
              <w:right w:val="single" w:sz="2" w:space="0" w:color="auto"/>
            </w:tcBorders>
            <w:shd w:val="clear" w:color="auto" w:fill="auto"/>
            <w:noWrap/>
            <w:vAlign w:val="center"/>
            <w:hideMark/>
          </w:tcPr>
          <w:p w14:paraId="3E05364C" w14:textId="246824E8" w:rsidR="0075499D" w:rsidRPr="003A115E" w:rsidRDefault="0075499D" w:rsidP="00472474">
            <w:pPr>
              <w:pStyle w:val="cuatexto"/>
              <w:jc w:val="right"/>
            </w:pPr>
            <w:r>
              <w:t>-</w:t>
            </w:r>
          </w:p>
        </w:tc>
        <w:tc>
          <w:tcPr>
            <w:tcW w:w="253" w:type="pct"/>
            <w:tcBorders>
              <w:top w:val="single" w:sz="2" w:space="0" w:color="auto"/>
              <w:left w:val="single" w:sz="2" w:space="0" w:color="auto"/>
              <w:bottom w:val="single" w:sz="4" w:space="0" w:color="auto"/>
              <w:right w:val="nil"/>
            </w:tcBorders>
            <w:shd w:val="clear" w:color="auto" w:fill="auto"/>
            <w:noWrap/>
            <w:vAlign w:val="center"/>
            <w:hideMark/>
          </w:tcPr>
          <w:p w14:paraId="6900C425" w14:textId="5DDA2715" w:rsidR="0075499D" w:rsidRPr="003A115E" w:rsidRDefault="0075499D" w:rsidP="00472474">
            <w:pPr>
              <w:pStyle w:val="cuatexto"/>
              <w:jc w:val="right"/>
            </w:pPr>
            <w:r>
              <w:t>23</w:t>
            </w:r>
          </w:p>
        </w:tc>
        <w:tc>
          <w:tcPr>
            <w:tcW w:w="458" w:type="pct"/>
            <w:tcBorders>
              <w:top w:val="single" w:sz="2" w:space="0" w:color="auto"/>
              <w:left w:val="nil"/>
              <w:bottom w:val="single" w:sz="4" w:space="0" w:color="auto"/>
              <w:right w:val="nil"/>
            </w:tcBorders>
            <w:shd w:val="clear" w:color="auto" w:fill="auto"/>
            <w:noWrap/>
            <w:vAlign w:val="center"/>
            <w:hideMark/>
          </w:tcPr>
          <w:p w14:paraId="5D71A4AB" w14:textId="2BC18264" w:rsidR="0075499D" w:rsidRPr="003A115E" w:rsidRDefault="0075499D" w:rsidP="00472474">
            <w:pPr>
              <w:pStyle w:val="cuatexto"/>
              <w:jc w:val="right"/>
            </w:pPr>
            <w:r>
              <w:t>1.213</w:t>
            </w:r>
          </w:p>
        </w:tc>
      </w:tr>
      <w:tr w:rsidR="000A742F" w:rsidRPr="003A115E" w14:paraId="590E00F8" w14:textId="77777777" w:rsidTr="00FA749D">
        <w:trPr>
          <w:trHeight w:val="255"/>
          <w:jc w:val="center"/>
        </w:trPr>
        <w:tc>
          <w:tcPr>
            <w:tcW w:w="666" w:type="pct"/>
            <w:tcBorders>
              <w:top w:val="nil"/>
              <w:left w:val="nil"/>
              <w:bottom w:val="single" w:sz="4" w:space="0" w:color="auto"/>
              <w:right w:val="nil"/>
            </w:tcBorders>
            <w:shd w:val="clear" w:color="auto" w:fill="FABF8F" w:themeFill="accent6" w:themeFillTint="99"/>
            <w:noWrap/>
            <w:vAlign w:val="center"/>
            <w:hideMark/>
          </w:tcPr>
          <w:p w14:paraId="50B6EDC9" w14:textId="39B40527" w:rsidR="0075499D" w:rsidRPr="003A115E" w:rsidRDefault="0075499D" w:rsidP="00FA045A">
            <w:pPr>
              <w:pStyle w:val="cuadroCabe"/>
              <w:rPr>
                <w:rFonts w:cs="Arial"/>
                <w:szCs w:val="18"/>
              </w:rPr>
            </w:pPr>
          </w:p>
        </w:tc>
        <w:tc>
          <w:tcPr>
            <w:tcW w:w="253" w:type="pct"/>
            <w:tcBorders>
              <w:top w:val="nil"/>
              <w:left w:val="nil"/>
              <w:bottom w:val="single" w:sz="4" w:space="0" w:color="auto"/>
              <w:right w:val="nil"/>
            </w:tcBorders>
            <w:shd w:val="clear" w:color="auto" w:fill="FABF8F" w:themeFill="accent6" w:themeFillTint="99"/>
            <w:noWrap/>
            <w:tcMar>
              <w:left w:w="0" w:type="dxa"/>
              <w:right w:w="0" w:type="dxa"/>
            </w:tcMar>
            <w:vAlign w:val="center"/>
            <w:hideMark/>
          </w:tcPr>
          <w:p w14:paraId="14CD18E8" w14:textId="28CB2FB6" w:rsidR="0075499D" w:rsidRPr="003A115E" w:rsidRDefault="0075499D" w:rsidP="00CC28BD">
            <w:pPr>
              <w:pStyle w:val="cuadroCabe"/>
              <w:jc w:val="right"/>
              <w:rPr>
                <w:rFonts w:cs="Arial"/>
                <w:szCs w:val="18"/>
              </w:rPr>
            </w:pPr>
            <w:r>
              <w:t>485</w:t>
            </w:r>
          </w:p>
        </w:tc>
        <w:tc>
          <w:tcPr>
            <w:tcW w:w="459"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B412A71" w14:textId="035B2391" w:rsidR="0075499D" w:rsidRPr="003A115E" w:rsidRDefault="0075499D" w:rsidP="00CC28BD">
            <w:pPr>
              <w:pStyle w:val="cuadroCabe"/>
              <w:jc w:val="right"/>
              <w:rPr>
                <w:rFonts w:cs="Arial"/>
                <w:szCs w:val="18"/>
              </w:rPr>
            </w:pPr>
            <w:r>
              <w:t>133.545</w:t>
            </w:r>
          </w:p>
        </w:tc>
        <w:tc>
          <w:tcPr>
            <w:tcW w:w="206"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2E05E055" w14:textId="18F835BE" w:rsidR="0075499D" w:rsidRPr="003A115E" w:rsidRDefault="0075499D" w:rsidP="00CC28BD">
            <w:pPr>
              <w:pStyle w:val="cuadroCabe"/>
              <w:jc w:val="right"/>
              <w:rPr>
                <w:rFonts w:cs="Arial"/>
                <w:szCs w:val="18"/>
              </w:rPr>
            </w:pPr>
            <w:r>
              <w:t>2</w:t>
            </w:r>
          </w:p>
        </w:tc>
        <w:tc>
          <w:tcPr>
            <w:tcW w:w="243"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327BE7F5" w14:textId="7C88432F" w:rsidR="0075499D" w:rsidRPr="003A115E" w:rsidRDefault="0075499D" w:rsidP="00CC28BD">
            <w:pPr>
              <w:pStyle w:val="cuadroCabe"/>
              <w:jc w:val="right"/>
              <w:rPr>
                <w:rFonts w:cs="Arial"/>
                <w:szCs w:val="18"/>
              </w:rPr>
            </w:pPr>
            <w:r>
              <w:t>42</w:t>
            </w:r>
          </w:p>
        </w:tc>
        <w:tc>
          <w:tcPr>
            <w:tcW w:w="179"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567E7BFE" w14:textId="46E2A1A5" w:rsidR="0075499D" w:rsidRPr="003A115E" w:rsidRDefault="0075499D" w:rsidP="00CC28BD">
            <w:pPr>
              <w:pStyle w:val="cuadroCabe"/>
              <w:jc w:val="right"/>
              <w:rPr>
                <w:rFonts w:cs="Arial"/>
                <w:szCs w:val="18"/>
              </w:rPr>
            </w:pPr>
            <w:r>
              <w:t>1</w:t>
            </w:r>
          </w:p>
        </w:tc>
        <w:tc>
          <w:tcPr>
            <w:tcW w:w="262"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4D679EE2" w14:textId="24A42C7E" w:rsidR="0075499D" w:rsidRPr="003A115E" w:rsidRDefault="0075499D" w:rsidP="00CC28BD">
            <w:pPr>
              <w:pStyle w:val="cuadroCabe"/>
              <w:jc w:val="right"/>
              <w:rPr>
                <w:rFonts w:cs="Arial"/>
                <w:szCs w:val="18"/>
              </w:rPr>
            </w:pPr>
            <w:r>
              <w:t>66</w:t>
            </w:r>
          </w:p>
        </w:tc>
        <w:tc>
          <w:tcPr>
            <w:tcW w:w="195"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1B471540" w14:textId="75EA3512" w:rsidR="0075499D" w:rsidRPr="003A115E" w:rsidRDefault="0075499D" w:rsidP="00CC28BD">
            <w:pPr>
              <w:pStyle w:val="cuadroCabe"/>
              <w:jc w:val="right"/>
              <w:rPr>
                <w:rFonts w:cs="Arial"/>
                <w:szCs w:val="18"/>
              </w:rPr>
            </w:pPr>
            <w:r>
              <w:t>33</w:t>
            </w:r>
          </w:p>
        </w:tc>
        <w:tc>
          <w:tcPr>
            <w:tcW w:w="343"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107073A" w14:textId="4B98A56D" w:rsidR="0075499D" w:rsidRPr="003A115E" w:rsidRDefault="0075499D" w:rsidP="00CC28BD">
            <w:pPr>
              <w:pStyle w:val="cuadroCabe"/>
              <w:jc w:val="right"/>
              <w:rPr>
                <w:rFonts w:cs="Arial"/>
                <w:szCs w:val="18"/>
              </w:rPr>
            </w:pPr>
            <w:r>
              <w:t>2.876</w:t>
            </w:r>
          </w:p>
        </w:tc>
        <w:tc>
          <w:tcPr>
            <w:tcW w:w="254"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55AD00C7" w14:textId="74393961" w:rsidR="0075499D" w:rsidRPr="003A115E" w:rsidRDefault="0075499D" w:rsidP="00CC28BD">
            <w:pPr>
              <w:pStyle w:val="cuadroCabe"/>
              <w:jc w:val="right"/>
              <w:rPr>
                <w:rFonts w:cs="Arial"/>
                <w:szCs w:val="18"/>
              </w:rPr>
            </w:pPr>
            <w:r>
              <w:t>135</w:t>
            </w:r>
          </w:p>
        </w:tc>
        <w:tc>
          <w:tcPr>
            <w:tcW w:w="381"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6903C1C9" w14:textId="0F24417F" w:rsidR="0075499D" w:rsidRPr="003A115E" w:rsidRDefault="0075499D" w:rsidP="00CC28BD">
            <w:pPr>
              <w:pStyle w:val="cuadroCabe"/>
              <w:jc w:val="right"/>
              <w:rPr>
                <w:rFonts w:cs="Arial"/>
                <w:szCs w:val="18"/>
              </w:rPr>
            </w:pPr>
            <w:r>
              <w:t>8.512</w:t>
            </w:r>
          </w:p>
        </w:tc>
        <w:tc>
          <w:tcPr>
            <w:tcW w:w="127" w:type="pct"/>
            <w:tcBorders>
              <w:top w:val="nil"/>
              <w:left w:val="single" w:sz="2" w:space="0" w:color="auto"/>
              <w:bottom w:val="single" w:sz="4" w:space="0" w:color="auto"/>
            </w:tcBorders>
            <w:shd w:val="clear" w:color="auto" w:fill="FABF8F" w:themeFill="accent6" w:themeFillTint="99"/>
            <w:noWrap/>
            <w:tcMar>
              <w:left w:w="0" w:type="dxa"/>
              <w:right w:w="0" w:type="dxa"/>
            </w:tcMar>
            <w:vAlign w:val="center"/>
            <w:hideMark/>
          </w:tcPr>
          <w:p w14:paraId="502E20A6" w14:textId="532BE1D5" w:rsidR="0075499D" w:rsidRPr="003A115E" w:rsidRDefault="0075499D" w:rsidP="00CC28BD">
            <w:pPr>
              <w:pStyle w:val="cuadroCabe"/>
              <w:jc w:val="right"/>
              <w:rPr>
                <w:rFonts w:cs="Arial"/>
                <w:szCs w:val="18"/>
              </w:rPr>
            </w:pPr>
            <w:r>
              <w:t>2</w:t>
            </w:r>
          </w:p>
        </w:tc>
        <w:tc>
          <w:tcPr>
            <w:tcW w:w="254"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4A757F9" w14:textId="34D085DB" w:rsidR="0075499D" w:rsidRPr="003A115E" w:rsidRDefault="0075499D" w:rsidP="00CC28BD">
            <w:pPr>
              <w:pStyle w:val="cuadroCabe"/>
              <w:jc w:val="right"/>
              <w:rPr>
                <w:rFonts w:cs="Arial"/>
                <w:szCs w:val="18"/>
              </w:rPr>
            </w:pPr>
            <w:r>
              <w:t>269</w:t>
            </w:r>
          </w:p>
        </w:tc>
        <w:tc>
          <w:tcPr>
            <w:tcW w:w="216"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72E6B2DC" w14:textId="66D0A8CB" w:rsidR="0075499D" w:rsidRPr="003A115E" w:rsidRDefault="0075499D" w:rsidP="00CC28BD">
            <w:pPr>
              <w:pStyle w:val="cuadroCabe"/>
              <w:jc w:val="right"/>
              <w:rPr>
                <w:rFonts w:cs="Arial"/>
                <w:szCs w:val="18"/>
              </w:rPr>
            </w:pPr>
            <w:r>
              <w:t>21</w:t>
            </w:r>
          </w:p>
        </w:tc>
        <w:tc>
          <w:tcPr>
            <w:tcW w:w="254"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768A619" w14:textId="0805D65A" w:rsidR="0075499D" w:rsidRPr="003A115E" w:rsidRDefault="0075499D" w:rsidP="00CC28BD">
            <w:pPr>
              <w:pStyle w:val="cuadroCabe"/>
              <w:jc w:val="right"/>
              <w:rPr>
                <w:rFonts w:cs="Arial"/>
                <w:szCs w:val="18"/>
              </w:rPr>
            </w:pPr>
            <w:r>
              <w:t>671</w:t>
            </w:r>
          </w:p>
        </w:tc>
        <w:tc>
          <w:tcPr>
            <w:tcW w:w="253"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24B8D072" w14:textId="1CDF58EF" w:rsidR="0075499D" w:rsidRPr="003A115E" w:rsidRDefault="0075499D" w:rsidP="00CC28BD">
            <w:pPr>
              <w:pStyle w:val="cuadroCabe"/>
              <w:jc w:val="right"/>
              <w:rPr>
                <w:rFonts w:cs="Arial"/>
                <w:szCs w:val="18"/>
              </w:rPr>
            </w:pPr>
            <w:r>
              <w:t>679</w:t>
            </w:r>
          </w:p>
        </w:tc>
        <w:tc>
          <w:tcPr>
            <w:tcW w:w="458" w:type="pct"/>
            <w:tcBorders>
              <w:top w:val="nil"/>
              <w:left w:val="nil"/>
              <w:bottom w:val="single" w:sz="4" w:space="0" w:color="auto"/>
              <w:right w:val="nil"/>
            </w:tcBorders>
            <w:shd w:val="clear" w:color="auto" w:fill="FABF8F" w:themeFill="accent6" w:themeFillTint="99"/>
            <w:noWrap/>
            <w:tcMar>
              <w:left w:w="0" w:type="dxa"/>
              <w:right w:w="0" w:type="dxa"/>
            </w:tcMar>
            <w:vAlign w:val="center"/>
            <w:hideMark/>
          </w:tcPr>
          <w:p w14:paraId="61216434" w14:textId="14823724" w:rsidR="0075499D" w:rsidRPr="003A115E" w:rsidRDefault="0075499D" w:rsidP="00CC28BD">
            <w:pPr>
              <w:pStyle w:val="cuadroCabe"/>
              <w:jc w:val="right"/>
              <w:rPr>
                <w:rFonts w:cs="Arial"/>
                <w:szCs w:val="18"/>
              </w:rPr>
            </w:pPr>
            <w:r>
              <w:t>145.982</w:t>
            </w:r>
          </w:p>
        </w:tc>
      </w:tr>
    </w:tbl>
    <w:p w14:paraId="3D38BF84" w14:textId="116602A4" w:rsidR="0017101E" w:rsidRPr="003A115E" w:rsidRDefault="00D5352D" w:rsidP="00CC28BD">
      <w:pPr>
        <w:pStyle w:val="texto"/>
        <w:tabs>
          <w:tab w:val="left" w:pos="2977"/>
        </w:tabs>
        <w:spacing w:before="240"/>
        <w:rPr>
          <w:w w:val="103"/>
        </w:rPr>
      </w:pPr>
      <w:r>
        <w:t>Obra- eta zerbitzu-kontratuak gailentzen dira, zeinek esleitu den guztizko zenbatekoaren ehuneko 63 eta 25 egiten baitute, hurrenez hurren.</w:t>
      </w:r>
    </w:p>
    <w:p w14:paraId="100E09AD" w14:textId="0D3DD6C6" w:rsidR="00BD6542" w:rsidRPr="003A115E" w:rsidRDefault="0017101E" w:rsidP="00CC28BD">
      <w:pPr>
        <w:pStyle w:val="texto"/>
        <w:tabs>
          <w:tab w:val="left" w:pos="2977"/>
        </w:tabs>
        <w:rPr>
          <w:w w:val="103"/>
        </w:rPr>
      </w:pPr>
      <w:r>
        <w:t>Kontratazio-prozeduretatik gehien erabilia irekia da, aplikatua esleituriko kontratuen ehuneko 71n, zeinek guztizko zenbateko esleituaren ehuneko 91 egiten baitute. Ondoren, prozedura sinplifikatua dago, kontratuen ehuneko 20an eta guztizko zenbateko esleituaren ehuneko seian erabilia. Zifra horiek 2021ekoen eta 2020koen antzekoak dira.</w:t>
      </w:r>
    </w:p>
    <w:p w14:paraId="09417B34" w14:textId="6571799D" w:rsidR="00BD6542" w:rsidRPr="003A115E" w:rsidRDefault="00BD6542" w:rsidP="00CC28BD">
      <w:pPr>
        <w:pStyle w:val="texto"/>
        <w:tabs>
          <w:tab w:val="left" w:pos="2977"/>
        </w:tabs>
        <w:spacing w:after="240"/>
        <w:rPr>
          <w:w w:val="103"/>
        </w:rPr>
      </w:pPr>
      <w:r>
        <w:t>Kontratazioa kontratu gutxi batzuetan kontzentratzen da, taula honetan ikus daitekeen bezala:</w:t>
      </w:r>
    </w:p>
    <w:p w14:paraId="40B6957B" w14:textId="120402DC" w:rsidR="00D57C95" w:rsidRPr="003A115E" w:rsidRDefault="00216809" w:rsidP="00D57C95">
      <w:pPr>
        <w:pStyle w:val="texto"/>
        <w:spacing w:after="0"/>
        <w:jc w:val="right"/>
        <w:rPr>
          <w:rFonts w:ascii="Arial Narrow" w:hAnsi="Arial Narrow"/>
          <w:sz w:val="20"/>
          <w:szCs w:val="20"/>
        </w:rPr>
      </w:pPr>
      <w:r>
        <w:rPr>
          <w:rFonts w:ascii="Arial Narrow" w:hAnsi="Arial Narrow"/>
          <w:sz w:val="20"/>
        </w:rPr>
        <w:t>(milakoak)</w:t>
      </w:r>
    </w:p>
    <w:tbl>
      <w:tblPr>
        <w:tblW w:w="5000" w:type="pct"/>
        <w:tblCellMar>
          <w:left w:w="70" w:type="dxa"/>
          <w:right w:w="70" w:type="dxa"/>
        </w:tblCellMar>
        <w:tblLook w:val="04A0" w:firstRow="1" w:lastRow="0" w:firstColumn="1" w:lastColumn="0" w:noHBand="0" w:noVBand="1"/>
      </w:tblPr>
      <w:tblGrid>
        <w:gridCol w:w="2690"/>
        <w:gridCol w:w="459"/>
        <w:gridCol w:w="727"/>
        <w:gridCol w:w="459"/>
        <w:gridCol w:w="727"/>
        <w:gridCol w:w="459"/>
        <w:gridCol w:w="727"/>
        <w:gridCol w:w="494"/>
        <w:gridCol w:w="754"/>
        <w:gridCol w:w="459"/>
        <w:gridCol w:w="833"/>
      </w:tblGrid>
      <w:tr w:rsidR="000A742F" w:rsidRPr="003A115E" w14:paraId="0B14633B" w14:textId="77777777" w:rsidTr="0087568B">
        <w:trPr>
          <w:trHeight w:val="255"/>
        </w:trPr>
        <w:tc>
          <w:tcPr>
            <w:tcW w:w="154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2E452B2E" w14:textId="5F2A5A3C" w:rsidR="00162B53" w:rsidRPr="003A115E" w:rsidRDefault="00162B53" w:rsidP="005D487C">
            <w:pPr>
              <w:pStyle w:val="cuadroCabe"/>
            </w:pPr>
          </w:p>
        </w:tc>
        <w:tc>
          <w:tcPr>
            <w:tcW w:w="675"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E9644FA" w14:textId="77777777" w:rsidR="00162B53" w:rsidRPr="003A115E" w:rsidRDefault="00162B53" w:rsidP="005D487C">
            <w:pPr>
              <w:pStyle w:val="cuadroCabe"/>
              <w:jc w:val="right"/>
            </w:pPr>
            <w:r>
              <w:t>Obrak</w:t>
            </w:r>
          </w:p>
        </w:tc>
        <w:tc>
          <w:tcPr>
            <w:tcW w:w="67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5E0E650" w14:textId="77777777" w:rsidR="00162B53" w:rsidRPr="003A115E" w:rsidRDefault="00162B53" w:rsidP="005D487C">
            <w:pPr>
              <w:pStyle w:val="cuadroCabe"/>
              <w:jc w:val="right"/>
            </w:pPr>
            <w:r>
              <w:t>Zerbitzuak</w:t>
            </w:r>
          </w:p>
        </w:tc>
        <w:tc>
          <w:tcPr>
            <w:tcW w:w="677"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FF06D72" w14:textId="77777777" w:rsidR="00162B53" w:rsidRPr="003A115E" w:rsidRDefault="00162B53" w:rsidP="005D487C">
            <w:pPr>
              <w:pStyle w:val="cuadroCabe"/>
              <w:jc w:val="right"/>
            </w:pPr>
            <w:r>
              <w:t>Hornidurak</w:t>
            </w:r>
          </w:p>
        </w:tc>
        <w:tc>
          <w:tcPr>
            <w:tcW w:w="78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2594CA8" w14:textId="77777777" w:rsidR="00216809" w:rsidRDefault="00162B53" w:rsidP="00216809">
            <w:pPr>
              <w:pStyle w:val="cuadroCabe"/>
              <w:jc w:val="right"/>
            </w:pPr>
            <w:r>
              <w:t>Herri-lanen/zerbitzuen emakida</w:t>
            </w:r>
          </w:p>
          <w:p w14:paraId="089B62AF" w14:textId="7BAF6241" w:rsidR="00216809" w:rsidRDefault="00162B53" w:rsidP="00216809">
            <w:pPr>
              <w:pStyle w:val="cuadroCabe"/>
              <w:jc w:val="right"/>
            </w:pPr>
            <w:r>
              <w:t xml:space="preserve"> </w:t>
            </w:r>
          </w:p>
          <w:p w14:paraId="35A374D9" w14:textId="55611625" w:rsidR="00162B53" w:rsidRPr="003A115E" w:rsidRDefault="00162B53" w:rsidP="00216809">
            <w:pPr>
              <w:pStyle w:val="cuadroCabe"/>
              <w:jc w:val="right"/>
            </w:pPr>
          </w:p>
        </w:tc>
        <w:tc>
          <w:tcPr>
            <w:tcW w:w="645"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AC678C7" w14:textId="77777777" w:rsidR="00162B53" w:rsidRPr="003A115E" w:rsidRDefault="00162B53" w:rsidP="00CC28BD">
            <w:pPr>
              <w:pStyle w:val="cuadroCabe"/>
              <w:jc w:val="center"/>
            </w:pPr>
            <w:r>
              <w:t>Guztira</w:t>
            </w:r>
          </w:p>
        </w:tc>
      </w:tr>
      <w:tr w:rsidR="000A742F" w:rsidRPr="003A115E" w14:paraId="4F6E8028" w14:textId="77777777" w:rsidTr="0087568B">
        <w:trPr>
          <w:trHeight w:val="255"/>
        </w:trPr>
        <w:tc>
          <w:tcPr>
            <w:tcW w:w="1546" w:type="pct"/>
            <w:vMerge/>
            <w:tcBorders>
              <w:top w:val="single" w:sz="4" w:space="0" w:color="auto"/>
              <w:left w:val="nil"/>
              <w:bottom w:val="single" w:sz="4" w:space="0" w:color="000000"/>
              <w:right w:val="nil"/>
            </w:tcBorders>
            <w:shd w:val="clear" w:color="auto" w:fill="FABF8F" w:themeFill="accent6" w:themeFillTint="99"/>
            <w:vAlign w:val="center"/>
            <w:hideMark/>
          </w:tcPr>
          <w:p w14:paraId="282F885B" w14:textId="77777777" w:rsidR="00162B53" w:rsidRPr="003A115E" w:rsidRDefault="00162B53" w:rsidP="00162B53">
            <w:pPr>
              <w:jc w:val="center"/>
              <w:rPr>
                <w:rFonts w:ascii="Arial Narrow" w:hAnsi="Arial Narrow" w:cs="Calibri"/>
                <w:sz w:val="16"/>
                <w:szCs w:val="16"/>
              </w:rPr>
            </w:pPr>
          </w:p>
        </w:tc>
        <w:tc>
          <w:tcPr>
            <w:tcW w:w="261" w:type="pct"/>
            <w:tcBorders>
              <w:top w:val="single" w:sz="4" w:space="0" w:color="auto"/>
              <w:left w:val="nil"/>
              <w:bottom w:val="nil"/>
              <w:right w:val="nil"/>
            </w:tcBorders>
            <w:shd w:val="clear" w:color="auto" w:fill="FABF8F" w:themeFill="accent6" w:themeFillTint="99"/>
            <w:vAlign w:val="center"/>
            <w:hideMark/>
          </w:tcPr>
          <w:p w14:paraId="428ECE32" w14:textId="77777777" w:rsidR="00162B53" w:rsidRPr="003A115E" w:rsidRDefault="00162B53" w:rsidP="005D487C">
            <w:pPr>
              <w:jc w:val="right"/>
              <w:rPr>
                <w:rFonts w:ascii="Arial Narrow" w:hAnsi="Arial Narrow" w:cs="Calibri"/>
                <w:sz w:val="16"/>
                <w:szCs w:val="16"/>
              </w:rPr>
            </w:pPr>
            <w:r>
              <w:rPr>
                <w:rFonts w:ascii="Arial Narrow" w:hAnsi="Arial Narrow"/>
                <w:sz w:val="16"/>
              </w:rPr>
              <w:t>Kop.</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B892469" w14:textId="77777777" w:rsidR="00162B53" w:rsidRPr="003A115E" w:rsidRDefault="00162B53" w:rsidP="005D487C">
            <w:pPr>
              <w:jc w:val="right"/>
              <w:rPr>
                <w:rFonts w:ascii="Arial Narrow" w:hAnsi="Arial Narrow" w:cs="Calibri"/>
                <w:sz w:val="16"/>
                <w:szCs w:val="16"/>
              </w:rPr>
            </w:pPr>
            <w:r>
              <w:rPr>
                <w:rFonts w:ascii="Arial Narrow" w:hAnsi="Arial Narrow"/>
                <w:sz w:val="16"/>
              </w:rPr>
              <w:t>Zenbatekoa</w:t>
            </w:r>
          </w:p>
        </w:tc>
        <w:tc>
          <w:tcPr>
            <w:tcW w:w="261" w:type="pct"/>
            <w:tcBorders>
              <w:top w:val="single" w:sz="4" w:space="0" w:color="auto"/>
              <w:left w:val="single" w:sz="2" w:space="0" w:color="auto"/>
              <w:bottom w:val="nil"/>
              <w:right w:val="nil"/>
            </w:tcBorders>
            <w:shd w:val="clear" w:color="auto" w:fill="FABF8F" w:themeFill="accent6" w:themeFillTint="99"/>
            <w:vAlign w:val="center"/>
            <w:hideMark/>
          </w:tcPr>
          <w:p w14:paraId="5746BE96" w14:textId="77777777" w:rsidR="00162B53" w:rsidRPr="003A115E" w:rsidRDefault="00162B53" w:rsidP="005D487C">
            <w:pPr>
              <w:jc w:val="right"/>
              <w:rPr>
                <w:rFonts w:ascii="Arial Narrow" w:hAnsi="Arial Narrow" w:cs="Calibri"/>
                <w:sz w:val="16"/>
                <w:szCs w:val="16"/>
              </w:rPr>
            </w:pPr>
            <w:r>
              <w:rPr>
                <w:rFonts w:ascii="Arial Narrow" w:hAnsi="Arial Narrow"/>
                <w:sz w:val="16"/>
              </w:rPr>
              <w:t>Kop.</w:t>
            </w:r>
          </w:p>
        </w:tc>
        <w:tc>
          <w:tcPr>
            <w:tcW w:w="416" w:type="pct"/>
            <w:tcBorders>
              <w:top w:val="single" w:sz="4" w:space="0" w:color="auto"/>
              <w:left w:val="nil"/>
              <w:bottom w:val="nil"/>
              <w:right w:val="single" w:sz="2" w:space="0" w:color="auto"/>
            </w:tcBorders>
            <w:shd w:val="clear" w:color="auto" w:fill="FABF8F" w:themeFill="accent6" w:themeFillTint="99"/>
            <w:vAlign w:val="center"/>
            <w:hideMark/>
          </w:tcPr>
          <w:p w14:paraId="500A76CE" w14:textId="77777777" w:rsidR="00162B53" w:rsidRPr="003A115E" w:rsidRDefault="00162B53" w:rsidP="005D487C">
            <w:pPr>
              <w:jc w:val="right"/>
              <w:rPr>
                <w:rFonts w:ascii="Arial Narrow" w:hAnsi="Arial Narrow" w:cs="Calibri"/>
                <w:sz w:val="16"/>
                <w:szCs w:val="16"/>
              </w:rPr>
            </w:pPr>
            <w:r>
              <w:rPr>
                <w:rFonts w:ascii="Arial Narrow" w:hAnsi="Arial Narrow"/>
                <w:sz w:val="16"/>
              </w:rPr>
              <w:t>Zenbatekoa</w:t>
            </w:r>
          </w:p>
        </w:tc>
        <w:tc>
          <w:tcPr>
            <w:tcW w:w="261" w:type="pct"/>
            <w:tcBorders>
              <w:top w:val="single" w:sz="4" w:space="0" w:color="auto"/>
              <w:left w:val="single" w:sz="2" w:space="0" w:color="auto"/>
              <w:bottom w:val="nil"/>
              <w:right w:val="nil"/>
            </w:tcBorders>
            <w:shd w:val="clear" w:color="auto" w:fill="FABF8F" w:themeFill="accent6" w:themeFillTint="99"/>
            <w:vAlign w:val="center"/>
            <w:hideMark/>
          </w:tcPr>
          <w:p w14:paraId="3C7C8F68" w14:textId="77777777" w:rsidR="00162B53" w:rsidRPr="003A115E" w:rsidRDefault="00162B53" w:rsidP="005D487C">
            <w:pPr>
              <w:jc w:val="right"/>
              <w:rPr>
                <w:rFonts w:ascii="Arial Narrow" w:hAnsi="Arial Narrow" w:cs="Calibri"/>
                <w:sz w:val="16"/>
                <w:szCs w:val="16"/>
              </w:rPr>
            </w:pPr>
            <w:r>
              <w:rPr>
                <w:rFonts w:ascii="Arial Narrow" w:hAnsi="Arial Narrow"/>
                <w:sz w:val="16"/>
              </w:rPr>
              <w:t>Kop.</w:t>
            </w:r>
          </w:p>
        </w:tc>
        <w:tc>
          <w:tcPr>
            <w:tcW w:w="416" w:type="pct"/>
            <w:tcBorders>
              <w:top w:val="single" w:sz="4" w:space="0" w:color="auto"/>
              <w:left w:val="nil"/>
              <w:bottom w:val="nil"/>
              <w:right w:val="single" w:sz="2" w:space="0" w:color="auto"/>
            </w:tcBorders>
            <w:shd w:val="clear" w:color="auto" w:fill="FABF8F" w:themeFill="accent6" w:themeFillTint="99"/>
            <w:vAlign w:val="center"/>
            <w:hideMark/>
          </w:tcPr>
          <w:p w14:paraId="11966911" w14:textId="77777777" w:rsidR="00162B53" w:rsidRPr="003A115E" w:rsidRDefault="00162B53" w:rsidP="005D487C">
            <w:pPr>
              <w:jc w:val="right"/>
              <w:rPr>
                <w:rFonts w:ascii="Arial Narrow" w:hAnsi="Arial Narrow" w:cs="Calibri"/>
                <w:sz w:val="16"/>
                <w:szCs w:val="16"/>
              </w:rPr>
            </w:pPr>
            <w:r>
              <w:rPr>
                <w:rFonts w:ascii="Arial Narrow" w:hAnsi="Arial Narrow"/>
                <w:sz w:val="16"/>
              </w:rPr>
              <w:t>Zenbatekoa</w:t>
            </w:r>
          </w:p>
        </w:tc>
        <w:tc>
          <w:tcPr>
            <w:tcW w:w="336" w:type="pct"/>
            <w:tcBorders>
              <w:top w:val="single" w:sz="4" w:space="0" w:color="auto"/>
              <w:left w:val="single" w:sz="2" w:space="0" w:color="auto"/>
              <w:bottom w:val="nil"/>
              <w:right w:val="nil"/>
            </w:tcBorders>
            <w:shd w:val="clear" w:color="auto" w:fill="FABF8F" w:themeFill="accent6" w:themeFillTint="99"/>
            <w:vAlign w:val="center"/>
            <w:hideMark/>
          </w:tcPr>
          <w:p w14:paraId="52497450" w14:textId="77777777" w:rsidR="00162B53" w:rsidRPr="003A115E" w:rsidRDefault="00162B53" w:rsidP="005D487C">
            <w:pPr>
              <w:jc w:val="right"/>
              <w:rPr>
                <w:rFonts w:ascii="Arial Narrow" w:hAnsi="Arial Narrow" w:cs="Calibri"/>
                <w:sz w:val="16"/>
                <w:szCs w:val="16"/>
              </w:rPr>
            </w:pPr>
            <w:r>
              <w:rPr>
                <w:rFonts w:ascii="Arial Narrow" w:hAnsi="Arial Narrow"/>
                <w:sz w:val="16"/>
              </w:rPr>
              <w:t>Kop.</w:t>
            </w:r>
          </w:p>
        </w:tc>
        <w:tc>
          <w:tcPr>
            <w:tcW w:w="444" w:type="pct"/>
            <w:tcBorders>
              <w:top w:val="single" w:sz="4" w:space="0" w:color="auto"/>
              <w:left w:val="nil"/>
              <w:bottom w:val="nil"/>
              <w:right w:val="single" w:sz="2" w:space="0" w:color="auto"/>
            </w:tcBorders>
            <w:shd w:val="clear" w:color="auto" w:fill="FABF8F" w:themeFill="accent6" w:themeFillTint="99"/>
            <w:vAlign w:val="center"/>
            <w:hideMark/>
          </w:tcPr>
          <w:p w14:paraId="66FFF14F" w14:textId="77777777" w:rsidR="00162B53" w:rsidRPr="003A115E" w:rsidRDefault="00162B53" w:rsidP="005D487C">
            <w:pPr>
              <w:jc w:val="right"/>
              <w:rPr>
                <w:rFonts w:ascii="Arial Narrow" w:hAnsi="Arial Narrow" w:cs="Calibri"/>
                <w:sz w:val="16"/>
                <w:szCs w:val="16"/>
              </w:rPr>
            </w:pPr>
            <w:r>
              <w:rPr>
                <w:rFonts w:ascii="Arial Narrow" w:hAnsi="Arial Narrow"/>
                <w:sz w:val="16"/>
              </w:rPr>
              <w:t>Zenbatekoa</w:t>
            </w:r>
          </w:p>
        </w:tc>
        <w:tc>
          <w:tcPr>
            <w:tcW w:w="171" w:type="pct"/>
            <w:tcBorders>
              <w:top w:val="single" w:sz="4" w:space="0" w:color="auto"/>
              <w:left w:val="single" w:sz="2" w:space="0" w:color="auto"/>
              <w:bottom w:val="nil"/>
              <w:right w:val="nil"/>
            </w:tcBorders>
            <w:shd w:val="clear" w:color="auto" w:fill="FABF8F" w:themeFill="accent6" w:themeFillTint="99"/>
            <w:vAlign w:val="center"/>
            <w:hideMark/>
          </w:tcPr>
          <w:p w14:paraId="03D95226" w14:textId="77777777" w:rsidR="00162B53" w:rsidRPr="003A115E" w:rsidRDefault="00162B53" w:rsidP="005D487C">
            <w:pPr>
              <w:jc w:val="right"/>
              <w:rPr>
                <w:rFonts w:ascii="Arial Narrow" w:hAnsi="Arial Narrow" w:cs="Calibri"/>
                <w:sz w:val="16"/>
                <w:szCs w:val="16"/>
              </w:rPr>
            </w:pPr>
            <w:r>
              <w:rPr>
                <w:rFonts w:ascii="Arial Narrow" w:hAnsi="Arial Narrow"/>
                <w:sz w:val="16"/>
              </w:rPr>
              <w:t>Kop.</w:t>
            </w:r>
          </w:p>
        </w:tc>
        <w:tc>
          <w:tcPr>
            <w:tcW w:w="474" w:type="pct"/>
            <w:tcBorders>
              <w:top w:val="single" w:sz="4" w:space="0" w:color="auto"/>
              <w:left w:val="nil"/>
              <w:bottom w:val="nil"/>
              <w:right w:val="nil"/>
            </w:tcBorders>
            <w:shd w:val="clear" w:color="auto" w:fill="FABF8F" w:themeFill="accent6" w:themeFillTint="99"/>
            <w:vAlign w:val="center"/>
            <w:hideMark/>
          </w:tcPr>
          <w:p w14:paraId="4331253D" w14:textId="77777777" w:rsidR="00162B53" w:rsidRPr="003A115E" w:rsidRDefault="00162B53" w:rsidP="005D487C">
            <w:pPr>
              <w:jc w:val="right"/>
              <w:rPr>
                <w:rFonts w:ascii="Arial Narrow" w:hAnsi="Arial Narrow" w:cs="Calibri"/>
                <w:sz w:val="16"/>
                <w:szCs w:val="16"/>
              </w:rPr>
            </w:pPr>
            <w:r>
              <w:rPr>
                <w:rFonts w:ascii="Arial Narrow" w:hAnsi="Arial Narrow"/>
                <w:sz w:val="16"/>
              </w:rPr>
              <w:t>Zenbatekoa</w:t>
            </w:r>
          </w:p>
        </w:tc>
      </w:tr>
      <w:tr w:rsidR="000A742F" w:rsidRPr="003A115E" w14:paraId="0AD5CFA3" w14:textId="77777777" w:rsidTr="0087568B">
        <w:trPr>
          <w:trHeight w:val="198"/>
        </w:trPr>
        <w:tc>
          <w:tcPr>
            <w:tcW w:w="1546" w:type="pct"/>
            <w:tcBorders>
              <w:top w:val="nil"/>
              <w:left w:val="nil"/>
              <w:bottom w:val="single" w:sz="2" w:space="0" w:color="auto"/>
              <w:right w:val="nil"/>
            </w:tcBorders>
            <w:shd w:val="clear" w:color="000000" w:fill="FFFFFF"/>
            <w:vAlign w:val="center"/>
            <w:hideMark/>
          </w:tcPr>
          <w:p w14:paraId="5D37670E" w14:textId="77777777" w:rsidR="00162B53" w:rsidRPr="003A115E" w:rsidRDefault="00162B53" w:rsidP="005D487C">
            <w:pPr>
              <w:pStyle w:val="cuatexto"/>
            </w:pPr>
            <w:r>
              <w:t>&gt; 600.000 €</w:t>
            </w:r>
          </w:p>
        </w:tc>
        <w:tc>
          <w:tcPr>
            <w:tcW w:w="261" w:type="pct"/>
            <w:tcBorders>
              <w:top w:val="single" w:sz="4" w:space="0" w:color="auto"/>
              <w:left w:val="nil"/>
              <w:bottom w:val="single" w:sz="2" w:space="0" w:color="auto"/>
              <w:right w:val="nil"/>
            </w:tcBorders>
            <w:shd w:val="clear" w:color="000000" w:fill="FFFFFF"/>
            <w:noWrap/>
            <w:vAlign w:val="center"/>
            <w:hideMark/>
          </w:tcPr>
          <w:p w14:paraId="31796CD6" w14:textId="54F889A2" w:rsidR="00162B53" w:rsidRPr="003A115E" w:rsidRDefault="00162B53" w:rsidP="005D487C">
            <w:pPr>
              <w:pStyle w:val="cuatexto"/>
              <w:jc w:val="right"/>
            </w:pPr>
            <w:r>
              <w:t>25</w:t>
            </w:r>
          </w:p>
        </w:tc>
        <w:tc>
          <w:tcPr>
            <w:tcW w:w="414" w:type="pct"/>
            <w:tcBorders>
              <w:top w:val="single" w:sz="4" w:space="0" w:color="auto"/>
              <w:left w:val="nil"/>
              <w:bottom w:val="single" w:sz="2" w:space="0" w:color="auto"/>
              <w:right w:val="single" w:sz="2" w:space="0" w:color="auto"/>
            </w:tcBorders>
            <w:shd w:val="clear" w:color="000000" w:fill="FFFFFF"/>
            <w:noWrap/>
            <w:vAlign w:val="center"/>
            <w:hideMark/>
          </w:tcPr>
          <w:p w14:paraId="1A512509" w14:textId="66BABCD0" w:rsidR="00162B53" w:rsidRPr="003A115E" w:rsidRDefault="00162B53" w:rsidP="005D487C">
            <w:pPr>
              <w:pStyle w:val="cuatexto"/>
              <w:jc w:val="right"/>
            </w:pPr>
            <w:r>
              <w:t>51.271</w:t>
            </w:r>
          </w:p>
        </w:tc>
        <w:tc>
          <w:tcPr>
            <w:tcW w:w="261" w:type="pct"/>
            <w:tcBorders>
              <w:top w:val="single" w:sz="4" w:space="0" w:color="auto"/>
              <w:left w:val="single" w:sz="2" w:space="0" w:color="auto"/>
              <w:bottom w:val="single" w:sz="2" w:space="0" w:color="auto"/>
              <w:right w:val="nil"/>
            </w:tcBorders>
            <w:shd w:val="clear" w:color="000000" w:fill="FFFFFF"/>
            <w:noWrap/>
            <w:vAlign w:val="center"/>
            <w:hideMark/>
          </w:tcPr>
          <w:p w14:paraId="36069533" w14:textId="5160731E" w:rsidR="00162B53" w:rsidRPr="003A115E" w:rsidRDefault="00162B53" w:rsidP="005D487C">
            <w:pPr>
              <w:pStyle w:val="cuatexto"/>
              <w:jc w:val="right"/>
            </w:pPr>
            <w:r>
              <w:t>5</w:t>
            </w:r>
          </w:p>
        </w:tc>
        <w:tc>
          <w:tcPr>
            <w:tcW w:w="416" w:type="pct"/>
            <w:tcBorders>
              <w:top w:val="single" w:sz="4" w:space="0" w:color="auto"/>
              <w:left w:val="nil"/>
              <w:bottom w:val="single" w:sz="2" w:space="0" w:color="auto"/>
              <w:right w:val="single" w:sz="2" w:space="0" w:color="auto"/>
            </w:tcBorders>
            <w:shd w:val="clear" w:color="000000" w:fill="FFFFFF"/>
            <w:noWrap/>
            <w:vAlign w:val="center"/>
            <w:hideMark/>
          </w:tcPr>
          <w:p w14:paraId="35969195" w14:textId="6A2D2712" w:rsidR="00162B53" w:rsidRPr="003A115E" w:rsidRDefault="00162B53" w:rsidP="005D487C">
            <w:pPr>
              <w:pStyle w:val="cuatexto"/>
              <w:jc w:val="right"/>
            </w:pPr>
            <w:r>
              <w:t>23.180</w:t>
            </w:r>
          </w:p>
        </w:tc>
        <w:tc>
          <w:tcPr>
            <w:tcW w:w="261" w:type="pct"/>
            <w:tcBorders>
              <w:top w:val="single" w:sz="4" w:space="0" w:color="auto"/>
              <w:left w:val="single" w:sz="2" w:space="0" w:color="auto"/>
              <w:bottom w:val="single" w:sz="2" w:space="0" w:color="auto"/>
              <w:right w:val="nil"/>
            </w:tcBorders>
            <w:shd w:val="clear" w:color="000000" w:fill="FFFFFF"/>
            <w:noWrap/>
            <w:vAlign w:val="center"/>
            <w:hideMark/>
          </w:tcPr>
          <w:p w14:paraId="6C5BC29D" w14:textId="0F3A22B3" w:rsidR="00162B53" w:rsidRPr="003A115E" w:rsidRDefault="00162B53" w:rsidP="005D487C">
            <w:pPr>
              <w:pStyle w:val="cuatexto"/>
              <w:jc w:val="right"/>
            </w:pPr>
            <w:r>
              <w:t>5</w:t>
            </w:r>
          </w:p>
        </w:tc>
        <w:tc>
          <w:tcPr>
            <w:tcW w:w="416" w:type="pct"/>
            <w:tcBorders>
              <w:top w:val="single" w:sz="4" w:space="0" w:color="auto"/>
              <w:left w:val="nil"/>
              <w:bottom w:val="single" w:sz="2" w:space="0" w:color="auto"/>
              <w:right w:val="single" w:sz="2" w:space="0" w:color="auto"/>
            </w:tcBorders>
            <w:shd w:val="clear" w:color="000000" w:fill="FFFFFF"/>
            <w:noWrap/>
            <w:vAlign w:val="center"/>
            <w:hideMark/>
          </w:tcPr>
          <w:p w14:paraId="1745F7CD" w14:textId="16B3A8CB" w:rsidR="00162B53" w:rsidRPr="003A115E" w:rsidRDefault="00162B53" w:rsidP="005D487C">
            <w:pPr>
              <w:pStyle w:val="cuatexto"/>
              <w:jc w:val="right"/>
            </w:pPr>
            <w:r>
              <w:t>7.124</w:t>
            </w:r>
          </w:p>
        </w:tc>
        <w:tc>
          <w:tcPr>
            <w:tcW w:w="336" w:type="pct"/>
            <w:tcBorders>
              <w:top w:val="single" w:sz="4" w:space="0" w:color="auto"/>
              <w:left w:val="single" w:sz="2" w:space="0" w:color="auto"/>
              <w:bottom w:val="single" w:sz="2" w:space="0" w:color="auto"/>
              <w:right w:val="nil"/>
            </w:tcBorders>
            <w:shd w:val="clear" w:color="000000" w:fill="FFFFFF"/>
            <w:noWrap/>
            <w:vAlign w:val="center"/>
            <w:hideMark/>
          </w:tcPr>
          <w:p w14:paraId="72402333" w14:textId="300E74C2" w:rsidR="00162B53" w:rsidRPr="003A115E" w:rsidRDefault="00162B53" w:rsidP="005D487C">
            <w:pPr>
              <w:pStyle w:val="cuatexto"/>
              <w:jc w:val="right"/>
            </w:pPr>
            <w:r>
              <w:t>2</w:t>
            </w:r>
          </w:p>
        </w:tc>
        <w:tc>
          <w:tcPr>
            <w:tcW w:w="444" w:type="pct"/>
            <w:tcBorders>
              <w:top w:val="single" w:sz="4" w:space="0" w:color="auto"/>
              <w:left w:val="nil"/>
              <w:bottom w:val="single" w:sz="2" w:space="0" w:color="auto"/>
              <w:right w:val="single" w:sz="2" w:space="0" w:color="auto"/>
            </w:tcBorders>
            <w:shd w:val="clear" w:color="000000" w:fill="FFFFFF"/>
            <w:noWrap/>
            <w:vAlign w:val="center"/>
            <w:hideMark/>
          </w:tcPr>
          <w:p w14:paraId="2193506B" w14:textId="2295A4EA" w:rsidR="00162B53" w:rsidRPr="003A115E" w:rsidRDefault="00162B53" w:rsidP="005D487C">
            <w:pPr>
              <w:pStyle w:val="cuatexto"/>
              <w:jc w:val="right"/>
            </w:pPr>
            <w:r>
              <w:t>3.247</w:t>
            </w:r>
          </w:p>
        </w:tc>
        <w:tc>
          <w:tcPr>
            <w:tcW w:w="171" w:type="pct"/>
            <w:tcBorders>
              <w:top w:val="single" w:sz="4" w:space="0" w:color="auto"/>
              <w:left w:val="single" w:sz="2" w:space="0" w:color="auto"/>
              <w:bottom w:val="single" w:sz="2" w:space="0" w:color="auto"/>
              <w:right w:val="nil"/>
            </w:tcBorders>
            <w:shd w:val="clear" w:color="000000" w:fill="FFFFFF"/>
            <w:noWrap/>
            <w:vAlign w:val="center"/>
            <w:hideMark/>
          </w:tcPr>
          <w:p w14:paraId="2B80DA23" w14:textId="1284C34E" w:rsidR="00162B53" w:rsidRPr="003A115E" w:rsidRDefault="00162B53" w:rsidP="005D487C">
            <w:pPr>
              <w:pStyle w:val="cuatexto"/>
              <w:jc w:val="right"/>
            </w:pPr>
            <w:r>
              <w:t>37</w:t>
            </w:r>
          </w:p>
        </w:tc>
        <w:tc>
          <w:tcPr>
            <w:tcW w:w="474" w:type="pct"/>
            <w:tcBorders>
              <w:top w:val="single" w:sz="4" w:space="0" w:color="auto"/>
              <w:left w:val="nil"/>
              <w:bottom w:val="single" w:sz="2" w:space="0" w:color="auto"/>
              <w:right w:val="nil"/>
            </w:tcBorders>
            <w:shd w:val="clear" w:color="000000" w:fill="FFFFFF"/>
            <w:noWrap/>
            <w:vAlign w:val="center"/>
            <w:hideMark/>
          </w:tcPr>
          <w:p w14:paraId="093D2C36" w14:textId="1E2A4103" w:rsidR="00162B53" w:rsidRPr="003A115E" w:rsidRDefault="00162B53" w:rsidP="005D487C">
            <w:pPr>
              <w:pStyle w:val="cuatexto"/>
              <w:jc w:val="right"/>
            </w:pPr>
            <w:r>
              <w:t>84.822</w:t>
            </w:r>
          </w:p>
        </w:tc>
      </w:tr>
      <w:tr w:rsidR="000A742F" w:rsidRPr="003A115E" w14:paraId="76A39C33" w14:textId="77777777" w:rsidTr="0087568B">
        <w:trPr>
          <w:trHeight w:val="198"/>
        </w:trPr>
        <w:tc>
          <w:tcPr>
            <w:tcW w:w="1546" w:type="pct"/>
            <w:tcBorders>
              <w:top w:val="single" w:sz="2" w:space="0" w:color="auto"/>
              <w:left w:val="nil"/>
              <w:bottom w:val="single" w:sz="2" w:space="0" w:color="auto"/>
              <w:right w:val="nil"/>
            </w:tcBorders>
            <w:shd w:val="clear" w:color="000000" w:fill="FFFFFF"/>
            <w:vAlign w:val="center"/>
            <w:hideMark/>
          </w:tcPr>
          <w:p w14:paraId="478B66A6" w14:textId="77777777" w:rsidR="00162B53" w:rsidRPr="003A115E" w:rsidRDefault="00162B53" w:rsidP="005D487C">
            <w:pPr>
              <w:pStyle w:val="cuatexto"/>
            </w:pPr>
            <w:r>
              <w:t>&gt; 400.000 € eta &lt;= 600.000 €</w:t>
            </w:r>
          </w:p>
        </w:tc>
        <w:tc>
          <w:tcPr>
            <w:tcW w:w="261" w:type="pct"/>
            <w:tcBorders>
              <w:top w:val="single" w:sz="2" w:space="0" w:color="auto"/>
              <w:left w:val="nil"/>
              <w:bottom w:val="single" w:sz="2" w:space="0" w:color="auto"/>
              <w:right w:val="nil"/>
            </w:tcBorders>
            <w:shd w:val="clear" w:color="000000" w:fill="FFFFFF"/>
            <w:noWrap/>
            <w:vAlign w:val="center"/>
            <w:hideMark/>
          </w:tcPr>
          <w:p w14:paraId="49EDBE41" w14:textId="43B457F8" w:rsidR="00162B53" w:rsidRPr="003A115E" w:rsidRDefault="00162B53" w:rsidP="005D487C">
            <w:pPr>
              <w:pStyle w:val="cuatexto"/>
              <w:jc w:val="right"/>
            </w:pPr>
            <w:r>
              <w:t>11</w:t>
            </w:r>
          </w:p>
        </w:tc>
        <w:tc>
          <w:tcPr>
            <w:tcW w:w="414" w:type="pct"/>
            <w:tcBorders>
              <w:top w:val="single" w:sz="2" w:space="0" w:color="auto"/>
              <w:left w:val="nil"/>
              <w:bottom w:val="single" w:sz="2" w:space="0" w:color="auto"/>
              <w:right w:val="single" w:sz="2" w:space="0" w:color="auto"/>
            </w:tcBorders>
            <w:shd w:val="clear" w:color="000000" w:fill="FFFFFF"/>
            <w:noWrap/>
            <w:vAlign w:val="center"/>
            <w:hideMark/>
          </w:tcPr>
          <w:p w14:paraId="40A8962F" w14:textId="1BF4E747" w:rsidR="00162B53" w:rsidRPr="003A115E" w:rsidRDefault="00162B53" w:rsidP="005D487C">
            <w:pPr>
              <w:pStyle w:val="cuatexto"/>
              <w:jc w:val="right"/>
            </w:pPr>
            <w:r>
              <w:t>5.319</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1E96695C" w14:textId="07807E03" w:rsidR="00162B53" w:rsidRPr="003A115E" w:rsidRDefault="00162B53" w:rsidP="005D487C">
            <w:pPr>
              <w:pStyle w:val="cuatexto"/>
              <w:jc w:val="right"/>
            </w:pPr>
            <w:r>
              <w:t>3</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B54B190" w14:textId="28396889" w:rsidR="00162B53" w:rsidRPr="003A115E" w:rsidRDefault="00162B53" w:rsidP="005D487C">
            <w:pPr>
              <w:pStyle w:val="cuatexto"/>
              <w:jc w:val="right"/>
            </w:pPr>
            <w:r>
              <w:t>1.695</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4B2C8B32" w14:textId="7701344F" w:rsidR="00162B53" w:rsidRPr="003A115E" w:rsidRDefault="00162B53" w:rsidP="005D487C">
            <w:pPr>
              <w:pStyle w:val="cuatexto"/>
              <w:jc w:val="right"/>
            </w:pPr>
            <w:r>
              <w:t>1</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6E4EB9D" w14:textId="4299BE4D" w:rsidR="00162B53" w:rsidRPr="003A115E" w:rsidRDefault="00162B53" w:rsidP="005D487C">
            <w:pPr>
              <w:pStyle w:val="cuatexto"/>
              <w:jc w:val="right"/>
            </w:pPr>
            <w:r>
              <w:t>417</w:t>
            </w:r>
          </w:p>
        </w:tc>
        <w:tc>
          <w:tcPr>
            <w:tcW w:w="336" w:type="pct"/>
            <w:tcBorders>
              <w:top w:val="single" w:sz="2" w:space="0" w:color="auto"/>
              <w:left w:val="single" w:sz="2" w:space="0" w:color="auto"/>
              <w:bottom w:val="single" w:sz="2" w:space="0" w:color="auto"/>
              <w:right w:val="nil"/>
            </w:tcBorders>
            <w:shd w:val="clear" w:color="000000" w:fill="FFFFFF"/>
            <w:noWrap/>
            <w:vAlign w:val="center"/>
            <w:hideMark/>
          </w:tcPr>
          <w:p w14:paraId="172F8F79" w14:textId="21E0E947" w:rsidR="00162B53" w:rsidRPr="003A115E" w:rsidRDefault="00162B53" w:rsidP="005D487C">
            <w:pPr>
              <w:pStyle w:val="cuatexto"/>
              <w:jc w:val="right"/>
            </w:pPr>
            <w:r>
              <w:t>-</w:t>
            </w:r>
          </w:p>
        </w:tc>
        <w:tc>
          <w:tcPr>
            <w:tcW w:w="444" w:type="pct"/>
            <w:tcBorders>
              <w:top w:val="single" w:sz="2" w:space="0" w:color="auto"/>
              <w:left w:val="nil"/>
              <w:bottom w:val="single" w:sz="2" w:space="0" w:color="auto"/>
              <w:right w:val="single" w:sz="2" w:space="0" w:color="auto"/>
            </w:tcBorders>
            <w:shd w:val="clear" w:color="000000" w:fill="FFFFFF"/>
            <w:noWrap/>
            <w:vAlign w:val="center"/>
            <w:hideMark/>
          </w:tcPr>
          <w:p w14:paraId="169FD998" w14:textId="679043CB" w:rsidR="00162B53" w:rsidRPr="003A115E" w:rsidRDefault="00162B53" w:rsidP="005D487C">
            <w:pPr>
              <w:pStyle w:val="cuatexto"/>
              <w:jc w:val="right"/>
            </w:pPr>
            <w:r>
              <w:t>-</w:t>
            </w:r>
          </w:p>
        </w:tc>
        <w:tc>
          <w:tcPr>
            <w:tcW w:w="171" w:type="pct"/>
            <w:tcBorders>
              <w:top w:val="single" w:sz="2" w:space="0" w:color="auto"/>
              <w:left w:val="single" w:sz="2" w:space="0" w:color="auto"/>
              <w:bottom w:val="single" w:sz="2" w:space="0" w:color="auto"/>
              <w:right w:val="nil"/>
            </w:tcBorders>
            <w:shd w:val="clear" w:color="000000" w:fill="FFFFFF"/>
            <w:noWrap/>
            <w:vAlign w:val="center"/>
            <w:hideMark/>
          </w:tcPr>
          <w:p w14:paraId="0D6B5E62" w14:textId="3A191B83" w:rsidR="00162B53" w:rsidRPr="003A115E" w:rsidRDefault="00162B53" w:rsidP="005D487C">
            <w:pPr>
              <w:pStyle w:val="cuatexto"/>
              <w:jc w:val="right"/>
            </w:pPr>
            <w:r>
              <w:t>15</w:t>
            </w:r>
          </w:p>
        </w:tc>
        <w:tc>
          <w:tcPr>
            <w:tcW w:w="474" w:type="pct"/>
            <w:tcBorders>
              <w:top w:val="single" w:sz="2" w:space="0" w:color="auto"/>
              <w:left w:val="nil"/>
              <w:bottom w:val="single" w:sz="2" w:space="0" w:color="auto"/>
              <w:right w:val="nil"/>
            </w:tcBorders>
            <w:shd w:val="clear" w:color="000000" w:fill="FFFFFF"/>
            <w:noWrap/>
            <w:vAlign w:val="center"/>
            <w:hideMark/>
          </w:tcPr>
          <w:p w14:paraId="6B1097FC" w14:textId="118F69A1" w:rsidR="00162B53" w:rsidRPr="003A115E" w:rsidRDefault="00162B53" w:rsidP="005D487C">
            <w:pPr>
              <w:pStyle w:val="cuatexto"/>
              <w:jc w:val="right"/>
            </w:pPr>
            <w:r>
              <w:t>7.432</w:t>
            </w:r>
          </w:p>
        </w:tc>
      </w:tr>
      <w:tr w:rsidR="000A742F" w:rsidRPr="003A115E" w14:paraId="4A112FC8" w14:textId="77777777" w:rsidTr="0087568B">
        <w:trPr>
          <w:trHeight w:val="198"/>
        </w:trPr>
        <w:tc>
          <w:tcPr>
            <w:tcW w:w="1546" w:type="pct"/>
            <w:tcBorders>
              <w:top w:val="single" w:sz="2" w:space="0" w:color="auto"/>
              <w:left w:val="nil"/>
              <w:bottom w:val="single" w:sz="2" w:space="0" w:color="auto"/>
              <w:right w:val="nil"/>
            </w:tcBorders>
            <w:shd w:val="clear" w:color="000000" w:fill="FFFFFF"/>
            <w:vAlign w:val="center"/>
            <w:hideMark/>
          </w:tcPr>
          <w:p w14:paraId="7DAC41E4" w14:textId="77777777" w:rsidR="00162B53" w:rsidRPr="003A115E" w:rsidRDefault="00162B53" w:rsidP="005D487C">
            <w:pPr>
              <w:pStyle w:val="cuatexto"/>
            </w:pPr>
            <w:r>
              <w:t>&gt;150.000 eta &lt;= 400.000 €</w:t>
            </w:r>
          </w:p>
        </w:tc>
        <w:tc>
          <w:tcPr>
            <w:tcW w:w="261" w:type="pct"/>
            <w:tcBorders>
              <w:top w:val="single" w:sz="2" w:space="0" w:color="auto"/>
              <w:left w:val="nil"/>
              <w:bottom w:val="single" w:sz="2" w:space="0" w:color="auto"/>
              <w:right w:val="nil"/>
            </w:tcBorders>
            <w:shd w:val="clear" w:color="000000" w:fill="FFFFFF"/>
            <w:noWrap/>
            <w:vAlign w:val="center"/>
            <w:hideMark/>
          </w:tcPr>
          <w:p w14:paraId="5468C149" w14:textId="735B86DC" w:rsidR="00162B53" w:rsidRPr="003A115E" w:rsidRDefault="00162B53" w:rsidP="005D487C">
            <w:pPr>
              <w:pStyle w:val="cuatexto"/>
              <w:jc w:val="right"/>
            </w:pPr>
            <w:r>
              <w:t>70</w:t>
            </w:r>
          </w:p>
        </w:tc>
        <w:tc>
          <w:tcPr>
            <w:tcW w:w="414" w:type="pct"/>
            <w:tcBorders>
              <w:top w:val="single" w:sz="2" w:space="0" w:color="auto"/>
              <w:left w:val="nil"/>
              <w:bottom w:val="single" w:sz="2" w:space="0" w:color="auto"/>
              <w:right w:val="single" w:sz="2" w:space="0" w:color="auto"/>
            </w:tcBorders>
            <w:shd w:val="clear" w:color="000000" w:fill="FFFFFF"/>
            <w:noWrap/>
            <w:vAlign w:val="center"/>
            <w:hideMark/>
          </w:tcPr>
          <w:p w14:paraId="51CBF84B" w14:textId="6C3C6CEC" w:rsidR="00162B53" w:rsidRPr="003A115E" w:rsidRDefault="00162B53" w:rsidP="005D487C">
            <w:pPr>
              <w:pStyle w:val="cuatexto"/>
              <w:jc w:val="right"/>
            </w:pPr>
            <w:r>
              <w:t>18.008</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190128DE" w14:textId="51A121D5" w:rsidR="00162B53" w:rsidRPr="003A115E" w:rsidRDefault="00162B53" w:rsidP="005D487C">
            <w:pPr>
              <w:pStyle w:val="cuatexto"/>
              <w:jc w:val="right"/>
            </w:pPr>
            <w:r>
              <w:t>23</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5C899B66" w14:textId="4C14C8E7" w:rsidR="00162B53" w:rsidRPr="003A115E" w:rsidRDefault="00162B53" w:rsidP="005D487C">
            <w:pPr>
              <w:pStyle w:val="cuatexto"/>
              <w:jc w:val="right"/>
            </w:pPr>
            <w:r>
              <w:t>4.939</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261B6E39" w14:textId="538101D8" w:rsidR="00162B53" w:rsidRPr="003A115E" w:rsidRDefault="00162B53" w:rsidP="005D487C">
            <w:pPr>
              <w:pStyle w:val="cuatexto"/>
              <w:jc w:val="right"/>
            </w:pPr>
            <w:r>
              <w:t>11</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5605634" w14:textId="413842B4" w:rsidR="00162B53" w:rsidRPr="003A115E" w:rsidRDefault="00162B53" w:rsidP="005D487C">
            <w:pPr>
              <w:pStyle w:val="cuatexto"/>
              <w:jc w:val="right"/>
            </w:pPr>
            <w:r>
              <w:t>2.154</w:t>
            </w:r>
          </w:p>
        </w:tc>
        <w:tc>
          <w:tcPr>
            <w:tcW w:w="336" w:type="pct"/>
            <w:tcBorders>
              <w:top w:val="single" w:sz="2" w:space="0" w:color="auto"/>
              <w:left w:val="single" w:sz="2" w:space="0" w:color="auto"/>
              <w:bottom w:val="single" w:sz="2" w:space="0" w:color="auto"/>
              <w:right w:val="nil"/>
            </w:tcBorders>
            <w:shd w:val="clear" w:color="000000" w:fill="FFFFFF"/>
            <w:noWrap/>
            <w:vAlign w:val="center"/>
            <w:hideMark/>
          </w:tcPr>
          <w:p w14:paraId="5BD7C608" w14:textId="5D048AC5" w:rsidR="00162B53" w:rsidRPr="003A115E" w:rsidRDefault="00162B53" w:rsidP="005D487C">
            <w:pPr>
              <w:pStyle w:val="cuatexto"/>
              <w:jc w:val="right"/>
            </w:pPr>
            <w:r>
              <w:t>-</w:t>
            </w:r>
          </w:p>
        </w:tc>
        <w:tc>
          <w:tcPr>
            <w:tcW w:w="444" w:type="pct"/>
            <w:tcBorders>
              <w:top w:val="single" w:sz="2" w:space="0" w:color="auto"/>
              <w:left w:val="nil"/>
              <w:bottom w:val="single" w:sz="2" w:space="0" w:color="auto"/>
              <w:right w:val="single" w:sz="2" w:space="0" w:color="auto"/>
            </w:tcBorders>
            <w:shd w:val="clear" w:color="000000" w:fill="FFFFFF"/>
            <w:noWrap/>
            <w:vAlign w:val="center"/>
            <w:hideMark/>
          </w:tcPr>
          <w:p w14:paraId="7FD50322" w14:textId="1D1E582B" w:rsidR="00162B53" w:rsidRPr="003A115E" w:rsidRDefault="00162B53" w:rsidP="005D487C">
            <w:pPr>
              <w:pStyle w:val="cuatexto"/>
              <w:jc w:val="right"/>
            </w:pPr>
            <w:r>
              <w:t>-</w:t>
            </w:r>
          </w:p>
        </w:tc>
        <w:tc>
          <w:tcPr>
            <w:tcW w:w="171" w:type="pct"/>
            <w:tcBorders>
              <w:top w:val="single" w:sz="2" w:space="0" w:color="auto"/>
              <w:left w:val="single" w:sz="2" w:space="0" w:color="auto"/>
              <w:bottom w:val="single" w:sz="2" w:space="0" w:color="auto"/>
              <w:right w:val="nil"/>
            </w:tcBorders>
            <w:shd w:val="clear" w:color="000000" w:fill="FFFFFF"/>
            <w:noWrap/>
            <w:vAlign w:val="center"/>
            <w:hideMark/>
          </w:tcPr>
          <w:p w14:paraId="29E63493" w14:textId="38CEC5E5" w:rsidR="00162B53" w:rsidRPr="003A115E" w:rsidRDefault="00162B53" w:rsidP="005D487C">
            <w:pPr>
              <w:pStyle w:val="cuatexto"/>
              <w:jc w:val="right"/>
            </w:pPr>
            <w:r>
              <w:t>104</w:t>
            </w:r>
          </w:p>
        </w:tc>
        <w:tc>
          <w:tcPr>
            <w:tcW w:w="474" w:type="pct"/>
            <w:tcBorders>
              <w:top w:val="single" w:sz="2" w:space="0" w:color="auto"/>
              <w:left w:val="nil"/>
              <w:bottom w:val="single" w:sz="2" w:space="0" w:color="auto"/>
              <w:right w:val="nil"/>
            </w:tcBorders>
            <w:shd w:val="clear" w:color="000000" w:fill="FFFFFF"/>
            <w:noWrap/>
            <w:vAlign w:val="center"/>
            <w:hideMark/>
          </w:tcPr>
          <w:p w14:paraId="7F7BC3BD" w14:textId="37DAF666" w:rsidR="00162B53" w:rsidRPr="003A115E" w:rsidRDefault="00162B53" w:rsidP="005D487C">
            <w:pPr>
              <w:pStyle w:val="cuatexto"/>
              <w:jc w:val="right"/>
            </w:pPr>
            <w:r>
              <w:t>25.102</w:t>
            </w:r>
          </w:p>
        </w:tc>
      </w:tr>
      <w:tr w:rsidR="000A742F" w:rsidRPr="003A115E" w14:paraId="1665BE0C" w14:textId="77777777" w:rsidTr="0087568B">
        <w:trPr>
          <w:trHeight w:val="198"/>
        </w:trPr>
        <w:tc>
          <w:tcPr>
            <w:tcW w:w="1546" w:type="pct"/>
            <w:tcBorders>
              <w:top w:val="single" w:sz="2" w:space="0" w:color="auto"/>
              <w:left w:val="nil"/>
              <w:bottom w:val="single" w:sz="4" w:space="0" w:color="auto"/>
              <w:right w:val="nil"/>
            </w:tcBorders>
            <w:shd w:val="clear" w:color="000000" w:fill="FFFFFF"/>
            <w:vAlign w:val="center"/>
            <w:hideMark/>
          </w:tcPr>
          <w:p w14:paraId="1062EAE5" w14:textId="77777777" w:rsidR="00162B53" w:rsidRPr="003A115E" w:rsidRDefault="00162B53" w:rsidP="005D487C">
            <w:pPr>
              <w:pStyle w:val="cuatexto"/>
            </w:pPr>
            <w:r>
              <w:t>&lt; 150.000 €</w:t>
            </w:r>
          </w:p>
        </w:tc>
        <w:tc>
          <w:tcPr>
            <w:tcW w:w="261" w:type="pct"/>
            <w:tcBorders>
              <w:top w:val="single" w:sz="2" w:space="0" w:color="auto"/>
              <w:left w:val="nil"/>
              <w:bottom w:val="single" w:sz="4" w:space="0" w:color="auto"/>
              <w:right w:val="nil"/>
            </w:tcBorders>
            <w:shd w:val="clear" w:color="000000" w:fill="FFFFFF"/>
            <w:noWrap/>
            <w:vAlign w:val="center"/>
            <w:hideMark/>
          </w:tcPr>
          <w:p w14:paraId="3DDA017F" w14:textId="2CF9EE81" w:rsidR="00162B53" w:rsidRPr="003A115E" w:rsidRDefault="00162B53" w:rsidP="005D487C">
            <w:pPr>
              <w:pStyle w:val="cuatexto"/>
              <w:jc w:val="right"/>
            </w:pPr>
            <w:r>
              <w:t>235</w:t>
            </w:r>
          </w:p>
        </w:tc>
        <w:tc>
          <w:tcPr>
            <w:tcW w:w="414" w:type="pct"/>
            <w:tcBorders>
              <w:top w:val="single" w:sz="2" w:space="0" w:color="auto"/>
              <w:left w:val="nil"/>
              <w:bottom w:val="single" w:sz="4" w:space="0" w:color="auto"/>
              <w:right w:val="single" w:sz="2" w:space="0" w:color="auto"/>
            </w:tcBorders>
            <w:shd w:val="clear" w:color="000000" w:fill="FFFFFF"/>
            <w:noWrap/>
            <w:vAlign w:val="center"/>
            <w:hideMark/>
          </w:tcPr>
          <w:p w14:paraId="6F7848B7" w14:textId="21A475D3" w:rsidR="00162B53" w:rsidRPr="003A115E" w:rsidRDefault="00162B53" w:rsidP="005D487C">
            <w:pPr>
              <w:pStyle w:val="cuatexto"/>
              <w:jc w:val="right"/>
            </w:pPr>
            <w:r>
              <w:t>16.889</w:t>
            </w:r>
          </w:p>
        </w:tc>
        <w:tc>
          <w:tcPr>
            <w:tcW w:w="261" w:type="pct"/>
            <w:tcBorders>
              <w:top w:val="single" w:sz="2" w:space="0" w:color="auto"/>
              <w:left w:val="single" w:sz="2" w:space="0" w:color="auto"/>
              <w:bottom w:val="single" w:sz="4" w:space="0" w:color="auto"/>
              <w:right w:val="nil"/>
            </w:tcBorders>
            <w:shd w:val="clear" w:color="000000" w:fill="FFFFFF"/>
            <w:noWrap/>
            <w:vAlign w:val="center"/>
            <w:hideMark/>
          </w:tcPr>
          <w:p w14:paraId="748A7DAD" w14:textId="32FCEF6E" w:rsidR="00162B53" w:rsidRPr="003A115E" w:rsidRDefault="00162B53" w:rsidP="005D487C">
            <w:pPr>
              <w:pStyle w:val="cuatexto"/>
              <w:jc w:val="right"/>
            </w:pPr>
            <w:r>
              <w:t>179</w:t>
            </w:r>
          </w:p>
        </w:tc>
        <w:tc>
          <w:tcPr>
            <w:tcW w:w="416" w:type="pct"/>
            <w:tcBorders>
              <w:top w:val="single" w:sz="2" w:space="0" w:color="auto"/>
              <w:left w:val="nil"/>
              <w:bottom w:val="single" w:sz="4" w:space="0" w:color="auto"/>
              <w:right w:val="single" w:sz="2" w:space="0" w:color="auto"/>
            </w:tcBorders>
            <w:shd w:val="clear" w:color="000000" w:fill="FFFFFF"/>
            <w:noWrap/>
            <w:vAlign w:val="center"/>
            <w:hideMark/>
          </w:tcPr>
          <w:p w14:paraId="000456F4" w14:textId="6445A01C" w:rsidR="00162B53" w:rsidRPr="003A115E" w:rsidRDefault="00162B53" w:rsidP="005D487C">
            <w:pPr>
              <w:pStyle w:val="cuatexto"/>
              <w:jc w:val="right"/>
            </w:pPr>
            <w:r>
              <w:t>7.320</w:t>
            </w:r>
          </w:p>
        </w:tc>
        <w:tc>
          <w:tcPr>
            <w:tcW w:w="261" w:type="pct"/>
            <w:tcBorders>
              <w:top w:val="single" w:sz="2" w:space="0" w:color="auto"/>
              <w:left w:val="single" w:sz="2" w:space="0" w:color="auto"/>
              <w:bottom w:val="single" w:sz="4" w:space="0" w:color="auto"/>
              <w:right w:val="nil"/>
            </w:tcBorders>
            <w:shd w:val="clear" w:color="000000" w:fill="FFFFFF"/>
            <w:noWrap/>
            <w:vAlign w:val="center"/>
            <w:hideMark/>
          </w:tcPr>
          <w:p w14:paraId="418880EB" w14:textId="7D3559B4" w:rsidR="00162B53" w:rsidRPr="003A115E" w:rsidRDefault="00162B53" w:rsidP="005D487C">
            <w:pPr>
              <w:pStyle w:val="cuatexto"/>
              <w:jc w:val="right"/>
            </w:pPr>
            <w:r>
              <w:t>87</w:t>
            </w:r>
          </w:p>
        </w:tc>
        <w:tc>
          <w:tcPr>
            <w:tcW w:w="416" w:type="pct"/>
            <w:tcBorders>
              <w:top w:val="single" w:sz="2" w:space="0" w:color="auto"/>
              <w:left w:val="nil"/>
              <w:bottom w:val="single" w:sz="4" w:space="0" w:color="auto"/>
              <w:right w:val="single" w:sz="2" w:space="0" w:color="auto"/>
            </w:tcBorders>
            <w:shd w:val="clear" w:color="000000" w:fill="FFFFFF"/>
            <w:noWrap/>
            <w:vAlign w:val="center"/>
            <w:hideMark/>
          </w:tcPr>
          <w:p w14:paraId="2CC68CA4" w14:textId="7D9C0CF7" w:rsidR="00162B53" w:rsidRPr="003A115E" w:rsidRDefault="00162B53" w:rsidP="005D487C">
            <w:pPr>
              <w:pStyle w:val="cuatexto"/>
              <w:jc w:val="right"/>
            </w:pPr>
            <w:r>
              <w:t>4.038</w:t>
            </w:r>
          </w:p>
        </w:tc>
        <w:tc>
          <w:tcPr>
            <w:tcW w:w="336" w:type="pct"/>
            <w:tcBorders>
              <w:top w:val="single" w:sz="2" w:space="0" w:color="auto"/>
              <w:left w:val="single" w:sz="2" w:space="0" w:color="auto"/>
              <w:bottom w:val="single" w:sz="4" w:space="0" w:color="auto"/>
              <w:right w:val="nil"/>
            </w:tcBorders>
            <w:shd w:val="clear" w:color="000000" w:fill="FFFFFF"/>
            <w:noWrap/>
            <w:vAlign w:val="center"/>
            <w:hideMark/>
          </w:tcPr>
          <w:p w14:paraId="580E4C0A" w14:textId="31B6567F" w:rsidR="00162B53" w:rsidRPr="003A115E" w:rsidRDefault="00162B53" w:rsidP="005D487C">
            <w:pPr>
              <w:pStyle w:val="cuatexto"/>
              <w:jc w:val="right"/>
            </w:pPr>
            <w:r>
              <w:t>22</w:t>
            </w:r>
          </w:p>
        </w:tc>
        <w:tc>
          <w:tcPr>
            <w:tcW w:w="444" w:type="pct"/>
            <w:tcBorders>
              <w:top w:val="single" w:sz="2" w:space="0" w:color="auto"/>
              <w:left w:val="nil"/>
              <w:bottom w:val="single" w:sz="4" w:space="0" w:color="auto"/>
              <w:right w:val="single" w:sz="2" w:space="0" w:color="auto"/>
            </w:tcBorders>
            <w:shd w:val="clear" w:color="000000" w:fill="FFFFFF"/>
            <w:noWrap/>
            <w:vAlign w:val="center"/>
            <w:hideMark/>
          </w:tcPr>
          <w:p w14:paraId="3787FB04" w14:textId="002AF320" w:rsidR="00162B53" w:rsidRPr="003A115E" w:rsidRDefault="00162B53" w:rsidP="005D487C">
            <w:pPr>
              <w:pStyle w:val="cuatexto"/>
              <w:jc w:val="right"/>
            </w:pPr>
            <w:r>
              <w:t>381</w:t>
            </w:r>
          </w:p>
        </w:tc>
        <w:tc>
          <w:tcPr>
            <w:tcW w:w="171" w:type="pct"/>
            <w:tcBorders>
              <w:top w:val="single" w:sz="2" w:space="0" w:color="auto"/>
              <w:left w:val="single" w:sz="2" w:space="0" w:color="auto"/>
              <w:bottom w:val="single" w:sz="4" w:space="0" w:color="auto"/>
              <w:right w:val="nil"/>
            </w:tcBorders>
            <w:shd w:val="clear" w:color="000000" w:fill="FFFFFF"/>
            <w:noWrap/>
            <w:vAlign w:val="center"/>
            <w:hideMark/>
          </w:tcPr>
          <w:p w14:paraId="76B5AB0E" w14:textId="2F45AF86" w:rsidR="00162B53" w:rsidRPr="003A115E" w:rsidRDefault="00162B53" w:rsidP="005D487C">
            <w:pPr>
              <w:pStyle w:val="cuatexto"/>
              <w:jc w:val="right"/>
            </w:pPr>
            <w:r>
              <w:t>523</w:t>
            </w:r>
          </w:p>
        </w:tc>
        <w:tc>
          <w:tcPr>
            <w:tcW w:w="474" w:type="pct"/>
            <w:tcBorders>
              <w:top w:val="single" w:sz="2" w:space="0" w:color="auto"/>
              <w:left w:val="nil"/>
              <w:bottom w:val="single" w:sz="4" w:space="0" w:color="auto"/>
              <w:right w:val="nil"/>
            </w:tcBorders>
            <w:shd w:val="clear" w:color="000000" w:fill="FFFFFF"/>
            <w:noWrap/>
            <w:vAlign w:val="center"/>
            <w:hideMark/>
          </w:tcPr>
          <w:p w14:paraId="327039CA" w14:textId="77044729" w:rsidR="00162B53" w:rsidRPr="003A115E" w:rsidRDefault="00162B53" w:rsidP="005D487C">
            <w:pPr>
              <w:pStyle w:val="cuatexto"/>
              <w:jc w:val="right"/>
            </w:pPr>
            <w:r>
              <w:t>28.627</w:t>
            </w:r>
          </w:p>
        </w:tc>
      </w:tr>
      <w:tr w:rsidR="000A742F" w:rsidRPr="003A115E" w14:paraId="1615BF8E" w14:textId="77777777" w:rsidTr="0087568B">
        <w:trPr>
          <w:trHeight w:val="255"/>
        </w:trPr>
        <w:tc>
          <w:tcPr>
            <w:tcW w:w="1546" w:type="pct"/>
            <w:tcBorders>
              <w:top w:val="single" w:sz="4" w:space="0" w:color="auto"/>
              <w:left w:val="nil"/>
              <w:bottom w:val="single" w:sz="4" w:space="0" w:color="auto"/>
              <w:right w:val="nil"/>
            </w:tcBorders>
            <w:shd w:val="clear" w:color="auto" w:fill="FABF8F" w:themeFill="accent6" w:themeFillTint="99"/>
            <w:noWrap/>
            <w:vAlign w:val="center"/>
            <w:hideMark/>
          </w:tcPr>
          <w:p w14:paraId="583886A8" w14:textId="7A2AF84C" w:rsidR="00162B53" w:rsidRPr="003A115E" w:rsidRDefault="00162B53" w:rsidP="005D487C">
            <w:pPr>
              <w:pStyle w:val="cuadroCabe"/>
            </w:pPr>
          </w:p>
        </w:tc>
        <w:tc>
          <w:tcPr>
            <w:tcW w:w="261" w:type="pct"/>
            <w:tcBorders>
              <w:top w:val="single" w:sz="4" w:space="0" w:color="auto"/>
              <w:left w:val="nil"/>
              <w:bottom w:val="single" w:sz="4" w:space="0" w:color="auto"/>
              <w:right w:val="nil"/>
            </w:tcBorders>
            <w:shd w:val="clear" w:color="auto" w:fill="FABF8F" w:themeFill="accent6" w:themeFillTint="99"/>
            <w:noWrap/>
            <w:vAlign w:val="center"/>
            <w:hideMark/>
          </w:tcPr>
          <w:p w14:paraId="0B92D2FF" w14:textId="3F972069" w:rsidR="00162B53" w:rsidRPr="003A115E" w:rsidRDefault="00162B53" w:rsidP="005D487C">
            <w:pPr>
              <w:pStyle w:val="cuadroCabe"/>
              <w:jc w:val="right"/>
            </w:pPr>
            <w:r>
              <w:t>341</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B52CB2" w14:textId="14A16336" w:rsidR="00162B53" w:rsidRPr="003A115E" w:rsidRDefault="00162B53" w:rsidP="005D487C">
            <w:pPr>
              <w:pStyle w:val="cuadroCabe"/>
              <w:jc w:val="right"/>
            </w:pPr>
            <w:r>
              <w:t>91.487</w:t>
            </w:r>
          </w:p>
        </w:tc>
        <w:tc>
          <w:tcPr>
            <w:tcW w:w="2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3807B03" w14:textId="3EB03754" w:rsidR="00162B53" w:rsidRPr="003A115E" w:rsidRDefault="00162B53" w:rsidP="005D487C">
            <w:pPr>
              <w:pStyle w:val="cuadroCabe"/>
              <w:jc w:val="right"/>
            </w:pPr>
            <w:r>
              <w:t>210</w:t>
            </w:r>
          </w:p>
        </w:tc>
        <w:tc>
          <w:tcPr>
            <w:tcW w:w="41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2FBED77" w14:textId="14BA6A8D" w:rsidR="00162B53" w:rsidRPr="003A115E" w:rsidRDefault="00162B53" w:rsidP="005D487C">
            <w:pPr>
              <w:pStyle w:val="cuadroCabe"/>
              <w:jc w:val="right"/>
            </w:pPr>
            <w:r>
              <w:t>37.134</w:t>
            </w:r>
          </w:p>
        </w:tc>
        <w:tc>
          <w:tcPr>
            <w:tcW w:w="2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5D1E417" w14:textId="7A9CAAC5" w:rsidR="00162B53" w:rsidRPr="003A115E" w:rsidRDefault="00162B53" w:rsidP="005D487C">
            <w:pPr>
              <w:pStyle w:val="cuadroCabe"/>
              <w:jc w:val="right"/>
            </w:pPr>
            <w:r>
              <w:t>104</w:t>
            </w:r>
          </w:p>
        </w:tc>
        <w:tc>
          <w:tcPr>
            <w:tcW w:w="41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0283BD9" w14:textId="0E87BAC3" w:rsidR="00162B53" w:rsidRPr="003A115E" w:rsidRDefault="00162B53" w:rsidP="005D487C">
            <w:pPr>
              <w:pStyle w:val="cuadroCabe"/>
              <w:jc w:val="right"/>
            </w:pPr>
            <w:r>
              <w:t>13.733</w:t>
            </w:r>
          </w:p>
        </w:tc>
        <w:tc>
          <w:tcPr>
            <w:tcW w:w="33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28CA01D" w14:textId="1552DA32" w:rsidR="00162B53" w:rsidRPr="003A115E" w:rsidRDefault="00162B53" w:rsidP="005D487C">
            <w:pPr>
              <w:pStyle w:val="cuadroCabe"/>
              <w:jc w:val="right"/>
            </w:pPr>
            <w:r>
              <w:t>24</w:t>
            </w:r>
          </w:p>
        </w:tc>
        <w:tc>
          <w:tcPr>
            <w:tcW w:w="44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E75FCA" w14:textId="011C2C9B" w:rsidR="00162B53" w:rsidRPr="003A115E" w:rsidRDefault="00162B53" w:rsidP="005D487C">
            <w:pPr>
              <w:pStyle w:val="cuadroCabe"/>
              <w:jc w:val="right"/>
            </w:pPr>
            <w:r>
              <w:t>3.628</w:t>
            </w:r>
          </w:p>
        </w:tc>
        <w:tc>
          <w:tcPr>
            <w:tcW w:w="1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252878D" w14:textId="4BF23657" w:rsidR="00162B53" w:rsidRPr="003A115E" w:rsidRDefault="00162B53" w:rsidP="005D487C">
            <w:pPr>
              <w:pStyle w:val="cuadroCabe"/>
              <w:jc w:val="right"/>
            </w:pPr>
            <w:r>
              <w:t>679</w:t>
            </w:r>
          </w:p>
        </w:tc>
        <w:tc>
          <w:tcPr>
            <w:tcW w:w="474" w:type="pct"/>
            <w:tcBorders>
              <w:top w:val="single" w:sz="4" w:space="0" w:color="auto"/>
              <w:left w:val="nil"/>
              <w:bottom w:val="single" w:sz="4" w:space="0" w:color="auto"/>
              <w:right w:val="nil"/>
            </w:tcBorders>
            <w:shd w:val="clear" w:color="auto" w:fill="FABF8F" w:themeFill="accent6" w:themeFillTint="99"/>
            <w:noWrap/>
            <w:vAlign w:val="center"/>
            <w:hideMark/>
          </w:tcPr>
          <w:p w14:paraId="5326E46B" w14:textId="07407FA0" w:rsidR="00162B53" w:rsidRPr="003A115E" w:rsidRDefault="00162B53" w:rsidP="005D487C">
            <w:pPr>
              <w:pStyle w:val="cuadroCabe"/>
              <w:jc w:val="right"/>
            </w:pPr>
            <w:r>
              <w:t>145.982</w:t>
            </w:r>
          </w:p>
        </w:tc>
      </w:tr>
    </w:tbl>
    <w:p w14:paraId="115173AF" w14:textId="07C23F39" w:rsidR="00EC4C05" w:rsidRPr="003A115E" w:rsidRDefault="20CA59C9" w:rsidP="001D196E">
      <w:pPr>
        <w:pStyle w:val="texto"/>
        <w:tabs>
          <w:tab w:val="left" w:pos="2977"/>
        </w:tabs>
        <w:spacing w:before="240"/>
        <w:rPr>
          <w:w w:val="103"/>
        </w:rPr>
      </w:pPr>
      <w:r>
        <w:t xml:space="preserve">600.000 eurotik gorako esleipena duten kontratuak 37 dira, eta esleipenen ehuneko 58 dira. </w:t>
      </w:r>
    </w:p>
    <w:p w14:paraId="4FA7BA50" w14:textId="11C8D1CD" w:rsidR="00245F5B" w:rsidRPr="003A115E" w:rsidRDefault="005217D5" w:rsidP="0042264C">
      <w:pPr>
        <w:pStyle w:val="texto"/>
        <w:tabs>
          <w:tab w:val="left" w:pos="2977"/>
        </w:tabs>
        <w:spacing w:before="120" w:after="240"/>
      </w:pPr>
      <w:r>
        <w:lastRenderedPageBreak/>
        <w:t>Kontratu-erregistroko informazioaren arabera, esleipenek gora egin dute ehuneko 11 2021ekoekiko, eta bitarte horretan, zenbateko esleituak ehuneko 19 egin du behera.</w:t>
      </w:r>
    </w:p>
    <w:p w14:paraId="1D308C32" w14:textId="0EFFDE1D" w:rsidR="00683931" w:rsidRPr="003A115E" w:rsidRDefault="00683931" w:rsidP="00345C6C">
      <w:pPr>
        <w:pStyle w:val="atitulo1"/>
        <w:rPr>
          <w:color w:val="auto"/>
        </w:rPr>
      </w:pPr>
      <w:bookmarkStart w:id="87" w:name="_Toc188511793"/>
      <w:r>
        <w:rPr>
          <w:color w:val="auto"/>
        </w:rPr>
        <w:t>VIII. Kontu-ematea eta aurrekontuen onespena</w:t>
      </w:r>
      <w:bookmarkEnd w:id="87"/>
      <w:r>
        <w:rPr>
          <w:color w:val="auto"/>
        </w:rPr>
        <w:t xml:space="preserve"> </w:t>
      </w:r>
    </w:p>
    <w:p w14:paraId="3B6EDD1C" w14:textId="2CC33DF5" w:rsidR="00C84D07" w:rsidRPr="003A115E" w:rsidRDefault="00C84D07" w:rsidP="00DA0A16">
      <w:pPr>
        <w:pStyle w:val="atitulo2"/>
        <w:rPr>
          <w:color w:val="auto"/>
        </w:rPr>
      </w:pPr>
      <w:bookmarkStart w:id="88" w:name="_Toc188511794"/>
      <w:r>
        <w:rPr>
          <w:color w:val="auto"/>
        </w:rPr>
        <w:t>VIII.1 Kontuak emateko betebeharra betetzea</w:t>
      </w:r>
      <w:bookmarkEnd w:id="88"/>
    </w:p>
    <w:p w14:paraId="52347DFC" w14:textId="77777777" w:rsidR="00C84D07" w:rsidRPr="003A115E" w:rsidRDefault="00C84D07" w:rsidP="31020D79">
      <w:pPr>
        <w:pStyle w:val="texto"/>
        <w:spacing w:before="120" w:after="120"/>
        <w:rPr>
          <w:rFonts w:cs="Arial"/>
        </w:rPr>
      </w:pPr>
      <w:r>
        <w:t xml:space="preserve">Toki Ogasunei buruzko Foru Legeak dioenez, toki-entitateko lehendakariak martxoaren 31 baino lehen onetsi behar du toki-entitatearen eta haren erakunde autonomoen aurrekontuaren likidazioa. Toki-entitatearen kontu orokorrari dagokionez, udaleko osoko bilkurari aurkeztu behar zaio, halako moldez non hurrengo ekitaldiko irailaren 1a baino lehen onetsi ahal izanen baitu. Toki-entitateek bi dokumentu horiek onetsi ondoko 15 eguneko epean igorri behar dizkiote </w:t>
      </w:r>
      <w:proofErr w:type="spellStart"/>
      <w:r>
        <w:t>NFKAri</w:t>
      </w:r>
      <w:proofErr w:type="spellEnd"/>
      <w:r>
        <w:t>.</w:t>
      </w:r>
    </w:p>
    <w:p w14:paraId="2F31FFFF" w14:textId="72841DD2" w:rsidR="00C84D07" w:rsidRPr="003A115E" w:rsidRDefault="00C84D07" w:rsidP="7A999140">
      <w:pPr>
        <w:pStyle w:val="texto"/>
        <w:spacing w:before="120" w:after="240"/>
        <w:rPr>
          <w:rFonts w:cs="Arial"/>
        </w:rPr>
      </w:pPr>
      <w:r>
        <w:t xml:space="preserve">Beheko taulan xehetasunez azaltzen da, </w:t>
      </w:r>
      <w:proofErr w:type="spellStart"/>
      <w:r>
        <w:t>TAKEDTren</w:t>
      </w:r>
      <w:proofErr w:type="spellEnd"/>
      <w:r>
        <w:t xml:space="preserve"> datuetan oinarri harturik</w:t>
      </w:r>
      <w:r w:rsidR="001C752A" w:rsidRPr="003A115E">
        <w:rPr>
          <w:rStyle w:val="Refdenotaalpie"/>
          <w:rFonts w:cs="Arial"/>
          <w:lang w:val="es-ES"/>
        </w:rPr>
        <w:footnoteReference w:id="12"/>
      </w:r>
      <w:r>
        <w:t>, 2022ko ekitaldiko kontu orokorrak onetsi eta emateko epeen betetzea:</w:t>
      </w:r>
    </w:p>
    <w:p w14:paraId="1DA16F42" w14:textId="529A7FDB" w:rsidR="00C84D07" w:rsidRPr="003A115E" w:rsidRDefault="000C3C49" w:rsidP="00C84D07">
      <w:pPr>
        <w:pStyle w:val="texto"/>
        <w:spacing w:after="40"/>
        <w:jc w:val="right"/>
        <w:rPr>
          <w:rFonts w:ascii="Arial Narrow" w:hAnsi="Arial Narrow"/>
          <w:sz w:val="18"/>
          <w:szCs w:val="18"/>
        </w:rPr>
      </w:pPr>
      <w:r>
        <w:rPr>
          <w:rFonts w:ascii="Arial Narrow" w:hAnsi="Arial Narrow"/>
          <w:sz w:val="18"/>
        </w:rPr>
        <w:t>(Toki-entitateen portzentajea)</w:t>
      </w:r>
    </w:p>
    <w:tbl>
      <w:tblPr>
        <w:tblW w:w="5000" w:type="pct"/>
        <w:tblCellMar>
          <w:left w:w="70" w:type="dxa"/>
          <w:right w:w="70" w:type="dxa"/>
        </w:tblCellMar>
        <w:tblLook w:val="04A0" w:firstRow="1" w:lastRow="0" w:firstColumn="1" w:lastColumn="0" w:noHBand="0" w:noVBand="1"/>
      </w:tblPr>
      <w:tblGrid>
        <w:gridCol w:w="2270"/>
        <w:gridCol w:w="1599"/>
        <w:gridCol w:w="640"/>
        <w:gridCol w:w="896"/>
        <w:gridCol w:w="1128"/>
        <w:gridCol w:w="1125"/>
        <w:gridCol w:w="1130"/>
      </w:tblGrid>
      <w:tr w:rsidR="000A742F" w:rsidRPr="003A115E" w14:paraId="615818E9" w14:textId="77777777" w:rsidTr="00CC28BD">
        <w:trPr>
          <w:trHeight w:val="255"/>
        </w:trPr>
        <w:tc>
          <w:tcPr>
            <w:tcW w:w="1291"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037E6F54" w14:textId="77777777" w:rsidR="000258EC" w:rsidRPr="003A115E" w:rsidRDefault="000258EC" w:rsidP="0080058B">
            <w:pPr>
              <w:pStyle w:val="cuadroCabe"/>
              <w:spacing w:after="40"/>
              <w:rPr>
                <w:szCs w:val="18"/>
              </w:rPr>
            </w:pPr>
            <w:r>
              <w:t>Entitate-mota</w:t>
            </w:r>
          </w:p>
        </w:tc>
        <w:tc>
          <w:tcPr>
            <w:tcW w:w="1274"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4819BA5" w14:textId="77777777" w:rsidR="000258EC" w:rsidRPr="003A115E" w:rsidRDefault="000258EC" w:rsidP="0080058B">
            <w:pPr>
              <w:pStyle w:val="cuadroCabe"/>
              <w:spacing w:after="40"/>
              <w:jc w:val="right"/>
              <w:rPr>
                <w:szCs w:val="18"/>
              </w:rPr>
            </w:pPr>
            <w:r>
              <w:t xml:space="preserve">Epean </w:t>
            </w:r>
            <w:proofErr w:type="spellStart"/>
            <w:r>
              <w:t>onetsia</w:t>
            </w:r>
            <w:proofErr w:type="spellEnd"/>
          </w:p>
        </w:tc>
        <w:tc>
          <w:tcPr>
            <w:tcW w:w="1152"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1B3CD047" w14:textId="1757ED2B" w:rsidR="000258EC" w:rsidRPr="003A115E" w:rsidRDefault="000258EC" w:rsidP="0080058B">
            <w:pPr>
              <w:pStyle w:val="cuadroCabe"/>
              <w:spacing w:after="40"/>
              <w:jc w:val="right"/>
              <w:rPr>
                <w:szCs w:val="18"/>
              </w:rPr>
            </w:pPr>
            <w:r>
              <w:t>Epean igorria</w:t>
            </w:r>
          </w:p>
        </w:tc>
        <w:tc>
          <w:tcPr>
            <w:tcW w:w="128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70EE446" w14:textId="77777777" w:rsidR="000258EC" w:rsidRPr="003A115E" w:rsidRDefault="000258EC" w:rsidP="0080058B">
            <w:pPr>
              <w:pStyle w:val="cuadroCabe"/>
              <w:spacing w:after="40"/>
              <w:jc w:val="right"/>
              <w:rPr>
                <w:szCs w:val="18"/>
              </w:rPr>
            </w:pPr>
            <w:r>
              <w:t>X+1.12.31ra arte igorria</w:t>
            </w:r>
          </w:p>
        </w:tc>
      </w:tr>
      <w:tr w:rsidR="000A742F" w:rsidRPr="003A115E" w14:paraId="26B61DB9" w14:textId="77777777" w:rsidTr="00CC28BD">
        <w:trPr>
          <w:trHeight w:val="255"/>
        </w:trPr>
        <w:tc>
          <w:tcPr>
            <w:tcW w:w="1291" w:type="pct"/>
            <w:vMerge/>
            <w:tcBorders>
              <w:top w:val="single" w:sz="4" w:space="0" w:color="auto"/>
              <w:bottom w:val="single" w:sz="4" w:space="0" w:color="auto"/>
            </w:tcBorders>
            <w:vAlign w:val="center"/>
            <w:hideMark/>
          </w:tcPr>
          <w:p w14:paraId="0BC0876D" w14:textId="77777777" w:rsidR="000258EC" w:rsidRPr="003A115E" w:rsidRDefault="000258EC" w:rsidP="0080058B">
            <w:pPr>
              <w:pStyle w:val="cuadroCabe"/>
              <w:spacing w:after="40"/>
              <w:rPr>
                <w:rFonts w:cs="Arial"/>
                <w:szCs w:val="18"/>
              </w:rPr>
            </w:pPr>
          </w:p>
        </w:tc>
        <w:tc>
          <w:tcPr>
            <w:tcW w:w="910" w:type="pct"/>
            <w:tcBorders>
              <w:top w:val="single" w:sz="4" w:space="0" w:color="auto"/>
              <w:left w:val="nil"/>
              <w:bottom w:val="single" w:sz="4" w:space="0" w:color="auto"/>
              <w:right w:val="nil"/>
            </w:tcBorders>
            <w:shd w:val="clear" w:color="auto" w:fill="FABF8F" w:themeFill="accent6" w:themeFillTint="99"/>
            <w:vAlign w:val="center"/>
            <w:hideMark/>
          </w:tcPr>
          <w:p w14:paraId="74181FD6" w14:textId="77777777" w:rsidR="000258EC" w:rsidRPr="003A115E" w:rsidRDefault="000258EC" w:rsidP="0080058B">
            <w:pPr>
              <w:pStyle w:val="cuadroCabe"/>
              <w:spacing w:after="40"/>
              <w:jc w:val="right"/>
              <w:rPr>
                <w:rFonts w:cs="Arial"/>
                <w:szCs w:val="18"/>
              </w:rPr>
            </w:pPr>
            <w:r>
              <w:t>2021</w:t>
            </w:r>
          </w:p>
        </w:tc>
        <w:tc>
          <w:tcPr>
            <w:tcW w:w="364" w:type="pct"/>
            <w:tcBorders>
              <w:top w:val="single" w:sz="4" w:space="0" w:color="auto"/>
              <w:left w:val="nil"/>
              <w:bottom w:val="single" w:sz="4" w:space="0" w:color="auto"/>
              <w:right w:val="nil"/>
            </w:tcBorders>
            <w:shd w:val="clear" w:color="auto" w:fill="FABF8F" w:themeFill="accent6" w:themeFillTint="99"/>
            <w:vAlign w:val="center"/>
            <w:hideMark/>
          </w:tcPr>
          <w:p w14:paraId="5C8A3A45" w14:textId="77777777" w:rsidR="000258EC" w:rsidRPr="003A115E" w:rsidRDefault="000258EC" w:rsidP="0080058B">
            <w:pPr>
              <w:pStyle w:val="cuadroCabe"/>
              <w:spacing w:after="40"/>
              <w:jc w:val="right"/>
              <w:rPr>
                <w:rFonts w:cs="Arial"/>
                <w:szCs w:val="18"/>
              </w:rPr>
            </w:pPr>
            <w:r>
              <w:t>2022</w:t>
            </w:r>
          </w:p>
        </w:tc>
        <w:tc>
          <w:tcPr>
            <w:tcW w:w="510" w:type="pct"/>
            <w:tcBorders>
              <w:top w:val="single" w:sz="4" w:space="0" w:color="auto"/>
              <w:left w:val="nil"/>
              <w:bottom w:val="single" w:sz="4" w:space="0" w:color="auto"/>
              <w:right w:val="nil"/>
            </w:tcBorders>
            <w:shd w:val="clear" w:color="auto" w:fill="FABF8F" w:themeFill="accent6" w:themeFillTint="99"/>
            <w:vAlign w:val="center"/>
            <w:hideMark/>
          </w:tcPr>
          <w:p w14:paraId="3DEA47B4" w14:textId="77777777" w:rsidR="000258EC" w:rsidRPr="003A115E" w:rsidRDefault="000258EC" w:rsidP="0080058B">
            <w:pPr>
              <w:pStyle w:val="cuadroCabe"/>
              <w:spacing w:after="40"/>
              <w:jc w:val="right"/>
              <w:rPr>
                <w:rFonts w:cs="Arial"/>
                <w:szCs w:val="18"/>
              </w:rPr>
            </w:pPr>
            <w:r>
              <w:t>2021</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5FCD87AD" w14:textId="77777777" w:rsidR="000258EC" w:rsidRPr="003A115E" w:rsidRDefault="000258EC" w:rsidP="0080058B">
            <w:pPr>
              <w:pStyle w:val="cuadroCabe"/>
              <w:spacing w:after="40"/>
              <w:jc w:val="right"/>
              <w:rPr>
                <w:rFonts w:cs="Arial"/>
                <w:szCs w:val="18"/>
              </w:rPr>
            </w:pPr>
            <w:r>
              <w:t>2022</w:t>
            </w:r>
          </w:p>
        </w:tc>
        <w:tc>
          <w:tcPr>
            <w:tcW w:w="640" w:type="pct"/>
            <w:tcBorders>
              <w:top w:val="single" w:sz="4" w:space="0" w:color="auto"/>
              <w:left w:val="nil"/>
              <w:bottom w:val="single" w:sz="4" w:space="0" w:color="auto"/>
              <w:right w:val="nil"/>
            </w:tcBorders>
            <w:shd w:val="clear" w:color="auto" w:fill="FABF8F" w:themeFill="accent6" w:themeFillTint="99"/>
            <w:vAlign w:val="center"/>
            <w:hideMark/>
          </w:tcPr>
          <w:p w14:paraId="6ADAD608" w14:textId="77777777" w:rsidR="000258EC" w:rsidRPr="003A115E" w:rsidRDefault="000258EC" w:rsidP="0080058B">
            <w:pPr>
              <w:pStyle w:val="cuadroCabe"/>
              <w:spacing w:after="40"/>
              <w:jc w:val="right"/>
              <w:rPr>
                <w:rFonts w:cs="Arial"/>
                <w:szCs w:val="18"/>
              </w:rPr>
            </w:pPr>
            <w:r>
              <w:t>2021</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6851D71B" w14:textId="77777777" w:rsidR="000258EC" w:rsidRPr="003A115E" w:rsidRDefault="000258EC" w:rsidP="0080058B">
            <w:pPr>
              <w:pStyle w:val="cuadroCabe"/>
              <w:spacing w:after="40"/>
              <w:jc w:val="right"/>
              <w:rPr>
                <w:rFonts w:cs="Arial"/>
                <w:szCs w:val="18"/>
              </w:rPr>
            </w:pPr>
            <w:r>
              <w:t>2022</w:t>
            </w:r>
          </w:p>
        </w:tc>
      </w:tr>
      <w:tr w:rsidR="000A742F" w:rsidRPr="003A115E" w14:paraId="741C5A4F" w14:textId="77777777" w:rsidTr="00CC28BD">
        <w:trPr>
          <w:trHeight w:val="198"/>
        </w:trPr>
        <w:tc>
          <w:tcPr>
            <w:tcW w:w="1291" w:type="pct"/>
            <w:tcBorders>
              <w:top w:val="single" w:sz="4" w:space="0" w:color="auto"/>
              <w:left w:val="nil"/>
              <w:bottom w:val="single" w:sz="2" w:space="0" w:color="auto"/>
              <w:right w:val="nil"/>
            </w:tcBorders>
            <w:shd w:val="clear" w:color="auto" w:fill="auto"/>
            <w:noWrap/>
            <w:vAlign w:val="center"/>
            <w:hideMark/>
          </w:tcPr>
          <w:p w14:paraId="339EFFCD" w14:textId="77777777" w:rsidR="000258EC" w:rsidRPr="003A115E" w:rsidRDefault="000258EC" w:rsidP="00C56BF0">
            <w:pPr>
              <w:pStyle w:val="cuatexto"/>
              <w:rPr>
                <w:sz w:val="18"/>
                <w:szCs w:val="18"/>
              </w:rPr>
            </w:pPr>
            <w:r>
              <w:rPr>
                <w:sz w:val="18"/>
              </w:rPr>
              <w:t>Udalak</w:t>
            </w:r>
          </w:p>
        </w:tc>
        <w:tc>
          <w:tcPr>
            <w:tcW w:w="910" w:type="pct"/>
            <w:tcBorders>
              <w:top w:val="single" w:sz="4" w:space="0" w:color="auto"/>
              <w:left w:val="nil"/>
              <w:bottom w:val="single" w:sz="2" w:space="0" w:color="auto"/>
              <w:right w:val="nil"/>
            </w:tcBorders>
            <w:shd w:val="clear" w:color="auto" w:fill="auto"/>
            <w:noWrap/>
            <w:vAlign w:val="center"/>
            <w:hideMark/>
          </w:tcPr>
          <w:p w14:paraId="75C81AC9" w14:textId="77777777" w:rsidR="000258EC" w:rsidRPr="003A115E" w:rsidRDefault="000258EC" w:rsidP="00C56BF0">
            <w:pPr>
              <w:pStyle w:val="cuatexto"/>
              <w:jc w:val="right"/>
              <w:rPr>
                <w:sz w:val="18"/>
                <w:szCs w:val="18"/>
              </w:rPr>
            </w:pPr>
            <w:r>
              <w:rPr>
                <w:sz w:val="18"/>
              </w:rPr>
              <w:t>67</w:t>
            </w:r>
          </w:p>
        </w:tc>
        <w:tc>
          <w:tcPr>
            <w:tcW w:w="364" w:type="pct"/>
            <w:tcBorders>
              <w:top w:val="single" w:sz="4" w:space="0" w:color="auto"/>
              <w:left w:val="nil"/>
              <w:bottom w:val="single" w:sz="2" w:space="0" w:color="auto"/>
              <w:right w:val="nil"/>
            </w:tcBorders>
            <w:shd w:val="clear" w:color="auto" w:fill="auto"/>
            <w:noWrap/>
            <w:vAlign w:val="center"/>
            <w:hideMark/>
          </w:tcPr>
          <w:p w14:paraId="18B87D85" w14:textId="5A5BF516" w:rsidR="000258EC" w:rsidRPr="003A115E" w:rsidRDefault="000258EC" w:rsidP="00C56BF0">
            <w:pPr>
              <w:pStyle w:val="cuatexto"/>
              <w:jc w:val="right"/>
              <w:rPr>
                <w:sz w:val="18"/>
                <w:szCs w:val="18"/>
              </w:rPr>
            </w:pPr>
            <w:r>
              <w:rPr>
                <w:sz w:val="18"/>
              </w:rPr>
              <w:t>65</w:t>
            </w:r>
          </w:p>
        </w:tc>
        <w:tc>
          <w:tcPr>
            <w:tcW w:w="510" w:type="pct"/>
            <w:tcBorders>
              <w:top w:val="single" w:sz="4" w:space="0" w:color="auto"/>
              <w:left w:val="nil"/>
              <w:bottom w:val="single" w:sz="2" w:space="0" w:color="auto"/>
              <w:right w:val="nil"/>
            </w:tcBorders>
            <w:shd w:val="clear" w:color="auto" w:fill="auto"/>
            <w:noWrap/>
            <w:vAlign w:val="center"/>
            <w:hideMark/>
          </w:tcPr>
          <w:p w14:paraId="78B40B63" w14:textId="77777777" w:rsidR="000258EC" w:rsidRPr="003A115E" w:rsidRDefault="000258EC" w:rsidP="00C56BF0">
            <w:pPr>
              <w:pStyle w:val="cuatexto"/>
              <w:jc w:val="right"/>
              <w:rPr>
                <w:sz w:val="18"/>
                <w:szCs w:val="18"/>
              </w:rPr>
            </w:pPr>
            <w:r>
              <w:rPr>
                <w:sz w:val="18"/>
              </w:rPr>
              <w:t>51</w:t>
            </w:r>
          </w:p>
        </w:tc>
        <w:tc>
          <w:tcPr>
            <w:tcW w:w="642" w:type="pct"/>
            <w:tcBorders>
              <w:top w:val="single" w:sz="4" w:space="0" w:color="auto"/>
              <w:left w:val="nil"/>
              <w:bottom w:val="single" w:sz="2" w:space="0" w:color="auto"/>
              <w:right w:val="nil"/>
            </w:tcBorders>
            <w:shd w:val="clear" w:color="auto" w:fill="auto"/>
            <w:noWrap/>
            <w:vAlign w:val="center"/>
            <w:hideMark/>
          </w:tcPr>
          <w:p w14:paraId="2E25DE62" w14:textId="77D01D36" w:rsidR="000258EC" w:rsidRPr="003A115E" w:rsidRDefault="000258EC" w:rsidP="00C56BF0">
            <w:pPr>
              <w:pStyle w:val="cuatexto"/>
              <w:jc w:val="right"/>
              <w:rPr>
                <w:sz w:val="18"/>
                <w:szCs w:val="18"/>
              </w:rPr>
            </w:pPr>
            <w:r>
              <w:rPr>
                <w:sz w:val="18"/>
              </w:rPr>
              <w:t>56</w:t>
            </w:r>
          </w:p>
        </w:tc>
        <w:tc>
          <w:tcPr>
            <w:tcW w:w="640" w:type="pct"/>
            <w:tcBorders>
              <w:top w:val="single" w:sz="4" w:space="0" w:color="auto"/>
              <w:left w:val="nil"/>
              <w:bottom w:val="single" w:sz="2" w:space="0" w:color="auto"/>
              <w:right w:val="nil"/>
            </w:tcBorders>
            <w:shd w:val="clear" w:color="auto" w:fill="auto"/>
            <w:noWrap/>
            <w:vAlign w:val="center"/>
            <w:hideMark/>
          </w:tcPr>
          <w:p w14:paraId="7DD13488" w14:textId="77777777" w:rsidR="000258EC" w:rsidRPr="003A115E" w:rsidRDefault="000258EC" w:rsidP="00C56BF0">
            <w:pPr>
              <w:pStyle w:val="cuatexto"/>
              <w:jc w:val="right"/>
              <w:rPr>
                <w:sz w:val="18"/>
                <w:szCs w:val="18"/>
              </w:rPr>
            </w:pPr>
            <w:r>
              <w:rPr>
                <w:sz w:val="18"/>
              </w:rPr>
              <w:t>80</w:t>
            </w:r>
          </w:p>
        </w:tc>
        <w:tc>
          <w:tcPr>
            <w:tcW w:w="642" w:type="pct"/>
            <w:tcBorders>
              <w:top w:val="single" w:sz="4" w:space="0" w:color="auto"/>
              <w:left w:val="nil"/>
              <w:bottom w:val="single" w:sz="2" w:space="0" w:color="auto"/>
              <w:right w:val="nil"/>
            </w:tcBorders>
            <w:shd w:val="clear" w:color="auto" w:fill="auto"/>
            <w:noWrap/>
            <w:vAlign w:val="center"/>
            <w:hideMark/>
          </w:tcPr>
          <w:p w14:paraId="5DD94AED" w14:textId="6B26EB74" w:rsidR="000258EC" w:rsidRPr="003A115E" w:rsidRDefault="000258EC" w:rsidP="00C56BF0">
            <w:pPr>
              <w:pStyle w:val="cuatexto"/>
              <w:jc w:val="right"/>
              <w:rPr>
                <w:sz w:val="18"/>
                <w:szCs w:val="18"/>
              </w:rPr>
            </w:pPr>
            <w:r>
              <w:rPr>
                <w:sz w:val="18"/>
              </w:rPr>
              <w:t>70</w:t>
            </w:r>
          </w:p>
        </w:tc>
      </w:tr>
      <w:tr w:rsidR="000A742F" w:rsidRPr="003A115E" w14:paraId="527D41E0" w14:textId="77777777" w:rsidTr="00CC28BD">
        <w:trPr>
          <w:trHeight w:val="198"/>
        </w:trPr>
        <w:tc>
          <w:tcPr>
            <w:tcW w:w="1291" w:type="pct"/>
            <w:tcBorders>
              <w:top w:val="single" w:sz="2" w:space="0" w:color="auto"/>
              <w:left w:val="nil"/>
              <w:bottom w:val="single" w:sz="2" w:space="0" w:color="auto"/>
              <w:right w:val="nil"/>
            </w:tcBorders>
            <w:shd w:val="clear" w:color="auto" w:fill="auto"/>
            <w:noWrap/>
            <w:vAlign w:val="center"/>
            <w:hideMark/>
          </w:tcPr>
          <w:p w14:paraId="7EC17E55" w14:textId="77777777" w:rsidR="000258EC" w:rsidRPr="003A115E" w:rsidRDefault="000258EC" w:rsidP="00C56BF0">
            <w:pPr>
              <w:pStyle w:val="cuatexto"/>
              <w:rPr>
                <w:sz w:val="18"/>
                <w:szCs w:val="18"/>
              </w:rPr>
            </w:pPr>
            <w:r>
              <w:rPr>
                <w:sz w:val="18"/>
              </w:rPr>
              <w:t>Kontzejuak</w:t>
            </w:r>
          </w:p>
        </w:tc>
        <w:tc>
          <w:tcPr>
            <w:tcW w:w="910" w:type="pct"/>
            <w:tcBorders>
              <w:top w:val="single" w:sz="2" w:space="0" w:color="auto"/>
              <w:left w:val="nil"/>
              <w:bottom w:val="single" w:sz="2" w:space="0" w:color="auto"/>
              <w:right w:val="nil"/>
            </w:tcBorders>
            <w:shd w:val="clear" w:color="auto" w:fill="auto"/>
            <w:noWrap/>
            <w:vAlign w:val="center"/>
            <w:hideMark/>
          </w:tcPr>
          <w:p w14:paraId="601889F9" w14:textId="77777777" w:rsidR="000258EC" w:rsidRPr="003A115E" w:rsidRDefault="000258EC" w:rsidP="00C56BF0">
            <w:pPr>
              <w:pStyle w:val="cuatexto"/>
              <w:jc w:val="right"/>
              <w:rPr>
                <w:sz w:val="18"/>
                <w:szCs w:val="18"/>
              </w:rPr>
            </w:pPr>
            <w:r>
              <w:rPr>
                <w:sz w:val="18"/>
              </w:rPr>
              <w:t>60</w:t>
            </w:r>
          </w:p>
        </w:tc>
        <w:tc>
          <w:tcPr>
            <w:tcW w:w="364" w:type="pct"/>
            <w:tcBorders>
              <w:top w:val="single" w:sz="2" w:space="0" w:color="auto"/>
              <w:left w:val="nil"/>
              <w:bottom w:val="single" w:sz="2" w:space="0" w:color="auto"/>
              <w:right w:val="nil"/>
            </w:tcBorders>
            <w:shd w:val="clear" w:color="auto" w:fill="auto"/>
            <w:noWrap/>
            <w:vAlign w:val="center"/>
            <w:hideMark/>
          </w:tcPr>
          <w:p w14:paraId="2872027B" w14:textId="16CBFB87" w:rsidR="000258EC" w:rsidRPr="003A115E" w:rsidRDefault="00382588" w:rsidP="00C56BF0">
            <w:pPr>
              <w:pStyle w:val="cuatexto"/>
              <w:jc w:val="right"/>
              <w:rPr>
                <w:sz w:val="18"/>
                <w:szCs w:val="18"/>
              </w:rPr>
            </w:pPr>
            <w:r>
              <w:rPr>
                <w:sz w:val="18"/>
              </w:rPr>
              <w:t>60</w:t>
            </w:r>
          </w:p>
        </w:tc>
        <w:tc>
          <w:tcPr>
            <w:tcW w:w="510" w:type="pct"/>
            <w:tcBorders>
              <w:top w:val="single" w:sz="2" w:space="0" w:color="auto"/>
              <w:left w:val="nil"/>
              <w:bottom w:val="single" w:sz="2" w:space="0" w:color="auto"/>
              <w:right w:val="nil"/>
            </w:tcBorders>
            <w:shd w:val="clear" w:color="auto" w:fill="auto"/>
            <w:noWrap/>
            <w:vAlign w:val="center"/>
            <w:hideMark/>
          </w:tcPr>
          <w:p w14:paraId="38D5E72D" w14:textId="77777777" w:rsidR="000258EC" w:rsidRPr="003A115E" w:rsidRDefault="000258EC" w:rsidP="00C56BF0">
            <w:pPr>
              <w:pStyle w:val="cuatexto"/>
              <w:jc w:val="right"/>
              <w:rPr>
                <w:sz w:val="18"/>
                <w:szCs w:val="18"/>
              </w:rPr>
            </w:pPr>
            <w:r>
              <w:rPr>
                <w:sz w:val="18"/>
              </w:rPr>
              <w:t>39</w:t>
            </w:r>
          </w:p>
        </w:tc>
        <w:tc>
          <w:tcPr>
            <w:tcW w:w="642" w:type="pct"/>
            <w:tcBorders>
              <w:top w:val="single" w:sz="2" w:space="0" w:color="auto"/>
              <w:left w:val="nil"/>
              <w:bottom w:val="single" w:sz="2" w:space="0" w:color="auto"/>
              <w:right w:val="nil"/>
            </w:tcBorders>
            <w:shd w:val="clear" w:color="auto" w:fill="auto"/>
            <w:noWrap/>
            <w:vAlign w:val="center"/>
            <w:hideMark/>
          </w:tcPr>
          <w:p w14:paraId="01126F8F" w14:textId="5FE01D44" w:rsidR="000258EC" w:rsidRPr="003A115E" w:rsidRDefault="00D04DE5" w:rsidP="00C56BF0">
            <w:pPr>
              <w:pStyle w:val="cuatexto"/>
              <w:jc w:val="right"/>
              <w:rPr>
                <w:sz w:val="18"/>
                <w:szCs w:val="18"/>
              </w:rPr>
            </w:pPr>
            <w:r>
              <w:rPr>
                <w:sz w:val="18"/>
              </w:rPr>
              <w:t>47</w:t>
            </w:r>
          </w:p>
        </w:tc>
        <w:tc>
          <w:tcPr>
            <w:tcW w:w="640" w:type="pct"/>
            <w:tcBorders>
              <w:top w:val="single" w:sz="2" w:space="0" w:color="auto"/>
              <w:left w:val="nil"/>
              <w:bottom w:val="single" w:sz="2" w:space="0" w:color="auto"/>
              <w:right w:val="nil"/>
            </w:tcBorders>
            <w:shd w:val="clear" w:color="auto" w:fill="auto"/>
            <w:noWrap/>
            <w:vAlign w:val="center"/>
            <w:hideMark/>
          </w:tcPr>
          <w:p w14:paraId="3B4E7BFE" w14:textId="77777777" w:rsidR="000258EC" w:rsidRPr="003A115E" w:rsidRDefault="000258EC" w:rsidP="00C56BF0">
            <w:pPr>
              <w:pStyle w:val="cuatexto"/>
              <w:jc w:val="right"/>
              <w:rPr>
                <w:sz w:val="18"/>
                <w:szCs w:val="18"/>
              </w:rPr>
            </w:pPr>
            <w:r>
              <w:rPr>
                <w:sz w:val="18"/>
              </w:rPr>
              <w:t>74</w:t>
            </w:r>
          </w:p>
        </w:tc>
        <w:tc>
          <w:tcPr>
            <w:tcW w:w="642" w:type="pct"/>
            <w:tcBorders>
              <w:top w:val="single" w:sz="2" w:space="0" w:color="auto"/>
              <w:left w:val="nil"/>
              <w:bottom w:val="single" w:sz="2" w:space="0" w:color="auto"/>
              <w:right w:val="nil"/>
            </w:tcBorders>
            <w:shd w:val="clear" w:color="auto" w:fill="auto"/>
            <w:noWrap/>
            <w:vAlign w:val="center"/>
            <w:hideMark/>
          </w:tcPr>
          <w:p w14:paraId="4CF79E35" w14:textId="43C4E849" w:rsidR="000258EC" w:rsidRPr="003A115E" w:rsidRDefault="000258EC" w:rsidP="00C56BF0">
            <w:pPr>
              <w:pStyle w:val="cuatexto"/>
              <w:jc w:val="right"/>
              <w:rPr>
                <w:sz w:val="18"/>
                <w:szCs w:val="18"/>
              </w:rPr>
            </w:pPr>
            <w:r>
              <w:rPr>
                <w:sz w:val="18"/>
              </w:rPr>
              <w:t>61</w:t>
            </w:r>
          </w:p>
        </w:tc>
      </w:tr>
      <w:tr w:rsidR="000A742F" w:rsidRPr="003A115E" w14:paraId="3AD6D71A" w14:textId="77777777" w:rsidTr="00CC28BD">
        <w:trPr>
          <w:trHeight w:val="198"/>
        </w:trPr>
        <w:tc>
          <w:tcPr>
            <w:tcW w:w="1291" w:type="pct"/>
            <w:tcBorders>
              <w:top w:val="single" w:sz="2" w:space="0" w:color="auto"/>
              <w:left w:val="nil"/>
              <w:bottom w:val="single" w:sz="2" w:space="0" w:color="auto"/>
              <w:right w:val="nil"/>
            </w:tcBorders>
            <w:shd w:val="clear" w:color="auto" w:fill="auto"/>
            <w:noWrap/>
            <w:vAlign w:val="center"/>
            <w:hideMark/>
          </w:tcPr>
          <w:p w14:paraId="2A551A6C" w14:textId="77777777" w:rsidR="000258EC" w:rsidRPr="003A115E" w:rsidRDefault="000258EC" w:rsidP="00C56BF0">
            <w:pPr>
              <w:pStyle w:val="cuatexto"/>
              <w:rPr>
                <w:sz w:val="18"/>
                <w:szCs w:val="18"/>
              </w:rPr>
            </w:pPr>
            <w:r>
              <w:rPr>
                <w:sz w:val="18"/>
              </w:rPr>
              <w:t>Mankomunitateak</w:t>
            </w:r>
          </w:p>
        </w:tc>
        <w:tc>
          <w:tcPr>
            <w:tcW w:w="910" w:type="pct"/>
            <w:tcBorders>
              <w:top w:val="single" w:sz="2" w:space="0" w:color="auto"/>
              <w:left w:val="nil"/>
              <w:bottom w:val="single" w:sz="2" w:space="0" w:color="auto"/>
              <w:right w:val="nil"/>
            </w:tcBorders>
            <w:shd w:val="clear" w:color="auto" w:fill="auto"/>
            <w:noWrap/>
            <w:vAlign w:val="center"/>
            <w:hideMark/>
          </w:tcPr>
          <w:p w14:paraId="1DE3783B" w14:textId="77777777" w:rsidR="000258EC" w:rsidRPr="003A115E" w:rsidRDefault="000258EC" w:rsidP="00C56BF0">
            <w:pPr>
              <w:pStyle w:val="cuatexto"/>
              <w:jc w:val="right"/>
              <w:rPr>
                <w:sz w:val="18"/>
                <w:szCs w:val="18"/>
              </w:rPr>
            </w:pPr>
            <w:r>
              <w:rPr>
                <w:sz w:val="18"/>
              </w:rPr>
              <w:t>66</w:t>
            </w:r>
          </w:p>
        </w:tc>
        <w:tc>
          <w:tcPr>
            <w:tcW w:w="364" w:type="pct"/>
            <w:tcBorders>
              <w:top w:val="single" w:sz="2" w:space="0" w:color="auto"/>
              <w:left w:val="nil"/>
              <w:bottom w:val="single" w:sz="2" w:space="0" w:color="auto"/>
              <w:right w:val="nil"/>
            </w:tcBorders>
            <w:shd w:val="clear" w:color="auto" w:fill="auto"/>
            <w:noWrap/>
            <w:vAlign w:val="center"/>
            <w:hideMark/>
          </w:tcPr>
          <w:p w14:paraId="3A881E7D" w14:textId="29C22C65" w:rsidR="000258EC" w:rsidRPr="003A115E" w:rsidRDefault="000258EC" w:rsidP="00C56BF0">
            <w:pPr>
              <w:pStyle w:val="cuatexto"/>
              <w:jc w:val="right"/>
              <w:rPr>
                <w:sz w:val="18"/>
                <w:szCs w:val="18"/>
              </w:rPr>
            </w:pPr>
            <w:r>
              <w:rPr>
                <w:sz w:val="18"/>
              </w:rPr>
              <w:t>58</w:t>
            </w:r>
          </w:p>
        </w:tc>
        <w:tc>
          <w:tcPr>
            <w:tcW w:w="510" w:type="pct"/>
            <w:tcBorders>
              <w:top w:val="single" w:sz="2" w:space="0" w:color="auto"/>
              <w:left w:val="nil"/>
              <w:bottom w:val="single" w:sz="2" w:space="0" w:color="auto"/>
              <w:right w:val="nil"/>
            </w:tcBorders>
            <w:shd w:val="clear" w:color="auto" w:fill="auto"/>
            <w:noWrap/>
            <w:vAlign w:val="center"/>
            <w:hideMark/>
          </w:tcPr>
          <w:p w14:paraId="13067DF3" w14:textId="77777777" w:rsidR="000258EC" w:rsidRPr="003A115E" w:rsidRDefault="000258EC" w:rsidP="00C56BF0">
            <w:pPr>
              <w:pStyle w:val="cuatexto"/>
              <w:jc w:val="right"/>
              <w:rPr>
                <w:sz w:val="18"/>
                <w:szCs w:val="18"/>
              </w:rPr>
            </w:pPr>
            <w:r>
              <w:rPr>
                <w:sz w:val="18"/>
              </w:rPr>
              <w:t>45</w:t>
            </w:r>
          </w:p>
        </w:tc>
        <w:tc>
          <w:tcPr>
            <w:tcW w:w="642" w:type="pct"/>
            <w:tcBorders>
              <w:top w:val="single" w:sz="2" w:space="0" w:color="auto"/>
              <w:left w:val="nil"/>
              <w:bottom w:val="single" w:sz="2" w:space="0" w:color="auto"/>
              <w:right w:val="nil"/>
            </w:tcBorders>
            <w:shd w:val="clear" w:color="auto" w:fill="auto"/>
            <w:noWrap/>
            <w:vAlign w:val="center"/>
            <w:hideMark/>
          </w:tcPr>
          <w:p w14:paraId="7B1A9343" w14:textId="109C2E00" w:rsidR="000258EC" w:rsidRPr="003A115E" w:rsidRDefault="000258EC" w:rsidP="00C56BF0">
            <w:pPr>
              <w:pStyle w:val="cuatexto"/>
              <w:jc w:val="right"/>
              <w:rPr>
                <w:sz w:val="18"/>
                <w:szCs w:val="18"/>
              </w:rPr>
            </w:pPr>
            <w:r>
              <w:rPr>
                <w:sz w:val="18"/>
              </w:rPr>
              <w:t>52</w:t>
            </w:r>
          </w:p>
        </w:tc>
        <w:tc>
          <w:tcPr>
            <w:tcW w:w="640" w:type="pct"/>
            <w:tcBorders>
              <w:top w:val="single" w:sz="2" w:space="0" w:color="auto"/>
              <w:left w:val="nil"/>
              <w:bottom w:val="single" w:sz="2" w:space="0" w:color="auto"/>
              <w:right w:val="nil"/>
            </w:tcBorders>
            <w:shd w:val="clear" w:color="auto" w:fill="auto"/>
            <w:noWrap/>
            <w:vAlign w:val="center"/>
            <w:hideMark/>
          </w:tcPr>
          <w:p w14:paraId="45907630" w14:textId="77777777" w:rsidR="000258EC" w:rsidRPr="003A115E" w:rsidRDefault="000258EC" w:rsidP="00C56BF0">
            <w:pPr>
              <w:pStyle w:val="cuatexto"/>
              <w:jc w:val="right"/>
              <w:rPr>
                <w:sz w:val="18"/>
                <w:szCs w:val="18"/>
              </w:rPr>
            </w:pPr>
            <w:r>
              <w:rPr>
                <w:sz w:val="18"/>
              </w:rPr>
              <w:t>77</w:t>
            </w:r>
          </w:p>
        </w:tc>
        <w:tc>
          <w:tcPr>
            <w:tcW w:w="642" w:type="pct"/>
            <w:tcBorders>
              <w:top w:val="single" w:sz="2" w:space="0" w:color="auto"/>
              <w:left w:val="nil"/>
              <w:bottom w:val="single" w:sz="2" w:space="0" w:color="auto"/>
              <w:right w:val="nil"/>
            </w:tcBorders>
            <w:shd w:val="clear" w:color="auto" w:fill="auto"/>
            <w:noWrap/>
            <w:vAlign w:val="center"/>
            <w:hideMark/>
          </w:tcPr>
          <w:p w14:paraId="5212EB39" w14:textId="7BD8BF82" w:rsidR="000258EC" w:rsidRPr="003A115E" w:rsidRDefault="000258EC" w:rsidP="00C56BF0">
            <w:pPr>
              <w:pStyle w:val="cuatexto"/>
              <w:jc w:val="right"/>
              <w:rPr>
                <w:sz w:val="18"/>
                <w:szCs w:val="18"/>
              </w:rPr>
            </w:pPr>
            <w:r>
              <w:rPr>
                <w:sz w:val="18"/>
              </w:rPr>
              <w:t>61</w:t>
            </w:r>
          </w:p>
        </w:tc>
      </w:tr>
      <w:tr w:rsidR="000A742F" w:rsidRPr="003A115E" w14:paraId="6A7C28B4" w14:textId="77777777" w:rsidTr="00CC28BD">
        <w:trPr>
          <w:trHeight w:val="198"/>
        </w:trPr>
        <w:tc>
          <w:tcPr>
            <w:tcW w:w="1291" w:type="pct"/>
            <w:tcBorders>
              <w:top w:val="single" w:sz="2" w:space="0" w:color="auto"/>
              <w:left w:val="nil"/>
              <w:bottom w:val="single" w:sz="4" w:space="0" w:color="auto"/>
              <w:right w:val="nil"/>
            </w:tcBorders>
            <w:shd w:val="clear" w:color="auto" w:fill="auto"/>
            <w:noWrap/>
            <w:vAlign w:val="center"/>
            <w:hideMark/>
          </w:tcPr>
          <w:p w14:paraId="5F06E1C7" w14:textId="77777777" w:rsidR="000258EC" w:rsidRPr="003A115E" w:rsidRDefault="000258EC" w:rsidP="00C56BF0">
            <w:pPr>
              <w:pStyle w:val="cuatexto"/>
              <w:rPr>
                <w:sz w:val="18"/>
                <w:szCs w:val="18"/>
              </w:rPr>
            </w:pPr>
            <w:r>
              <w:rPr>
                <w:sz w:val="18"/>
              </w:rPr>
              <w:t>Batasunak</w:t>
            </w:r>
          </w:p>
        </w:tc>
        <w:tc>
          <w:tcPr>
            <w:tcW w:w="910" w:type="pct"/>
            <w:tcBorders>
              <w:top w:val="single" w:sz="2" w:space="0" w:color="auto"/>
              <w:left w:val="nil"/>
              <w:bottom w:val="single" w:sz="4" w:space="0" w:color="auto"/>
              <w:right w:val="nil"/>
            </w:tcBorders>
            <w:shd w:val="clear" w:color="auto" w:fill="auto"/>
            <w:noWrap/>
            <w:vAlign w:val="center"/>
            <w:hideMark/>
          </w:tcPr>
          <w:p w14:paraId="26106743" w14:textId="77777777" w:rsidR="000258EC" w:rsidRPr="003A115E" w:rsidRDefault="000258EC" w:rsidP="00C56BF0">
            <w:pPr>
              <w:pStyle w:val="cuatexto"/>
              <w:jc w:val="right"/>
              <w:rPr>
                <w:sz w:val="18"/>
                <w:szCs w:val="18"/>
              </w:rPr>
            </w:pPr>
            <w:r>
              <w:rPr>
                <w:sz w:val="18"/>
              </w:rPr>
              <w:t>55</w:t>
            </w:r>
          </w:p>
        </w:tc>
        <w:tc>
          <w:tcPr>
            <w:tcW w:w="364" w:type="pct"/>
            <w:tcBorders>
              <w:top w:val="single" w:sz="2" w:space="0" w:color="auto"/>
              <w:left w:val="nil"/>
              <w:bottom w:val="single" w:sz="4" w:space="0" w:color="auto"/>
              <w:right w:val="nil"/>
            </w:tcBorders>
            <w:shd w:val="clear" w:color="auto" w:fill="auto"/>
            <w:noWrap/>
            <w:vAlign w:val="center"/>
            <w:hideMark/>
          </w:tcPr>
          <w:p w14:paraId="5E563241" w14:textId="08045A40" w:rsidR="000258EC" w:rsidRPr="003A115E" w:rsidRDefault="000258EC" w:rsidP="00C56BF0">
            <w:pPr>
              <w:pStyle w:val="cuatexto"/>
              <w:jc w:val="right"/>
              <w:rPr>
                <w:sz w:val="18"/>
                <w:szCs w:val="18"/>
              </w:rPr>
            </w:pPr>
            <w:r>
              <w:rPr>
                <w:sz w:val="18"/>
              </w:rPr>
              <w:t>41</w:t>
            </w:r>
          </w:p>
        </w:tc>
        <w:tc>
          <w:tcPr>
            <w:tcW w:w="510" w:type="pct"/>
            <w:tcBorders>
              <w:top w:val="single" w:sz="2" w:space="0" w:color="auto"/>
              <w:left w:val="nil"/>
              <w:bottom w:val="single" w:sz="4" w:space="0" w:color="auto"/>
              <w:right w:val="nil"/>
            </w:tcBorders>
            <w:shd w:val="clear" w:color="auto" w:fill="auto"/>
            <w:noWrap/>
            <w:vAlign w:val="center"/>
            <w:hideMark/>
          </w:tcPr>
          <w:p w14:paraId="2BD2DB4E" w14:textId="77777777" w:rsidR="000258EC" w:rsidRPr="003A115E" w:rsidRDefault="000258EC" w:rsidP="00C56BF0">
            <w:pPr>
              <w:pStyle w:val="cuatexto"/>
              <w:jc w:val="right"/>
              <w:rPr>
                <w:sz w:val="18"/>
                <w:szCs w:val="18"/>
              </w:rPr>
            </w:pPr>
            <w:r>
              <w:rPr>
                <w:sz w:val="18"/>
              </w:rPr>
              <w:t>45</w:t>
            </w:r>
          </w:p>
        </w:tc>
        <w:tc>
          <w:tcPr>
            <w:tcW w:w="642" w:type="pct"/>
            <w:tcBorders>
              <w:top w:val="single" w:sz="2" w:space="0" w:color="auto"/>
              <w:left w:val="nil"/>
              <w:bottom w:val="single" w:sz="4" w:space="0" w:color="auto"/>
              <w:right w:val="nil"/>
            </w:tcBorders>
            <w:shd w:val="clear" w:color="auto" w:fill="auto"/>
            <w:noWrap/>
            <w:vAlign w:val="center"/>
            <w:hideMark/>
          </w:tcPr>
          <w:p w14:paraId="53340432" w14:textId="6A259136" w:rsidR="000258EC" w:rsidRPr="003A115E" w:rsidRDefault="000258EC" w:rsidP="00C56BF0">
            <w:pPr>
              <w:pStyle w:val="cuatexto"/>
              <w:jc w:val="right"/>
              <w:rPr>
                <w:sz w:val="18"/>
                <w:szCs w:val="18"/>
              </w:rPr>
            </w:pPr>
            <w:r>
              <w:rPr>
                <w:sz w:val="18"/>
              </w:rPr>
              <w:t>27</w:t>
            </w:r>
          </w:p>
        </w:tc>
        <w:tc>
          <w:tcPr>
            <w:tcW w:w="640" w:type="pct"/>
            <w:tcBorders>
              <w:top w:val="single" w:sz="2" w:space="0" w:color="auto"/>
              <w:left w:val="nil"/>
              <w:bottom w:val="single" w:sz="4" w:space="0" w:color="auto"/>
              <w:right w:val="nil"/>
            </w:tcBorders>
            <w:shd w:val="clear" w:color="auto" w:fill="auto"/>
            <w:noWrap/>
            <w:vAlign w:val="center"/>
            <w:hideMark/>
          </w:tcPr>
          <w:p w14:paraId="0D91C93C" w14:textId="77777777" w:rsidR="000258EC" w:rsidRPr="003A115E" w:rsidRDefault="000258EC" w:rsidP="00C56BF0">
            <w:pPr>
              <w:pStyle w:val="cuatexto"/>
              <w:jc w:val="right"/>
              <w:rPr>
                <w:sz w:val="18"/>
                <w:szCs w:val="18"/>
              </w:rPr>
            </w:pPr>
            <w:r>
              <w:rPr>
                <w:sz w:val="18"/>
              </w:rPr>
              <w:t>77</w:t>
            </w:r>
          </w:p>
        </w:tc>
        <w:tc>
          <w:tcPr>
            <w:tcW w:w="642" w:type="pct"/>
            <w:tcBorders>
              <w:top w:val="single" w:sz="2" w:space="0" w:color="auto"/>
              <w:left w:val="nil"/>
              <w:bottom w:val="single" w:sz="4" w:space="0" w:color="auto"/>
              <w:right w:val="nil"/>
            </w:tcBorders>
            <w:shd w:val="clear" w:color="auto" w:fill="auto"/>
            <w:noWrap/>
            <w:vAlign w:val="center"/>
            <w:hideMark/>
          </w:tcPr>
          <w:p w14:paraId="2CE1B8D2" w14:textId="55C89E17" w:rsidR="000258EC" w:rsidRPr="003A115E" w:rsidRDefault="000258EC" w:rsidP="00C56BF0">
            <w:pPr>
              <w:pStyle w:val="cuatexto"/>
              <w:jc w:val="right"/>
              <w:rPr>
                <w:sz w:val="18"/>
                <w:szCs w:val="18"/>
              </w:rPr>
            </w:pPr>
            <w:r>
              <w:rPr>
                <w:sz w:val="18"/>
              </w:rPr>
              <w:t>68</w:t>
            </w:r>
          </w:p>
        </w:tc>
      </w:tr>
      <w:tr w:rsidR="000A742F" w:rsidRPr="003A115E" w14:paraId="696FB623" w14:textId="77777777" w:rsidTr="00CC28BD">
        <w:trPr>
          <w:trHeight w:val="255"/>
        </w:trPr>
        <w:tc>
          <w:tcPr>
            <w:tcW w:w="1291" w:type="pct"/>
            <w:tcBorders>
              <w:top w:val="single" w:sz="4" w:space="0" w:color="auto"/>
              <w:left w:val="nil"/>
              <w:bottom w:val="single" w:sz="4" w:space="0" w:color="auto"/>
              <w:right w:val="nil"/>
            </w:tcBorders>
            <w:shd w:val="clear" w:color="auto" w:fill="FABF8F" w:themeFill="accent6" w:themeFillTint="99"/>
            <w:noWrap/>
            <w:vAlign w:val="center"/>
            <w:hideMark/>
          </w:tcPr>
          <w:p w14:paraId="3832681E" w14:textId="77777777" w:rsidR="000258EC" w:rsidRPr="003A115E" w:rsidRDefault="000258EC" w:rsidP="0080058B">
            <w:pPr>
              <w:pStyle w:val="cuadroCabe"/>
              <w:spacing w:after="40"/>
              <w:rPr>
                <w:szCs w:val="18"/>
              </w:rPr>
            </w:pPr>
            <w:r>
              <w:t>Guztira</w:t>
            </w:r>
          </w:p>
        </w:tc>
        <w:tc>
          <w:tcPr>
            <w:tcW w:w="910" w:type="pct"/>
            <w:tcBorders>
              <w:top w:val="single" w:sz="4" w:space="0" w:color="auto"/>
              <w:left w:val="nil"/>
              <w:bottom w:val="single" w:sz="4" w:space="0" w:color="auto"/>
              <w:right w:val="nil"/>
            </w:tcBorders>
            <w:shd w:val="clear" w:color="auto" w:fill="FABF8F" w:themeFill="accent6" w:themeFillTint="99"/>
            <w:noWrap/>
            <w:vAlign w:val="center"/>
            <w:hideMark/>
          </w:tcPr>
          <w:p w14:paraId="00D121DE" w14:textId="77777777" w:rsidR="000258EC" w:rsidRPr="003A115E" w:rsidRDefault="000258EC" w:rsidP="0080058B">
            <w:pPr>
              <w:pStyle w:val="cuadroCabe"/>
              <w:spacing w:after="40"/>
              <w:jc w:val="right"/>
              <w:rPr>
                <w:szCs w:val="18"/>
              </w:rPr>
            </w:pPr>
            <w:r>
              <w:t>63</w:t>
            </w:r>
          </w:p>
        </w:tc>
        <w:tc>
          <w:tcPr>
            <w:tcW w:w="364" w:type="pct"/>
            <w:tcBorders>
              <w:top w:val="single" w:sz="4" w:space="0" w:color="auto"/>
              <w:left w:val="nil"/>
              <w:bottom w:val="single" w:sz="4" w:space="0" w:color="auto"/>
              <w:right w:val="nil"/>
            </w:tcBorders>
            <w:shd w:val="clear" w:color="auto" w:fill="FABF8F" w:themeFill="accent6" w:themeFillTint="99"/>
            <w:noWrap/>
            <w:vAlign w:val="center"/>
            <w:hideMark/>
          </w:tcPr>
          <w:p w14:paraId="720CE264" w14:textId="34FED380" w:rsidR="000258EC" w:rsidRPr="003A115E" w:rsidRDefault="000258EC" w:rsidP="0080058B">
            <w:pPr>
              <w:pStyle w:val="cuadroCabe"/>
              <w:spacing w:after="40"/>
              <w:jc w:val="right"/>
              <w:rPr>
                <w:szCs w:val="18"/>
              </w:rPr>
            </w:pPr>
            <w:r>
              <w:t>61</w:t>
            </w:r>
          </w:p>
        </w:tc>
        <w:tc>
          <w:tcPr>
            <w:tcW w:w="510" w:type="pct"/>
            <w:tcBorders>
              <w:top w:val="single" w:sz="4" w:space="0" w:color="auto"/>
              <w:left w:val="nil"/>
              <w:bottom w:val="single" w:sz="4" w:space="0" w:color="auto"/>
              <w:right w:val="nil"/>
            </w:tcBorders>
            <w:shd w:val="clear" w:color="auto" w:fill="FABF8F" w:themeFill="accent6" w:themeFillTint="99"/>
            <w:noWrap/>
            <w:vAlign w:val="center"/>
            <w:hideMark/>
          </w:tcPr>
          <w:p w14:paraId="7355FEA0" w14:textId="77777777" w:rsidR="000258EC" w:rsidRPr="003A115E" w:rsidRDefault="000258EC" w:rsidP="0080058B">
            <w:pPr>
              <w:pStyle w:val="cuadroCabe"/>
              <w:spacing w:after="40"/>
              <w:jc w:val="right"/>
              <w:rPr>
                <w:szCs w:val="18"/>
              </w:rPr>
            </w:pPr>
            <w:r>
              <w:t>45</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451645DF" w14:textId="60322083" w:rsidR="000258EC" w:rsidRPr="003A115E" w:rsidRDefault="000258EC" w:rsidP="0080058B">
            <w:pPr>
              <w:pStyle w:val="cuadroCabe"/>
              <w:spacing w:after="40"/>
              <w:jc w:val="right"/>
              <w:rPr>
                <w:szCs w:val="18"/>
              </w:rPr>
            </w:pPr>
            <w:r>
              <w:t>50</w:t>
            </w:r>
          </w:p>
        </w:tc>
        <w:tc>
          <w:tcPr>
            <w:tcW w:w="640" w:type="pct"/>
            <w:tcBorders>
              <w:top w:val="single" w:sz="4" w:space="0" w:color="auto"/>
              <w:left w:val="nil"/>
              <w:bottom w:val="single" w:sz="4" w:space="0" w:color="auto"/>
              <w:right w:val="nil"/>
            </w:tcBorders>
            <w:shd w:val="clear" w:color="auto" w:fill="FABF8F" w:themeFill="accent6" w:themeFillTint="99"/>
            <w:noWrap/>
            <w:vAlign w:val="center"/>
            <w:hideMark/>
          </w:tcPr>
          <w:p w14:paraId="02835EB2" w14:textId="77777777" w:rsidR="000258EC" w:rsidRPr="003A115E" w:rsidRDefault="000258EC" w:rsidP="0080058B">
            <w:pPr>
              <w:pStyle w:val="cuadroCabe"/>
              <w:spacing w:after="40"/>
              <w:jc w:val="right"/>
              <w:rPr>
                <w:szCs w:val="18"/>
              </w:rPr>
            </w:pPr>
            <w:r>
              <w:t>76</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04D48E9C" w14:textId="31ED73B6" w:rsidR="000258EC" w:rsidRPr="003A115E" w:rsidRDefault="000258EC" w:rsidP="0080058B">
            <w:pPr>
              <w:pStyle w:val="cuadroCabe"/>
              <w:spacing w:after="40"/>
              <w:jc w:val="right"/>
              <w:rPr>
                <w:szCs w:val="18"/>
              </w:rPr>
            </w:pPr>
            <w:r>
              <w:t>65</w:t>
            </w:r>
          </w:p>
        </w:tc>
      </w:tr>
    </w:tbl>
    <w:p w14:paraId="2F6DAD19" w14:textId="24071D14" w:rsidR="00C84D07" w:rsidRPr="003A115E" w:rsidRDefault="00E52458" w:rsidP="00C84D07">
      <w:pPr>
        <w:pStyle w:val="texto"/>
        <w:tabs>
          <w:tab w:val="clear" w:pos="2835"/>
          <w:tab w:val="center" w:pos="567"/>
        </w:tabs>
        <w:spacing w:before="240"/>
        <w:rPr>
          <w:rFonts w:cs="Arial"/>
        </w:rPr>
      </w:pPr>
      <w:r>
        <w:t xml:space="preserve">Toki-entitateen ehuneko 61ek epean onetsi zituzten 2022ko beren kontuak, eta ehuneko 50ek legezko gehieneko epearen barruan igorri zizkioten </w:t>
      </w:r>
      <w:proofErr w:type="spellStart"/>
      <w:r>
        <w:t>NFKAri</w:t>
      </w:r>
      <w:proofErr w:type="spellEnd"/>
      <w:r>
        <w:t>.</w:t>
      </w:r>
    </w:p>
    <w:p w14:paraId="08066941" w14:textId="27AC7A60" w:rsidR="00C84D07" w:rsidRPr="003A115E" w:rsidRDefault="00C84D07" w:rsidP="7A999140">
      <w:pPr>
        <w:pStyle w:val="texto"/>
        <w:tabs>
          <w:tab w:val="clear" w:pos="2835"/>
          <w:tab w:val="center" w:pos="567"/>
        </w:tabs>
        <w:rPr>
          <w:rFonts w:cs="Arial"/>
        </w:rPr>
      </w:pPr>
      <w:r>
        <w:t xml:space="preserve">Txosten honen datara arte, toki-entitateen ehuneko 87k bidali dizkiote </w:t>
      </w:r>
      <w:proofErr w:type="spellStart"/>
      <w:r>
        <w:t>NFKAri</w:t>
      </w:r>
      <w:proofErr w:type="spellEnd"/>
      <w:r>
        <w:t xml:space="preserve"> 2022ko beren kontuak. Portzentaje hori ehuneko 92ra igoko litzateke baldin eta kontu orokorra ez baina aurrekontu-likidazioaren espedientea bai igorri duten erakundeak gehituko bagenitu. </w:t>
      </w:r>
    </w:p>
    <w:p w14:paraId="1E011BDB" w14:textId="65C2A3E7" w:rsidR="00C84D07" w:rsidRPr="003A115E" w:rsidRDefault="2C7397AF" w:rsidP="00C84D07">
      <w:pPr>
        <w:pStyle w:val="texto"/>
        <w:tabs>
          <w:tab w:val="clear" w:pos="2835"/>
          <w:tab w:val="center" w:pos="567"/>
        </w:tabs>
        <w:rPr>
          <w:rFonts w:cs="Arial"/>
        </w:rPr>
      </w:pPr>
      <w:r>
        <w:t xml:space="preserve">Txosten hau egin den garaian, honako toki-entitate hauek ez diote </w:t>
      </w:r>
      <w:proofErr w:type="spellStart"/>
      <w:r>
        <w:t>NFKAri</w:t>
      </w:r>
      <w:proofErr w:type="spellEnd"/>
      <w:r>
        <w:t xml:space="preserve"> igorri 2021eko eta 2022ko ekitaldietako ez kontu orokorrik ez eta aurrekontuaren likidazioaren espedienterik ere: Kasu bakoitzean, parentesi artean adierazi da aurkeztu duten azken kontu orokorrari edo aurrekontu-likidazioari dagokion ekitaldia.</w:t>
      </w:r>
    </w:p>
    <w:p w14:paraId="25F1CAFC" w14:textId="05DFEC0C" w:rsidR="00C84D07" w:rsidRPr="003A115E" w:rsidRDefault="006D7808" w:rsidP="7A999140">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Udal batek: Zugarramurdi (2020).</w:t>
      </w:r>
    </w:p>
    <w:p w14:paraId="1D138DDB" w14:textId="6ED8BC9F" w:rsidR="00C84D07" w:rsidRPr="003A115E" w:rsidRDefault="006D7808" w:rsidP="00E30A83">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Guztira 26 kontzejuk: Zizur Txikia (2017), Gazolatz (2016), Larraia (2017), Paternain (2015), Undio (2015) eta </w:t>
      </w:r>
      <w:proofErr w:type="spellStart"/>
      <w:r>
        <w:t>Asterain</w:t>
      </w:r>
      <w:proofErr w:type="spellEnd"/>
      <w:r>
        <w:t xml:space="preserve"> (2020), Zizurren; Larraiotz (2016), </w:t>
      </w:r>
      <w:r>
        <w:lastRenderedPageBreak/>
        <w:t xml:space="preserve">Txulapainen; Murugarren (2017), </w:t>
      </w:r>
      <w:proofErr w:type="spellStart"/>
      <w:r>
        <w:t>Zurukuain</w:t>
      </w:r>
      <w:proofErr w:type="spellEnd"/>
      <w:r>
        <w:t xml:space="preserve"> (2019), Allotz (2020), Ibiriku Deierri (2020), </w:t>
      </w:r>
      <w:proofErr w:type="spellStart"/>
      <w:r>
        <w:t>Iruñela</w:t>
      </w:r>
      <w:proofErr w:type="spellEnd"/>
      <w:r>
        <w:t xml:space="preserve"> (2020) eta Lakar (2020), Deierrin; </w:t>
      </w:r>
      <w:proofErr w:type="spellStart"/>
      <w:r>
        <w:t>Galdioi</w:t>
      </w:r>
      <w:proofErr w:type="spellEnd"/>
      <w:r>
        <w:t xml:space="preserve"> (2019), Larrion (2020), Muneta (2020) eta Zubielki (2020), Allinen; Azantza (2020), </w:t>
      </w:r>
      <w:proofErr w:type="spellStart"/>
      <w:r>
        <w:t>Goñin</w:t>
      </w:r>
      <w:proofErr w:type="spellEnd"/>
      <w:r>
        <w:t xml:space="preserve">; Argiñano (2020) eta Iturgoien (2017), Gesalatzen; </w:t>
      </w:r>
      <w:proofErr w:type="spellStart"/>
      <w:r>
        <w:t>Getze</w:t>
      </w:r>
      <w:proofErr w:type="spellEnd"/>
      <w:r>
        <w:t xml:space="preserve"> Ibargoiti (2020), Ibargoitin; bai eta Inbuluzketa (2019), </w:t>
      </w:r>
      <w:proofErr w:type="spellStart"/>
      <w:r>
        <w:t>Lizarragabengoa</w:t>
      </w:r>
      <w:proofErr w:type="spellEnd"/>
      <w:r>
        <w:t xml:space="preserve"> (2019), Torres (2020), Gorza (2020) eta Larraintzar (2020).</w:t>
      </w:r>
    </w:p>
    <w:p w14:paraId="04043162" w14:textId="782443DB" w:rsidR="00C84D07" w:rsidRPr="003A115E" w:rsidRDefault="006D7808" w:rsidP="31020D7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 xml:space="preserve">Guztira hiru mankomunitatek: Euskara Kudeatzeko Nafarroako Iparraldeko Mankomunitatea (2018), </w:t>
      </w:r>
      <w:proofErr w:type="spellStart"/>
      <w:r>
        <w:t>Berragu</w:t>
      </w:r>
      <w:proofErr w:type="spellEnd"/>
      <w:r>
        <w:t xml:space="preserve">-Liburutegi Zerbitzuen Mankomunitatea eta Orreaga Kirol Mankomunitatea. Ez da inon agertzen azken bi horiek </w:t>
      </w:r>
      <w:proofErr w:type="spellStart"/>
      <w:r>
        <w:t>NFKAri</w:t>
      </w:r>
      <w:proofErr w:type="spellEnd"/>
      <w:r>
        <w:t xml:space="preserve"> kontu orokorra edo aurrekontu-likidazioaren espedientea inoiz igorri izana. </w:t>
      </w:r>
    </w:p>
    <w:p w14:paraId="4F3E744B" w14:textId="21061001" w:rsidR="4233D0B5" w:rsidRPr="003A115E" w:rsidRDefault="4233D0B5" w:rsidP="062A5C0B">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t>Batasunak: Faltzes eta Miranda Arga udalerrien Administrazio Zerbitzuen Batasuna (2019).</w:t>
      </w:r>
    </w:p>
    <w:p w14:paraId="42A1532F" w14:textId="491BBB01" w:rsidR="002C651F" w:rsidRPr="003A115E" w:rsidRDefault="2C7397AF" w:rsidP="00543EBD">
      <w:pPr>
        <w:pStyle w:val="texto"/>
        <w:tabs>
          <w:tab w:val="clear" w:pos="2835"/>
          <w:tab w:val="center" w:pos="567"/>
        </w:tabs>
        <w:rPr>
          <w:rFonts w:cs="Arial"/>
        </w:rPr>
      </w:pPr>
      <w:r>
        <w:t xml:space="preserve">Oro har, toki-entitateek beren kontuak onetsi eta </w:t>
      </w:r>
      <w:proofErr w:type="spellStart"/>
      <w:r>
        <w:t>NFKAri</w:t>
      </w:r>
      <w:proofErr w:type="spellEnd"/>
      <w:r>
        <w:t xml:space="preserve"> igortzen dizkiote, baina askotan legezko epeekiko berandutza nabarmenekin. Horren ondorioz, informazioa ez da bere tenorean iristen eta, beraz, munta galtzen du. Ildo horretan, gaur egun diru-atxikipen bat aplikatzen da, banaketaren aurreko bigarren urteko kontabilitate-informazioa ez igortzeagatikoa</w:t>
      </w:r>
      <w:r w:rsidR="002766C3" w:rsidRPr="003A115E">
        <w:rPr>
          <w:rStyle w:val="Refdenotaalpie"/>
          <w:rFonts w:cs="Arial"/>
          <w:lang w:val="es-ES"/>
        </w:rPr>
        <w:footnoteReference w:id="13"/>
      </w:r>
      <w:r>
        <w:t xml:space="preserve">. Jasota dator </w:t>
      </w:r>
      <w:proofErr w:type="spellStart"/>
      <w:r>
        <w:t>FLTAPean</w:t>
      </w:r>
      <w:proofErr w:type="spellEnd"/>
      <w:r>
        <w:t xml:space="preserve">, eta toki-entitateari </w:t>
      </w:r>
      <w:proofErr w:type="spellStart"/>
      <w:r>
        <w:t>TAFean</w:t>
      </w:r>
      <w:proofErr w:type="spellEnd"/>
      <w:r>
        <w:t xml:space="preserve"> dagokion kopuruaren ehuneko hamarrekoa da. Dena den, neurri hori aplikatzen zaie ez kontu orokorrik ez 2022ko aurrekontuaren likidaziorik aurkezten ez duten toki-entitateei bakarrik. </w:t>
      </w:r>
    </w:p>
    <w:p w14:paraId="75B0F91A" w14:textId="49B38A48" w:rsidR="00796089" w:rsidRPr="003A115E" w:rsidRDefault="00796089" w:rsidP="0027211B">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rPr>
          <w:rFonts w:cs="Arial"/>
        </w:rPr>
      </w:pPr>
      <w:r>
        <w:t xml:space="preserve">Honako taula honek erakusten ditu </w:t>
      </w:r>
      <w:proofErr w:type="spellStart"/>
      <w:r>
        <w:t>TAFean</w:t>
      </w:r>
      <w:proofErr w:type="spellEnd"/>
      <w:r>
        <w:t xml:space="preserve"> aplikaturiko atxikipenak:</w:t>
      </w:r>
    </w:p>
    <w:tbl>
      <w:tblPr>
        <w:tblW w:w="5000" w:type="pct"/>
        <w:tblCellMar>
          <w:left w:w="70" w:type="dxa"/>
          <w:right w:w="70" w:type="dxa"/>
        </w:tblCellMar>
        <w:tblLook w:val="04A0" w:firstRow="1" w:lastRow="0" w:firstColumn="1" w:lastColumn="0" w:noHBand="0" w:noVBand="1"/>
      </w:tblPr>
      <w:tblGrid>
        <w:gridCol w:w="5194"/>
        <w:gridCol w:w="1929"/>
        <w:gridCol w:w="253"/>
        <w:gridCol w:w="1412"/>
      </w:tblGrid>
      <w:tr w:rsidR="00EC4170" w:rsidRPr="003A115E" w14:paraId="4824D88B" w14:textId="77777777" w:rsidTr="000E266F">
        <w:trPr>
          <w:trHeight w:val="300"/>
        </w:trPr>
        <w:tc>
          <w:tcPr>
            <w:tcW w:w="2501" w:type="pct"/>
            <w:tcBorders>
              <w:top w:val="nil"/>
              <w:left w:val="nil"/>
              <w:bottom w:val="single" w:sz="4" w:space="0" w:color="auto"/>
              <w:right w:val="nil"/>
            </w:tcBorders>
            <w:shd w:val="clear" w:color="auto" w:fill="auto"/>
            <w:noWrap/>
            <w:vAlign w:val="bottom"/>
            <w:hideMark/>
          </w:tcPr>
          <w:p w14:paraId="08C21F73" w14:textId="77777777" w:rsidR="00EC4170" w:rsidRPr="003A115E" w:rsidRDefault="00EC4170">
            <w:pPr>
              <w:rPr>
                <w:rFonts w:ascii="Calibri" w:hAnsi="Calibri" w:cs="Calibri"/>
                <w:sz w:val="22"/>
                <w:szCs w:val="22"/>
              </w:rPr>
            </w:pPr>
            <w:r>
              <w:rPr>
                <w:rFonts w:ascii="Calibri" w:hAnsi="Calibri"/>
                <w:sz w:val="22"/>
              </w:rPr>
              <w:t> </w:t>
            </w:r>
          </w:p>
        </w:tc>
        <w:tc>
          <w:tcPr>
            <w:tcW w:w="1521" w:type="pct"/>
            <w:gridSpan w:val="2"/>
            <w:tcBorders>
              <w:top w:val="nil"/>
              <w:left w:val="nil"/>
              <w:bottom w:val="single" w:sz="4" w:space="0" w:color="auto"/>
              <w:right w:val="nil"/>
            </w:tcBorders>
            <w:shd w:val="clear" w:color="auto" w:fill="auto"/>
            <w:noWrap/>
            <w:vAlign w:val="bottom"/>
            <w:hideMark/>
          </w:tcPr>
          <w:p w14:paraId="1A3D278A" w14:textId="77777777" w:rsidR="00EC4170" w:rsidRPr="003A115E" w:rsidRDefault="00EC4170">
            <w:pPr>
              <w:rPr>
                <w:rFonts w:ascii="Calibri" w:hAnsi="Calibri" w:cs="Calibri"/>
                <w:sz w:val="22"/>
                <w:szCs w:val="22"/>
              </w:rPr>
            </w:pPr>
            <w:r>
              <w:rPr>
                <w:rFonts w:ascii="Calibri" w:hAnsi="Calibri"/>
                <w:sz w:val="22"/>
              </w:rPr>
              <w:t> </w:t>
            </w:r>
          </w:p>
        </w:tc>
        <w:tc>
          <w:tcPr>
            <w:tcW w:w="978" w:type="pct"/>
            <w:tcBorders>
              <w:top w:val="nil"/>
              <w:left w:val="nil"/>
              <w:bottom w:val="single" w:sz="4" w:space="0" w:color="auto"/>
              <w:right w:val="nil"/>
            </w:tcBorders>
            <w:shd w:val="clear" w:color="auto" w:fill="auto"/>
            <w:noWrap/>
            <w:vAlign w:val="center"/>
            <w:hideMark/>
          </w:tcPr>
          <w:p w14:paraId="3722ABC8" w14:textId="68F88842" w:rsidR="00EC4170" w:rsidRPr="003A115E" w:rsidRDefault="00EC4170" w:rsidP="00543EBD">
            <w:pPr>
              <w:jc w:val="right"/>
              <w:rPr>
                <w:rFonts w:ascii="Arial Narrow" w:hAnsi="Arial Narrow" w:cs="Calibri"/>
                <w:sz w:val="18"/>
                <w:szCs w:val="18"/>
              </w:rPr>
            </w:pPr>
            <w:r>
              <w:rPr>
                <w:rFonts w:ascii="Arial Narrow" w:hAnsi="Arial Narrow"/>
                <w:sz w:val="18"/>
              </w:rPr>
              <w:t>(milakoak)</w:t>
            </w:r>
          </w:p>
        </w:tc>
      </w:tr>
      <w:tr w:rsidR="00EC4170" w:rsidRPr="003A115E" w14:paraId="1BCF6A95" w14:textId="77777777" w:rsidTr="000E266F">
        <w:trPr>
          <w:trHeight w:val="480"/>
        </w:trPr>
        <w:tc>
          <w:tcPr>
            <w:tcW w:w="2501" w:type="pct"/>
            <w:tcBorders>
              <w:top w:val="nil"/>
              <w:left w:val="nil"/>
              <w:bottom w:val="single" w:sz="4" w:space="0" w:color="auto"/>
              <w:right w:val="nil"/>
            </w:tcBorders>
            <w:shd w:val="clear" w:color="auto" w:fill="FABF8F" w:themeFill="accent6" w:themeFillTint="99"/>
            <w:vAlign w:val="center"/>
            <w:hideMark/>
          </w:tcPr>
          <w:p w14:paraId="489431E0" w14:textId="77777777" w:rsidR="00EC4170" w:rsidRPr="003A115E" w:rsidRDefault="00EC4170">
            <w:pPr>
              <w:rPr>
                <w:rFonts w:ascii="Arial" w:hAnsi="Arial" w:cs="Arial"/>
                <w:sz w:val="18"/>
                <w:szCs w:val="18"/>
              </w:rPr>
            </w:pPr>
            <w:r>
              <w:rPr>
                <w:rFonts w:ascii="Arial" w:hAnsi="Arial"/>
                <w:sz w:val="18"/>
              </w:rPr>
              <w:t>Eguna</w:t>
            </w:r>
          </w:p>
        </w:tc>
        <w:tc>
          <w:tcPr>
            <w:tcW w:w="1249" w:type="pct"/>
            <w:tcBorders>
              <w:top w:val="nil"/>
              <w:left w:val="nil"/>
              <w:bottom w:val="single" w:sz="4" w:space="0" w:color="auto"/>
              <w:right w:val="nil"/>
            </w:tcBorders>
            <w:shd w:val="clear" w:color="auto" w:fill="FABF8F" w:themeFill="accent6" w:themeFillTint="99"/>
            <w:vAlign w:val="center"/>
            <w:hideMark/>
          </w:tcPr>
          <w:p w14:paraId="784A2EFF" w14:textId="77777777" w:rsidR="00EC4170" w:rsidRPr="003A115E" w:rsidRDefault="00EC4170" w:rsidP="000E266F">
            <w:pPr>
              <w:jc w:val="right"/>
              <w:rPr>
                <w:rFonts w:ascii="Arial" w:hAnsi="Arial" w:cs="Arial"/>
                <w:sz w:val="18"/>
                <w:szCs w:val="18"/>
              </w:rPr>
            </w:pPr>
            <w:r>
              <w:rPr>
                <w:rFonts w:ascii="Arial" w:hAnsi="Arial"/>
                <w:sz w:val="18"/>
              </w:rPr>
              <w:t>Entitate-kopurua</w:t>
            </w:r>
          </w:p>
        </w:tc>
        <w:tc>
          <w:tcPr>
            <w:tcW w:w="1249" w:type="pct"/>
            <w:gridSpan w:val="2"/>
            <w:tcBorders>
              <w:top w:val="nil"/>
              <w:left w:val="nil"/>
              <w:bottom w:val="single" w:sz="4" w:space="0" w:color="auto"/>
              <w:right w:val="nil"/>
            </w:tcBorders>
            <w:shd w:val="clear" w:color="auto" w:fill="FABF8F" w:themeFill="accent6" w:themeFillTint="99"/>
            <w:vAlign w:val="center"/>
            <w:hideMark/>
          </w:tcPr>
          <w:p w14:paraId="50F9D78F" w14:textId="77777777" w:rsidR="00EC4170" w:rsidRPr="003A115E" w:rsidRDefault="00EC4170" w:rsidP="000E266F">
            <w:pPr>
              <w:jc w:val="right"/>
              <w:rPr>
                <w:rFonts w:ascii="Arial" w:hAnsi="Arial" w:cs="Arial"/>
                <w:sz w:val="18"/>
                <w:szCs w:val="18"/>
              </w:rPr>
            </w:pPr>
            <w:r>
              <w:rPr>
                <w:rFonts w:ascii="Arial" w:hAnsi="Arial"/>
                <w:sz w:val="18"/>
              </w:rPr>
              <w:t>Atxikitako zenbatekoa</w:t>
            </w:r>
          </w:p>
        </w:tc>
      </w:tr>
      <w:tr w:rsidR="00EC4170" w:rsidRPr="003A115E" w14:paraId="24FD99DC"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7F38A39A" w14:textId="79FC6971" w:rsidR="00EC4170" w:rsidRPr="003A115E" w:rsidRDefault="00EC4170" w:rsidP="00B45BA3">
            <w:pPr>
              <w:rPr>
                <w:rFonts w:ascii="Arial Narrow" w:hAnsi="Arial Narrow" w:cs="Calibri"/>
                <w:sz w:val="18"/>
                <w:szCs w:val="18"/>
              </w:rPr>
            </w:pPr>
            <w:r>
              <w:rPr>
                <w:rFonts w:ascii="Arial Narrow" w:hAnsi="Arial Narrow"/>
                <w:sz w:val="18"/>
              </w:rPr>
              <w:t>2024ko 1. ordainketaren atxikipena</w:t>
            </w:r>
          </w:p>
        </w:tc>
        <w:tc>
          <w:tcPr>
            <w:tcW w:w="1249" w:type="pct"/>
            <w:tcBorders>
              <w:top w:val="nil"/>
              <w:left w:val="nil"/>
              <w:bottom w:val="single" w:sz="4" w:space="0" w:color="auto"/>
              <w:right w:val="nil"/>
            </w:tcBorders>
            <w:shd w:val="clear" w:color="auto" w:fill="auto"/>
            <w:noWrap/>
            <w:vAlign w:val="center"/>
            <w:hideMark/>
          </w:tcPr>
          <w:p w14:paraId="3AE9441B" w14:textId="77777777" w:rsidR="00EC4170" w:rsidRPr="003A115E" w:rsidRDefault="00EC4170">
            <w:pPr>
              <w:jc w:val="right"/>
              <w:rPr>
                <w:rFonts w:ascii="Arial Narrow" w:hAnsi="Arial Narrow" w:cs="Calibri"/>
                <w:sz w:val="18"/>
                <w:szCs w:val="18"/>
              </w:rPr>
            </w:pPr>
            <w:r>
              <w:rPr>
                <w:rFonts w:ascii="Arial Narrow" w:hAnsi="Arial Narrow"/>
                <w:sz w:val="18"/>
              </w:rPr>
              <w:t>133</w:t>
            </w:r>
          </w:p>
        </w:tc>
        <w:tc>
          <w:tcPr>
            <w:tcW w:w="1249" w:type="pct"/>
            <w:gridSpan w:val="2"/>
            <w:tcBorders>
              <w:top w:val="nil"/>
              <w:left w:val="nil"/>
              <w:bottom w:val="single" w:sz="4" w:space="0" w:color="auto"/>
              <w:right w:val="nil"/>
            </w:tcBorders>
            <w:shd w:val="clear" w:color="auto" w:fill="auto"/>
            <w:noWrap/>
            <w:vAlign w:val="center"/>
            <w:hideMark/>
          </w:tcPr>
          <w:p w14:paraId="21E68EB6" w14:textId="77777777" w:rsidR="00EC4170" w:rsidRPr="003A115E" w:rsidRDefault="00EC4170">
            <w:pPr>
              <w:jc w:val="right"/>
              <w:rPr>
                <w:rFonts w:ascii="Arial Narrow" w:hAnsi="Arial Narrow" w:cs="Calibri"/>
                <w:sz w:val="18"/>
                <w:szCs w:val="18"/>
              </w:rPr>
            </w:pPr>
            <w:r>
              <w:rPr>
                <w:rFonts w:ascii="Arial Narrow" w:hAnsi="Arial Narrow"/>
                <w:sz w:val="18"/>
              </w:rPr>
              <w:t xml:space="preserve">                1.011 </w:t>
            </w:r>
          </w:p>
        </w:tc>
      </w:tr>
      <w:tr w:rsidR="00EC4170" w:rsidRPr="003A115E" w14:paraId="632FF358"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30045A2D" w14:textId="48EE7DDD" w:rsidR="00EC4170" w:rsidRPr="003A115E" w:rsidRDefault="00EC4170" w:rsidP="00C51174">
            <w:pPr>
              <w:rPr>
                <w:rFonts w:ascii="Arial Narrow" w:hAnsi="Arial Narrow" w:cs="Calibri"/>
                <w:sz w:val="18"/>
                <w:szCs w:val="18"/>
              </w:rPr>
            </w:pPr>
            <w:r>
              <w:rPr>
                <w:rFonts w:ascii="Arial Narrow" w:hAnsi="Arial Narrow"/>
                <w:sz w:val="18"/>
              </w:rPr>
              <w:t>2024ko 2. ordainketaren atxikipena</w:t>
            </w:r>
          </w:p>
        </w:tc>
        <w:tc>
          <w:tcPr>
            <w:tcW w:w="1249" w:type="pct"/>
            <w:tcBorders>
              <w:top w:val="nil"/>
              <w:left w:val="nil"/>
              <w:bottom w:val="single" w:sz="4" w:space="0" w:color="auto"/>
              <w:right w:val="nil"/>
            </w:tcBorders>
            <w:shd w:val="clear" w:color="auto" w:fill="auto"/>
            <w:noWrap/>
            <w:vAlign w:val="center"/>
            <w:hideMark/>
          </w:tcPr>
          <w:p w14:paraId="32042E3D" w14:textId="77777777" w:rsidR="00EC4170" w:rsidRPr="003A115E" w:rsidRDefault="00EC4170">
            <w:pPr>
              <w:jc w:val="right"/>
              <w:rPr>
                <w:rFonts w:ascii="Arial Narrow" w:hAnsi="Arial Narrow" w:cs="Calibri"/>
                <w:sz w:val="18"/>
                <w:szCs w:val="18"/>
              </w:rPr>
            </w:pPr>
            <w:r>
              <w:rPr>
                <w:rFonts w:ascii="Arial Narrow" w:hAnsi="Arial Narrow"/>
                <w:sz w:val="18"/>
              </w:rPr>
              <w:t>53</w:t>
            </w:r>
          </w:p>
        </w:tc>
        <w:tc>
          <w:tcPr>
            <w:tcW w:w="1249" w:type="pct"/>
            <w:gridSpan w:val="2"/>
            <w:tcBorders>
              <w:top w:val="nil"/>
              <w:left w:val="nil"/>
              <w:bottom w:val="single" w:sz="4" w:space="0" w:color="auto"/>
              <w:right w:val="nil"/>
            </w:tcBorders>
            <w:shd w:val="clear" w:color="auto" w:fill="auto"/>
            <w:noWrap/>
            <w:vAlign w:val="center"/>
            <w:hideMark/>
          </w:tcPr>
          <w:p w14:paraId="656EB559" w14:textId="77777777" w:rsidR="00EC4170" w:rsidRPr="003A115E" w:rsidRDefault="00EC4170">
            <w:pPr>
              <w:jc w:val="right"/>
              <w:rPr>
                <w:rFonts w:ascii="Arial Narrow" w:hAnsi="Arial Narrow" w:cs="Calibri"/>
                <w:sz w:val="18"/>
                <w:szCs w:val="18"/>
              </w:rPr>
            </w:pPr>
            <w:r>
              <w:rPr>
                <w:rFonts w:ascii="Arial Narrow" w:hAnsi="Arial Narrow"/>
                <w:sz w:val="18"/>
              </w:rPr>
              <w:t xml:space="preserve">                    89 </w:t>
            </w:r>
          </w:p>
        </w:tc>
      </w:tr>
      <w:tr w:rsidR="00EC4170" w:rsidRPr="003A115E" w14:paraId="00394D53"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419752E8" w14:textId="205D9CD2" w:rsidR="00EC4170" w:rsidRPr="003A115E" w:rsidRDefault="00EC4170" w:rsidP="00E32B7E">
            <w:pPr>
              <w:rPr>
                <w:rFonts w:ascii="Arial Narrow" w:hAnsi="Arial Narrow" w:cs="Calibri"/>
                <w:b/>
                <w:bCs/>
                <w:i/>
                <w:iCs/>
                <w:sz w:val="18"/>
                <w:szCs w:val="18"/>
              </w:rPr>
            </w:pPr>
            <w:r>
              <w:rPr>
                <w:rFonts w:ascii="Arial Narrow" w:hAnsi="Arial Narrow"/>
                <w:b/>
                <w:i/>
                <w:sz w:val="18"/>
              </w:rPr>
              <w:t>2022ko espedienteak ez igortzeagatik eginiko 2024ko atxikipena, guztira</w:t>
            </w:r>
          </w:p>
        </w:tc>
        <w:tc>
          <w:tcPr>
            <w:tcW w:w="1249" w:type="pct"/>
            <w:tcBorders>
              <w:top w:val="nil"/>
              <w:left w:val="nil"/>
              <w:bottom w:val="single" w:sz="4" w:space="0" w:color="auto"/>
              <w:right w:val="nil"/>
            </w:tcBorders>
            <w:shd w:val="clear" w:color="auto" w:fill="auto"/>
            <w:noWrap/>
            <w:vAlign w:val="center"/>
            <w:hideMark/>
          </w:tcPr>
          <w:p w14:paraId="6554633F" w14:textId="77777777" w:rsidR="00EC4170" w:rsidRPr="003A115E" w:rsidRDefault="00EC4170">
            <w:pPr>
              <w:jc w:val="right"/>
              <w:rPr>
                <w:rFonts w:ascii="Arial Narrow" w:hAnsi="Arial Narrow" w:cs="Calibri"/>
                <w:b/>
                <w:bCs/>
                <w:i/>
                <w:iCs/>
                <w:sz w:val="18"/>
                <w:szCs w:val="18"/>
              </w:rPr>
            </w:pPr>
            <w:r>
              <w:rPr>
                <w:rFonts w:ascii="Arial Narrow" w:hAnsi="Arial Narrow"/>
                <w:b/>
                <w:i/>
                <w:sz w:val="18"/>
              </w:rPr>
              <w:t xml:space="preserve">                  186 </w:t>
            </w:r>
          </w:p>
        </w:tc>
        <w:tc>
          <w:tcPr>
            <w:tcW w:w="1249" w:type="pct"/>
            <w:gridSpan w:val="2"/>
            <w:tcBorders>
              <w:top w:val="nil"/>
              <w:left w:val="nil"/>
              <w:bottom w:val="single" w:sz="4" w:space="0" w:color="auto"/>
              <w:right w:val="nil"/>
            </w:tcBorders>
            <w:shd w:val="clear" w:color="auto" w:fill="auto"/>
            <w:noWrap/>
            <w:vAlign w:val="center"/>
            <w:hideMark/>
          </w:tcPr>
          <w:p w14:paraId="71706756" w14:textId="77777777" w:rsidR="00EC4170" w:rsidRPr="003A115E" w:rsidRDefault="00EC4170">
            <w:pPr>
              <w:jc w:val="right"/>
              <w:rPr>
                <w:rFonts w:ascii="Arial Narrow" w:hAnsi="Arial Narrow" w:cs="Calibri"/>
                <w:b/>
                <w:bCs/>
                <w:i/>
                <w:iCs/>
                <w:sz w:val="18"/>
                <w:szCs w:val="18"/>
              </w:rPr>
            </w:pPr>
            <w:r>
              <w:rPr>
                <w:rFonts w:ascii="Arial Narrow" w:hAnsi="Arial Narrow"/>
                <w:b/>
                <w:i/>
                <w:sz w:val="18"/>
              </w:rPr>
              <w:t xml:space="preserve">               1.100 </w:t>
            </w:r>
          </w:p>
        </w:tc>
      </w:tr>
      <w:tr w:rsidR="00EC4170" w:rsidRPr="003A115E" w14:paraId="33A88067"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31581F07" w14:textId="0864D1CD" w:rsidR="00EC4170" w:rsidRPr="003A115E" w:rsidRDefault="00EC4170">
            <w:pPr>
              <w:rPr>
                <w:rFonts w:ascii="Arial Narrow" w:hAnsi="Arial Narrow" w:cs="Calibri"/>
                <w:sz w:val="18"/>
                <w:szCs w:val="18"/>
              </w:rPr>
            </w:pPr>
            <w:r>
              <w:rPr>
                <w:rFonts w:ascii="Arial Narrow" w:hAnsi="Arial Narrow"/>
                <w:sz w:val="18"/>
              </w:rPr>
              <w:t>Txostena egin den garaian eginkizun egondako atxikipena</w:t>
            </w:r>
          </w:p>
        </w:tc>
        <w:tc>
          <w:tcPr>
            <w:tcW w:w="1249" w:type="pct"/>
            <w:tcBorders>
              <w:top w:val="nil"/>
              <w:left w:val="nil"/>
              <w:bottom w:val="single" w:sz="4" w:space="0" w:color="auto"/>
              <w:right w:val="nil"/>
            </w:tcBorders>
            <w:shd w:val="clear" w:color="auto" w:fill="auto"/>
            <w:noWrap/>
            <w:vAlign w:val="center"/>
            <w:hideMark/>
          </w:tcPr>
          <w:p w14:paraId="1CAB1A07" w14:textId="77777777" w:rsidR="00EC4170" w:rsidRPr="003A115E" w:rsidRDefault="00EC4170">
            <w:pPr>
              <w:jc w:val="right"/>
              <w:rPr>
                <w:rFonts w:ascii="Arial Narrow" w:hAnsi="Arial Narrow" w:cs="Calibri"/>
                <w:sz w:val="18"/>
                <w:szCs w:val="18"/>
              </w:rPr>
            </w:pPr>
            <w:r>
              <w:rPr>
                <w:rFonts w:ascii="Arial Narrow" w:hAnsi="Arial Narrow"/>
                <w:sz w:val="18"/>
              </w:rPr>
              <w:t>51</w:t>
            </w:r>
          </w:p>
        </w:tc>
        <w:tc>
          <w:tcPr>
            <w:tcW w:w="1249" w:type="pct"/>
            <w:gridSpan w:val="2"/>
            <w:tcBorders>
              <w:top w:val="nil"/>
              <w:left w:val="nil"/>
              <w:bottom w:val="single" w:sz="4" w:space="0" w:color="auto"/>
              <w:right w:val="nil"/>
            </w:tcBorders>
            <w:shd w:val="clear" w:color="auto" w:fill="auto"/>
            <w:noWrap/>
            <w:vAlign w:val="center"/>
            <w:hideMark/>
          </w:tcPr>
          <w:p w14:paraId="6B122F2B" w14:textId="77777777" w:rsidR="00EC4170" w:rsidRPr="003A115E" w:rsidRDefault="00EC4170">
            <w:pPr>
              <w:jc w:val="right"/>
              <w:rPr>
                <w:rFonts w:ascii="Arial Narrow" w:hAnsi="Arial Narrow" w:cs="Calibri"/>
                <w:sz w:val="18"/>
                <w:szCs w:val="18"/>
              </w:rPr>
            </w:pPr>
            <w:r>
              <w:rPr>
                <w:rFonts w:ascii="Arial Narrow" w:hAnsi="Arial Narrow"/>
                <w:sz w:val="18"/>
              </w:rPr>
              <w:t xml:space="preserve">                   148 </w:t>
            </w:r>
          </w:p>
        </w:tc>
      </w:tr>
    </w:tbl>
    <w:p w14:paraId="698243B3" w14:textId="5441236F" w:rsidR="00C84D07" w:rsidRPr="003A115E" w:rsidRDefault="00C84D07" w:rsidP="00DA0A16">
      <w:pPr>
        <w:pStyle w:val="atitulo2"/>
        <w:spacing w:before="240"/>
        <w:rPr>
          <w:color w:val="auto"/>
        </w:rPr>
      </w:pPr>
      <w:bookmarkStart w:id="89" w:name="_Toc188511795"/>
      <w:r>
        <w:rPr>
          <w:color w:val="auto"/>
        </w:rPr>
        <w:t>VIII.2. Aurrekontuaren onespena eta igorpena</w:t>
      </w:r>
      <w:bookmarkEnd w:id="89"/>
      <w:r>
        <w:rPr>
          <w:color w:val="auto"/>
        </w:rPr>
        <w:t xml:space="preserve"> </w:t>
      </w:r>
    </w:p>
    <w:p w14:paraId="3A083D9B" w14:textId="77777777" w:rsidR="007D4F1A" w:rsidRPr="003A115E" w:rsidRDefault="00C84D07" w:rsidP="31020D79">
      <w:pPr>
        <w:pStyle w:val="texto"/>
        <w:tabs>
          <w:tab w:val="clear" w:pos="2835"/>
          <w:tab w:val="center" w:pos="567"/>
        </w:tabs>
        <w:spacing w:before="120" w:after="120"/>
        <w:rPr>
          <w:rFonts w:cs="Arial"/>
        </w:rPr>
      </w:pPr>
      <w:proofErr w:type="spellStart"/>
      <w:r>
        <w:t>TOFLak</w:t>
      </w:r>
      <w:proofErr w:type="spellEnd"/>
      <w:r>
        <w:t xml:space="preserve"> xedatzen du ezen udalaren osoko bilkurak aurrekontu orokorraren behin betiko onespena eginen duela hura aplikatu behar den ekitaldiaren aurreko urteko abenduaren 31 baino lehenago, eta </w:t>
      </w:r>
      <w:proofErr w:type="spellStart"/>
      <w:r>
        <w:t>NFKAri</w:t>
      </w:r>
      <w:proofErr w:type="spellEnd"/>
      <w:r>
        <w:t xml:space="preserve"> igorri behar zaiola onespen horren ondorengo 15 egunen barrenean. </w:t>
      </w:r>
    </w:p>
    <w:p w14:paraId="5CEEF1E2" w14:textId="77777777" w:rsidR="007D4F1A" w:rsidRPr="003A115E" w:rsidRDefault="007D4F1A">
      <w:pPr>
        <w:rPr>
          <w:rFonts w:cs="Arial"/>
          <w:spacing w:val="6"/>
          <w:sz w:val="26"/>
        </w:rPr>
      </w:pPr>
      <w:r>
        <w:br w:type="page"/>
      </w:r>
    </w:p>
    <w:p w14:paraId="6D072441" w14:textId="2E0B41C3" w:rsidR="00C84D07" w:rsidRPr="003A115E" w:rsidRDefault="00C84D07" w:rsidP="00B56D93">
      <w:pPr>
        <w:pStyle w:val="texto"/>
        <w:tabs>
          <w:tab w:val="clear" w:pos="2835"/>
          <w:tab w:val="center" w:pos="567"/>
        </w:tabs>
        <w:spacing w:after="120"/>
        <w:rPr>
          <w:rFonts w:cs="Arial"/>
        </w:rPr>
      </w:pPr>
      <w:r>
        <w:lastRenderedPageBreak/>
        <w:t xml:space="preserve">Beheko taulan xehetasunez azaltzen da, </w:t>
      </w:r>
      <w:proofErr w:type="spellStart"/>
      <w:r>
        <w:t>TAKEDTaren</w:t>
      </w:r>
      <w:proofErr w:type="spellEnd"/>
      <w:r>
        <w:t xml:space="preserve"> datuetan oinarri harturik, 2022ko ekitaldiko aurrekontuak onesteko eta </w:t>
      </w:r>
      <w:proofErr w:type="spellStart"/>
      <w:r>
        <w:t>NFKAri</w:t>
      </w:r>
      <w:proofErr w:type="spellEnd"/>
      <w:r>
        <w:t xml:space="preserve"> igortzeko epeen xehetasuna. </w:t>
      </w:r>
    </w:p>
    <w:p w14:paraId="5D22521A" w14:textId="36FF478A" w:rsidR="00C84D07" w:rsidRPr="003A115E" w:rsidRDefault="00BD116E" w:rsidP="00C84D07">
      <w:pPr>
        <w:pStyle w:val="texto"/>
        <w:spacing w:after="40"/>
        <w:jc w:val="right"/>
        <w:rPr>
          <w:rFonts w:ascii="Arial Narrow" w:hAnsi="Arial Narrow"/>
          <w:sz w:val="18"/>
          <w:szCs w:val="18"/>
        </w:rPr>
      </w:pPr>
      <w:r>
        <w:rPr>
          <w:rFonts w:ascii="Arial Narrow" w:hAnsi="Arial Narrow"/>
          <w:sz w:val="18"/>
        </w:rPr>
        <w:t>(Toki-entitateen portzentajea)</w:t>
      </w:r>
    </w:p>
    <w:tbl>
      <w:tblPr>
        <w:tblW w:w="5000" w:type="pct"/>
        <w:tblCellMar>
          <w:left w:w="70" w:type="dxa"/>
          <w:right w:w="70" w:type="dxa"/>
        </w:tblCellMar>
        <w:tblLook w:val="04A0" w:firstRow="1" w:lastRow="0" w:firstColumn="1" w:lastColumn="0" w:noHBand="0" w:noVBand="1"/>
      </w:tblPr>
      <w:tblGrid>
        <w:gridCol w:w="1525"/>
        <w:gridCol w:w="1209"/>
        <w:gridCol w:w="1212"/>
        <w:gridCol w:w="1210"/>
        <w:gridCol w:w="1212"/>
        <w:gridCol w:w="1210"/>
        <w:gridCol w:w="1210"/>
      </w:tblGrid>
      <w:tr w:rsidR="000A742F" w:rsidRPr="003A115E" w14:paraId="53EB998A" w14:textId="77777777" w:rsidTr="00767AA2">
        <w:trPr>
          <w:trHeight w:val="255"/>
        </w:trPr>
        <w:tc>
          <w:tcPr>
            <w:tcW w:w="864"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78ADA715" w14:textId="77777777" w:rsidR="00C8376C" w:rsidRPr="003A115E" w:rsidRDefault="00C8376C" w:rsidP="009326C3">
            <w:pPr>
              <w:pStyle w:val="cuadroCabe"/>
              <w:rPr>
                <w:szCs w:val="18"/>
              </w:rPr>
            </w:pPr>
            <w:r>
              <w:t>Entitate mota</w:t>
            </w:r>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38EFCDD6" w14:textId="77777777" w:rsidR="00C8376C" w:rsidRPr="003A115E" w:rsidRDefault="00C8376C" w:rsidP="009326C3">
            <w:pPr>
              <w:pStyle w:val="cuadroCabe"/>
              <w:jc w:val="right"/>
              <w:rPr>
                <w:szCs w:val="18"/>
              </w:rPr>
            </w:pPr>
            <w:r>
              <w:t xml:space="preserve">Epean </w:t>
            </w:r>
            <w:proofErr w:type="spellStart"/>
            <w:r>
              <w:t>onetsia</w:t>
            </w:r>
            <w:proofErr w:type="spellEnd"/>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62B8524C" w14:textId="4F54E522" w:rsidR="00C8376C" w:rsidRPr="003A115E" w:rsidRDefault="00C8376C" w:rsidP="009326C3">
            <w:pPr>
              <w:pStyle w:val="cuadroCabe"/>
              <w:jc w:val="right"/>
              <w:rPr>
                <w:szCs w:val="18"/>
              </w:rPr>
            </w:pPr>
            <w:r>
              <w:t>Epean igorria</w:t>
            </w:r>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543A195B" w14:textId="77777777" w:rsidR="00C8376C" w:rsidRPr="003A115E" w:rsidRDefault="00C8376C" w:rsidP="009326C3">
            <w:pPr>
              <w:pStyle w:val="cuadroCabe"/>
              <w:jc w:val="right"/>
              <w:rPr>
                <w:szCs w:val="18"/>
              </w:rPr>
            </w:pPr>
            <w:r>
              <w:t>X+1-03-31rako igorria</w:t>
            </w:r>
          </w:p>
        </w:tc>
      </w:tr>
      <w:tr w:rsidR="000A742F" w:rsidRPr="003A115E" w14:paraId="4D89B40F" w14:textId="77777777" w:rsidTr="00767AA2">
        <w:trPr>
          <w:trHeight w:val="255"/>
        </w:trPr>
        <w:tc>
          <w:tcPr>
            <w:tcW w:w="864" w:type="pct"/>
            <w:vMerge/>
            <w:tcBorders>
              <w:top w:val="single" w:sz="4" w:space="0" w:color="auto"/>
              <w:left w:val="nil"/>
              <w:bottom w:val="single" w:sz="4" w:space="0" w:color="auto"/>
              <w:right w:val="nil"/>
            </w:tcBorders>
            <w:shd w:val="clear" w:color="auto" w:fill="FABF8F" w:themeFill="accent6" w:themeFillTint="99"/>
            <w:vAlign w:val="center"/>
            <w:hideMark/>
          </w:tcPr>
          <w:p w14:paraId="106E290A" w14:textId="77777777" w:rsidR="00C8376C" w:rsidRPr="003A115E" w:rsidRDefault="00C8376C" w:rsidP="00CC28BD">
            <w:pPr>
              <w:pStyle w:val="cuadroCabe"/>
              <w:rPr>
                <w:rFonts w:cs="Arial"/>
                <w:szCs w:val="18"/>
              </w:rPr>
            </w:pP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6D29194E" w14:textId="77777777" w:rsidR="00C8376C" w:rsidRPr="003A115E" w:rsidRDefault="00C8376C" w:rsidP="00CC28BD">
            <w:pPr>
              <w:pStyle w:val="cuadroCabe"/>
              <w:jc w:val="right"/>
              <w:rPr>
                <w:rFonts w:cs="Arial"/>
                <w:szCs w:val="18"/>
              </w:rPr>
            </w:pPr>
            <w: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5CBCB9C6" w14:textId="77777777" w:rsidR="00C8376C" w:rsidRPr="003A115E" w:rsidRDefault="00C8376C" w:rsidP="00CC28BD">
            <w:pPr>
              <w:pStyle w:val="cuadroCabe"/>
              <w:jc w:val="right"/>
              <w:rPr>
                <w:rFonts w:cs="Arial"/>
                <w:szCs w:val="18"/>
              </w:rPr>
            </w:pPr>
            <w:r>
              <w:t>2022</w:t>
            </w: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4F2FC542" w14:textId="77777777" w:rsidR="00C8376C" w:rsidRPr="003A115E" w:rsidRDefault="00C8376C" w:rsidP="00CC28BD">
            <w:pPr>
              <w:pStyle w:val="cuadroCabe"/>
              <w:jc w:val="right"/>
              <w:rPr>
                <w:rFonts w:cs="Arial"/>
                <w:szCs w:val="18"/>
              </w:rPr>
            </w:pPr>
            <w: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76AF5721" w14:textId="77777777" w:rsidR="00C8376C" w:rsidRPr="003A115E" w:rsidRDefault="00C8376C" w:rsidP="00CC28BD">
            <w:pPr>
              <w:pStyle w:val="cuadroCabe"/>
              <w:jc w:val="right"/>
              <w:rPr>
                <w:rFonts w:cs="Arial"/>
                <w:szCs w:val="18"/>
              </w:rPr>
            </w:pPr>
            <w:r>
              <w:t>2022</w:t>
            </w: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3FAE8B3E" w14:textId="77777777" w:rsidR="00C8376C" w:rsidRPr="003A115E" w:rsidRDefault="00C8376C" w:rsidP="00CC28BD">
            <w:pPr>
              <w:pStyle w:val="cuadroCabe"/>
              <w:jc w:val="right"/>
              <w:rPr>
                <w:rFonts w:cs="Arial"/>
                <w:szCs w:val="18"/>
              </w:rPr>
            </w:pPr>
            <w: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2620A5E9" w14:textId="77777777" w:rsidR="00C8376C" w:rsidRPr="003A115E" w:rsidRDefault="00C8376C" w:rsidP="00CC28BD">
            <w:pPr>
              <w:pStyle w:val="cuadroCabe"/>
              <w:jc w:val="right"/>
              <w:rPr>
                <w:rFonts w:cs="Arial"/>
                <w:szCs w:val="18"/>
              </w:rPr>
            </w:pPr>
            <w:r>
              <w:t>2022</w:t>
            </w:r>
          </w:p>
        </w:tc>
      </w:tr>
      <w:tr w:rsidR="000A742F" w:rsidRPr="003A115E" w14:paraId="2FFD7940" w14:textId="77777777" w:rsidTr="00767AA2">
        <w:trPr>
          <w:trHeight w:val="198"/>
        </w:trPr>
        <w:tc>
          <w:tcPr>
            <w:tcW w:w="864" w:type="pct"/>
            <w:tcBorders>
              <w:top w:val="single" w:sz="4" w:space="0" w:color="auto"/>
              <w:left w:val="nil"/>
              <w:bottom w:val="single" w:sz="2" w:space="0" w:color="auto"/>
              <w:right w:val="nil"/>
            </w:tcBorders>
            <w:shd w:val="clear" w:color="auto" w:fill="auto"/>
            <w:noWrap/>
            <w:vAlign w:val="center"/>
            <w:hideMark/>
          </w:tcPr>
          <w:p w14:paraId="36CD8A2D" w14:textId="77777777" w:rsidR="00C8376C" w:rsidRPr="003A115E" w:rsidRDefault="00C8376C" w:rsidP="00AA29A2">
            <w:pPr>
              <w:pStyle w:val="cuatexto"/>
            </w:pPr>
            <w:r>
              <w:t>Udalak</w:t>
            </w:r>
          </w:p>
        </w:tc>
        <w:tc>
          <w:tcPr>
            <w:tcW w:w="689" w:type="pct"/>
            <w:tcBorders>
              <w:top w:val="single" w:sz="4" w:space="0" w:color="auto"/>
              <w:left w:val="nil"/>
              <w:bottom w:val="single" w:sz="2" w:space="0" w:color="auto"/>
              <w:right w:val="nil"/>
            </w:tcBorders>
            <w:shd w:val="clear" w:color="auto" w:fill="auto"/>
            <w:noWrap/>
            <w:vAlign w:val="center"/>
            <w:hideMark/>
          </w:tcPr>
          <w:p w14:paraId="063ABB51" w14:textId="77777777" w:rsidR="00C8376C" w:rsidRPr="003A115E" w:rsidRDefault="00C8376C" w:rsidP="00AA29A2">
            <w:pPr>
              <w:pStyle w:val="cuatexto"/>
              <w:jc w:val="right"/>
            </w:pPr>
            <w:r>
              <w:t>34</w:t>
            </w:r>
          </w:p>
        </w:tc>
        <w:tc>
          <w:tcPr>
            <w:tcW w:w="690" w:type="pct"/>
            <w:tcBorders>
              <w:top w:val="single" w:sz="4" w:space="0" w:color="auto"/>
              <w:left w:val="nil"/>
              <w:bottom w:val="single" w:sz="2" w:space="0" w:color="auto"/>
              <w:right w:val="nil"/>
            </w:tcBorders>
            <w:shd w:val="clear" w:color="auto" w:fill="auto"/>
            <w:noWrap/>
            <w:vAlign w:val="center"/>
            <w:hideMark/>
          </w:tcPr>
          <w:p w14:paraId="1630B32C" w14:textId="6C57BF4E" w:rsidR="00C8376C" w:rsidRPr="003A115E" w:rsidRDefault="00C8376C" w:rsidP="00AA29A2">
            <w:pPr>
              <w:pStyle w:val="cuatexto"/>
              <w:jc w:val="right"/>
            </w:pPr>
            <w:r>
              <w:t>34</w:t>
            </w:r>
          </w:p>
        </w:tc>
        <w:tc>
          <w:tcPr>
            <w:tcW w:w="689" w:type="pct"/>
            <w:tcBorders>
              <w:top w:val="single" w:sz="4" w:space="0" w:color="auto"/>
              <w:left w:val="nil"/>
              <w:bottom w:val="single" w:sz="2" w:space="0" w:color="auto"/>
              <w:right w:val="nil"/>
            </w:tcBorders>
            <w:shd w:val="clear" w:color="auto" w:fill="auto"/>
            <w:noWrap/>
            <w:vAlign w:val="center"/>
            <w:hideMark/>
          </w:tcPr>
          <w:p w14:paraId="655660EB" w14:textId="77777777" w:rsidR="00C8376C" w:rsidRPr="003A115E" w:rsidRDefault="00C8376C" w:rsidP="00AA29A2">
            <w:pPr>
              <w:pStyle w:val="cuatexto"/>
              <w:jc w:val="right"/>
            </w:pPr>
            <w:r>
              <w:t>4</w:t>
            </w:r>
          </w:p>
        </w:tc>
        <w:tc>
          <w:tcPr>
            <w:tcW w:w="690" w:type="pct"/>
            <w:tcBorders>
              <w:top w:val="single" w:sz="4" w:space="0" w:color="auto"/>
              <w:left w:val="nil"/>
              <w:bottom w:val="single" w:sz="2" w:space="0" w:color="auto"/>
              <w:right w:val="nil"/>
            </w:tcBorders>
            <w:shd w:val="clear" w:color="auto" w:fill="auto"/>
            <w:noWrap/>
            <w:vAlign w:val="center"/>
            <w:hideMark/>
          </w:tcPr>
          <w:p w14:paraId="3DD11194" w14:textId="7D53145C" w:rsidR="00C8376C" w:rsidRPr="003A115E" w:rsidRDefault="00C8376C" w:rsidP="00AA29A2">
            <w:pPr>
              <w:pStyle w:val="cuatexto"/>
              <w:jc w:val="right"/>
            </w:pPr>
            <w:r>
              <w:t>4</w:t>
            </w:r>
          </w:p>
        </w:tc>
        <w:tc>
          <w:tcPr>
            <w:tcW w:w="689" w:type="pct"/>
            <w:tcBorders>
              <w:top w:val="single" w:sz="4" w:space="0" w:color="auto"/>
              <w:left w:val="nil"/>
              <w:bottom w:val="single" w:sz="2" w:space="0" w:color="auto"/>
              <w:right w:val="nil"/>
            </w:tcBorders>
            <w:shd w:val="clear" w:color="auto" w:fill="auto"/>
            <w:noWrap/>
            <w:vAlign w:val="center"/>
            <w:hideMark/>
          </w:tcPr>
          <w:p w14:paraId="189C3E6C" w14:textId="77777777" w:rsidR="00C8376C" w:rsidRPr="003A115E" w:rsidRDefault="00C8376C" w:rsidP="00AA29A2">
            <w:pPr>
              <w:pStyle w:val="cuatexto"/>
              <w:jc w:val="right"/>
            </w:pPr>
            <w:r>
              <w:t>38</w:t>
            </w:r>
          </w:p>
        </w:tc>
        <w:tc>
          <w:tcPr>
            <w:tcW w:w="690" w:type="pct"/>
            <w:tcBorders>
              <w:top w:val="single" w:sz="4" w:space="0" w:color="auto"/>
              <w:left w:val="nil"/>
              <w:bottom w:val="single" w:sz="2" w:space="0" w:color="auto"/>
              <w:right w:val="nil"/>
            </w:tcBorders>
            <w:shd w:val="clear" w:color="auto" w:fill="auto"/>
            <w:noWrap/>
            <w:vAlign w:val="center"/>
            <w:hideMark/>
          </w:tcPr>
          <w:p w14:paraId="3D137F0A" w14:textId="77410587" w:rsidR="00C8376C" w:rsidRPr="003A115E" w:rsidRDefault="00C8376C" w:rsidP="00AA29A2">
            <w:pPr>
              <w:pStyle w:val="cuatexto"/>
              <w:jc w:val="right"/>
            </w:pPr>
            <w:r>
              <w:t>34</w:t>
            </w:r>
          </w:p>
        </w:tc>
      </w:tr>
      <w:tr w:rsidR="000A742F" w:rsidRPr="003A115E" w14:paraId="52F28B37" w14:textId="77777777" w:rsidTr="00767AA2">
        <w:trPr>
          <w:trHeight w:val="198"/>
        </w:trPr>
        <w:tc>
          <w:tcPr>
            <w:tcW w:w="864" w:type="pct"/>
            <w:tcBorders>
              <w:top w:val="single" w:sz="2" w:space="0" w:color="auto"/>
              <w:left w:val="nil"/>
              <w:bottom w:val="single" w:sz="2" w:space="0" w:color="auto"/>
              <w:right w:val="nil"/>
            </w:tcBorders>
            <w:shd w:val="clear" w:color="auto" w:fill="auto"/>
            <w:noWrap/>
            <w:vAlign w:val="center"/>
            <w:hideMark/>
          </w:tcPr>
          <w:p w14:paraId="2A216531" w14:textId="77777777" w:rsidR="00C8376C" w:rsidRPr="003A115E" w:rsidRDefault="00C8376C" w:rsidP="00AA29A2">
            <w:pPr>
              <w:pStyle w:val="cuatexto"/>
            </w:pPr>
            <w:r>
              <w:t>Kontzejuak</w:t>
            </w:r>
          </w:p>
        </w:tc>
        <w:tc>
          <w:tcPr>
            <w:tcW w:w="689" w:type="pct"/>
            <w:tcBorders>
              <w:top w:val="single" w:sz="2" w:space="0" w:color="auto"/>
              <w:left w:val="nil"/>
              <w:bottom w:val="single" w:sz="2" w:space="0" w:color="auto"/>
              <w:right w:val="nil"/>
            </w:tcBorders>
            <w:shd w:val="clear" w:color="auto" w:fill="auto"/>
            <w:noWrap/>
            <w:vAlign w:val="center"/>
            <w:hideMark/>
          </w:tcPr>
          <w:p w14:paraId="5E33D394" w14:textId="77777777" w:rsidR="00C8376C" w:rsidRPr="003A115E" w:rsidRDefault="00C8376C" w:rsidP="00AA29A2">
            <w:pPr>
              <w:pStyle w:val="cuatexto"/>
              <w:jc w:val="right"/>
            </w:pPr>
            <w:r>
              <w:t>16</w:t>
            </w:r>
          </w:p>
        </w:tc>
        <w:tc>
          <w:tcPr>
            <w:tcW w:w="690" w:type="pct"/>
            <w:tcBorders>
              <w:top w:val="single" w:sz="2" w:space="0" w:color="auto"/>
              <w:left w:val="nil"/>
              <w:bottom w:val="single" w:sz="2" w:space="0" w:color="auto"/>
              <w:right w:val="nil"/>
            </w:tcBorders>
            <w:shd w:val="clear" w:color="auto" w:fill="auto"/>
            <w:noWrap/>
            <w:vAlign w:val="center"/>
            <w:hideMark/>
          </w:tcPr>
          <w:p w14:paraId="0548B940" w14:textId="43A59341" w:rsidR="00C8376C" w:rsidRPr="003A115E" w:rsidRDefault="00C8376C" w:rsidP="00AA29A2">
            <w:pPr>
              <w:pStyle w:val="cuatexto"/>
              <w:jc w:val="right"/>
            </w:pPr>
            <w:r>
              <w:t>14</w:t>
            </w:r>
          </w:p>
        </w:tc>
        <w:tc>
          <w:tcPr>
            <w:tcW w:w="689" w:type="pct"/>
            <w:tcBorders>
              <w:top w:val="single" w:sz="2" w:space="0" w:color="auto"/>
              <w:left w:val="nil"/>
              <w:bottom w:val="single" w:sz="2" w:space="0" w:color="auto"/>
              <w:right w:val="nil"/>
            </w:tcBorders>
            <w:shd w:val="clear" w:color="auto" w:fill="auto"/>
            <w:noWrap/>
            <w:vAlign w:val="center"/>
            <w:hideMark/>
          </w:tcPr>
          <w:p w14:paraId="51F76F9E" w14:textId="77777777" w:rsidR="00C8376C" w:rsidRPr="003A115E" w:rsidRDefault="00C8376C" w:rsidP="00AA29A2">
            <w:pPr>
              <w:pStyle w:val="cuatexto"/>
              <w:jc w:val="right"/>
            </w:pPr>
            <w:r>
              <w:t>2</w:t>
            </w:r>
          </w:p>
        </w:tc>
        <w:tc>
          <w:tcPr>
            <w:tcW w:w="690" w:type="pct"/>
            <w:tcBorders>
              <w:top w:val="single" w:sz="2" w:space="0" w:color="auto"/>
              <w:left w:val="nil"/>
              <w:bottom w:val="single" w:sz="2" w:space="0" w:color="auto"/>
              <w:right w:val="nil"/>
            </w:tcBorders>
            <w:shd w:val="clear" w:color="auto" w:fill="auto"/>
            <w:noWrap/>
            <w:vAlign w:val="center"/>
            <w:hideMark/>
          </w:tcPr>
          <w:p w14:paraId="1C81D00D" w14:textId="420EF397" w:rsidR="00C8376C" w:rsidRPr="003A115E" w:rsidRDefault="00C8376C" w:rsidP="00AA29A2">
            <w:pPr>
              <w:pStyle w:val="cuatexto"/>
              <w:jc w:val="right"/>
            </w:pPr>
            <w:r>
              <w:t>3</w:t>
            </w:r>
          </w:p>
        </w:tc>
        <w:tc>
          <w:tcPr>
            <w:tcW w:w="689" w:type="pct"/>
            <w:tcBorders>
              <w:top w:val="single" w:sz="2" w:space="0" w:color="auto"/>
              <w:left w:val="nil"/>
              <w:bottom w:val="single" w:sz="2" w:space="0" w:color="auto"/>
              <w:right w:val="nil"/>
            </w:tcBorders>
            <w:shd w:val="clear" w:color="auto" w:fill="auto"/>
            <w:noWrap/>
            <w:vAlign w:val="center"/>
            <w:hideMark/>
          </w:tcPr>
          <w:p w14:paraId="3B17396C" w14:textId="77777777" w:rsidR="00C8376C" w:rsidRPr="003A115E" w:rsidRDefault="00C8376C" w:rsidP="00AA29A2">
            <w:pPr>
              <w:pStyle w:val="cuatexto"/>
              <w:jc w:val="right"/>
            </w:pPr>
            <w:r>
              <w:t>13</w:t>
            </w:r>
          </w:p>
        </w:tc>
        <w:tc>
          <w:tcPr>
            <w:tcW w:w="690" w:type="pct"/>
            <w:tcBorders>
              <w:top w:val="single" w:sz="2" w:space="0" w:color="auto"/>
              <w:left w:val="nil"/>
              <w:bottom w:val="single" w:sz="2" w:space="0" w:color="auto"/>
              <w:right w:val="nil"/>
            </w:tcBorders>
            <w:shd w:val="clear" w:color="auto" w:fill="auto"/>
            <w:noWrap/>
            <w:vAlign w:val="center"/>
            <w:hideMark/>
          </w:tcPr>
          <w:p w14:paraId="0502AEA4" w14:textId="52A3AC90" w:rsidR="00C8376C" w:rsidRPr="003A115E" w:rsidRDefault="00C8376C" w:rsidP="00AA29A2">
            <w:pPr>
              <w:pStyle w:val="cuatexto"/>
              <w:jc w:val="right"/>
            </w:pPr>
            <w:r>
              <w:t>14</w:t>
            </w:r>
          </w:p>
        </w:tc>
      </w:tr>
      <w:tr w:rsidR="000A742F" w:rsidRPr="003A115E" w14:paraId="6123B963" w14:textId="77777777" w:rsidTr="00767AA2">
        <w:trPr>
          <w:trHeight w:val="198"/>
        </w:trPr>
        <w:tc>
          <w:tcPr>
            <w:tcW w:w="864" w:type="pct"/>
            <w:tcBorders>
              <w:top w:val="single" w:sz="2" w:space="0" w:color="auto"/>
              <w:left w:val="nil"/>
              <w:bottom w:val="single" w:sz="2" w:space="0" w:color="auto"/>
              <w:right w:val="nil"/>
            </w:tcBorders>
            <w:shd w:val="clear" w:color="auto" w:fill="auto"/>
            <w:noWrap/>
            <w:vAlign w:val="center"/>
            <w:hideMark/>
          </w:tcPr>
          <w:p w14:paraId="3DD39B51" w14:textId="77777777" w:rsidR="00C8376C" w:rsidRPr="003A115E" w:rsidRDefault="00C8376C" w:rsidP="00AA29A2">
            <w:pPr>
              <w:pStyle w:val="cuatexto"/>
            </w:pPr>
            <w:r>
              <w:t>Mankomunitateak</w:t>
            </w:r>
          </w:p>
        </w:tc>
        <w:tc>
          <w:tcPr>
            <w:tcW w:w="689" w:type="pct"/>
            <w:tcBorders>
              <w:top w:val="single" w:sz="2" w:space="0" w:color="auto"/>
              <w:left w:val="nil"/>
              <w:bottom w:val="single" w:sz="2" w:space="0" w:color="auto"/>
              <w:right w:val="nil"/>
            </w:tcBorders>
            <w:shd w:val="clear" w:color="auto" w:fill="auto"/>
            <w:noWrap/>
            <w:vAlign w:val="center"/>
            <w:hideMark/>
          </w:tcPr>
          <w:p w14:paraId="79FA4033" w14:textId="77777777" w:rsidR="00C8376C" w:rsidRPr="003A115E" w:rsidRDefault="00C8376C" w:rsidP="00AA29A2">
            <w:pPr>
              <w:pStyle w:val="cuatexto"/>
              <w:jc w:val="right"/>
            </w:pPr>
            <w:r>
              <w:t>37</w:t>
            </w:r>
          </w:p>
        </w:tc>
        <w:tc>
          <w:tcPr>
            <w:tcW w:w="690" w:type="pct"/>
            <w:tcBorders>
              <w:top w:val="single" w:sz="2" w:space="0" w:color="auto"/>
              <w:left w:val="nil"/>
              <w:bottom w:val="single" w:sz="2" w:space="0" w:color="auto"/>
              <w:right w:val="nil"/>
            </w:tcBorders>
            <w:shd w:val="clear" w:color="auto" w:fill="auto"/>
            <w:noWrap/>
            <w:vAlign w:val="center"/>
            <w:hideMark/>
          </w:tcPr>
          <w:p w14:paraId="107DD333" w14:textId="22A56677" w:rsidR="00C8376C" w:rsidRPr="003A115E" w:rsidRDefault="00C8376C" w:rsidP="00AA29A2">
            <w:pPr>
              <w:pStyle w:val="cuatexto"/>
              <w:jc w:val="right"/>
            </w:pPr>
            <w:r>
              <w:t>31</w:t>
            </w:r>
          </w:p>
        </w:tc>
        <w:tc>
          <w:tcPr>
            <w:tcW w:w="689" w:type="pct"/>
            <w:tcBorders>
              <w:top w:val="single" w:sz="2" w:space="0" w:color="auto"/>
              <w:left w:val="nil"/>
              <w:bottom w:val="single" w:sz="2" w:space="0" w:color="auto"/>
              <w:right w:val="nil"/>
            </w:tcBorders>
            <w:shd w:val="clear" w:color="auto" w:fill="auto"/>
            <w:noWrap/>
            <w:vAlign w:val="center"/>
            <w:hideMark/>
          </w:tcPr>
          <w:p w14:paraId="461C09F1" w14:textId="77777777" w:rsidR="00C8376C" w:rsidRPr="003A115E" w:rsidRDefault="00C8376C" w:rsidP="00AA29A2">
            <w:pPr>
              <w:pStyle w:val="cuatexto"/>
              <w:jc w:val="right"/>
            </w:pPr>
            <w:r>
              <w:t>2</w:t>
            </w:r>
          </w:p>
        </w:tc>
        <w:tc>
          <w:tcPr>
            <w:tcW w:w="690" w:type="pct"/>
            <w:tcBorders>
              <w:top w:val="single" w:sz="2" w:space="0" w:color="auto"/>
              <w:left w:val="nil"/>
              <w:bottom w:val="single" w:sz="2" w:space="0" w:color="auto"/>
              <w:right w:val="nil"/>
            </w:tcBorders>
            <w:shd w:val="clear" w:color="auto" w:fill="auto"/>
            <w:noWrap/>
            <w:vAlign w:val="center"/>
            <w:hideMark/>
          </w:tcPr>
          <w:p w14:paraId="3CB64827" w14:textId="3E58BAF9" w:rsidR="00C8376C" w:rsidRPr="003A115E" w:rsidRDefault="00C8376C" w:rsidP="00AA29A2">
            <w:pPr>
              <w:pStyle w:val="cuatexto"/>
              <w:jc w:val="right"/>
            </w:pPr>
            <w:r>
              <w:t>5</w:t>
            </w:r>
          </w:p>
        </w:tc>
        <w:tc>
          <w:tcPr>
            <w:tcW w:w="689" w:type="pct"/>
            <w:tcBorders>
              <w:top w:val="single" w:sz="2" w:space="0" w:color="auto"/>
              <w:left w:val="nil"/>
              <w:bottom w:val="single" w:sz="2" w:space="0" w:color="auto"/>
              <w:right w:val="nil"/>
            </w:tcBorders>
            <w:shd w:val="clear" w:color="auto" w:fill="auto"/>
            <w:noWrap/>
            <w:vAlign w:val="center"/>
            <w:hideMark/>
          </w:tcPr>
          <w:p w14:paraId="37FAE5B2" w14:textId="77777777" w:rsidR="00C8376C" w:rsidRPr="003A115E" w:rsidRDefault="00C8376C" w:rsidP="00AA29A2">
            <w:pPr>
              <w:pStyle w:val="cuatexto"/>
              <w:jc w:val="right"/>
            </w:pPr>
            <w:r>
              <w:t>21</w:t>
            </w:r>
          </w:p>
        </w:tc>
        <w:tc>
          <w:tcPr>
            <w:tcW w:w="690" w:type="pct"/>
            <w:tcBorders>
              <w:top w:val="single" w:sz="2" w:space="0" w:color="auto"/>
              <w:left w:val="nil"/>
              <w:bottom w:val="single" w:sz="2" w:space="0" w:color="auto"/>
              <w:right w:val="nil"/>
            </w:tcBorders>
            <w:shd w:val="clear" w:color="auto" w:fill="auto"/>
            <w:noWrap/>
            <w:vAlign w:val="center"/>
            <w:hideMark/>
          </w:tcPr>
          <w:p w14:paraId="2F4ABC3A" w14:textId="6D09B0D4" w:rsidR="00C8376C" w:rsidRPr="003A115E" w:rsidRDefault="00C8376C" w:rsidP="00AA29A2">
            <w:pPr>
              <w:pStyle w:val="cuatexto"/>
              <w:jc w:val="right"/>
            </w:pPr>
            <w:r>
              <w:t>32</w:t>
            </w:r>
          </w:p>
        </w:tc>
      </w:tr>
      <w:tr w:rsidR="000A742F" w:rsidRPr="003A115E" w14:paraId="31F3B87D" w14:textId="77777777" w:rsidTr="00767AA2">
        <w:trPr>
          <w:trHeight w:val="198"/>
        </w:trPr>
        <w:tc>
          <w:tcPr>
            <w:tcW w:w="864" w:type="pct"/>
            <w:tcBorders>
              <w:top w:val="single" w:sz="2" w:space="0" w:color="auto"/>
              <w:left w:val="nil"/>
              <w:bottom w:val="single" w:sz="4" w:space="0" w:color="auto"/>
              <w:right w:val="nil"/>
            </w:tcBorders>
            <w:shd w:val="clear" w:color="auto" w:fill="auto"/>
            <w:noWrap/>
            <w:vAlign w:val="center"/>
            <w:hideMark/>
          </w:tcPr>
          <w:p w14:paraId="328BED46" w14:textId="77777777" w:rsidR="00C8376C" w:rsidRPr="003A115E" w:rsidRDefault="00C8376C" w:rsidP="00AA29A2">
            <w:pPr>
              <w:pStyle w:val="cuatexto"/>
            </w:pPr>
            <w:r>
              <w:t>Batasunak</w:t>
            </w:r>
          </w:p>
        </w:tc>
        <w:tc>
          <w:tcPr>
            <w:tcW w:w="689" w:type="pct"/>
            <w:tcBorders>
              <w:top w:val="single" w:sz="2" w:space="0" w:color="auto"/>
              <w:left w:val="nil"/>
              <w:bottom w:val="single" w:sz="4" w:space="0" w:color="auto"/>
              <w:right w:val="nil"/>
            </w:tcBorders>
            <w:shd w:val="clear" w:color="auto" w:fill="auto"/>
            <w:noWrap/>
            <w:vAlign w:val="center"/>
            <w:hideMark/>
          </w:tcPr>
          <w:p w14:paraId="3D1A55E5" w14:textId="77777777" w:rsidR="00C8376C" w:rsidRPr="003A115E" w:rsidRDefault="00C8376C" w:rsidP="00AA29A2">
            <w:pPr>
              <w:pStyle w:val="cuatexto"/>
              <w:jc w:val="right"/>
            </w:pPr>
            <w:r>
              <w:t>18</w:t>
            </w:r>
          </w:p>
        </w:tc>
        <w:tc>
          <w:tcPr>
            <w:tcW w:w="690" w:type="pct"/>
            <w:tcBorders>
              <w:top w:val="single" w:sz="2" w:space="0" w:color="auto"/>
              <w:left w:val="nil"/>
              <w:bottom w:val="single" w:sz="4" w:space="0" w:color="auto"/>
              <w:right w:val="nil"/>
            </w:tcBorders>
            <w:shd w:val="clear" w:color="auto" w:fill="auto"/>
            <w:noWrap/>
            <w:vAlign w:val="center"/>
            <w:hideMark/>
          </w:tcPr>
          <w:p w14:paraId="365E0643" w14:textId="331C375A" w:rsidR="00C8376C" w:rsidRPr="003A115E" w:rsidRDefault="00C8376C" w:rsidP="00AA29A2">
            <w:pPr>
              <w:pStyle w:val="cuatexto"/>
              <w:jc w:val="right"/>
            </w:pPr>
            <w:r>
              <w:t>5</w:t>
            </w:r>
          </w:p>
        </w:tc>
        <w:tc>
          <w:tcPr>
            <w:tcW w:w="689" w:type="pct"/>
            <w:tcBorders>
              <w:top w:val="single" w:sz="2" w:space="0" w:color="auto"/>
              <w:left w:val="nil"/>
              <w:bottom w:val="single" w:sz="4" w:space="0" w:color="auto"/>
              <w:right w:val="nil"/>
            </w:tcBorders>
            <w:shd w:val="clear" w:color="auto" w:fill="auto"/>
            <w:noWrap/>
            <w:vAlign w:val="center"/>
            <w:hideMark/>
          </w:tcPr>
          <w:p w14:paraId="50230A89" w14:textId="77777777" w:rsidR="00C8376C" w:rsidRPr="003A115E" w:rsidRDefault="00C8376C" w:rsidP="00AA29A2">
            <w:pPr>
              <w:pStyle w:val="cuatexto"/>
              <w:jc w:val="right"/>
            </w:pPr>
            <w:r>
              <w:t>0</w:t>
            </w:r>
          </w:p>
        </w:tc>
        <w:tc>
          <w:tcPr>
            <w:tcW w:w="690" w:type="pct"/>
            <w:tcBorders>
              <w:top w:val="single" w:sz="2" w:space="0" w:color="auto"/>
              <w:left w:val="nil"/>
              <w:bottom w:val="single" w:sz="4" w:space="0" w:color="auto"/>
              <w:right w:val="nil"/>
            </w:tcBorders>
            <w:shd w:val="clear" w:color="auto" w:fill="auto"/>
            <w:noWrap/>
            <w:vAlign w:val="center"/>
            <w:hideMark/>
          </w:tcPr>
          <w:p w14:paraId="6B580D92" w14:textId="5C8439EE" w:rsidR="00C8376C" w:rsidRPr="003A115E" w:rsidRDefault="00C8376C" w:rsidP="00AA29A2">
            <w:pPr>
              <w:pStyle w:val="cuatexto"/>
              <w:jc w:val="right"/>
            </w:pPr>
            <w:r>
              <w:t>0</w:t>
            </w:r>
          </w:p>
        </w:tc>
        <w:tc>
          <w:tcPr>
            <w:tcW w:w="689" w:type="pct"/>
            <w:tcBorders>
              <w:top w:val="single" w:sz="2" w:space="0" w:color="auto"/>
              <w:left w:val="nil"/>
              <w:bottom w:val="single" w:sz="4" w:space="0" w:color="auto"/>
              <w:right w:val="nil"/>
            </w:tcBorders>
            <w:shd w:val="clear" w:color="auto" w:fill="auto"/>
            <w:noWrap/>
            <w:vAlign w:val="center"/>
            <w:hideMark/>
          </w:tcPr>
          <w:p w14:paraId="2C0D9825" w14:textId="77777777" w:rsidR="00C8376C" w:rsidRPr="003A115E" w:rsidRDefault="00C8376C" w:rsidP="00AA29A2">
            <w:pPr>
              <w:pStyle w:val="cuatexto"/>
              <w:jc w:val="right"/>
            </w:pPr>
            <w:r>
              <w:t>9</w:t>
            </w:r>
          </w:p>
        </w:tc>
        <w:tc>
          <w:tcPr>
            <w:tcW w:w="690" w:type="pct"/>
            <w:tcBorders>
              <w:top w:val="single" w:sz="2" w:space="0" w:color="auto"/>
              <w:left w:val="nil"/>
              <w:bottom w:val="single" w:sz="4" w:space="0" w:color="auto"/>
              <w:right w:val="nil"/>
            </w:tcBorders>
            <w:shd w:val="clear" w:color="auto" w:fill="auto"/>
            <w:noWrap/>
            <w:vAlign w:val="center"/>
            <w:hideMark/>
          </w:tcPr>
          <w:p w14:paraId="209291E5" w14:textId="57AF4F2E" w:rsidR="00C8376C" w:rsidRPr="003A115E" w:rsidRDefault="00C8376C" w:rsidP="00AA29A2">
            <w:pPr>
              <w:pStyle w:val="cuatexto"/>
              <w:jc w:val="right"/>
            </w:pPr>
            <w:r>
              <w:t>36</w:t>
            </w:r>
          </w:p>
        </w:tc>
      </w:tr>
      <w:tr w:rsidR="000A742F" w:rsidRPr="003A115E" w14:paraId="18AE7893" w14:textId="77777777" w:rsidTr="00767AA2">
        <w:trPr>
          <w:trHeight w:val="255"/>
        </w:trPr>
        <w:tc>
          <w:tcPr>
            <w:tcW w:w="864" w:type="pct"/>
            <w:tcBorders>
              <w:top w:val="single" w:sz="4" w:space="0" w:color="auto"/>
              <w:left w:val="nil"/>
              <w:bottom w:val="single" w:sz="4" w:space="0" w:color="auto"/>
              <w:right w:val="nil"/>
            </w:tcBorders>
            <w:shd w:val="clear" w:color="auto" w:fill="FABF8F" w:themeFill="accent6" w:themeFillTint="99"/>
            <w:noWrap/>
            <w:vAlign w:val="center"/>
            <w:hideMark/>
          </w:tcPr>
          <w:p w14:paraId="6DF95306" w14:textId="77777777" w:rsidR="00C8376C" w:rsidRPr="003A115E" w:rsidRDefault="00C8376C" w:rsidP="00AA29A2">
            <w:pPr>
              <w:pStyle w:val="cuadroCabe"/>
            </w:pPr>
            <w:r>
              <w:t>Guztira</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10F2EF30" w14:textId="77777777" w:rsidR="00C8376C" w:rsidRPr="003A115E" w:rsidRDefault="00C8376C" w:rsidP="00AA29A2">
            <w:pPr>
              <w:pStyle w:val="cuadroCabe"/>
              <w:jc w:val="right"/>
            </w:pPr>
            <w:r>
              <w:t>25</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52CECE64" w14:textId="157A2B68" w:rsidR="00C8376C" w:rsidRPr="003A115E" w:rsidRDefault="00C8376C" w:rsidP="00AA29A2">
            <w:pPr>
              <w:pStyle w:val="cuadroCabe"/>
              <w:jc w:val="right"/>
            </w:pPr>
            <w:r>
              <w:t>23</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62D0B6E1" w14:textId="77777777" w:rsidR="00C8376C" w:rsidRPr="003A115E" w:rsidRDefault="00C8376C" w:rsidP="00AA29A2">
            <w:pPr>
              <w:pStyle w:val="cuadroCabe"/>
              <w:jc w:val="right"/>
            </w:pPr>
            <w:r>
              <w:t>3</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7C04CCCC" w14:textId="0ADFFD64" w:rsidR="00C8376C" w:rsidRPr="003A115E" w:rsidRDefault="00C8376C" w:rsidP="00AA29A2">
            <w:pPr>
              <w:pStyle w:val="cuadroCabe"/>
              <w:jc w:val="right"/>
            </w:pPr>
            <w:r>
              <w:t>3</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5F31A000" w14:textId="77777777" w:rsidR="00C8376C" w:rsidRPr="003A115E" w:rsidRDefault="00C8376C" w:rsidP="00AA29A2">
            <w:pPr>
              <w:pStyle w:val="cuadroCabe"/>
              <w:jc w:val="right"/>
            </w:pPr>
            <w:r>
              <w:t>23</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0DD3FD70" w14:textId="4E08992E" w:rsidR="00C8376C" w:rsidRPr="003A115E" w:rsidRDefault="00C8376C" w:rsidP="00AA29A2">
            <w:pPr>
              <w:pStyle w:val="cuadroCabe"/>
              <w:jc w:val="right"/>
            </w:pPr>
            <w:r>
              <w:t>24</w:t>
            </w:r>
          </w:p>
        </w:tc>
      </w:tr>
    </w:tbl>
    <w:p w14:paraId="4F137E72" w14:textId="62B10884" w:rsidR="00C84D07" w:rsidRPr="003A115E" w:rsidRDefault="00202B90" w:rsidP="00CC28BD">
      <w:pPr>
        <w:pStyle w:val="texto"/>
        <w:tabs>
          <w:tab w:val="clear" w:pos="2835"/>
          <w:tab w:val="center" w:pos="567"/>
        </w:tabs>
        <w:spacing w:before="240"/>
        <w:rPr>
          <w:rFonts w:cs="Arial"/>
        </w:rPr>
      </w:pPr>
      <w:r>
        <w:t xml:space="preserve">Beren aurrekontua epe barrenean onetsi dutenak toki-entitateen ehuneko 23 bakarrik dira. Gainera, deigarriak dira </w:t>
      </w:r>
      <w:proofErr w:type="spellStart"/>
      <w:r>
        <w:t>NFKAri</w:t>
      </w:r>
      <w:proofErr w:type="spellEnd"/>
      <w:r>
        <w:t xml:space="preserve"> informazioa bidaltzean izandako atzerapenak, zeinak atzerapen askoz handiagoak baitira aurrekontu-likidazioek eta kontu orokorrek pairatzen dituztenak baino. </w:t>
      </w:r>
    </w:p>
    <w:p w14:paraId="66BC255A" w14:textId="7EE32F1A" w:rsidR="00B45520" w:rsidRPr="003A115E" w:rsidRDefault="00202B90" w:rsidP="00202B90">
      <w:pPr>
        <w:pStyle w:val="texto"/>
        <w:tabs>
          <w:tab w:val="clear" w:pos="2835"/>
          <w:tab w:val="center" w:pos="567"/>
        </w:tabs>
        <w:spacing w:before="240"/>
        <w:rPr>
          <w:rFonts w:cs="Arial"/>
        </w:rPr>
      </w:pPr>
      <w:r>
        <w:t xml:space="preserve">Dena den, txosten hau egin den garaian, toki-entitateen ehuneko 81ek igorriak zizkioten </w:t>
      </w:r>
      <w:proofErr w:type="spellStart"/>
      <w:r>
        <w:t>NFKAri</w:t>
      </w:r>
      <w:proofErr w:type="spellEnd"/>
      <w:r>
        <w:t xml:space="preserve"> 2022ko aurrekontu-espedienteak.</w:t>
      </w:r>
    </w:p>
    <w:p w14:paraId="6C92F892" w14:textId="4170BEF1" w:rsidR="007D4F1A" w:rsidRPr="003A115E" w:rsidRDefault="007D4F1A">
      <w:pPr>
        <w:rPr>
          <w:rFonts w:cs="Arial"/>
          <w:spacing w:val="6"/>
          <w:sz w:val="26"/>
        </w:rPr>
      </w:pPr>
      <w:r>
        <w:br w:type="page"/>
      </w:r>
    </w:p>
    <w:p w14:paraId="5C3E8033" w14:textId="0667D35B" w:rsidR="00683931" w:rsidRPr="003A115E" w:rsidRDefault="00683931" w:rsidP="00C84D07">
      <w:pPr>
        <w:pStyle w:val="atitulo1"/>
        <w:rPr>
          <w:color w:val="auto"/>
        </w:rPr>
      </w:pPr>
      <w:bookmarkStart w:id="90" w:name="_Toc188511796"/>
      <w:r>
        <w:rPr>
          <w:color w:val="auto"/>
        </w:rPr>
        <w:lastRenderedPageBreak/>
        <w:t>IX. Barne-kontrola eta kontu-hartze organoek jaulkitako eragozpen oharrak</w:t>
      </w:r>
      <w:bookmarkEnd w:id="90"/>
      <w:r>
        <w:rPr>
          <w:color w:val="auto"/>
        </w:rPr>
        <w:t xml:space="preserve"> </w:t>
      </w:r>
    </w:p>
    <w:p w14:paraId="07D3C912" w14:textId="7F109050" w:rsidR="000E3227" w:rsidRPr="003A115E" w:rsidRDefault="000E3227" w:rsidP="00DA0A16">
      <w:pPr>
        <w:pStyle w:val="atitulo2"/>
        <w:rPr>
          <w:color w:val="auto"/>
        </w:rPr>
      </w:pPr>
      <w:bookmarkStart w:id="91" w:name="_Toc123547415"/>
      <w:bookmarkStart w:id="92" w:name="_Toc188511797"/>
      <w:r>
        <w:rPr>
          <w:color w:val="auto"/>
        </w:rPr>
        <w:t>IX.1 Eskatutako informazioa igortzeko betebeharra betetzea</w:t>
      </w:r>
      <w:bookmarkEnd w:id="91"/>
      <w:bookmarkEnd w:id="92"/>
    </w:p>
    <w:p w14:paraId="35127511" w14:textId="5AB9A767" w:rsidR="000E3227" w:rsidRPr="003A115E" w:rsidRDefault="000E3227" w:rsidP="000E3227">
      <w:pPr>
        <w:pStyle w:val="texto"/>
      </w:pPr>
      <w:r>
        <w:t>Atal honetako informazioaren oinarri gisa hartu dira Kontuen Ganbera honek udal, mankomunitate eta batasunetako kontu-hartze organoei 2023ko ekainean bidalitako galdetegiari emandako erantzunetan. Galdetegi horretan informazioa eskatzen zen 2022an eginiko barne-kontrolari buruz. Kontzejuei ez zitzaien bidali formulario hori, ez daukatelako barne-kontroleko eginkizunetan aritzeko gaituta dagoen kontu-hartzailetzako edo idazkaritzako langilerik.</w:t>
      </w:r>
    </w:p>
    <w:p w14:paraId="2BF6CC52" w14:textId="3D9749EA" w:rsidR="000E3227" w:rsidRPr="003A115E" w:rsidRDefault="000E3227" w:rsidP="000E3227">
      <w:pPr>
        <w:pStyle w:val="texto"/>
      </w:pPr>
      <w:r>
        <w:t>Galdetegia 353 toki-entitateri bidali zitzaien, eta 289 erantzun jaso ziren; halatan, betetze-maila ehuneko 82koa da, aurreko ekitaldikoaren antzekoa. Erantzun ez zuten entitateen artean, biztanleria aldetik Uharteko Udala nabarmentzen da.</w:t>
      </w:r>
    </w:p>
    <w:p w14:paraId="5B75847D" w14:textId="01B826D0" w:rsidR="000E3227" w:rsidRPr="003A115E" w:rsidRDefault="00524B48" w:rsidP="00DA0A16">
      <w:pPr>
        <w:pStyle w:val="atitulo2"/>
        <w:rPr>
          <w:color w:val="auto"/>
        </w:rPr>
      </w:pPr>
      <w:bookmarkStart w:id="93" w:name="_Toc123547416"/>
      <w:bookmarkStart w:id="94" w:name="_Toc188511798"/>
      <w:r>
        <w:rPr>
          <w:color w:val="auto"/>
        </w:rPr>
        <w:t>IX.2 Barne-kontrola</w:t>
      </w:r>
      <w:bookmarkEnd w:id="93"/>
      <w:bookmarkEnd w:id="94"/>
    </w:p>
    <w:p w14:paraId="425A6740" w14:textId="6C612CE5" w:rsidR="002A3542" w:rsidRPr="003A115E" w:rsidRDefault="79B4F94C" w:rsidP="00F020C8">
      <w:pPr>
        <w:pStyle w:val="texto"/>
        <w:rPr>
          <w:b/>
          <w:bCs/>
        </w:rPr>
      </w:pPr>
      <w:r>
        <w:t>Arauetan barne-kontroleko hiru modalitate bereizten dira: kontu-hartze funtzioa, finantza-kontrola eta eraginkortasun-kontrola.</w:t>
      </w:r>
    </w:p>
    <w:p w14:paraId="78ABE364" w14:textId="4610B68F" w:rsidR="00577A16" w:rsidRPr="003A115E" w:rsidRDefault="79B4F94C" w:rsidP="000001CA">
      <w:pPr>
        <w:pStyle w:val="texto"/>
        <w:spacing w:after="240"/>
      </w:pPr>
      <w:r>
        <w:t>Beheko taulan azaltzen dira toki-entitateek kontu-hartze funtzioaren alorrean eginiko kontrolak zer motatakoak diren:</w:t>
      </w:r>
    </w:p>
    <w:p w14:paraId="6F2EB589" w14:textId="3BD2DE56" w:rsidR="00577A16" w:rsidRPr="003A115E" w:rsidRDefault="00E0794A" w:rsidP="0186A00D">
      <w:pPr>
        <w:pStyle w:val="texto"/>
        <w:spacing w:after="40"/>
        <w:jc w:val="right"/>
        <w:rPr>
          <w:rFonts w:ascii="Arial Narrow" w:hAnsi="Arial Narrow"/>
          <w:sz w:val="18"/>
          <w:szCs w:val="18"/>
        </w:rPr>
      </w:pPr>
      <w:r>
        <w:rPr>
          <w:rFonts w:ascii="Arial Narrow" w:hAnsi="Arial Narrow"/>
          <w:sz w:val="18"/>
        </w:rPr>
        <w:t>Toki-entitateenak</w:t>
      </w:r>
    </w:p>
    <w:tbl>
      <w:tblPr>
        <w:tblW w:w="5000" w:type="pct"/>
        <w:tblCellMar>
          <w:left w:w="70" w:type="dxa"/>
          <w:right w:w="70" w:type="dxa"/>
        </w:tblCellMar>
        <w:tblLook w:val="04A0" w:firstRow="1" w:lastRow="0" w:firstColumn="1" w:lastColumn="0" w:noHBand="0" w:noVBand="1"/>
      </w:tblPr>
      <w:tblGrid>
        <w:gridCol w:w="3248"/>
        <w:gridCol w:w="554"/>
        <w:gridCol w:w="554"/>
        <w:gridCol w:w="554"/>
        <w:gridCol w:w="554"/>
        <w:gridCol w:w="554"/>
        <w:gridCol w:w="554"/>
        <w:gridCol w:w="554"/>
        <w:gridCol w:w="554"/>
        <w:gridCol w:w="554"/>
        <w:gridCol w:w="554"/>
      </w:tblGrid>
      <w:tr w:rsidR="000A742F" w:rsidRPr="003A115E" w14:paraId="59AD592A" w14:textId="77777777" w:rsidTr="004D2232">
        <w:trPr>
          <w:trHeight w:val="276"/>
        </w:trPr>
        <w:tc>
          <w:tcPr>
            <w:tcW w:w="1585" w:type="pct"/>
            <w:vMerge w:val="restart"/>
            <w:tcBorders>
              <w:top w:val="single" w:sz="4" w:space="0" w:color="auto"/>
              <w:left w:val="nil"/>
              <w:bottom w:val="single" w:sz="2" w:space="0" w:color="auto"/>
              <w:right w:val="single" w:sz="2" w:space="0" w:color="auto"/>
            </w:tcBorders>
            <w:shd w:val="clear" w:color="auto" w:fill="FABF8F" w:themeFill="accent6" w:themeFillTint="99"/>
            <w:noWrap/>
            <w:vAlign w:val="center"/>
            <w:hideMark/>
          </w:tcPr>
          <w:p w14:paraId="0A6EFEDB" w14:textId="77777777" w:rsidR="006603F3" w:rsidRPr="003A115E" w:rsidRDefault="006603F3" w:rsidP="00B7602B">
            <w:pPr>
              <w:pStyle w:val="cuadroCabe"/>
            </w:pPr>
            <w:r>
              <w:t>Toki-entitate mota</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7EC8288D" w14:textId="77777777" w:rsidR="00D8030F" w:rsidRPr="003A115E" w:rsidRDefault="006603F3" w:rsidP="00D8030F">
            <w:pPr>
              <w:pStyle w:val="cuadroCabe"/>
              <w:jc w:val="right"/>
            </w:pPr>
            <w:r>
              <w:t xml:space="preserve">Erantzunak, guztira </w:t>
            </w:r>
          </w:p>
          <w:p w14:paraId="5F33D55F" w14:textId="56290596" w:rsidR="006603F3" w:rsidRPr="003A115E" w:rsidRDefault="006603F3" w:rsidP="00D8030F">
            <w:pPr>
              <w:pStyle w:val="cuadroCabe"/>
              <w:jc w:val="right"/>
            </w:pP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628D9818" w14:textId="77777777" w:rsidR="006603F3" w:rsidRPr="003A115E" w:rsidRDefault="006603F3" w:rsidP="00D8030F">
            <w:pPr>
              <w:pStyle w:val="cuadroCabe"/>
              <w:jc w:val="right"/>
            </w:pPr>
            <w:r>
              <w:t>Ordainketaren kontu-hartze formala</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6D10B0D9" w14:textId="77777777" w:rsidR="006603F3" w:rsidRPr="003A115E" w:rsidRDefault="006603F3" w:rsidP="00D8030F">
            <w:pPr>
              <w:pStyle w:val="cuadroCabe"/>
              <w:jc w:val="right"/>
            </w:pPr>
            <w:r>
              <w:t>Ordainketaren kontu-hartze materiala</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45D76C2" w14:textId="77777777" w:rsidR="006603F3" w:rsidRPr="003A115E" w:rsidRDefault="006603F3" w:rsidP="00D8030F">
            <w:pPr>
              <w:pStyle w:val="cuadroCabe"/>
              <w:jc w:val="right"/>
            </w:pPr>
            <w:r>
              <w:t>Inbertsioen egiaztapenak</w:t>
            </w:r>
          </w:p>
        </w:tc>
        <w:tc>
          <w:tcPr>
            <w:tcW w:w="683" w:type="pct"/>
            <w:gridSpan w:val="2"/>
            <w:vMerge w:val="restart"/>
            <w:tcBorders>
              <w:top w:val="single" w:sz="4" w:space="0" w:color="auto"/>
              <w:left w:val="single" w:sz="2" w:space="0" w:color="auto"/>
              <w:bottom w:val="single" w:sz="2" w:space="0" w:color="auto"/>
            </w:tcBorders>
            <w:shd w:val="clear" w:color="auto" w:fill="FABF8F" w:themeFill="accent6" w:themeFillTint="99"/>
            <w:vAlign w:val="center"/>
            <w:hideMark/>
          </w:tcPr>
          <w:p w14:paraId="00A1C91F" w14:textId="77777777" w:rsidR="006603F3" w:rsidRPr="003A115E" w:rsidRDefault="006603F3" w:rsidP="00D8030F">
            <w:pPr>
              <w:pStyle w:val="cuadroCabe"/>
              <w:jc w:val="right"/>
            </w:pPr>
            <w:r>
              <w:t>Dirulaguntzen egiaztapenak</w:t>
            </w:r>
          </w:p>
        </w:tc>
      </w:tr>
      <w:tr w:rsidR="000A742F" w:rsidRPr="003A115E" w14:paraId="3AF7F949" w14:textId="77777777" w:rsidTr="004D2232">
        <w:trPr>
          <w:trHeight w:val="276"/>
        </w:trPr>
        <w:tc>
          <w:tcPr>
            <w:tcW w:w="1585" w:type="pct"/>
            <w:vMerge/>
            <w:tcBorders>
              <w:top w:val="single" w:sz="2" w:space="0" w:color="auto"/>
              <w:bottom w:val="single" w:sz="2" w:space="0" w:color="auto"/>
              <w:right w:val="single" w:sz="2" w:space="0" w:color="auto"/>
            </w:tcBorders>
            <w:shd w:val="clear" w:color="auto" w:fill="FABF8F" w:themeFill="accent6" w:themeFillTint="99"/>
            <w:vAlign w:val="center"/>
            <w:hideMark/>
          </w:tcPr>
          <w:p w14:paraId="6A429538" w14:textId="77777777" w:rsidR="006603F3" w:rsidRPr="003A115E" w:rsidRDefault="006603F3" w:rsidP="00CC28BD">
            <w:pPr>
              <w:pStyle w:val="cuadroCabe"/>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17637F68"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5F1B6822"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3976D8C3"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1F6686B6"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tcBorders>
            <w:shd w:val="clear" w:color="auto" w:fill="FABF8F" w:themeFill="accent6" w:themeFillTint="99"/>
            <w:vAlign w:val="center"/>
            <w:hideMark/>
          </w:tcPr>
          <w:p w14:paraId="3B4AADBD" w14:textId="77777777" w:rsidR="006603F3" w:rsidRPr="003A115E" w:rsidRDefault="006603F3" w:rsidP="00D8030F">
            <w:pPr>
              <w:pStyle w:val="cuadroCabe"/>
              <w:jc w:val="right"/>
              <w:rPr>
                <w:rFonts w:ascii="Arial Narrow" w:hAnsi="Arial Narrow" w:cs="Calibri"/>
                <w:sz w:val="16"/>
                <w:szCs w:val="16"/>
              </w:rPr>
            </w:pPr>
          </w:p>
        </w:tc>
      </w:tr>
      <w:tr w:rsidR="000A742F" w:rsidRPr="003A115E" w14:paraId="788A2034" w14:textId="77777777" w:rsidTr="004D2232">
        <w:trPr>
          <w:trHeight w:val="255"/>
        </w:trPr>
        <w:tc>
          <w:tcPr>
            <w:tcW w:w="1585" w:type="pct"/>
            <w:vMerge/>
            <w:tcBorders>
              <w:top w:val="single" w:sz="2" w:space="0" w:color="auto"/>
              <w:bottom w:val="single" w:sz="4" w:space="0" w:color="auto"/>
              <w:right w:val="single" w:sz="2" w:space="0" w:color="auto"/>
            </w:tcBorders>
            <w:shd w:val="clear" w:color="auto" w:fill="FABF8F" w:themeFill="accent6" w:themeFillTint="99"/>
            <w:vAlign w:val="center"/>
            <w:hideMark/>
          </w:tcPr>
          <w:p w14:paraId="56234640" w14:textId="77777777" w:rsidR="006603F3" w:rsidRPr="003A115E" w:rsidRDefault="006603F3" w:rsidP="00CC28BD">
            <w:pPr>
              <w:pStyle w:val="cuadroCabe"/>
              <w:rPr>
                <w:rFonts w:ascii="Arial Narrow" w:hAnsi="Arial Narrow" w:cs="Calibri"/>
                <w:sz w:val="16"/>
                <w:szCs w:val="16"/>
              </w:rPr>
            </w:pP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224AF233" w14:textId="77777777" w:rsidR="006603F3" w:rsidRPr="003A115E" w:rsidRDefault="006603F3" w:rsidP="00D8030F">
            <w:pPr>
              <w:pStyle w:val="cuadroCabe"/>
              <w:jc w:val="right"/>
              <w:rPr>
                <w:rFonts w:cs="Arial"/>
                <w:szCs w:val="18"/>
              </w:rPr>
            </w:pPr>
            <w: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03A460D" w14:textId="77777777" w:rsidR="006603F3" w:rsidRPr="003A115E" w:rsidRDefault="006603F3" w:rsidP="00D8030F">
            <w:pPr>
              <w:pStyle w:val="cuadroCabe"/>
              <w:jc w:val="right"/>
              <w:rPr>
                <w:rFonts w:cs="Arial"/>
                <w:szCs w:val="18"/>
              </w:rPr>
            </w:pPr>
            <w: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469E2B0D" w14:textId="77777777" w:rsidR="006603F3" w:rsidRPr="003A115E" w:rsidRDefault="006603F3" w:rsidP="00D8030F">
            <w:pPr>
              <w:pStyle w:val="cuadroCabe"/>
              <w:jc w:val="right"/>
              <w:rPr>
                <w:rFonts w:cs="Arial"/>
                <w:szCs w:val="18"/>
              </w:rPr>
            </w:pPr>
            <w: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CE672C1" w14:textId="77777777" w:rsidR="006603F3" w:rsidRPr="003A115E" w:rsidRDefault="006603F3" w:rsidP="00D8030F">
            <w:pPr>
              <w:pStyle w:val="cuadroCabe"/>
              <w:jc w:val="right"/>
              <w:rPr>
                <w:rFonts w:cs="Arial"/>
                <w:szCs w:val="18"/>
              </w:rPr>
            </w:pPr>
            <w: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6FCD3891" w14:textId="77777777" w:rsidR="006603F3" w:rsidRPr="003A115E" w:rsidRDefault="006603F3" w:rsidP="00D8030F">
            <w:pPr>
              <w:pStyle w:val="cuadroCabe"/>
              <w:jc w:val="right"/>
              <w:rPr>
                <w:rFonts w:cs="Arial"/>
                <w:szCs w:val="18"/>
              </w:rPr>
            </w:pPr>
            <w: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F000671" w14:textId="77777777" w:rsidR="006603F3" w:rsidRPr="003A115E" w:rsidRDefault="006603F3" w:rsidP="00D8030F">
            <w:pPr>
              <w:pStyle w:val="cuadroCabe"/>
              <w:jc w:val="right"/>
              <w:rPr>
                <w:rFonts w:cs="Arial"/>
                <w:szCs w:val="18"/>
              </w:rPr>
            </w:pPr>
            <w: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2F03E8F4" w14:textId="77777777" w:rsidR="006603F3" w:rsidRPr="003A115E" w:rsidRDefault="006603F3" w:rsidP="00D8030F">
            <w:pPr>
              <w:pStyle w:val="cuadroCabe"/>
              <w:jc w:val="right"/>
              <w:rPr>
                <w:rFonts w:cs="Arial"/>
                <w:szCs w:val="18"/>
              </w:rPr>
            </w:pPr>
            <w: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440CB28E" w14:textId="77777777" w:rsidR="006603F3" w:rsidRPr="003A115E" w:rsidRDefault="006603F3" w:rsidP="00D8030F">
            <w:pPr>
              <w:pStyle w:val="cuadroCabe"/>
              <w:jc w:val="right"/>
              <w:rPr>
                <w:rFonts w:cs="Arial"/>
                <w:szCs w:val="18"/>
              </w:rPr>
            </w:pPr>
            <w: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362ACA3A" w14:textId="77777777" w:rsidR="006603F3" w:rsidRPr="003A115E" w:rsidRDefault="006603F3" w:rsidP="00D8030F">
            <w:pPr>
              <w:pStyle w:val="cuadroCabe"/>
              <w:jc w:val="right"/>
              <w:rPr>
                <w:rFonts w:cs="Arial"/>
                <w:szCs w:val="18"/>
              </w:rPr>
            </w:pPr>
            <w:r>
              <w:t>2021</w:t>
            </w:r>
          </w:p>
        </w:tc>
        <w:tc>
          <w:tcPr>
            <w:tcW w:w="341" w:type="pct"/>
            <w:tcBorders>
              <w:top w:val="single" w:sz="2" w:space="0" w:color="auto"/>
              <w:bottom w:val="single" w:sz="4" w:space="0" w:color="auto"/>
            </w:tcBorders>
            <w:shd w:val="clear" w:color="auto" w:fill="FABF8F" w:themeFill="accent6" w:themeFillTint="99"/>
            <w:noWrap/>
            <w:vAlign w:val="center"/>
            <w:hideMark/>
          </w:tcPr>
          <w:p w14:paraId="229CE857" w14:textId="77777777" w:rsidR="006603F3" w:rsidRPr="003A115E" w:rsidRDefault="006603F3" w:rsidP="00D8030F">
            <w:pPr>
              <w:pStyle w:val="cuadroCabe"/>
              <w:jc w:val="right"/>
              <w:rPr>
                <w:rFonts w:cs="Arial"/>
                <w:szCs w:val="18"/>
              </w:rPr>
            </w:pPr>
            <w:r>
              <w:t>2022</w:t>
            </w:r>
          </w:p>
        </w:tc>
      </w:tr>
      <w:tr w:rsidR="000A742F" w:rsidRPr="003A115E" w14:paraId="20FA1578" w14:textId="77777777" w:rsidTr="00113116">
        <w:trPr>
          <w:trHeight w:val="198"/>
        </w:trPr>
        <w:tc>
          <w:tcPr>
            <w:tcW w:w="1585" w:type="pct"/>
            <w:tcBorders>
              <w:top w:val="single" w:sz="4" w:space="0" w:color="auto"/>
              <w:left w:val="nil"/>
              <w:bottom w:val="single" w:sz="2" w:space="0" w:color="auto"/>
              <w:right w:val="single" w:sz="2" w:space="0" w:color="auto"/>
            </w:tcBorders>
            <w:shd w:val="clear" w:color="auto" w:fill="auto"/>
            <w:noWrap/>
            <w:vAlign w:val="center"/>
            <w:hideMark/>
          </w:tcPr>
          <w:p w14:paraId="6602597C" w14:textId="77777777" w:rsidR="006603F3" w:rsidRPr="003A115E" w:rsidRDefault="006603F3" w:rsidP="00F823E0">
            <w:pPr>
              <w:pStyle w:val="cuatexto"/>
              <w:rPr>
                <w:szCs w:val="20"/>
              </w:rPr>
            </w:pPr>
            <w:r>
              <w:t>Udalak</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032FC7C9" w14:textId="77777777" w:rsidR="006603F3" w:rsidRPr="003A115E" w:rsidRDefault="006603F3" w:rsidP="00D8030F">
            <w:pPr>
              <w:pStyle w:val="cuatexto"/>
              <w:jc w:val="right"/>
              <w:rPr>
                <w:szCs w:val="20"/>
              </w:rPr>
            </w:pPr>
            <w:r>
              <w:t>240</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5B102669" w14:textId="77777777" w:rsidR="006603F3" w:rsidRPr="003A115E" w:rsidRDefault="006603F3" w:rsidP="00D8030F">
            <w:pPr>
              <w:pStyle w:val="cuatexto"/>
              <w:jc w:val="right"/>
              <w:rPr>
                <w:szCs w:val="20"/>
              </w:rPr>
            </w:pPr>
            <w:r>
              <w:t>233</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159E736D" w14:textId="77777777" w:rsidR="006603F3" w:rsidRPr="003A115E" w:rsidRDefault="006603F3" w:rsidP="00D8030F">
            <w:pPr>
              <w:pStyle w:val="cuatexto"/>
              <w:jc w:val="right"/>
              <w:rPr>
                <w:szCs w:val="20"/>
              </w:rPr>
            </w:pPr>
            <w:r>
              <w:t>225</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7ABEC894" w14:textId="77777777" w:rsidR="006603F3" w:rsidRPr="003A115E" w:rsidRDefault="006603F3" w:rsidP="00D8030F">
            <w:pPr>
              <w:pStyle w:val="cuatexto"/>
              <w:jc w:val="right"/>
              <w:rPr>
                <w:szCs w:val="20"/>
              </w:rPr>
            </w:pPr>
            <w:r>
              <w:t>210</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0421C783" w14:textId="77777777" w:rsidR="006603F3" w:rsidRPr="003A115E" w:rsidRDefault="006603F3" w:rsidP="00D8030F">
            <w:pPr>
              <w:pStyle w:val="cuatexto"/>
              <w:jc w:val="right"/>
              <w:rPr>
                <w:szCs w:val="20"/>
              </w:rPr>
            </w:pPr>
            <w:r>
              <w:t>225</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1EEF95E1" w14:textId="77777777" w:rsidR="006603F3" w:rsidRPr="003A115E" w:rsidRDefault="006603F3" w:rsidP="00D8030F">
            <w:pPr>
              <w:pStyle w:val="cuatexto"/>
              <w:jc w:val="right"/>
              <w:rPr>
                <w:szCs w:val="20"/>
              </w:rPr>
            </w:pPr>
            <w:r>
              <w:t>207</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68558F6F" w14:textId="77777777" w:rsidR="006603F3" w:rsidRPr="003A115E" w:rsidRDefault="006603F3" w:rsidP="00D8030F">
            <w:pPr>
              <w:pStyle w:val="cuatexto"/>
              <w:jc w:val="right"/>
              <w:rPr>
                <w:szCs w:val="20"/>
              </w:rPr>
            </w:pPr>
            <w:r>
              <w:t>206</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356C8618" w14:textId="77777777" w:rsidR="006603F3" w:rsidRPr="003A115E" w:rsidRDefault="006603F3" w:rsidP="00D8030F">
            <w:pPr>
              <w:pStyle w:val="cuatexto"/>
              <w:jc w:val="right"/>
              <w:rPr>
                <w:szCs w:val="20"/>
              </w:rPr>
            </w:pPr>
            <w:r>
              <w:t>192</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1F61085C" w14:textId="77777777" w:rsidR="006603F3" w:rsidRPr="003A115E" w:rsidRDefault="006603F3" w:rsidP="00D8030F">
            <w:pPr>
              <w:pStyle w:val="cuatexto"/>
              <w:jc w:val="right"/>
              <w:rPr>
                <w:szCs w:val="20"/>
              </w:rPr>
            </w:pPr>
            <w:r>
              <w:t>220</w:t>
            </w:r>
          </w:p>
        </w:tc>
        <w:tc>
          <w:tcPr>
            <w:tcW w:w="341" w:type="pct"/>
            <w:tcBorders>
              <w:top w:val="single" w:sz="4" w:space="0" w:color="auto"/>
              <w:bottom w:val="single" w:sz="2" w:space="0" w:color="auto"/>
            </w:tcBorders>
            <w:shd w:val="clear" w:color="auto" w:fill="auto"/>
            <w:noWrap/>
            <w:vAlign w:val="center"/>
            <w:hideMark/>
          </w:tcPr>
          <w:p w14:paraId="688A6964" w14:textId="77777777" w:rsidR="006603F3" w:rsidRPr="003A115E" w:rsidRDefault="006603F3" w:rsidP="00D8030F">
            <w:pPr>
              <w:pStyle w:val="cuatexto"/>
              <w:jc w:val="right"/>
              <w:rPr>
                <w:szCs w:val="20"/>
              </w:rPr>
            </w:pPr>
            <w:r>
              <w:t>211</w:t>
            </w:r>
          </w:p>
        </w:tc>
      </w:tr>
      <w:tr w:rsidR="000A742F" w:rsidRPr="003A115E" w14:paraId="14489868"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351664E7" w14:textId="77777777" w:rsidR="006603F3" w:rsidRPr="003A115E" w:rsidRDefault="006603F3" w:rsidP="00F823E0">
            <w:pPr>
              <w:pStyle w:val="cuatexto"/>
              <w:rPr>
                <w:szCs w:val="20"/>
              </w:rPr>
            </w:pPr>
            <w:r>
              <w:t>1.000 biztanle bitarte</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729B042" w14:textId="77777777" w:rsidR="006603F3" w:rsidRPr="003A115E" w:rsidRDefault="006603F3" w:rsidP="00D8030F">
            <w:pPr>
              <w:pStyle w:val="cuatexto"/>
              <w:jc w:val="right"/>
              <w:rPr>
                <w:szCs w:val="20"/>
              </w:rPr>
            </w:pPr>
            <w:r>
              <w:t>165</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55BB29C" w14:textId="77777777" w:rsidR="006603F3" w:rsidRPr="003A115E" w:rsidRDefault="006603F3" w:rsidP="00D8030F">
            <w:pPr>
              <w:pStyle w:val="cuatexto"/>
              <w:jc w:val="right"/>
              <w:rPr>
                <w:szCs w:val="20"/>
              </w:rPr>
            </w:pPr>
            <w:r>
              <w:t>160</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9DFF452" w14:textId="77777777" w:rsidR="006603F3" w:rsidRPr="003A115E" w:rsidRDefault="006603F3" w:rsidP="00D8030F">
            <w:pPr>
              <w:pStyle w:val="cuatexto"/>
              <w:jc w:val="right"/>
              <w:rPr>
                <w:szCs w:val="20"/>
              </w:rPr>
            </w:pPr>
            <w:r>
              <w:t>154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FACCBF9" w14:textId="77777777" w:rsidR="006603F3" w:rsidRPr="003A115E" w:rsidRDefault="006603F3" w:rsidP="00D8030F">
            <w:pPr>
              <w:pStyle w:val="cuatexto"/>
              <w:jc w:val="right"/>
              <w:rPr>
                <w:szCs w:val="20"/>
              </w:rPr>
            </w:pPr>
            <w:r>
              <w:t>142</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319F5AA" w14:textId="77777777" w:rsidR="006603F3" w:rsidRPr="003A115E" w:rsidRDefault="006603F3" w:rsidP="00D8030F">
            <w:pPr>
              <w:pStyle w:val="cuatexto"/>
              <w:jc w:val="right"/>
              <w:rPr>
                <w:szCs w:val="20"/>
              </w:rPr>
            </w:pPr>
            <w:r>
              <w:t>154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5F224F2" w14:textId="77777777" w:rsidR="006603F3" w:rsidRPr="003A115E" w:rsidRDefault="006603F3" w:rsidP="00D8030F">
            <w:pPr>
              <w:pStyle w:val="cuatexto"/>
              <w:jc w:val="right"/>
              <w:rPr>
                <w:szCs w:val="20"/>
              </w:rPr>
            </w:pPr>
            <w:r>
              <w:t>136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5801583" w14:textId="77777777" w:rsidR="006603F3" w:rsidRPr="003A115E" w:rsidRDefault="006603F3" w:rsidP="00D8030F">
            <w:pPr>
              <w:pStyle w:val="cuatexto"/>
              <w:jc w:val="right"/>
              <w:rPr>
                <w:szCs w:val="20"/>
              </w:rPr>
            </w:pPr>
            <w:r>
              <w:t>148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DC5F28C" w14:textId="77777777" w:rsidR="006603F3" w:rsidRPr="003A115E" w:rsidRDefault="006603F3" w:rsidP="00D8030F">
            <w:pPr>
              <w:pStyle w:val="cuatexto"/>
              <w:jc w:val="right"/>
              <w:rPr>
                <w:szCs w:val="20"/>
              </w:rPr>
            </w:pPr>
            <w:r>
              <w:t>137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DF6A1ED" w14:textId="77777777" w:rsidR="006603F3" w:rsidRPr="003A115E" w:rsidRDefault="006603F3" w:rsidP="00D8030F">
            <w:pPr>
              <w:pStyle w:val="cuatexto"/>
              <w:jc w:val="right"/>
              <w:rPr>
                <w:szCs w:val="20"/>
              </w:rPr>
            </w:pPr>
            <w:r>
              <w:t>150</w:t>
            </w:r>
          </w:p>
        </w:tc>
        <w:tc>
          <w:tcPr>
            <w:tcW w:w="341" w:type="pct"/>
            <w:tcBorders>
              <w:top w:val="single" w:sz="2" w:space="0" w:color="auto"/>
              <w:bottom w:val="single" w:sz="2" w:space="0" w:color="auto"/>
            </w:tcBorders>
            <w:shd w:val="clear" w:color="auto" w:fill="auto"/>
            <w:noWrap/>
            <w:vAlign w:val="center"/>
            <w:hideMark/>
          </w:tcPr>
          <w:p w14:paraId="09AEDC5D" w14:textId="77777777" w:rsidR="006603F3" w:rsidRPr="003A115E" w:rsidRDefault="006603F3" w:rsidP="00D8030F">
            <w:pPr>
              <w:pStyle w:val="cuatexto"/>
              <w:jc w:val="right"/>
              <w:rPr>
                <w:szCs w:val="20"/>
              </w:rPr>
            </w:pPr>
            <w:r>
              <w:t>145</w:t>
            </w:r>
          </w:p>
        </w:tc>
      </w:tr>
      <w:tr w:rsidR="000A742F" w:rsidRPr="003A115E" w14:paraId="442DF453"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400B7F3C" w14:textId="77777777" w:rsidR="006603F3" w:rsidRPr="003A115E" w:rsidRDefault="006603F3" w:rsidP="00F823E0">
            <w:pPr>
              <w:pStyle w:val="cuatexto"/>
              <w:rPr>
                <w:szCs w:val="20"/>
              </w:rPr>
            </w:pPr>
            <w:r>
              <w:t>1.001 biztanletik 5.000 biztanle bitarte</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141CF625" w14:textId="77777777" w:rsidR="006603F3" w:rsidRPr="003A115E" w:rsidRDefault="006603F3" w:rsidP="00D8030F">
            <w:pPr>
              <w:pStyle w:val="cuatexto"/>
              <w:jc w:val="right"/>
              <w:rPr>
                <w:szCs w:val="20"/>
              </w:rPr>
            </w:pPr>
            <w:r>
              <w:t>56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361B98A6" w14:textId="77777777" w:rsidR="006603F3" w:rsidRPr="003A115E" w:rsidRDefault="006603F3" w:rsidP="00D8030F">
            <w:pPr>
              <w:pStyle w:val="cuatexto"/>
              <w:jc w:val="right"/>
              <w:rPr>
                <w:szCs w:val="20"/>
              </w:rPr>
            </w:pPr>
            <w:r>
              <w:t>54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5BBBDC6A" w14:textId="77777777" w:rsidR="006603F3" w:rsidRPr="003A115E" w:rsidRDefault="006603F3" w:rsidP="00D8030F">
            <w:pPr>
              <w:pStyle w:val="cuatexto"/>
              <w:jc w:val="right"/>
              <w:rPr>
                <w:szCs w:val="20"/>
              </w:rPr>
            </w:pPr>
            <w:r>
              <w:t>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103AC9E" w14:textId="77777777" w:rsidR="006603F3" w:rsidRPr="003A115E" w:rsidRDefault="006603F3" w:rsidP="00D8030F">
            <w:pPr>
              <w:pStyle w:val="cuatexto"/>
              <w:jc w:val="right"/>
              <w:rPr>
                <w:szCs w:val="20"/>
              </w:rPr>
            </w:pPr>
            <w:r>
              <w:t>50</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150208A3" w14:textId="77777777" w:rsidR="006603F3" w:rsidRPr="003A115E" w:rsidRDefault="006603F3" w:rsidP="00D8030F">
            <w:pPr>
              <w:pStyle w:val="cuatexto"/>
              <w:jc w:val="right"/>
              <w:rPr>
                <w:szCs w:val="20"/>
              </w:rPr>
            </w:pPr>
            <w:r>
              <w:t>56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A120386" w14:textId="77777777" w:rsidR="006603F3" w:rsidRPr="003A115E" w:rsidRDefault="006603F3" w:rsidP="00D8030F">
            <w:pPr>
              <w:pStyle w:val="cuatexto"/>
              <w:jc w:val="right"/>
              <w:rPr>
                <w:szCs w:val="20"/>
              </w:rPr>
            </w:pPr>
            <w:r>
              <w:t>52</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701DE8E5" w14:textId="77777777" w:rsidR="006603F3" w:rsidRPr="003A115E" w:rsidRDefault="006603F3" w:rsidP="00D8030F">
            <w:pPr>
              <w:pStyle w:val="cuatexto"/>
              <w:jc w:val="right"/>
              <w:rPr>
                <w:szCs w:val="20"/>
              </w:rPr>
            </w:pPr>
            <w:r>
              <w:t>49</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67C8264" w14:textId="77777777" w:rsidR="006603F3" w:rsidRPr="003A115E" w:rsidRDefault="006603F3" w:rsidP="00D8030F">
            <w:pPr>
              <w:pStyle w:val="cuatexto"/>
              <w:jc w:val="right"/>
              <w:rPr>
                <w:szCs w:val="20"/>
              </w:rPr>
            </w:pPr>
            <w:r>
              <w:t>45</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1A31111" w14:textId="77777777" w:rsidR="006603F3" w:rsidRPr="003A115E" w:rsidRDefault="006603F3" w:rsidP="00D8030F">
            <w:pPr>
              <w:pStyle w:val="cuatexto"/>
              <w:jc w:val="right"/>
              <w:rPr>
                <w:szCs w:val="20"/>
              </w:rPr>
            </w:pPr>
            <w:r>
              <w:t>53</w:t>
            </w:r>
          </w:p>
        </w:tc>
        <w:tc>
          <w:tcPr>
            <w:tcW w:w="341" w:type="pct"/>
            <w:tcBorders>
              <w:top w:val="single" w:sz="2" w:space="0" w:color="auto"/>
              <w:bottom w:val="single" w:sz="2" w:space="0" w:color="auto"/>
            </w:tcBorders>
            <w:shd w:val="clear" w:color="auto" w:fill="auto"/>
            <w:noWrap/>
            <w:vAlign w:val="center"/>
            <w:hideMark/>
          </w:tcPr>
          <w:p w14:paraId="57D291BD" w14:textId="77777777" w:rsidR="006603F3" w:rsidRPr="003A115E" w:rsidRDefault="006603F3" w:rsidP="00D8030F">
            <w:pPr>
              <w:pStyle w:val="cuatexto"/>
              <w:jc w:val="right"/>
              <w:rPr>
                <w:szCs w:val="20"/>
              </w:rPr>
            </w:pPr>
            <w:r>
              <w:t>51</w:t>
            </w:r>
          </w:p>
        </w:tc>
      </w:tr>
      <w:tr w:rsidR="000A742F" w:rsidRPr="003A115E" w14:paraId="7B1445EB"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3202E6E0" w14:textId="77777777" w:rsidR="006603F3" w:rsidRPr="003A115E" w:rsidRDefault="006603F3" w:rsidP="00F823E0">
            <w:pPr>
              <w:pStyle w:val="cuatexto"/>
              <w:rPr>
                <w:szCs w:val="20"/>
              </w:rPr>
            </w:pPr>
            <w:r>
              <w:t>5.001 biztanletik 10.000 biztanle bitarte</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45FE73B" w14:textId="77777777" w:rsidR="006603F3" w:rsidRPr="003A115E" w:rsidRDefault="006603F3" w:rsidP="00D8030F">
            <w:pPr>
              <w:pStyle w:val="cuatexto"/>
              <w:jc w:val="right"/>
              <w:rPr>
                <w:szCs w:val="20"/>
              </w:rPr>
            </w:pPr>
            <w: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E36A3B0" w14:textId="77777777" w:rsidR="006603F3" w:rsidRPr="003A115E" w:rsidRDefault="006603F3" w:rsidP="00D8030F">
            <w:pPr>
              <w:pStyle w:val="cuatexto"/>
              <w:jc w:val="right"/>
              <w:rPr>
                <w:szCs w:val="20"/>
              </w:rPr>
            </w:pPr>
            <w:r>
              <w:t>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71328E4C" w14:textId="77777777" w:rsidR="006603F3" w:rsidRPr="003A115E" w:rsidRDefault="006603F3" w:rsidP="00D8030F">
            <w:pPr>
              <w:pStyle w:val="cuatexto"/>
              <w:jc w:val="right"/>
              <w:rPr>
                <w:szCs w:val="20"/>
              </w:rPr>
            </w:pPr>
            <w:r>
              <w:t>7</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3B89E103" w14:textId="77777777" w:rsidR="006603F3" w:rsidRPr="003A115E" w:rsidRDefault="006603F3" w:rsidP="00D8030F">
            <w:pPr>
              <w:pStyle w:val="cuatexto"/>
              <w:jc w:val="right"/>
              <w:rPr>
                <w:szCs w:val="20"/>
              </w:rPr>
            </w:pPr>
            <w:r>
              <w:t>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389FD0B" w14:textId="77777777" w:rsidR="006603F3" w:rsidRPr="003A115E" w:rsidRDefault="006603F3" w:rsidP="00D8030F">
            <w:pPr>
              <w:pStyle w:val="cuatexto"/>
              <w:jc w:val="right"/>
              <w:rPr>
                <w:szCs w:val="20"/>
              </w:rPr>
            </w:pPr>
            <w:r>
              <w:t>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FBD5760" w14:textId="77777777" w:rsidR="006603F3" w:rsidRPr="003A115E" w:rsidRDefault="006603F3" w:rsidP="00D8030F">
            <w:pPr>
              <w:pStyle w:val="cuatexto"/>
              <w:jc w:val="right"/>
              <w:rPr>
                <w:szCs w:val="20"/>
              </w:rPr>
            </w:pPr>
            <w:r>
              <w:t>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2DCDE98C" w14:textId="77777777" w:rsidR="006603F3" w:rsidRPr="003A115E" w:rsidRDefault="006603F3" w:rsidP="00D8030F">
            <w:pPr>
              <w:pStyle w:val="cuatexto"/>
              <w:jc w:val="right"/>
              <w:rPr>
                <w:szCs w:val="20"/>
              </w:rPr>
            </w:pPr>
            <w:r>
              <w:t>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F857A5F" w14:textId="77777777" w:rsidR="006603F3" w:rsidRPr="003A115E" w:rsidRDefault="006603F3" w:rsidP="00D8030F">
            <w:pPr>
              <w:pStyle w:val="cuatexto"/>
              <w:jc w:val="right"/>
              <w:rPr>
                <w:szCs w:val="20"/>
              </w:rPr>
            </w:pPr>
            <w:r>
              <w:t>3</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EB47889" w14:textId="77777777" w:rsidR="006603F3" w:rsidRPr="003A115E" w:rsidRDefault="006603F3" w:rsidP="00D8030F">
            <w:pPr>
              <w:pStyle w:val="cuatexto"/>
              <w:jc w:val="right"/>
              <w:rPr>
                <w:szCs w:val="20"/>
              </w:rPr>
            </w:pPr>
            <w:r>
              <w:t>8</w:t>
            </w:r>
          </w:p>
        </w:tc>
        <w:tc>
          <w:tcPr>
            <w:tcW w:w="341" w:type="pct"/>
            <w:tcBorders>
              <w:top w:val="single" w:sz="2" w:space="0" w:color="auto"/>
              <w:bottom w:val="single" w:sz="2" w:space="0" w:color="auto"/>
            </w:tcBorders>
            <w:shd w:val="clear" w:color="auto" w:fill="auto"/>
            <w:noWrap/>
            <w:vAlign w:val="center"/>
            <w:hideMark/>
          </w:tcPr>
          <w:p w14:paraId="7C80FA6E" w14:textId="77777777" w:rsidR="006603F3" w:rsidRPr="003A115E" w:rsidRDefault="006603F3" w:rsidP="00D8030F">
            <w:pPr>
              <w:pStyle w:val="cuatexto"/>
              <w:jc w:val="right"/>
              <w:rPr>
                <w:szCs w:val="20"/>
              </w:rPr>
            </w:pPr>
            <w:r>
              <w:t>6</w:t>
            </w:r>
          </w:p>
        </w:tc>
      </w:tr>
      <w:tr w:rsidR="000A742F" w:rsidRPr="003A115E" w14:paraId="3A3030EE"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53CB413B" w14:textId="77777777" w:rsidR="006603F3" w:rsidRPr="003A115E" w:rsidRDefault="006603F3" w:rsidP="00F823E0">
            <w:pPr>
              <w:pStyle w:val="cuatexto"/>
              <w:rPr>
                <w:szCs w:val="20"/>
              </w:rPr>
            </w:pPr>
            <w:r>
              <w:t>10.001 biztanletik 20.000 biztanle bitarte</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7924DD3" w14:textId="77777777" w:rsidR="006603F3" w:rsidRPr="003A115E" w:rsidRDefault="006603F3" w:rsidP="00D8030F">
            <w:pPr>
              <w:pStyle w:val="cuatexto"/>
              <w:jc w:val="right"/>
              <w:rPr>
                <w:szCs w:val="20"/>
              </w:rPr>
            </w:pPr>
            <w: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2C065E2" w14:textId="77777777" w:rsidR="006603F3" w:rsidRPr="003A115E" w:rsidRDefault="006603F3" w:rsidP="00D8030F">
            <w:pPr>
              <w:pStyle w:val="cuatexto"/>
              <w:jc w:val="right"/>
              <w:rPr>
                <w:szCs w:val="20"/>
              </w:rPr>
            </w:pPr>
            <w: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2A11347E" w14:textId="77777777" w:rsidR="006603F3" w:rsidRPr="003A115E" w:rsidRDefault="006603F3" w:rsidP="00D8030F">
            <w:pPr>
              <w:pStyle w:val="cuatexto"/>
              <w:jc w:val="right"/>
              <w:rPr>
                <w:szCs w:val="20"/>
              </w:rPr>
            </w:pPr>
            <w: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711791C0" w14:textId="77777777" w:rsidR="006603F3" w:rsidRPr="003A115E" w:rsidRDefault="006603F3" w:rsidP="00D8030F">
            <w:pPr>
              <w:pStyle w:val="cuatexto"/>
              <w:jc w:val="right"/>
              <w:rPr>
                <w:szCs w:val="20"/>
              </w:rPr>
            </w:pPr>
            <w: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03F6AA3" w14:textId="77777777" w:rsidR="006603F3" w:rsidRPr="003A115E" w:rsidRDefault="006603F3" w:rsidP="00D8030F">
            <w:pPr>
              <w:pStyle w:val="cuatexto"/>
              <w:jc w:val="right"/>
              <w:rPr>
                <w:szCs w:val="20"/>
              </w:rPr>
            </w:pPr>
            <w: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BEABAAC" w14:textId="77777777" w:rsidR="006603F3" w:rsidRPr="003A115E" w:rsidRDefault="006603F3" w:rsidP="00D8030F">
            <w:pPr>
              <w:pStyle w:val="cuatexto"/>
              <w:jc w:val="right"/>
              <w:rPr>
                <w:szCs w:val="20"/>
              </w:rPr>
            </w:pPr>
            <w: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7080897" w14:textId="77777777" w:rsidR="006603F3" w:rsidRPr="003A115E" w:rsidRDefault="006603F3" w:rsidP="00D8030F">
            <w:pPr>
              <w:pStyle w:val="cuatexto"/>
              <w:jc w:val="right"/>
              <w:rPr>
                <w:szCs w:val="20"/>
              </w:rPr>
            </w:pPr>
            <w:r>
              <w:t>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A3E53DC" w14:textId="77777777" w:rsidR="006603F3" w:rsidRPr="003A115E" w:rsidRDefault="006603F3" w:rsidP="00D8030F">
            <w:pPr>
              <w:pStyle w:val="cuatexto"/>
              <w:jc w:val="right"/>
              <w:rPr>
                <w:szCs w:val="20"/>
              </w:rPr>
            </w:pPr>
            <w:r>
              <w:t>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6423F1F1" w14:textId="77777777" w:rsidR="006603F3" w:rsidRPr="003A115E" w:rsidRDefault="006603F3" w:rsidP="00D8030F">
            <w:pPr>
              <w:pStyle w:val="cuatexto"/>
              <w:jc w:val="right"/>
              <w:rPr>
                <w:szCs w:val="20"/>
              </w:rPr>
            </w:pPr>
            <w:r>
              <w:t>6</w:t>
            </w:r>
          </w:p>
        </w:tc>
        <w:tc>
          <w:tcPr>
            <w:tcW w:w="341" w:type="pct"/>
            <w:tcBorders>
              <w:top w:val="single" w:sz="2" w:space="0" w:color="auto"/>
              <w:bottom w:val="single" w:sz="2" w:space="0" w:color="auto"/>
            </w:tcBorders>
            <w:shd w:val="clear" w:color="auto" w:fill="auto"/>
            <w:noWrap/>
            <w:vAlign w:val="center"/>
            <w:hideMark/>
          </w:tcPr>
          <w:p w14:paraId="52058E48" w14:textId="77777777" w:rsidR="006603F3" w:rsidRPr="003A115E" w:rsidRDefault="006603F3" w:rsidP="00D8030F">
            <w:pPr>
              <w:pStyle w:val="cuatexto"/>
              <w:jc w:val="right"/>
              <w:rPr>
                <w:szCs w:val="20"/>
              </w:rPr>
            </w:pPr>
            <w:r>
              <w:t>7</w:t>
            </w:r>
          </w:p>
        </w:tc>
      </w:tr>
      <w:tr w:rsidR="000A742F" w:rsidRPr="003A115E" w14:paraId="2B686864"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65D1ECF4" w14:textId="77777777" w:rsidR="006603F3" w:rsidRPr="003A115E" w:rsidRDefault="006603F3" w:rsidP="00F823E0">
            <w:pPr>
              <w:pStyle w:val="cuatexto"/>
              <w:rPr>
                <w:szCs w:val="20"/>
              </w:rPr>
            </w:pPr>
            <w:r>
              <w:t>20.000 biztanle baino gehiago</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17C4C52" w14:textId="77777777" w:rsidR="006603F3" w:rsidRPr="003A115E" w:rsidRDefault="006603F3" w:rsidP="00D8030F">
            <w:pPr>
              <w:pStyle w:val="cuatexto"/>
              <w:jc w:val="right"/>
              <w:rPr>
                <w:szCs w:val="20"/>
              </w:rPr>
            </w:pPr>
            <w:r>
              <w:t>3</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888AD0B" w14:textId="77777777" w:rsidR="006603F3" w:rsidRPr="003A115E" w:rsidRDefault="006603F3" w:rsidP="00D8030F">
            <w:pPr>
              <w:pStyle w:val="cuatexto"/>
              <w:jc w:val="right"/>
              <w:rPr>
                <w:szCs w:val="20"/>
              </w:rPr>
            </w:pPr>
            <w: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E63753C" w14:textId="77777777" w:rsidR="006603F3" w:rsidRPr="003A115E" w:rsidRDefault="006603F3" w:rsidP="00D8030F">
            <w:pPr>
              <w:pStyle w:val="cuatexto"/>
              <w:jc w:val="right"/>
              <w:rPr>
                <w:szCs w:val="20"/>
              </w:rPr>
            </w:pPr>
            <w:r>
              <w:t>2</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8954A67" w14:textId="77777777" w:rsidR="006603F3" w:rsidRPr="003A115E" w:rsidRDefault="006603F3" w:rsidP="00D8030F">
            <w:pPr>
              <w:pStyle w:val="cuatexto"/>
              <w:jc w:val="right"/>
              <w:rPr>
                <w:szCs w:val="20"/>
              </w:rPr>
            </w:pPr>
            <w: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2540F76" w14:textId="77777777" w:rsidR="006603F3" w:rsidRPr="003A115E" w:rsidRDefault="006603F3" w:rsidP="00D8030F">
            <w:pPr>
              <w:pStyle w:val="cuatexto"/>
              <w:jc w:val="right"/>
              <w:rPr>
                <w:szCs w:val="20"/>
              </w:rPr>
            </w:pPr>
            <w:r>
              <w:t>1</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DE1E4A0" w14:textId="77777777" w:rsidR="006603F3" w:rsidRPr="003A115E" w:rsidRDefault="006603F3" w:rsidP="00D8030F">
            <w:pPr>
              <w:pStyle w:val="cuatexto"/>
              <w:jc w:val="right"/>
              <w:rPr>
                <w:szCs w:val="20"/>
              </w:rPr>
            </w:pPr>
            <w: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E0CC842" w14:textId="77777777" w:rsidR="006603F3" w:rsidRPr="003A115E" w:rsidRDefault="006603F3" w:rsidP="00D8030F">
            <w:pPr>
              <w:pStyle w:val="cuatexto"/>
              <w:jc w:val="right"/>
              <w:rPr>
                <w:szCs w:val="20"/>
              </w:rPr>
            </w:pPr>
            <w:r>
              <w:t>1</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B6B68AB" w14:textId="77777777" w:rsidR="006603F3" w:rsidRPr="003A115E" w:rsidRDefault="006603F3" w:rsidP="00D8030F">
            <w:pPr>
              <w:pStyle w:val="cuatexto"/>
              <w:jc w:val="right"/>
              <w:rPr>
                <w:szCs w:val="20"/>
              </w:rPr>
            </w:pPr>
            <w:r>
              <w:t>1</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29B0FAF" w14:textId="77777777" w:rsidR="006603F3" w:rsidRPr="003A115E" w:rsidRDefault="006603F3" w:rsidP="00D8030F">
            <w:pPr>
              <w:pStyle w:val="cuatexto"/>
              <w:jc w:val="right"/>
              <w:rPr>
                <w:szCs w:val="20"/>
              </w:rPr>
            </w:pPr>
            <w:r>
              <w:t>3</w:t>
            </w:r>
          </w:p>
        </w:tc>
        <w:tc>
          <w:tcPr>
            <w:tcW w:w="341" w:type="pct"/>
            <w:tcBorders>
              <w:top w:val="single" w:sz="2" w:space="0" w:color="auto"/>
              <w:bottom w:val="single" w:sz="2" w:space="0" w:color="auto"/>
            </w:tcBorders>
            <w:shd w:val="clear" w:color="auto" w:fill="auto"/>
            <w:noWrap/>
            <w:vAlign w:val="center"/>
            <w:hideMark/>
          </w:tcPr>
          <w:p w14:paraId="01B582D2" w14:textId="77777777" w:rsidR="006603F3" w:rsidRPr="003A115E" w:rsidRDefault="006603F3" w:rsidP="00D8030F">
            <w:pPr>
              <w:pStyle w:val="cuatexto"/>
              <w:jc w:val="right"/>
              <w:rPr>
                <w:szCs w:val="20"/>
              </w:rPr>
            </w:pPr>
            <w:r>
              <w:t>2</w:t>
            </w:r>
          </w:p>
        </w:tc>
      </w:tr>
      <w:tr w:rsidR="000A742F" w:rsidRPr="003A115E" w14:paraId="32AFE802" w14:textId="77777777" w:rsidTr="004D2232">
        <w:trPr>
          <w:trHeight w:val="198"/>
        </w:trPr>
        <w:tc>
          <w:tcPr>
            <w:tcW w:w="1585" w:type="pct"/>
            <w:tcBorders>
              <w:top w:val="single" w:sz="2" w:space="0" w:color="auto"/>
              <w:left w:val="nil"/>
              <w:bottom w:val="single" w:sz="4" w:space="0" w:color="auto"/>
              <w:right w:val="single" w:sz="2" w:space="0" w:color="auto"/>
            </w:tcBorders>
            <w:shd w:val="clear" w:color="auto" w:fill="auto"/>
            <w:noWrap/>
            <w:vAlign w:val="center"/>
            <w:hideMark/>
          </w:tcPr>
          <w:p w14:paraId="5F797D59" w14:textId="77777777" w:rsidR="006603F3" w:rsidRPr="003A115E" w:rsidRDefault="006603F3" w:rsidP="00F823E0">
            <w:pPr>
              <w:pStyle w:val="cuatexto"/>
              <w:rPr>
                <w:szCs w:val="20"/>
              </w:rPr>
            </w:pPr>
            <w:r>
              <w:t>Mankomunitateak eta batasunak</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52CAB8F1" w14:textId="77777777" w:rsidR="006603F3" w:rsidRPr="003A115E" w:rsidRDefault="006603F3" w:rsidP="00D8030F">
            <w:pPr>
              <w:pStyle w:val="cuatexto"/>
              <w:jc w:val="right"/>
              <w:rPr>
                <w:szCs w:val="20"/>
              </w:rPr>
            </w:pPr>
            <w:r>
              <w:t>62</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4625C7D2" w14:textId="77777777" w:rsidR="006603F3" w:rsidRPr="003A115E" w:rsidRDefault="006603F3" w:rsidP="00D8030F">
            <w:pPr>
              <w:pStyle w:val="cuatexto"/>
              <w:jc w:val="right"/>
              <w:rPr>
                <w:szCs w:val="20"/>
              </w:rPr>
            </w:pPr>
            <w:r>
              <w:t>56</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326FAE10" w14:textId="77777777" w:rsidR="006603F3" w:rsidRPr="003A115E" w:rsidRDefault="006603F3" w:rsidP="00D8030F">
            <w:pPr>
              <w:pStyle w:val="cuatexto"/>
              <w:jc w:val="right"/>
              <w:rPr>
                <w:szCs w:val="20"/>
              </w:rPr>
            </w:pPr>
            <w:r>
              <w:t>56</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01756F70" w14:textId="77777777" w:rsidR="006603F3" w:rsidRPr="003A115E" w:rsidRDefault="006603F3" w:rsidP="00D8030F">
            <w:pPr>
              <w:pStyle w:val="cuatexto"/>
              <w:jc w:val="right"/>
              <w:rPr>
                <w:szCs w:val="20"/>
              </w:rPr>
            </w:pPr>
            <w:r>
              <w:t>49</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1140C414" w14:textId="77777777" w:rsidR="006603F3" w:rsidRPr="003A115E" w:rsidRDefault="006603F3" w:rsidP="00D8030F">
            <w:pPr>
              <w:pStyle w:val="cuatexto"/>
              <w:jc w:val="right"/>
              <w:rPr>
                <w:szCs w:val="20"/>
              </w:rPr>
            </w:pPr>
            <w:r>
              <w:t>58</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7CAEE311" w14:textId="77777777" w:rsidR="006603F3" w:rsidRPr="003A115E" w:rsidRDefault="006603F3" w:rsidP="00D8030F">
            <w:pPr>
              <w:pStyle w:val="cuatexto"/>
              <w:jc w:val="right"/>
              <w:rPr>
                <w:szCs w:val="20"/>
              </w:rPr>
            </w:pPr>
            <w:r>
              <w:t>51</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5C4A0A88" w14:textId="77777777" w:rsidR="006603F3" w:rsidRPr="003A115E" w:rsidRDefault="006603F3" w:rsidP="00D8030F">
            <w:pPr>
              <w:pStyle w:val="cuatexto"/>
              <w:jc w:val="right"/>
              <w:rPr>
                <w:szCs w:val="20"/>
              </w:rPr>
            </w:pPr>
            <w:r>
              <w:t>56</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1F82F5AD" w14:textId="77777777" w:rsidR="006603F3" w:rsidRPr="003A115E" w:rsidRDefault="006603F3" w:rsidP="00D8030F">
            <w:pPr>
              <w:pStyle w:val="cuatexto"/>
              <w:jc w:val="right"/>
              <w:rPr>
                <w:szCs w:val="20"/>
              </w:rPr>
            </w:pPr>
            <w:r>
              <w:t>50</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7E17A165" w14:textId="77777777" w:rsidR="006603F3" w:rsidRPr="003A115E" w:rsidRDefault="006603F3" w:rsidP="00D8030F">
            <w:pPr>
              <w:pStyle w:val="cuatexto"/>
              <w:jc w:val="right"/>
              <w:rPr>
                <w:szCs w:val="20"/>
              </w:rPr>
            </w:pPr>
            <w:r>
              <w:t>58</w:t>
            </w:r>
          </w:p>
        </w:tc>
        <w:tc>
          <w:tcPr>
            <w:tcW w:w="341" w:type="pct"/>
            <w:tcBorders>
              <w:top w:val="single" w:sz="2" w:space="0" w:color="auto"/>
              <w:bottom w:val="single" w:sz="4" w:space="0" w:color="auto"/>
            </w:tcBorders>
            <w:shd w:val="clear" w:color="auto" w:fill="auto"/>
            <w:noWrap/>
            <w:vAlign w:val="center"/>
            <w:hideMark/>
          </w:tcPr>
          <w:p w14:paraId="6B979EB1" w14:textId="77777777" w:rsidR="006603F3" w:rsidRPr="003A115E" w:rsidRDefault="006603F3" w:rsidP="00D8030F">
            <w:pPr>
              <w:pStyle w:val="cuatexto"/>
              <w:jc w:val="right"/>
              <w:rPr>
                <w:szCs w:val="20"/>
              </w:rPr>
            </w:pPr>
            <w:r>
              <w:t>49</w:t>
            </w:r>
          </w:p>
        </w:tc>
      </w:tr>
      <w:tr w:rsidR="000A742F" w:rsidRPr="003A115E" w14:paraId="56A4B78A" w14:textId="77777777" w:rsidTr="004D2232">
        <w:trPr>
          <w:trHeight w:val="255"/>
        </w:trPr>
        <w:tc>
          <w:tcPr>
            <w:tcW w:w="1585" w:type="pct"/>
            <w:tcBorders>
              <w:top w:val="single" w:sz="4" w:space="0" w:color="auto"/>
              <w:left w:val="nil"/>
              <w:bottom w:val="single" w:sz="2" w:space="0" w:color="auto"/>
              <w:right w:val="single" w:sz="2" w:space="0" w:color="auto"/>
            </w:tcBorders>
            <w:shd w:val="clear" w:color="auto" w:fill="FABF8F" w:themeFill="accent6" w:themeFillTint="99"/>
            <w:noWrap/>
            <w:vAlign w:val="center"/>
            <w:hideMark/>
          </w:tcPr>
          <w:p w14:paraId="21646A5F" w14:textId="77777777" w:rsidR="006603F3" w:rsidRPr="003A115E" w:rsidRDefault="006603F3" w:rsidP="00F823E0">
            <w:pPr>
              <w:pStyle w:val="cuadroCabe"/>
            </w:pPr>
            <w:r>
              <w:t>Guztira</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4518998" w14:textId="77777777" w:rsidR="006603F3" w:rsidRPr="003A115E" w:rsidRDefault="006603F3" w:rsidP="00D8030F">
            <w:pPr>
              <w:pStyle w:val="cuadroCabe"/>
              <w:jc w:val="right"/>
            </w:pPr>
            <w:r>
              <w:t>302</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67183FD8" w14:textId="77777777" w:rsidR="006603F3" w:rsidRPr="003A115E" w:rsidRDefault="006603F3" w:rsidP="00D8030F">
            <w:pPr>
              <w:pStyle w:val="cuadroCabe"/>
              <w:jc w:val="right"/>
            </w:pPr>
            <w:r>
              <w:t>289</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8562114" w14:textId="77777777" w:rsidR="006603F3" w:rsidRPr="003A115E" w:rsidRDefault="006603F3" w:rsidP="00D8030F">
            <w:pPr>
              <w:pStyle w:val="cuadroCabe"/>
              <w:jc w:val="right"/>
            </w:pPr>
            <w:r>
              <w:t>281</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0B3FCD6B" w14:textId="77777777" w:rsidR="006603F3" w:rsidRPr="003A115E" w:rsidRDefault="006603F3" w:rsidP="00D8030F">
            <w:pPr>
              <w:pStyle w:val="cuadroCabe"/>
              <w:jc w:val="right"/>
            </w:pPr>
            <w:r>
              <w:t>259</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9B82A7C" w14:textId="77777777" w:rsidR="006603F3" w:rsidRPr="003A115E" w:rsidRDefault="006603F3" w:rsidP="00D8030F">
            <w:pPr>
              <w:pStyle w:val="cuadroCabe"/>
              <w:jc w:val="right"/>
            </w:pPr>
            <w:r>
              <w:t>283</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19429BC2" w14:textId="77777777" w:rsidR="006603F3" w:rsidRPr="003A115E" w:rsidRDefault="006603F3" w:rsidP="00D8030F">
            <w:pPr>
              <w:pStyle w:val="cuadroCabe"/>
              <w:jc w:val="right"/>
            </w:pPr>
            <w:r>
              <w:t>258</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B5E2A9C" w14:textId="77777777" w:rsidR="006603F3" w:rsidRPr="003A115E" w:rsidRDefault="006603F3" w:rsidP="00D8030F">
            <w:pPr>
              <w:pStyle w:val="cuadroCabe"/>
              <w:jc w:val="right"/>
            </w:pPr>
            <w:r>
              <w:t>262</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569560F0" w14:textId="77777777" w:rsidR="006603F3" w:rsidRPr="003A115E" w:rsidRDefault="006603F3" w:rsidP="00D8030F">
            <w:pPr>
              <w:pStyle w:val="cuadroCabe"/>
              <w:jc w:val="right"/>
            </w:pPr>
            <w:r>
              <w:t>242</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3BB4AEDB" w14:textId="77777777" w:rsidR="006603F3" w:rsidRPr="003A115E" w:rsidRDefault="006603F3" w:rsidP="00D8030F">
            <w:pPr>
              <w:pStyle w:val="cuadroCabe"/>
              <w:jc w:val="right"/>
            </w:pPr>
            <w:r>
              <w:t>278</w:t>
            </w:r>
          </w:p>
        </w:tc>
        <w:tc>
          <w:tcPr>
            <w:tcW w:w="341" w:type="pct"/>
            <w:tcBorders>
              <w:top w:val="single" w:sz="4" w:space="0" w:color="auto"/>
              <w:bottom w:val="single" w:sz="2" w:space="0" w:color="auto"/>
            </w:tcBorders>
            <w:shd w:val="clear" w:color="auto" w:fill="FABF8F" w:themeFill="accent6" w:themeFillTint="99"/>
            <w:noWrap/>
            <w:vAlign w:val="center"/>
            <w:hideMark/>
          </w:tcPr>
          <w:p w14:paraId="1DA4CEF8" w14:textId="77777777" w:rsidR="006603F3" w:rsidRPr="003A115E" w:rsidRDefault="006603F3" w:rsidP="00D8030F">
            <w:pPr>
              <w:pStyle w:val="cuadroCabe"/>
              <w:jc w:val="right"/>
            </w:pPr>
            <w:r>
              <w:t>260</w:t>
            </w:r>
          </w:p>
        </w:tc>
      </w:tr>
      <w:tr w:rsidR="000A742F" w:rsidRPr="003A115E" w14:paraId="2DB3FDD9" w14:textId="77777777" w:rsidTr="004D2232">
        <w:trPr>
          <w:trHeight w:val="255"/>
        </w:trPr>
        <w:tc>
          <w:tcPr>
            <w:tcW w:w="1585"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082212DC" w14:textId="77777777" w:rsidR="00113116" w:rsidRPr="003A115E" w:rsidRDefault="00113116" w:rsidP="00F823E0">
            <w:pPr>
              <w:pStyle w:val="cuadroCabe"/>
            </w:pPr>
            <w:r>
              <w:t>Erantzun guztien gaineko %</w:t>
            </w:r>
          </w:p>
        </w:tc>
        <w:tc>
          <w:tcPr>
            <w:tcW w:w="683" w:type="pct"/>
            <w:gridSpan w:val="2"/>
            <w:tcBorders>
              <w:top w:val="single" w:sz="2" w:space="0" w:color="auto"/>
              <w:left w:val="single" w:sz="2" w:space="0" w:color="auto"/>
              <w:bottom w:val="single" w:sz="4" w:space="0" w:color="auto"/>
              <w:right w:val="single" w:sz="2" w:space="0" w:color="auto"/>
            </w:tcBorders>
            <w:shd w:val="clear" w:color="auto" w:fill="FABF8F" w:themeFill="accent6" w:themeFillTint="99"/>
            <w:noWrap/>
            <w:vAlign w:val="center"/>
            <w:hideMark/>
          </w:tcPr>
          <w:p w14:paraId="3BD16833" w14:textId="47D2F734" w:rsidR="00113116" w:rsidRPr="003A115E" w:rsidRDefault="00113116" w:rsidP="00D8030F">
            <w:pPr>
              <w:pStyle w:val="cuadroCabe"/>
              <w:jc w:val="right"/>
            </w:pP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6B973D73" w14:textId="057049A0" w:rsidR="00113116" w:rsidRPr="003A115E" w:rsidRDefault="00113116" w:rsidP="00D8030F">
            <w:pPr>
              <w:pStyle w:val="cuadroCabe"/>
              <w:jc w:val="right"/>
            </w:pPr>
            <w:r>
              <w:t>93</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41D4536" w14:textId="5AE43CFA" w:rsidR="00113116" w:rsidRPr="003A115E" w:rsidRDefault="00113116" w:rsidP="00D8030F">
            <w:pPr>
              <w:pStyle w:val="cuadroCabe"/>
              <w:jc w:val="right"/>
            </w:pPr>
            <w:r>
              <w:t>90</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1F4F9C5" w14:textId="2FF15A45" w:rsidR="00113116" w:rsidRPr="003A115E" w:rsidRDefault="00113116" w:rsidP="00D8030F">
            <w:pPr>
              <w:pStyle w:val="cuadroCabe"/>
              <w:jc w:val="right"/>
            </w:pPr>
            <w:r>
              <w:t>94</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7E1EA32D" w14:textId="04F2F4B5" w:rsidR="00113116" w:rsidRPr="003A115E" w:rsidRDefault="00113116" w:rsidP="00D8030F">
            <w:pPr>
              <w:pStyle w:val="cuadroCabe"/>
              <w:jc w:val="right"/>
            </w:pPr>
            <w:r>
              <w:t>89</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7866E06B" w14:textId="2BC4943B" w:rsidR="00113116" w:rsidRPr="003A115E" w:rsidRDefault="00113116" w:rsidP="00D8030F">
            <w:pPr>
              <w:pStyle w:val="cuadroCabe"/>
              <w:jc w:val="right"/>
            </w:pPr>
            <w:r>
              <w:t>87</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1DBC5871" w14:textId="1F2A7904" w:rsidR="00113116" w:rsidRPr="003A115E" w:rsidRDefault="00113116" w:rsidP="00D8030F">
            <w:pPr>
              <w:pStyle w:val="cuadroCabe"/>
              <w:jc w:val="right"/>
            </w:pPr>
            <w:r>
              <w:t>84</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5D99AC5C" w14:textId="6CA64A00" w:rsidR="00113116" w:rsidRPr="003A115E" w:rsidRDefault="00113116" w:rsidP="00D8030F">
            <w:pPr>
              <w:pStyle w:val="cuadroCabe"/>
              <w:jc w:val="right"/>
            </w:pPr>
            <w:r>
              <w:t>92</w:t>
            </w:r>
          </w:p>
        </w:tc>
        <w:tc>
          <w:tcPr>
            <w:tcW w:w="341" w:type="pct"/>
            <w:tcBorders>
              <w:top w:val="single" w:sz="2" w:space="0" w:color="auto"/>
              <w:bottom w:val="single" w:sz="4" w:space="0" w:color="auto"/>
            </w:tcBorders>
            <w:shd w:val="clear" w:color="auto" w:fill="FABF8F" w:themeFill="accent6" w:themeFillTint="99"/>
            <w:noWrap/>
            <w:vAlign w:val="center"/>
            <w:hideMark/>
          </w:tcPr>
          <w:p w14:paraId="6B761FEF" w14:textId="2043CC31" w:rsidR="00113116" w:rsidRPr="003A115E" w:rsidRDefault="00113116" w:rsidP="00D8030F">
            <w:pPr>
              <w:pStyle w:val="cuadroCabe"/>
              <w:jc w:val="right"/>
            </w:pPr>
            <w:r>
              <w:t>90</w:t>
            </w:r>
          </w:p>
        </w:tc>
      </w:tr>
    </w:tbl>
    <w:p w14:paraId="0876B982" w14:textId="78DEFA28" w:rsidR="000E3227" w:rsidRPr="003A115E" w:rsidRDefault="000E3227" w:rsidP="00BD116E">
      <w:pPr>
        <w:pStyle w:val="texto"/>
        <w:spacing w:before="240"/>
      </w:pPr>
      <w:r>
        <w:t xml:space="preserve">Toki Administrazioari buruzko Foru Legea aldatzeko abenduaren 29ko 22/2020 Foru Legeak toki-entitate guztiengana hedatu zuen Osoko Bilkurak aurretiazko fiskalizazioaren norainokoa mugatzeko ahalmena, lehendakariak proposatuta eta kontu-hartze organoak aurretiazko txostena eginda. Horrek kudeaketaren azkartasun handiagoa ahalbidetzen du. Neurri horrek ez ditzan kaltetu barne-kontrolak ematen dituen bermeak, kasuko betebehar edo gastuak erabat </w:t>
      </w:r>
      <w:r>
        <w:lastRenderedPageBreak/>
        <w:t xml:space="preserve">fiskalizatu behar dira ondoren, laginketa- edo auditoretza-tekniken bidez. </w:t>
      </w:r>
      <w:proofErr w:type="spellStart"/>
      <w:r>
        <w:t>TAFLen</w:t>
      </w:r>
      <w:proofErr w:type="spellEnd"/>
      <w:r>
        <w:t xml:space="preserve"> erreforma hori 2021eko ekitaldian sartu zen indarrean. Jasotako informazioaren arabera, osoko </w:t>
      </w:r>
      <w:proofErr w:type="spellStart"/>
      <w:r>
        <w:t>billkurak</w:t>
      </w:r>
      <w:proofErr w:type="spellEnd"/>
      <w:r>
        <w:t xml:space="preserve"> erabaki du araubide hori 12 toki-entitatetan eta Iruñeko Udalean aplikatzea, zeinak jadanik aplikatu egiten baitzuen.</w:t>
      </w:r>
    </w:p>
    <w:p w14:paraId="5FA97995" w14:textId="56D04892" w:rsidR="000E3227" w:rsidRPr="003A115E" w:rsidRDefault="79B4F94C" w:rsidP="000E3227">
      <w:pPr>
        <w:pStyle w:val="texto"/>
        <w:spacing w:after="240"/>
      </w:pPr>
      <w:proofErr w:type="spellStart"/>
      <w:r>
        <w:t>TAFLek</w:t>
      </w:r>
      <w:proofErr w:type="spellEnd"/>
      <w:r>
        <w:t xml:space="preserve"> araututakoak diren barne-kontrol ekonomiko-finantzarioko beste bi modalitateei dagokienez, gaiari buruz informatu duten 228 kontu-hartze organoetatik ehuneko 59k eta 44k adierazi dute, hurrenez hurren, finantza-kontrola eta eraginkortasun-kontrola egiten dutela. Legez ezarritakoak diren barne-kontroleko hiru modalitateak baliatzen ez dituzten toki-entitateen artean, duten biztanleriagatik Iruñeko eta Tuterako udalak nabarmentzen dira</w:t>
      </w:r>
    </w:p>
    <w:p w14:paraId="4047F260" w14:textId="53C3B58D" w:rsidR="000E3227" w:rsidRPr="003A115E" w:rsidRDefault="000E3227" w:rsidP="000E3227">
      <w:pPr>
        <w:pStyle w:val="texto"/>
      </w:pPr>
      <w:r>
        <w:t>Oro har, kontu-hartze funtzioa bete egiten da, eta araudiak eskatutako edukia du. Finantza-kontroleko eta eraginkortasun-kontroleko funtzioak, berriz, gutxiago ezarrita daude. Egoera horren arrazoietako bat da Nafarroan funtzio horiek gutxi araututa egotea, gai hori ez baita erregelamenduz garatu, Estatuan gertatuaz bestela, non apirilaren 28ko 424/2017 Errege Dekretua aplikatzen baita, toki-sektore publikoko entitateen barne-kontrolaren araubide juridikoa ezartzen duena.</w:t>
      </w:r>
    </w:p>
    <w:p w14:paraId="081C5338" w14:textId="501C251B" w:rsidR="00714F90" w:rsidRPr="003A115E" w:rsidRDefault="005D35FB" w:rsidP="000E3227">
      <w:pPr>
        <w:pStyle w:val="texto"/>
      </w:pPr>
      <w:r>
        <w:t xml:space="preserve">Igorritako galdetegien ehuneko 57k agerian jartzen dute kontu-hartzailetza organoetan baliabiderik eza dagoela. Zehazki, honako hauek aipatu behar dira: </w:t>
      </w:r>
    </w:p>
    <w:p w14:paraId="53CB2691" w14:textId="449B6EE2" w:rsidR="00CA2929" w:rsidRPr="003A115E" w:rsidRDefault="00CA2929" w:rsidP="00CA292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Barne-kontroleko zereginetan diharduten langileek berariazko prestakuntzarik ez izatea; batez ere, "idazkari-kontu-hartzaile" diharduenak.</w:t>
      </w:r>
    </w:p>
    <w:p w14:paraId="19F9B583" w14:textId="4C3FC706" w:rsidR="00F27F72" w:rsidRPr="003A115E" w:rsidRDefault="00F27F72" w:rsidP="00CA292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Kontrol-organoak langilerik eta denborarik ez izatea esleituta dituen eginkizun guztiak aurrera eramateko; gainetik, eginkizun horiek zenbait toki-entitatetan betetzen ditu. </w:t>
      </w:r>
    </w:p>
    <w:p w14:paraId="72E6F908" w14:textId="0E69D703" w:rsidR="000E3227" w:rsidRPr="003A115E" w:rsidRDefault="000E3227" w:rsidP="00DA0A16">
      <w:pPr>
        <w:pStyle w:val="atitulo2"/>
        <w:spacing w:before="240"/>
        <w:rPr>
          <w:color w:val="auto"/>
        </w:rPr>
      </w:pPr>
      <w:bookmarkStart w:id="95" w:name="_Toc123547417"/>
      <w:bookmarkStart w:id="96" w:name="_Toc188511799"/>
      <w:r>
        <w:rPr>
          <w:color w:val="auto"/>
        </w:rPr>
        <w:t>IX.3 Eragozpen-oharrak</w:t>
      </w:r>
      <w:bookmarkEnd w:id="95"/>
      <w:bookmarkEnd w:id="96"/>
    </w:p>
    <w:p w14:paraId="0558EE2D" w14:textId="72C564A7" w:rsidR="005D3728" w:rsidRPr="003A115E" w:rsidRDefault="79B4F94C" w:rsidP="004E1A08">
      <w:pPr>
        <w:pStyle w:val="texto"/>
        <w:spacing w:after="240"/>
        <w:rPr>
          <w:szCs w:val="26"/>
        </w:rPr>
      </w:pPr>
      <w:r>
        <w:t>Informazioa eskaini duten 289 toki-entitateetatik, eragozpen-oharrak 30 udaletan egin dira. Horrek ehuneko hamar egiten du; hots, aurreko ekitaldiko portzentajearen antzekoa. Kontu-hartzailetzako organoek 188 eragozpen-ohar eman dituzte, 7,15 milioi euroko gastuari eragiten diotenak, taula honetan ikus daitekeenez:</w:t>
      </w:r>
    </w:p>
    <w:tbl>
      <w:tblPr>
        <w:tblW w:w="5000" w:type="pct"/>
        <w:tblCellMar>
          <w:left w:w="70" w:type="dxa"/>
          <w:right w:w="70" w:type="dxa"/>
        </w:tblCellMar>
        <w:tblLook w:val="04A0" w:firstRow="1" w:lastRow="0" w:firstColumn="1" w:lastColumn="0" w:noHBand="0" w:noVBand="1"/>
      </w:tblPr>
      <w:tblGrid>
        <w:gridCol w:w="2766"/>
        <w:gridCol w:w="689"/>
        <w:gridCol w:w="689"/>
        <w:gridCol w:w="691"/>
        <w:gridCol w:w="691"/>
        <w:gridCol w:w="995"/>
        <w:gridCol w:w="995"/>
        <w:gridCol w:w="585"/>
        <w:gridCol w:w="687"/>
      </w:tblGrid>
      <w:tr w:rsidR="000A742F" w:rsidRPr="003A115E" w14:paraId="6D739085" w14:textId="77777777" w:rsidTr="005F3A0D">
        <w:trPr>
          <w:trHeight w:val="255"/>
        </w:trPr>
        <w:tc>
          <w:tcPr>
            <w:tcW w:w="1574" w:type="pct"/>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5A13D6DE" w14:textId="77777777" w:rsidR="00D02C29" w:rsidRPr="003A115E" w:rsidRDefault="00D02C29" w:rsidP="00CC28BD">
            <w:pPr>
              <w:pStyle w:val="cuadroCabe"/>
            </w:pPr>
            <w:r>
              <w:t>Toki-entitate mota</w:t>
            </w:r>
          </w:p>
        </w:tc>
        <w:tc>
          <w:tcPr>
            <w:tcW w:w="784"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626EEEB" w14:textId="77777777" w:rsidR="00D02C29" w:rsidRPr="003A115E" w:rsidRDefault="00D02C29" w:rsidP="00790DB8">
            <w:pPr>
              <w:pStyle w:val="cuadroCabe"/>
              <w:jc w:val="center"/>
            </w:pPr>
            <w:r>
              <w:t>Entitate kop.</w:t>
            </w:r>
          </w:p>
        </w:tc>
        <w:tc>
          <w:tcPr>
            <w:tcW w:w="785"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5EA89944" w14:textId="77777777" w:rsidR="00D02C29" w:rsidRPr="003A115E" w:rsidRDefault="00D02C29" w:rsidP="00790DB8">
            <w:pPr>
              <w:pStyle w:val="cuadroCabe"/>
              <w:jc w:val="center"/>
            </w:pPr>
            <w:r>
              <w:t>Eragozpen-oharren kop.</w:t>
            </w:r>
          </w:p>
        </w:tc>
        <w:tc>
          <w:tcPr>
            <w:tcW w:w="1132"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50CB520" w14:textId="77777777" w:rsidR="00D02C29" w:rsidRPr="003A115E" w:rsidRDefault="00D02C29" w:rsidP="00790DB8">
            <w:pPr>
              <w:pStyle w:val="cuadroCabe"/>
              <w:jc w:val="center"/>
            </w:pPr>
            <w:r>
              <w:t>Zenbatekoa (euroak)</w:t>
            </w:r>
          </w:p>
        </w:tc>
        <w:tc>
          <w:tcPr>
            <w:tcW w:w="724"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538D43EC" w14:textId="77777777" w:rsidR="00D02C29" w:rsidRPr="003A115E" w:rsidRDefault="00D02C29" w:rsidP="00790DB8">
            <w:pPr>
              <w:pStyle w:val="cuadroCabe"/>
              <w:jc w:val="center"/>
            </w:pPr>
            <w:r>
              <w:t>Zenbatekorik ez</w:t>
            </w:r>
          </w:p>
        </w:tc>
      </w:tr>
      <w:tr w:rsidR="000A742F" w:rsidRPr="003A115E" w14:paraId="5F8A0516" w14:textId="77777777" w:rsidTr="005F3A0D">
        <w:trPr>
          <w:trHeight w:val="255"/>
        </w:trPr>
        <w:tc>
          <w:tcPr>
            <w:tcW w:w="1574"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057C2BB7" w14:textId="3454C2D1" w:rsidR="00D02C29" w:rsidRPr="003A115E" w:rsidRDefault="00D02C29" w:rsidP="005D3728">
            <w:pPr>
              <w:pStyle w:val="cuadroCabe"/>
            </w:pPr>
          </w:p>
        </w:tc>
        <w:tc>
          <w:tcPr>
            <w:tcW w:w="392"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7A5C674" w14:textId="77777777" w:rsidR="00D02C29" w:rsidRPr="003A115E" w:rsidRDefault="00D02C29" w:rsidP="00790DB8">
            <w:pPr>
              <w:pStyle w:val="cuadroCabe"/>
              <w:jc w:val="right"/>
            </w:pPr>
            <w:r>
              <w:t>2021</w:t>
            </w:r>
          </w:p>
        </w:tc>
        <w:tc>
          <w:tcPr>
            <w:tcW w:w="392"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7DBB01BD" w14:textId="77777777" w:rsidR="00D02C29" w:rsidRPr="003A115E" w:rsidRDefault="00D02C29" w:rsidP="00790DB8">
            <w:pPr>
              <w:pStyle w:val="cuadroCabe"/>
              <w:jc w:val="right"/>
            </w:pPr>
            <w:r>
              <w:t>2022</w:t>
            </w:r>
          </w:p>
        </w:tc>
        <w:tc>
          <w:tcPr>
            <w:tcW w:w="393"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A3EB94F" w14:textId="77777777" w:rsidR="00D02C29" w:rsidRPr="003A115E" w:rsidRDefault="00D02C29" w:rsidP="00790DB8">
            <w:pPr>
              <w:pStyle w:val="cuadroCabe"/>
              <w:jc w:val="right"/>
            </w:pPr>
            <w:r>
              <w:t>2021</w:t>
            </w:r>
          </w:p>
        </w:tc>
        <w:tc>
          <w:tcPr>
            <w:tcW w:w="393"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2357B2BD" w14:textId="77777777" w:rsidR="00D02C29" w:rsidRPr="003A115E" w:rsidRDefault="00D02C29" w:rsidP="00790DB8">
            <w:pPr>
              <w:pStyle w:val="cuadroCabe"/>
              <w:jc w:val="right"/>
            </w:pPr>
            <w:r>
              <w:t>2022</w:t>
            </w:r>
          </w:p>
        </w:tc>
        <w:tc>
          <w:tcPr>
            <w:tcW w:w="566"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7670C87C" w14:textId="77777777" w:rsidR="00D02C29" w:rsidRPr="003A115E" w:rsidRDefault="00D02C29" w:rsidP="00790DB8">
            <w:pPr>
              <w:pStyle w:val="cuadroCabe"/>
              <w:jc w:val="right"/>
            </w:pPr>
            <w:r>
              <w:t>2021</w:t>
            </w:r>
          </w:p>
        </w:tc>
        <w:tc>
          <w:tcPr>
            <w:tcW w:w="566"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5FC8365B" w14:textId="77777777" w:rsidR="00D02C29" w:rsidRPr="003A115E" w:rsidRDefault="00D02C29" w:rsidP="00790DB8">
            <w:pPr>
              <w:pStyle w:val="cuadroCabe"/>
              <w:jc w:val="right"/>
            </w:pPr>
            <w:r>
              <w:t>2022</w:t>
            </w:r>
          </w:p>
        </w:tc>
        <w:tc>
          <w:tcPr>
            <w:tcW w:w="333"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1EDA1DE6" w14:textId="77777777" w:rsidR="00D02C29" w:rsidRPr="003A115E" w:rsidRDefault="00D02C29" w:rsidP="00790DB8">
            <w:pPr>
              <w:pStyle w:val="cuadroCabe"/>
              <w:jc w:val="right"/>
            </w:pPr>
            <w:r>
              <w:t>2021</w:t>
            </w:r>
          </w:p>
        </w:tc>
        <w:tc>
          <w:tcPr>
            <w:tcW w:w="391" w:type="pct"/>
            <w:tcBorders>
              <w:top w:val="single" w:sz="2" w:space="0" w:color="auto"/>
              <w:left w:val="nil"/>
              <w:bottom w:val="single" w:sz="4" w:space="0" w:color="auto"/>
              <w:right w:val="nil"/>
            </w:tcBorders>
            <w:shd w:val="clear" w:color="auto" w:fill="FABF8F" w:themeFill="accent6" w:themeFillTint="99"/>
            <w:noWrap/>
            <w:vAlign w:val="center"/>
            <w:hideMark/>
          </w:tcPr>
          <w:p w14:paraId="30B9B60E" w14:textId="77777777" w:rsidR="00D02C29" w:rsidRPr="003A115E" w:rsidRDefault="00D02C29" w:rsidP="00790DB8">
            <w:pPr>
              <w:pStyle w:val="cuadroCabe"/>
              <w:jc w:val="right"/>
            </w:pPr>
            <w:r>
              <w:t>2022</w:t>
            </w:r>
          </w:p>
        </w:tc>
      </w:tr>
      <w:tr w:rsidR="000A742F" w:rsidRPr="003A115E" w14:paraId="5685C462" w14:textId="77777777" w:rsidTr="00D903EF">
        <w:trPr>
          <w:trHeight w:val="198"/>
        </w:trPr>
        <w:tc>
          <w:tcPr>
            <w:tcW w:w="1574" w:type="pct"/>
            <w:tcBorders>
              <w:top w:val="single" w:sz="4" w:space="0" w:color="auto"/>
              <w:left w:val="nil"/>
              <w:bottom w:val="single" w:sz="2" w:space="0" w:color="auto"/>
              <w:right w:val="single" w:sz="2" w:space="0" w:color="auto"/>
            </w:tcBorders>
            <w:shd w:val="clear" w:color="auto" w:fill="auto"/>
            <w:noWrap/>
            <w:vAlign w:val="center"/>
            <w:hideMark/>
          </w:tcPr>
          <w:p w14:paraId="4CF1FA34" w14:textId="73B2F3A6" w:rsidR="00D02C29" w:rsidRPr="003A115E" w:rsidRDefault="00A74477" w:rsidP="00A0522B">
            <w:pPr>
              <w:pStyle w:val="cuatexto"/>
            </w:pPr>
            <w:r>
              <w:t>0 Udalak</w:t>
            </w:r>
          </w:p>
        </w:tc>
        <w:tc>
          <w:tcPr>
            <w:tcW w:w="392" w:type="pct"/>
            <w:tcBorders>
              <w:top w:val="single" w:sz="4" w:space="0" w:color="auto"/>
              <w:left w:val="single" w:sz="2" w:space="0" w:color="auto"/>
              <w:bottom w:val="single" w:sz="2" w:space="0" w:color="auto"/>
              <w:right w:val="nil"/>
            </w:tcBorders>
            <w:shd w:val="clear" w:color="auto" w:fill="auto"/>
            <w:noWrap/>
            <w:vAlign w:val="center"/>
            <w:hideMark/>
          </w:tcPr>
          <w:p w14:paraId="7A18753A" w14:textId="77777777" w:rsidR="00D02C29" w:rsidRPr="003A115E" w:rsidRDefault="00D02C29" w:rsidP="00790DB8">
            <w:pPr>
              <w:pStyle w:val="cuatexto"/>
              <w:jc w:val="right"/>
            </w:pPr>
            <w:r>
              <w:t>31</w:t>
            </w:r>
          </w:p>
        </w:tc>
        <w:tc>
          <w:tcPr>
            <w:tcW w:w="392" w:type="pct"/>
            <w:tcBorders>
              <w:top w:val="single" w:sz="4" w:space="0" w:color="auto"/>
              <w:left w:val="nil"/>
              <w:bottom w:val="single" w:sz="2" w:space="0" w:color="auto"/>
              <w:right w:val="single" w:sz="2" w:space="0" w:color="auto"/>
            </w:tcBorders>
            <w:shd w:val="clear" w:color="auto" w:fill="auto"/>
            <w:noWrap/>
            <w:vAlign w:val="center"/>
            <w:hideMark/>
          </w:tcPr>
          <w:p w14:paraId="17563832" w14:textId="77777777" w:rsidR="00D02C29" w:rsidRPr="003A115E" w:rsidRDefault="00D02C29" w:rsidP="00790DB8">
            <w:pPr>
              <w:pStyle w:val="cuatexto"/>
              <w:jc w:val="right"/>
            </w:pPr>
            <w:r>
              <w:t>28</w:t>
            </w:r>
          </w:p>
        </w:tc>
        <w:tc>
          <w:tcPr>
            <w:tcW w:w="393" w:type="pct"/>
            <w:tcBorders>
              <w:top w:val="single" w:sz="4" w:space="0" w:color="auto"/>
              <w:left w:val="single" w:sz="2" w:space="0" w:color="auto"/>
              <w:bottom w:val="single" w:sz="2" w:space="0" w:color="auto"/>
              <w:right w:val="nil"/>
            </w:tcBorders>
            <w:shd w:val="clear" w:color="auto" w:fill="auto"/>
            <w:noWrap/>
            <w:vAlign w:val="center"/>
            <w:hideMark/>
          </w:tcPr>
          <w:p w14:paraId="61B68F08" w14:textId="77777777" w:rsidR="00D02C29" w:rsidRPr="003A115E" w:rsidRDefault="00D02C29" w:rsidP="00790DB8">
            <w:pPr>
              <w:pStyle w:val="cuatexto"/>
              <w:jc w:val="right"/>
            </w:pPr>
            <w:r>
              <w:t>127</w:t>
            </w:r>
          </w:p>
        </w:tc>
        <w:tc>
          <w:tcPr>
            <w:tcW w:w="393" w:type="pct"/>
            <w:tcBorders>
              <w:top w:val="single" w:sz="4" w:space="0" w:color="auto"/>
              <w:left w:val="nil"/>
              <w:bottom w:val="single" w:sz="2" w:space="0" w:color="auto"/>
              <w:right w:val="single" w:sz="2" w:space="0" w:color="auto"/>
            </w:tcBorders>
            <w:shd w:val="clear" w:color="auto" w:fill="auto"/>
            <w:noWrap/>
            <w:vAlign w:val="center"/>
            <w:hideMark/>
          </w:tcPr>
          <w:p w14:paraId="339A20F1" w14:textId="77777777" w:rsidR="00D02C29" w:rsidRPr="003A115E" w:rsidRDefault="00D02C29" w:rsidP="00790DB8">
            <w:pPr>
              <w:pStyle w:val="cuatexto"/>
              <w:jc w:val="right"/>
            </w:pPr>
            <w:r>
              <w:t>181</w:t>
            </w:r>
          </w:p>
        </w:tc>
        <w:tc>
          <w:tcPr>
            <w:tcW w:w="566" w:type="pct"/>
            <w:tcBorders>
              <w:top w:val="single" w:sz="4" w:space="0" w:color="auto"/>
              <w:left w:val="single" w:sz="2" w:space="0" w:color="auto"/>
              <w:bottom w:val="single" w:sz="2" w:space="0" w:color="auto"/>
              <w:right w:val="nil"/>
            </w:tcBorders>
            <w:shd w:val="clear" w:color="auto" w:fill="auto"/>
            <w:noWrap/>
            <w:vAlign w:val="center"/>
            <w:hideMark/>
          </w:tcPr>
          <w:p w14:paraId="3AEE7AC5" w14:textId="77777777" w:rsidR="00D02C29" w:rsidRPr="003A115E" w:rsidRDefault="00D02C29" w:rsidP="00790DB8">
            <w:pPr>
              <w:pStyle w:val="cuatexto"/>
              <w:jc w:val="right"/>
            </w:pPr>
            <w:r>
              <w:t>2.215.170</w:t>
            </w:r>
          </w:p>
        </w:tc>
        <w:tc>
          <w:tcPr>
            <w:tcW w:w="566" w:type="pct"/>
            <w:tcBorders>
              <w:top w:val="single" w:sz="4" w:space="0" w:color="auto"/>
              <w:left w:val="nil"/>
              <w:bottom w:val="single" w:sz="2" w:space="0" w:color="auto"/>
              <w:right w:val="single" w:sz="2" w:space="0" w:color="auto"/>
            </w:tcBorders>
            <w:shd w:val="clear" w:color="auto" w:fill="auto"/>
            <w:noWrap/>
            <w:vAlign w:val="center"/>
            <w:hideMark/>
          </w:tcPr>
          <w:p w14:paraId="69E89A66" w14:textId="709485E8" w:rsidR="00D02C29" w:rsidRPr="003A115E" w:rsidRDefault="00D02C29" w:rsidP="00790DB8">
            <w:pPr>
              <w:pStyle w:val="cuatexto"/>
              <w:jc w:val="right"/>
            </w:pPr>
            <w:r>
              <w:t>6.163.809</w:t>
            </w:r>
          </w:p>
        </w:tc>
        <w:tc>
          <w:tcPr>
            <w:tcW w:w="333" w:type="pct"/>
            <w:tcBorders>
              <w:top w:val="single" w:sz="4" w:space="0" w:color="auto"/>
              <w:left w:val="single" w:sz="2" w:space="0" w:color="auto"/>
              <w:bottom w:val="single" w:sz="2" w:space="0" w:color="auto"/>
              <w:right w:val="nil"/>
            </w:tcBorders>
            <w:shd w:val="clear" w:color="auto" w:fill="auto"/>
            <w:noWrap/>
            <w:vAlign w:val="center"/>
            <w:hideMark/>
          </w:tcPr>
          <w:p w14:paraId="1B783C29" w14:textId="77777777" w:rsidR="00D02C29" w:rsidRPr="003A115E" w:rsidRDefault="00D02C29" w:rsidP="00790DB8">
            <w:pPr>
              <w:pStyle w:val="cuatexto"/>
              <w:jc w:val="right"/>
            </w:pPr>
            <w:r>
              <w:t>23</w:t>
            </w:r>
          </w:p>
        </w:tc>
        <w:tc>
          <w:tcPr>
            <w:tcW w:w="391" w:type="pct"/>
            <w:tcBorders>
              <w:top w:val="single" w:sz="4" w:space="0" w:color="auto"/>
              <w:left w:val="nil"/>
              <w:bottom w:val="single" w:sz="4" w:space="0" w:color="auto"/>
            </w:tcBorders>
            <w:shd w:val="clear" w:color="auto" w:fill="auto"/>
            <w:noWrap/>
            <w:vAlign w:val="center"/>
            <w:hideMark/>
          </w:tcPr>
          <w:p w14:paraId="6EA8A318" w14:textId="77777777" w:rsidR="00D02C29" w:rsidRPr="003A115E" w:rsidRDefault="00D02C29" w:rsidP="00790DB8">
            <w:pPr>
              <w:pStyle w:val="cuatexto"/>
              <w:jc w:val="right"/>
            </w:pPr>
            <w:r>
              <w:t>15</w:t>
            </w:r>
          </w:p>
        </w:tc>
      </w:tr>
      <w:tr w:rsidR="000A742F" w:rsidRPr="003A115E" w14:paraId="5F0E7BA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64CBB665" w14:textId="77777777" w:rsidR="00D02C29" w:rsidRPr="003A115E" w:rsidRDefault="00D02C29" w:rsidP="00A0522B">
            <w:pPr>
              <w:pStyle w:val="cuatexto"/>
            </w:pPr>
            <w:r>
              <w:t>1.000 biztanle bitarte</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762135E0" w14:textId="77777777" w:rsidR="00D02C29" w:rsidRPr="003A115E" w:rsidRDefault="00D02C29" w:rsidP="00790DB8">
            <w:pPr>
              <w:pStyle w:val="cuatexto"/>
              <w:jc w:val="right"/>
            </w:pPr>
            <w:r>
              <w:t>11</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731CD5DF" w14:textId="77777777" w:rsidR="00D02C29" w:rsidRPr="003A115E" w:rsidRDefault="00D02C29" w:rsidP="00790DB8">
            <w:pPr>
              <w:pStyle w:val="cuatexto"/>
              <w:jc w:val="right"/>
            </w:pPr>
            <w:r>
              <w:t>8</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3445C3D3" w14:textId="77777777" w:rsidR="00D02C29" w:rsidRPr="003A115E" w:rsidRDefault="00D02C29" w:rsidP="00790DB8">
            <w:pPr>
              <w:pStyle w:val="cuatexto"/>
              <w:jc w:val="right"/>
            </w:pPr>
            <w:r>
              <w:t>22</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73763A35" w14:textId="77777777" w:rsidR="00D02C29" w:rsidRPr="003A115E" w:rsidRDefault="00D02C29" w:rsidP="00790DB8">
            <w:pPr>
              <w:pStyle w:val="cuatexto"/>
              <w:jc w:val="right"/>
            </w:pPr>
            <w:r>
              <w:t>15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19A40B2D" w14:textId="77777777" w:rsidR="00D02C29" w:rsidRPr="003A115E" w:rsidRDefault="00D02C29" w:rsidP="00790DB8">
            <w:pPr>
              <w:pStyle w:val="cuatexto"/>
              <w:jc w:val="right"/>
            </w:pPr>
            <w:r>
              <w:t>93.434</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454D8401" w14:textId="5897154F" w:rsidR="00D02C29" w:rsidRPr="003A115E" w:rsidRDefault="00D02C29" w:rsidP="00790DB8">
            <w:pPr>
              <w:pStyle w:val="cuatexto"/>
              <w:jc w:val="right"/>
            </w:pPr>
            <w:r>
              <w:t>105.576</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9CDFF37" w14:textId="77777777" w:rsidR="00D02C29" w:rsidRPr="003A115E" w:rsidRDefault="00D02C29" w:rsidP="00790DB8">
            <w:pPr>
              <w:pStyle w:val="cuatexto"/>
              <w:jc w:val="right"/>
            </w:pPr>
            <w:r>
              <w:t>0</w:t>
            </w:r>
          </w:p>
        </w:tc>
        <w:tc>
          <w:tcPr>
            <w:tcW w:w="391" w:type="pct"/>
            <w:tcBorders>
              <w:top w:val="single" w:sz="4" w:space="0" w:color="auto"/>
              <w:left w:val="nil"/>
              <w:bottom w:val="single" w:sz="2" w:space="0" w:color="auto"/>
              <w:right w:val="nil"/>
            </w:tcBorders>
            <w:shd w:val="clear" w:color="auto" w:fill="auto"/>
            <w:noWrap/>
            <w:vAlign w:val="center"/>
            <w:hideMark/>
          </w:tcPr>
          <w:p w14:paraId="7EC4CD8C" w14:textId="77777777" w:rsidR="00D02C29" w:rsidRPr="003A115E" w:rsidRDefault="00D02C29" w:rsidP="00790DB8">
            <w:pPr>
              <w:pStyle w:val="cuatexto"/>
              <w:jc w:val="right"/>
            </w:pPr>
            <w:r>
              <w:t>3</w:t>
            </w:r>
          </w:p>
        </w:tc>
      </w:tr>
      <w:tr w:rsidR="000A742F" w:rsidRPr="003A115E" w14:paraId="6916D36C"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49A9AE6C" w14:textId="77777777" w:rsidR="00D02C29" w:rsidRPr="003A115E" w:rsidRDefault="00D02C29" w:rsidP="00A0522B">
            <w:pPr>
              <w:pStyle w:val="cuatexto"/>
            </w:pPr>
            <w:r>
              <w:t>1.001-5.000 biztanle</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0D954466" w14:textId="77777777" w:rsidR="00D02C29" w:rsidRPr="003A115E" w:rsidRDefault="00D02C29" w:rsidP="00790DB8">
            <w:pPr>
              <w:pStyle w:val="cuatexto"/>
              <w:jc w:val="right"/>
            </w:pPr>
            <w:r>
              <w:t>13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326DA465" w14:textId="77777777" w:rsidR="00D02C29" w:rsidRPr="003A115E" w:rsidRDefault="00D02C29" w:rsidP="00790DB8">
            <w:pPr>
              <w:pStyle w:val="cuatexto"/>
              <w:jc w:val="right"/>
            </w:pPr>
            <w:r>
              <w:t>11</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33487808" w14:textId="77777777" w:rsidR="00D02C29" w:rsidRPr="003A115E" w:rsidRDefault="00D02C29" w:rsidP="00790DB8">
            <w:pPr>
              <w:pStyle w:val="cuatexto"/>
              <w:jc w:val="right"/>
            </w:pPr>
            <w:r>
              <w:t>56</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7E318D5D" w14:textId="77777777" w:rsidR="00D02C29" w:rsidRPr="003A115E" w:rsidRDefault="00D02C29" w:rsidP="00790DB8">
            <w:pPr>
              <w:pStyle w:val="cuatexto"/>
              <w:jc w:val="right"/>
            </w:pPr>
            <w:r>
              <w:t>53</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4E092D68" w14:textId="77777777" w:rsidR="00D02C29" w:rsidRPr="003A115E" w:rsidRDefault="00D02C29" w:rsidP="00790DB8">
            <w:pPr>
              <w:pStyle w:val="cuatexto"/>
              <w:jc w:val="right"/>
            </w:pPr>
            <w:r>
              <w:t>1.134.295</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511FDC1A" w14:textId="624E41CF" w:rsidR="00D02C29" w:rsidRPr="003A115E" w:rsidRDefault="00D02C29" w:rsidP="00790DB8">
            <w:pPr>
              <w:pStyle w:val="cuatexto"/>
              <w:jc w:val="right"/>
            </w:pPr>
            <w:r>
              <w:t>722.113</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E4BABCF" w14:textId="77777777" w:rsidR="00D02C29" w:rsidRPr="003A115E" w:rsidRDefault="00D02C29" w:rsidP="00790DB8">
            <w:pPr>
              <w:pStyle w:val="cuatexto"/>
              <w:jc w:val="right"/>
            </w:pPr>
            <w:r>
              <w:t>12</w:t>
            </w:r>
          </w:p>
        </w:tc>
        <w:tc>
          <w:tcPr>
            <w:tcW w:w="391" w:type="pct"/>
            <w:tcBorders>
              <w:top w:val="single" w:sz="2" w:space="0" w:color="auto"/>
              <w:left w:val="nil"/>
              <w:bottom w:val="single" w:sz="2" w:space="0" w:color="auto"/>
              <w:right w:val="nil"/>
            </w:tcBorders>
            <w:shd w:val="clear" w:color="auto" w:fill="auto"/>
            <w:noWrap/>
            <w:vAlign w:val="center"/>
            <w:hideMark/>
          </w:tcPr>
          <w:p w14:paraId="480B0049" w14:textId="77777777" w:rsidR="00D02C29" w:rsidRPr="003A115E" w:rsidRDefault="00D02C29" w:rsidP="00790DB8">
            <w:pPr>
              <w:pStyle w:val="cuatexto"/>
              <w:jc w:val="right"/>
            </w:pPr>
            <w:r>
              <w:t>4</w:t>
            </w:r>
          </w:p>
        </w:tc>
      </w:tr>
      <w:tr w:rsidR="000A742F" w:rsidRPr="003A115E" w14:paraId="4967ACBF"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BB9CD72" w14:textId="77777777" w:rsidR="00D02C29" w:rsidRPr="003A115E" w:rsidRDefault="00D02C29" w:rsidP="00A0522B">
            <w:pPr>
              <w:pStyle w:val="cuatexto"/>
            </w:pPr>
            <w:r>
              <w:t>5.001-10.000 biztanle</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120B67E2" w14:textId="77777777" w:rsidR="00D02C29" w:rsidRPr="003A115E" w:rsidRDefault="00D02C29" w:rsidP="00790DB8">
            <w:pPr>
              <w:pStyle w:val="cuatexto"/>
              <w:jc w:val="right"/>
            </w:pPr>
            <w:r>
              <w:t>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5A9CF7EE" w14:textId="77777777" w:rsidR="00D02C29" w:rsidRPr="003A115E" w:rsidRDefault="00D02C29" w:rsidP="00790DB8">
            <w:pPr>
              <w:pStyle w:val="cuatexto"/>
              <w:jc w:val="right"/>
            </w:pPr>
            <w:r>
              <w:t>3</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52E05374" w14:textId="77777777" w:rsidR="00D02C29" w:rsidRPr="003A115E" w:rsidRDefault="00D02C29" w:rsidP="00790DB8">
            <w:pPr>
              <w:pStyle w:val="cuatexto"/>
              <w:jc w:val="right"/>
            </w:pPr>
            <w:r>
              <w:t>27</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02EE7BDC" w14:textId="77777777" w:rsidR="00D02C29" w:rsidRPr="003A115E" w:rsidRDefault="00D02C29" w:rsidP="00790DB8">
            <w:pPr>
              <w:pStyle w:val="cuatexto"/>
              <w:jc w:val="right"/>
            </w:pPr>
            <w:r>
              <w:t>35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12125DEC" w14:textId="77777777" w:rsidR="00D02C29" w:rsidRPr="003A115E" w:rsidRDefault="00D02C29" w:rsidP="00790DB8">
            <w:pPr>
              <w:pStyle w:val="cuatexto"/>
              <w:jc w:val="right"/>
            </w:pPr>
            <w:r>
              <w:t>296.124</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65A9E6A6" w14:textId="76744487" w:rsidR="00D02C29" w:rsidRPr="003A115E" w:rsidRDefault="00D02C29" w:rsidP="00790DB8">
            <w:pPr>
              <w:pStyle w:val="cuatexto"/>
              <w:jc w:val="right"/>
            </w:pPr>
            <w:r>
              <w:t>1.072.066</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2025CD3" w14:textId="77777777" w:rsidR="00D02C29" w:rsidRPr="003A115E" w:rsidRDefault="00D02C29" w:rsidP="00790DB8">
            <w:pPr>
              <w:pStyle w:val="cuatexto"/>
              <w:jc w:val="right"/>
            </w:pPr>
            <w:r>
              <w:t>8</w:t>
            </w:r>
          </w:p>
        </w:tc>
        <w:tc>
          <w:tcPr>
            <w:tcW w:w="391" w:type="pct"/>
            <w:tcBorders>
              <w:top w:val="single" w:sz="2" w:space="0" w:color="auto"/>
              <w:left w:val="nil"/>
              <w:bottom w:val="single" w:sz="2" w:space="0" w:color="auto"/>
              <w:right w:val="nil"/>
            </w:tcBorders>
            <w:shd w:val="clear" w:color="auto" w:fill="auto"/>
            <w:noWrap/>
            <w:vAlign w:val="center"/>
            <w:hideMark/>
          </w:tcPr>
          <w:p w14:paraId="6FAFE16B" w14:textId="77777777" w:rsidR="00D02C29" w:rsidRPr="003A115E" w:rsidRDefault="00D02C29" w:rsidP="00790DB8">
            <w:pPr>
              <w:pStyle w:val="cuatexto"/>
              <w:jc w:val="right"/>
            </w:pPr>
            <w:r>
              <w:t>4</w:t>
            </w:r>
          </w:p>
        </w:tc>
      </w:tr>
      <w:tr w:rsidR="000A742F" w:rsidRPr="003A115E" w14:paraId="79D6441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95B045D" w14:textId="77777777" w:rsidR="00D02C29" w:rsidRPr="003A115E" w:rsidRDefault="00D02C29" w:rsidP="00A0522B">
            <w:pPr>
              <w:pStyle w:val="cuatexto"/>
            </w:pPr>
            <w:r>
              <w:t>10.001-20.000 biztanle</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23C3299F" w14:textId="77777777" w:rsidR="00D02C29" w:rsidRPr="003A115E" w:rsidRDefault="00D02C29" w:rsidP="00790DB8">
            <w:pPr>
              <w:pStyle w:val="cuatexto"/>
              <w:jc w:val="right"/>
            </w:pPr>
            <w:r>
              <w:t>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11207754" w14:textId="77777777" w:rsidR="00D02C29" w:rsidRPr="003A115E" w:rsidRDefault="00D02C29" w:rsidP="00790DB8">
            <w:pPr>
              <w:pStyle w:val="cuatexto"/>
              <w:jc w:val="right"/>
            </w:pPr>
            <w:r>
              <w:t>4</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258E9EB2" w14:textId="77777777" w:rsidR="00D02C29" w:rsidRPr="003A115E" w:rsidRDefault="00D02C29" w:rsidP="00790DB8">
            <w:pPr>
              <w:pStyle w:val="cuatexto"/>
              <w:jc w:val="right"/>
            </w:pPr>
            <w:r>
              <w:t>13</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6B6AC996" w14:textId="77777777" w:rsidR="00D02C29" w:rsidRPr="003A115E" w:rsidRDefault="00D02C29" w:rsidP="00790DB8">
            <w:pPr>
              <w:pStyle w:val="cuatexto"/>
              <w:jc w:val="right"/>
            </w:pPr>
            <w:r>
              <w:t>23</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7AC45ECC" w14:textId="77777777" w:rsidR="00D02C29" w:rsidRPr="003A115E" w:rsidRDefault="00D02C29" w:rsidP="00790DB8">
            <w:pPr>
              <w:pStyle w:val="cuatexto"/>
              <w:jc w:val="right"/>
            </w:pPr>
            <w:r>
              <w:t>555.856</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5A75BA1C" w14:textId="7770E0C1" w:rsidR="00D02C29" w:rsidRPr="003A115E" w:rsidRDefault="00D02C29" w:rsidP="00790DB8">
            <w:pPr>
              <w:pStyle w:val="cuatexto"/>
              <w:jc w:val="right"/>
            </w:pPr>
            <w:r>
              <w:t>1.577.054</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7171A3B4" w14:textId="77777777" w:rsidR="00D02C29" w:rsidRPr="003A115E" w:rsidRDefault="00D02C29" w:rsidP="00790DB8">
            <w:pPr>
              <w:pStyle w:val="cuatexto"/>
              <w:jc w:val="right"/>
            </w:pPr>
            <w:r>
              <w:t>0</w:t>
            </w:r>
          </w:p>
        </w:tc>
        <w:tc>
          <w:tcPr>
            <w:tcW w:w="391" w:type="pct"/>
            <w:tcBorders>
              <w:top w:val="single" w:sz="2" w:space="0" w:color="auto"/>
              <w:left w:val="nil"/>
              <w:bottom w:val="single" w:sz="2" w:space="0" w:color="auto"/>
              <w:right w:val="nil"/>
            </w:tcBorders>
            <w:shd w:val="clear" w:color="auto" w:fill="auto"/>
            <w:noWrap/>
            <w:vAlign w:val="center"/>
            <w:hideMark/>
          </w:tcPr>
          <w:p w14:paraId="2FA220EF" w14:textId="77777777" w:rsidR="00D02C29" w:rsidRPr="003A115E" w:rsidRDefault="00D02C29" w:rsidP="00790DB8">
            <w:pPr>
              <w:pStyle w:val="cuatexto"/>
              <w:jc w:val="right"/>
            </w:pPr>
            <w:r>
              <w:t>0</w:t>
            </w:r>
          </w:p>
        </w:tc>
      </w:tr>
      <w:tr w:rsidR="000A742F" w:rsidRPr="003A115E" w14:paraId="4D2C0A7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BFE38D0" w14:textId="77777777" w:rsidR="00D02C29" w:rsidRPr="003A115E" w:rsidRDefault="00D02C29" w:rsidP="00A0522B">
            <w:pPr>
              <w:pStyle w:val="cuatexto"/>
            </w:pPr>
            <w:r>
              <w:t>20.000 bizt. baino gehiago</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52D6481F" w14:textId="77777777" w:rsidR="00D02C29" w:rsidRPr="003A115E" w:rsidRDefault="00D02C29" w:rsidP="00790DB8">
            <w:pPr>
              <w:pStyle w:val="cuatexto"/>
              <w:jc w:val="right"/>
            </w:pPr>
            <w:r>
              <w:t>1</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0199AED3" w14:textId="77777777" w:rsidR="00D02C29" w:rsidRPr="003A115E" w:rsidRDefault="00D02C29" w:rsidP="00790DB8">
            <w:pPr>
              <w:pStyle w:val="cuatexto"/>
              <w:jc w:val="right"/>
            </w:pPr>
            <w:r>
              <w:t>2</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7FD474CB" w14:textId="77777777" w:rsidR="00D02C29" w:rsidRPr="003A115E" w:rsidRDefault="00D02C29" w:rsidP="00790DB8">
            <w:pPr>
              <w:pStyle w:val="cuatexto"/>
              <w:jc w:val="right"/>
            </w:pPr>
            <w:r>
              <w:t>9</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14918D08" w14:textId="77777777" w:rsidR="00D02C29" w:rsidRPr="003A115E" w:rsidRDefault="00D02C29" w:rsidP="00790DB8">
            <w:pPr>
              <w:pStyle w:val="cuatexto"/>
              <w:jc w:val="right"/>
            </w:pPr>
            <w:r>
              <w:t>55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2EDC1F89" w14:textId="77777777" w:rsidR="00D02C29" w:rsidRPr="003A115E" w:rsidRDefault="00D02C29" w:rsidP="00790DB8">
            <w:pPr>
              <w:pStyle w:val="cuatexto"/>
              <w:jc w:val="right"/>
            </w:pPr>
            <w:r>
              <w:t>135.461</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4DB28404" w14:textId="6BF49848" w:rsidR="00D02C29" w:rsidRPr="003A115E" w:rsidRDefault="00D02C29" w:rsidP="00790DB8">
            <w:pPr>
              <w:pStyle w:val="cuatexto"/>
              <w:jc w:val="right"/>
            </w:pPr>
            <w:r>
              <w:t>2.687.000</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547F5E99" w14:textId="77777777" w:rsidR="00D02C29" w:rsidRPr="003A115E" w:rsidRDefault="00D02C29" w:rsidP="00790DB8">
            <w:pPr>
              <w:pStyle w:val="cuatexto"/>
              <w:jc w:val="right"/>
            </w:pPr>
            <w:r>
              <w:t>3</w:t>
            </w:r>
          </w:p>
        </w:tc>
        <w:tc>
          <w:tcPr>
            <w:tcW w:w="391" w:type="pct"/>
            <w:tcBorders>
              <w:top w:val="single" w:sz="2" w:space="0" w:color="auto"/>
              <w:left w:val="nil"/>
              <w:bottom w:val="single" w:sz="2" w:space="0" w:color="auto"/>
              <w:right w:val="nil"/>
            </w:tcBorders>
            <w:shd w:val="clear" w:color="auto" w:fill="auto"/>
            <w:noWrap/>
            <w:vAlign w:val="center"/>
            <w:hideMark/>
          </w:tcPr>
          <w:p w14:paraId="355D08EC" w14:textId="77777777" w:rsidR="00D02C29" w:rsidRPr="003A115E" w:rsidRDefault="00D02C29" w:rsidP="00790DB8">
            <w:pPr>
              <w:pStyle w:val="cuatexto"/>
              <w:jc w:val="right"/>
            </w:pPr>
            <w:r>
              <w:t>4</w:t>
            </w:r>
          </w:p>
        </w:tc>
      </w:tr>
      <w:tr w:rsidR="000A742F" w:rsidRPr="003A115E" w14:paraId="01991B95" w14:textId="77777777" w:rsidTr="00D903EF">
        <w:trPr>
          <w:trHeight w:val="198"/>
        </w:trPr>
        <w:tc>
          <w:tcPr>
            <w:tcW w:w="1574" w:type="pct"/>
            <w:tcBorders>
              <w:top w:val="single" w:sz="2" w:space="0" w:color="auto"/>
              <w:left w:val="nil"/>
              <w:bottom w:val="single" w:sz="4" w:space="0" w:color="auto"/>
              <w:right w:val="single" w:sz="2" w:space="0" w:color="auto"/>
            </w:tcBorders>
            <w:shd w:val="clear" w:color="auto" w:fill="auto"/>
            <w:noWrap/>
            <w:vAlign w:val="center"/>
            <w:hideMark/>
          </w:tcPr>
          <w:p w14:paraId="2D99808C" w14:textId="77777777" w:rsidR="00D02C29" w:rsidRPr="003A115E" w:rsidRDefault="00D02C29" w:rsidP="00A0522B">
            <w:pPr>
              <w:pStyle w:val="cuatexto"/>
            </w:pPr>
            <w:r>
              <w:t>Mankomunitateak eta batasunak</w:t>
            </w:r>
          </w:p>
        </w:tc>
        <w:tc>
          <w:tcPr>
            <w:tcW w:w="392" w:type="pct"/>
            <w:tcBorders>
              <w:top w:val="single" w:sz="2" w:space="0" w:color="auto"/>
              <w:left w:val="single" w:sz="2" w:space="0" w:color="auto"/>
              <w:bottom w:val="single" w:sz="4" w:space="0" w:color="auto"/>
              <w:right w:val="nil"/>
            </w:tcBorders>
            <w:shd w:val="clear" w:color="auto" w:fill="auto"/>
            <w:noWrap/>
            <w:vAlign w:val="center"/>
            <w:hideMark/>
          </w:tcPr>
          <w:p w14:paraId="74E5391F" w14:textId="77777777" w:rsidR="00D02C29" w:rsidRPr="003A115E" w:rsidRDefault="00D02C29" w:rsidP="00790DB8">
            <w:pPr>
              <w:pStyle w:val="cuatexto"/>
              <w:jc w:val="right"/>
            </w:pPr>
            <w:r>
              <w:t>0</w:t>
            </w:r>
          </w:p>
        </w:tc>
        <w:tc>
          <w:tcPr>
            <w:tcW w:w="392" w:type="pct"/>
            <w:tcBorders>
              <w:top w:val="single" w:sz="2" w:space="0" w:color="auto"/>
              <w:left w:val="nil"/>
              <w:bottom w:val="single" w:sz="4" w:space="0" w:color="auto"/>
              <w:right w:val="single" w:sz="2" w:space="0" w:color="auto"/>
            </w:tcBorders>
            <w:shd w:val="clear" w:color="auto" w:fill="auto"/>
            <w:noWrap/>
            <w:vAlign w:val="center"/>
            <w:hideMark/>
          </w:tcPr>
          <w:p w14:paraId="18CD584B" w14:textId="77777777" w:rsidR="00D02C29" w:rsidRPr="003A115E" w:rsidRDefault="00D02C29" w:rsidP="00790DB8">
            <w:pPr>
              <w:pStyle w:val="cuatexto"/>
              <w:jc w:val="right"/>
            </w:pPr>
            <w:r>
              <w:t>2</w:t>
            </w:r>
          </w:p>
        </w:tc>
        <w:tc>
          <w:tcPr>
            <w:tcW w:w="393" w:type="pct"/>
            <w:tcBorders>
              <w:top w:val="single" w:sz="2" w:space="0" w:color="auto"/>
              <w:left w:val="single" w:sz="2" w:space="0" w:color="auto"/>
              <w:bottom w:val="single" w:sz="4" w:space="0" w:color="auto"/>
              <w:right w:val="nil"/>
            </w:tcBorders>
            <w:shd w:val="clear" w:color="auto" w:fill="auto"/>
            <w:noWrap/>
            <w:vAlign w:val="center"/>
            <w:hideMark/>
          </w:tcPr>
          <w:p w14:paraId="18C0FCCE" w14:textId="77777777" w:rsidR="00D02C29" w:rsidRPr="003A115E" w:rsidRDefault="00D02C29" w:rsidP="00790DB8">
            <w:pPr>
              <w:pStyle w:val="cuatexto"/>
              <w:jc w:val="right"/>
            </w:pPr>
            <w:r>
              <w:t>0</w:t>
            </w:r>
          </w:p>
        </w:tc>
        <w:tc>
          <w:tcPr>
            <w:tcW w:w="393" w:type="pct"/>
            <w:tcBorders>
              <w:top w:val="single" w:sz="2" w:space="0" w:color="auto"/>
              <w:left w:val="nil"/>
              <w:bottom w:val="single" w:sz="4" w:space="0" w:color="auto"/>
              <w:right w:val="single" w:sz="2" w:space="0" w:color="auto"/>
            </w:tcBorders>
            <w:shd w:val="clear" w:color="auto" w:fill="auto"/>
            <w:noWrap/>
            <w:vAlign w:val="center"/>
            <w:hideMark/>
          </w:tcPr>
          <w:p w14:paraId="3EAF3038" w14:textId="77777777" w:rsidR="00D02C29" w:rsidRPr="003A115E" w:rsidRDefault="00D02C29" w:rsidP="00790DB8">
            <w:pPr>
              <w:pStyle w:val="cuatexto"/>
              <w:jc w:val="right"/>
            </w:pPr>
            <w:r>
              <w:t>7</w:t>
            </w:r>
          </w:p>
        </w:tc>
        <w:tc>
          <w:tcPr>
            <w:tcW w:w="566" w:type="pct"/>
            <w:tcBorders>
              <w:top w:val="single" w:sz="2" w:space="0" w:color="auto"/>
              <w:left w:val="single" w:sz="2" w:space="0" w:color="auto"/>
              <w:bottom w:val="single" w:sz="4" w:space="0" w:color="auto"/>
              <w:right w:val="nil"/>
            </w:tcBorders>
            <w:shd w:val="clear" w:color="auto" w:fill="auto"/>
            <w:noWrap/>
            <w:vAlign w:val="center"/>
            <w:hideMark/>
          </w:tcPr>
          <w:p w14:paraId="61D9B5D3" w14:textId="77777777" w:rsidR="00D02C29" w:rsidRPr="003A115E" w:rsidRDefault="00D02C29" w:rsidP="00790DB8">
            <w:pPr>
              <w:pStyle w:val="cuatexto"/>
              <w:jc w:val="right"/>
            </w:pPr>
            <w:r>
              <w:t>0</w:t>
            </w:r>
          </w:p>
        </w:tc>
        <w:tc>
          <w:tcPr>
            <w:tcW w:w="566" w:type="pct"/>
            <w:tcBorders>
              <w:top w:val="single" w:sz="2" w:space="0" w:color="auto"/>
              <w:left w:val="nil"/>
              <w:bottom w:val="single" w:sz="4" w:space="0" w:color="auto"/>
              <w:right w:val="single" w:sz="2" w:space="0" w:color="auto"/>
            </w:tcBorders>
            <w:shd w:val="clear" w:color="auto" w:fill="auto"/>
            <w:noWrap/>
            <w:vAlign w:val="center"/>
            <w:hideMark/>
          </w:tcPr>
          <w:p w14:paraId="7821458D" w14:textId="375513E5" w:rsidR="00D02C29" w:rsidRPr="003A115E" w:rsidRDefault="00D02C29" w:rsidP="00790DB8">
            <w:pPr>
              <w:pStyle w:val="cuatexto"/>
              <w:jc w:val="right"/>
            </w:pPr>
            <w:r>
              <w:t>983.614</w:t>
            </w:r>
          </w:p>
        </w:tc>
        <w:tc>
          <w:tcPr>
            <w:tcW w:w="333" w:type="pct"/>
            <w:tcBorders>
              <w:top w:val="single" w:sz="2" w:space="0" w:color="auto"/>
              <w:left w:val="single" w:sz="2" w:space="0" w:color="auto"/>
              <w:bottom w:val="single" w:sz="4" w:space="0" w:color="auto"/>
              <w:right w:val="nil"/>
            </w:tcBorders>
            <w:shd w:val="clear" w:color="auto" w:fill="auto"/>
            <w:noWrap/>
            <w:vAlign w:val="center"/>
            <w:hideMark/>
          </w:tcPr>
          <w:p w14:paraId="2F7633A0" w14:textId="77777777" w:rsidR="00D02C29" w:rsidRPr="003A115E" w:rsidRDefault="00D02C29" w:rsidP="00790DB8">
            <w:pPr>
              <w:pStyle w:val="cuatexto"/>
              <w:jc w:val="right"/>
            </w:pPr>
            <w:r>
              <w:t>0</w:t>
            </w:r>
          </w:p>
        </w:tc>
        <w:tc>
          <w:tcPr>
            <w:tcW w:w="391" w:type="pct"/>
            <w:tcBorders>
              <w:top w:val="single" w:sz="2" w:space="0" w:color="auto"/>
              <w:left w:val="nil"/>
              <w:bottom w:val="single" w:sz="4" w:space="0" w:color="auto"/>
              <w:right w:val="nil"/>
            </w:tcBorders>
            <w:shd w:val="clear" w:color="auto" w:fill="auto"/>
            <w:noWrap/>
            <w:vAlign w:val="center"/>
            <w:hideMark/>
          </w:tcPr>
          <w:p w14:paraId="64A74F46" w14:textId="77777777" w:rsidR="00D02C29" w:rsidRPr="003A115E" w:rsidRDefault="00D02C29" w:rsidP="00790DB8">
            <w:pPr>
              <w:pStyle w:val="cuatexto"/>
              <w:jc w:val="right"/>
            </w:pPr>
            <w:r>
              <w:t>0</w:t>
            </w:r>
          </w:p>
        </w:tc>
      </w:tr>
      <w:tr w:rsidR="000A742F" w:rsidRPr="003A115E" w14:paraId="741FF9FE" w14:textId="77777777" w:rsidTr="005F3A0D">
        <w:trPr>
          <w:trHeight w:val="255"/>
        </w:trPr>
        <w:tc>
          <w:tcPr>
            <w:tcW w:w="157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9C3CCDD" w14:textId="77777777" w:rsidR="00D02C29" w:rsidRPr="003A115E" w:rsidRDefault="00D02C29" w:rsidP="00A0522B">
            <w:pPr>
              <w:pStyle w:val="cuadroCabe"/>
            </w:pPr>
            <w:r>
              <w:lastRenderedPageBreak/>
              <w:t>Guztira</w:t>
            </w:r>
          </w:p>
        </w:tc>
        <w:tc>
          <w:tcPr>
            <w:tcW w:w="392"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7971ACC" w14:textId="77777777" w:rsidR="00D02C29" w:rsidRPr="003A115E" w:rsidRDefault="00D02C29" w:rsidP="00790DB8">
            <w:pPr>
              <w:pStyle w:val="cuadroCabe"/>
              <w:jc w:val="right"/>
            </w:pPr>
            <w:r>
              <w:t>31</w:t>
            </w:r>
          </w:p>
        </w:tc>
        <w:tc>
          <w:tcPr>
            <w:tcW w:w="39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EBC141" w14:textId="77777777" w:rsidR="00D02C29" w:rsidRPr="003A115E" w:rsidRDefault="00D02C29" w:rsidP="00790DB8">
            <w:pPr>
              <w:pStyle w:val="cuadroCabe"/>
              <w:jc w:val="right"/>
            </w:pPr>
            <w:r>
              <w:t>30</w:t>
            </w:r>
          </w:p>
        </w:tc>
        <w:tc>
          <w:tcPr>
            <w:tcW w:w="39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161967B" w14:textId="77777777" w:rsidR="00D02C29" w:rsidRPr="003A115E" w:rsidRDefault="00D02C29" w:rsidP="00790DB8">
            <w:pPr>
              <w:pStyle w:val="cuadroCabe"/>
              <w:jc w:val="right"/>
            </w:pPr>
            <w:r>
              <w:t>127</w:t>
            </w:r>
          </w:p>
        </w:tc>
        <w:tc>
          <w:tcPr>
            <w:tcW w:w="39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7D6CB8A" w14:textId="77777777" w:rsidR="00D02C29" w:rsidRPr="003A115E" w:rsidRDefault="00D02C29" w:rsidP="00790DB8">
            <w:pPr>
              <w:pStyle w:val="cuadroCabe"/>
              <w:jc w:val="right"/>
            </w:pPr>
            <w:r>
              <w:t>188</w:t>
            </w:r>
          </w:p>
        </w:tc>
        <w:tc>
          <w:tcPr>
            <w:tcW w:w="56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64B6BB1" w14:textId="77777777" w:rsidR="00D02C29" w:rsidRPr="003A115E" w:rsidRDefault="00D02C29" w:rsidP="00790DB8">
            <w:pPr>
              <w:pStyle w:val="cuadroCabe"/>
              <w:jc w:val="right"/>
            </w:pPr>
            <w:r>
              <w:t>2.215.170</w:t>
            </w:r>
          </w:p>
        </w:tc>
        <w:tc>
          <w:tcPr>
            <w:tcW w:w="56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66F10D6" w14:textId="684EBB1F" w:rsidR="00D02C29" w:rsidRPr="003A115E" w:rsidRDefault="00D02C29" w:rsidP="00790DB8">
            <w:pPr>
              <w:pStyle w:val="cuadroCabe"/>
              <w:jc w:val="right"/>
            </w:pPr>
            <w:r>
              <w:t>7.147.424</w:t>
            </w:r>
          </w:p>
        </w:tc>
        <w:tc>
          <w:tcPr>
            <w:tcW w:w="33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DE5A9AC" w14:textId="77777777" w:rsidR="00D02C29" w:rsidRPr="003A115E" w:rsidRDefault="00D02C29" w:rsidP="00790DB8">
            <w:pPr>
              <w:pStyle w:val="cuadroCabe"/>
              <w:jc w:val="right"/>
            </w:pPr>
            <w:r>
              <w:t>23</w:t>
            </w:r>
          </w:p>
        </w:tc>
        <w:tc>
          <w:tcPr>
            <w:tcW w:w="391" w:type="pct"/>
            <w:tcBorders>
              <w:top w:val="single" w:sz="4" w:space="0" w:color="auto"/>
              <w:left w:val="nil"/>
              <w:bottom w:val="single" w:sz="4" w:space="0" w:color="auto"/>
              <w:right w:val="nil"/>
            </w:tcBorders>
            <w:shd w:val="clear" w:color="auto" w:fill="FABF8F" w:themeFill="accent6" w:themeFillTint="99"/>
            <w:noWrap/>
            <w:vAlign w:val="center"/>
            <w:hideMark/>
          </w:tcPr>
          <w:p w14:paraId="2EAB13B6" w14:textId="77777777" w:rsidR="00D02C29" w:rsidRPr="003A115E" w:rsidRDefault="00D02C29" w:rsidP="00790DB8">
            <w:pPr>
              <w:pStyle w:val="cuadroCabe"/>
              <w:jc w:val="right"/>
            </w:pPr>
            <w:r>
              <w:t>15</w:t>
            </w:r>
          </w:p>
        </w:tc>
      </w:tr>
    </w:tbl>
    <w:p w14:paraId="2C5D0A05" w14:textId="34FA02A1" w:rsidR="000E3227" w:rsidRPr="003A115E" w:rsidRDefault="000E3227" w:rsidP="00CC28BD">
      <w:pPr>
        <w:tabs>
          <w:tab w:val="left" w:pos="1630"/>
          <w:tab w:val="left" w:pos="2480"/>
          <w:tab w:val="left" w:pos="3189"/>
          <w:tab w:val="left" w:pos="4039"/>
          <w:tab w:val="left" w:pos="4748"/>
          <w:tab w:val="left" w:pos="5740"/>
          <w:tab w:val="left" w:pos="6733"/>
          <w:tab w:val="left" w:pos="7725"/>
        </w:tabs>
        <w:spacing w:before="240" w:after="240"/>
        <w:ind w:left="68" w:firstLine="215"/>
        <w:jc w:val="both"/>
        <w:rPr>
          <w:rFonts w:cs="Arial"/>
          <w:spacing w:val="6"/>
          <w:sz w:val="26"/>
        </w:rPr>
      </w:pPr>
      <w:r>
        <w:rPr>
          <w:sz w:val="26"/>
        </w:rPr>
        <w:t>Honako taula hauetan xehakatu dira eragozpen-oharrek ukitutako kudeaketa-arloak eta eragozpen-oharren arrazoiak</w:t>
      </w:r>
      <w:r>
        <w:rPr>
          <w:i/>
          <w:sz w:val="26"/>
        </w:rPr>
        <w:t xml:space="preserve">: </w:t>
      </w:r>
    </w:p>
    <w:tbl>
      <w:tblPr>
        <w:tblW w:w="8789" w:type="dxa"/>
        <w:tblCellMar>
          <w:left w:w="70" w:type="dxa"/>
          <w:right w:w="70" w:type="dxa"/>
        </w:tblCellMar>
        <w:tblLook w:val="04A0" w:firstRow="1" w:lastRow="0" w:firstColumn="1" w:lastColumn="0" w:noHBand="0" w:noVBand="1"/>
      </w:tblPr>
      <w:tblGrid>
        <w:gridCol w:w="2808"/>
        <w:gridCol w:w="1252"/>
        <w:gridCol w:w="686"/>
        <w:gridCol w:w="1392"/>
        <w:gridCol w:w="997"/>
        <w:gridCol w:w="828"/>
        <w:gridCol w:w="826"/>
      </w:tblGrid>
      <w:tr w:rsidR="000A742F" w:rsidRPr="003A115E" w14:paraId="0C9D69BA" w14:textId="77777777" w:rsidTr="000001CA">
        <w:trPr>
          <w:trHeight w:val="255"/>
        </w:trPr>
        <w:tc>
          <w:tcPr>
            <w:tcW w:w="1598" w:type="pct"/>
            <w:vMerge w:val="restart"/>
            <w:tcBorders>
              <w:top w:val="single" w:sz="4" w:space="0" w:color="auto"/>
              <w:left w:val="nil"/>
              <w:bottom w:val="single" w:sz="4" w:space="0" w:color="auto"/>
            </w:tcBorders>
            <w:shd w:val="clear" w:color="auto" w:fill="FABF8F" w:themeFill="accent6" w:themeFillTint="99"/>
            <w:noWrap/>
            <w:vAlign w:val="center"/>
            <w:hideMark/>
          </w:tcPr>
          <w:p w14:paraId="4D494610" w14:textId="77777777" w:rsidR="004F21F7" w:rsidRPr="003A115E" w:rsidRDefault="004F21F7" w:rsidP="00A0522B">
            <w:pPr>
              <w:pStyle w:val="cuadroCabe"/>
            </w:pPr>
            <w:r>
              <w:t>Kudeaketa-arloa</w:t>
            </w:r>
          </w:p>
        </w:tc>
        <w:tc>
          <w:tcPr>
            <w:tcW w:w="1102" w:type="pct"/>
            <w:gridSpan w:val="2"/>
            <w:tcBorders>
              <w:top w:val="single" w:sz="4" w:space="0" w:color="auto"/>
              <w:bottom w:val="single" w:sz="2" w:space="0" w:color="auto"/>
              <w:right w:val="single" w:sz="2" w:space="0" w:color="auto"/>
            </w:tcBorders>
            <w:shd w:val="clear" w:color="auto" w:fill="FABF8F" w:themeFill="accent6" w:themeFillTint="99"/>
            <w:vAlign w:val="center"/>
            <w:hideMark/>
          </w:tcPr>
          <w:p w14:paraId="0F11BA2B" w14:textId="77777777" w:rsidR="004F21F7" w:rsidRPr="003A115E" w:rsidRDefault="004F21F7" w:rsidP="00A0522B">
            <w:pPr>
              <w:pStyle w:val="cuadroCabe"/>
              <w:jc w:val="right"/>
            </w:pPr>
            <w:r>
              <w:t>Eragozpen-oharren kop.</w:t>
            </w:r>
          </w:p>
        </w:tc>
        <w:tc>
          <w:tcPr>
            <w:tcW w:w="1359"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61FBBBE" w14:textId="77777777" w:rsidR="004F21F7" w:rsidRPr="003A115E" w:rsidRDefault="004F21F7" w:rsidP="00A0522B">
            <w:pPr>
              <w:pStyle w:val="cuadroCabe"/>
              <w:jc w:val="right"/>
            </w:pPr>
            <w:r>
              <w:t>Zenbatekoa (euroak)</w:t>
            </w:r>
          </w:p>
        </w:tc>
        <w:tc>
          <w:tcPr>
            <w:tcW w:w="942"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7A7243BC" w14:textId="77777777" w:rsidR="004F21F7" w:rsidRPr="003A115E" w:rsidRDefault="004F21F7" w:rsidP="00A0522B">
            <w:pPr>
              <w:pStyle w:val="cuadroCabe"/>
              <w:jc w:val="right"/>
            </w:pPr>
            <w:r>
              <w:t>Zenbatekorik gabe</w:t>
            </w:r>
          </w:p>
        </w:tc>
      </w:tr>
      <w:tr w:rsidR="000A742F" w:rsidRPr="003A115E" w14:paraId="106A31C4" w14:textId="77777777" w:rsidTr="000001CA">
        <w:trPr>
          <w:trHeight w:val="255"/>
        </w:trPr>
        <w:tc>
          <w:tcPr>
            <w:tcW w:w="1598" w:type="pct"/>
            <w:vMerge/>
            <w:tcBorders>
              <w:top w:val="single" w:sz="4" w:space="0" w:color="auto"/>
              <w:bottom w:val="single" w:sz="4" w:space="0" w:color="auto"/>
            </w:tcBorders>
            <w:vAlign w:val="center"/>
            <w:hideMark/>
          </w:tcPr>
          <w:p w14:paraId="0DEDC3BD" w14:textId="77777777" w:rsidR="004F21F7" w:rsidRPr="003A115E" w:rsidRDefault="004F21F7" w:rsidP="004F21F7">
            <w:pPr>
              <w:rPr>
                <w:rFonts w:ascii="Arial Narrow" w:hAnsi="Arial Narrow" w:cs="Calibri"/>
                <w:sz w:val="16"/>
                <w:szCs w:val="16"/>
              </w:rPr>
            </w:pPr>
          </w:p>
        </w:tc>
        <w:tc>
          <w:tcPr>
            <w:tcW w:w="712" w:type="pct"/>
            <w:tcBorders>
              <w:top w:val="single" w:sz="2" w:space="0" w:color="auto"/>
              <w:bottom w:val="single" w:sz="4" w:space="0" w:color="auto"/>
              <w:right w:val="nil"/>
            </w:tcBorders>
            <w:shd w:val="clear" w:color="auto" w:fill="FABF8F" w:themeFill="accent6" w:themeFillTint="99"/>
            <w:noWrap/>
            <w:vAlign w:val="center"/>
            <w:hideMark/>
          </w:tcPr>
          <w:p w14:paraId="757AE1DA" w14:textId="77777777" w:rsidR="004F21F7" w:rsidRPr="003A115E" w:rsidRDefault="004F21F7" w:rsidP="00A0522B">
            <w:pPr>
              <w:jc w:val="right"/>
              <w:rPr>
                <w:rFonts w:ascii="Arial" w:hAnsi="Arial" w:cs="Arial"/>
                <w:sz w:val="18"/>
                <w:szCs w:val="18"/>
              </w:rPr>
            </w:pPr>
            <w:r>
              <w:rPr>
                <w:rFonts w:ascii="Arial" w:hAnsi="Arial"/>
                <w:sz w:val="18"/>
              </w:rPr>
              <w:t>2021</w:t>
            </w:r>
          </w:p>
        </w:tc>
        <w:tc>
          <w:tcPr>
            <w:tcW w:w="390"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0637713E" w14:textId="77777777" w:rsidR="004F21F7" w:rsidRPr="003A115E" w:rsidRDefault="004F21F7" w:rsidP="00A0522B">
            <w:pPr>
              <w:jc w:val="right"/>
              <w:rPr>
                <w:rFonts w:ascii="Arial" w:hAnsi="Arial" w:cs="Arial"/>
                <w:sz w:val="18"/>
                <w:szCs w:val="18"/>
              </w:rPr>
            </w:pPr>
            <w:r>
              <w:rPr>
                <w:rFonts w:ascii="Arial" w:hAnsi="Arial"/>
                <w:sz w:val="18"/>
              </w:rPr>
              <w:t>2022</w:t>
            </w:r>
          </w:p>
        </w:tc>
        <w:tc>
          <w:tcPr>
            <w:tcW w:w="792"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1800138B" w14:textId="77777777" w:rsidR="004F21F7" w:rsidRPr="003A115E" w:rsidRDefault="004F21F7" w:rsidP="00A0522B">
            <w:pPr>
              <w:jc w:val="right"/>
              <w:rPr>
                <w:rFonts w:ascii="Arial" w:hAnsi="Arial" w:cs="Arial"/>
                <w:sz w:val="18"/>
                <w:szCs w:val="18"/>
              </w:rPr>
            </w:pPr>
            <w:r>
              <w:rPr>
                <w:rFonts w:ascii="Arial" w:hAnsi="Arial"/>
                <w:sz w:val="18"/>
              </w:rPr>
              <w:t>2021</w:t>
            </w:r>
          </w:p>
        </w:tc>
        <w:tc>
          <w:tcPr>
            <w:tcW w:w="566"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55FA81ED" w14:textId="77777777" w:rsidR="004F21F7" w:rsidRPr="003A115E" w:rsidRDefault="004F21F7" w:rsidP="00A0522B">
            <w:pPr>
              <w:jc w:val="right"/>
              <w:rPr>
                <w:rFonts w:ascii="Arial" w:hAnsi="Arial" w:cs="Arial"/>
                <w:sz w:val="18"/>
                <w:szCs w:val="18"/>
              </w:rPr>
            </w:pPr>
            <w:r>
              <w:rPr>
                <w:rFonts w:ascii="Arial" w:hAnsi="Arial"/>
                <w:sz w:val="18"/>
              </w:rPr>
              <w:t>2022</w:t>
            </w:r>
          </w:p>
        </w:tc>
        <w:tc>
          <w:tcPr>
            <w:tcW w:w="471"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657576A" w14:textId="77777777" w:rsidR="004F21F7" w:rsidRPr="003A115E" w:rsidRDefault="004F21F7" w:rsidP="00A0522B">
            <w:pPr>
              <w:jc w:val="right"/>
              <w:rPr>
                <w:rFonts w:ascii="Arial" w:hAnsi="Arial" w:cs="Arial"/>
                <w:sz w:val="18"/>
                <w:szCs w:val="18"/>
              </w:rPr>
            </w:pPr>
            <w:r>
              <w:rPr>
                <w:rFonts w:ascii="Arial" w:hAnsi="Arial"/>
                <w:sz w:val="18"/>
              </w:rPr>
              <w:t>2021</w:t>
            </w:r>
          </w:p>
        </w:tc>
        <w:tc>
          <w:tcPr>
            <w:tcW w:w="470" w:type="pct"/>
            <w:tcBorders>
              <w:top w:val="single" w:sz="2" w:space="0" w:color="auto"/>
              <w:left w:val="nil"/>
              <w:bottom w:val="single" w:sz="4" w:space="0" w:color="auto"/>
              <w:right w:val="nil"/>
            </w:tcBorders>
            <w:shd w:val="clear" w:color="auto" w:fill="FABF8F" w:themeFill="accent6" w:themeFillTint="99"/>
            <w:noWrap/>
            <w:vAlign w:val="center"/>
            <w:hideMark/>
          </w:tcPr>
          <w:p w14:paraId="5FC129B7" w14:textId="77777777" w:rsidR="004F21F7" w:rsidRPr="003A115E" w:rsidRDefault="004F21F7" w:rsidP="00A0522B">
            <w:pPr>
              <w:jc w:val="right"/>
              <w:rPr>
                <w:rFonts w:ascii="Arial" w:hAnsi="Arial" w:cs="Arial"/>
                <w:sz w:val="18"/>
                <w:szCs w:val="18"/>
              </w:rPr>
            </w:pPr>
            <w:r>
              <w:rPr>
                <w:rFonts w:ascii="Arial" w:hAnsi="Arial"/>
                <w:sz w:val="18"/>
              </w:rPr>
              <w:t>2022</w:t>
            </w:r>
          </w:p>
        </w:tc>
      </w:tr>
      <w:tr w:rsidR="000A742F" w:rsidRPr="003A115E" w14:paraId="0214659D" w14:textId="77777777" w:rsidTr="000001CA">
        <w:trPr>
          <w:trHeight w:val="198"/>
        </w:trPr>
        <w:tc>
          <w:tcPr>
            <w:tcW w:w="1598" w:type="pct"/>
            <w:tcBorders>
              <w:top w:val="single" w:sz="4" w:space="0" w:color="auto"/>
              <w:left w:val="nil"/>
              <w:bottom w:val="single" w:sz="2" w:space="0" w:color="auto"/>
              <w:right w:val="nil"/>
            </w:tcBorders>
            <w:shd w:val="clear" w:color="auto" w:fill="auto"/>
            <w:noWrap/>
            <w:vAlign w:val="center"/>
            <w:hideMark/>
          </w:tcPr>
          <w:p w14:paraId="5503EF57" w14:textId="77777777" w:rsidR="004F21F7" w:rsidRPr="003A115E" w:rsidRDefault="004F21F7" w:rsidP="00A0522B">
            <w:pPr>
              <w:pStyle w:val="cuatexto"/>
            </w:pPr>
            <w:r>
              <w:t>Kontratazioa</w:t>
            </w:r>
          </w:p>
        </w:tc>
        <w:tc>
          <w:tcPr>
            <w:tcW w:w="712" w:type="pct"/>
            <w:tcBorders>
              <w:top w:val="single" w:sz="4" w:space="0" w:color="auto"/>
              <w:left w:val="nil"/>
              <w:bottom w:val="single" w:sz="2" w:space="0" w:color="auto"/>
              <w:right w:val="nil"/>
            </w:tcBorders>
            <w:shd w:val="clear" w:color="auto" w:fill="auto"/>
            <w:noWrap/>
            <w:vAlign w:val="center"/>
            <w:hideMark/>
          </w:tcPr>
          <w:p w14:paraId="1301ACDB" w14:textId="77777777" w:rsidR="004F21F7" w:rsidRPr="003A115E" w:rsidRDefault="004F21F7" w:rsidP="00A0522B">
            <w:pPr>
              <w:pStyle w:val="cuatexto"/>
              <w:jc w:val="right"/>
            </w:pPr>
            <w:r>
              <w:t>86</w:t>
            </w:r>
          </w:p>
        </w:tc>
        <w:tc>
          <w:tcPr>
            <w:tcW w:w="390" w:type="pct"/>
            <w:tcBorders>
              <w:top w:val="single" w:sz="4" w:space="0" w:color="auto"/>
              <w:left w:val="nil"/>
              <w:bottom w:val="single" w:sz="2" w:space="0" w:color="auto"/>
              <w:right w:val="single" w:sz="2" w:space="0" w:color="auto"/>
            </w:tcBorders>
            <w:shd w:val="clear" w:color="auto" w:fill="auto"/>
            <w:noWrap/>
            <w:vAlign w:val="center"/>
            <w:hideMark/>
          </w:tcPr>
          <w:p w14:paraId="425115A4" w14:textId="77777777" w:rsidR="004F21F7" w:rsidRPr="003A115E" w:rsidRDefault="004F21F7" w:rsidP="00A0522B">
            <w:pPr>
              <w:pStyle w:val="cuatexto"/>
              <w:jc w:val="right"/>
            </w:pPr>
            <w:r>
              <w:t>141</w:t>
            </w:r>
          </w:p>
        </w:tc>
        <w:tc>
          <w:tcPr>
            <w:tcW w:w="792" w:type="pct"/>
            <w:tcBorders>
              <w:top w:val="single" w:sz="4" w:space="0" w:color="auto"/>
              <w:left w:val="single" w:sz="2" w:space="0" w:color="auto"/>
              <w:bottom w:val="single" w:sz="2" w:space="0" w:color="auto"/>
              <w:right w:val="nil"/>
            </w:tcBorders>
            <w:shd w:val="clear" w:color="auto" w:fill="auto"/>
            <w:noWrap/>
            <w:vAlign w:val="center"/>
            <w:hideMark/>
          </w:tcPr>
          <w:p w14:paraId="3BB80461" w14:textId="77777777" w:rsidR="004F21F7" w:rsidRPr="003A115E" w:rsidRDefault="004F21F7" w:rsidP="00A0522B">
            <w:pPr>
              <w:pStyle w:val="cuatexto"/>
              <w:jc w:val="right"/>
            </w:pPr>
            <w:r>
              <w:t>2.159.814</w:t>
            </w:r>
          </w:p>
        </w:tc>
        <w:tc>
          <w:tcPr>
            <w:tcW w:w="566" w:type="pct"/>
            <w:tcBorders>
              <w:top w:val="single" w:sz="4" w:space="0" w:color="auto"/>
              <w:left w:val="nil"/>
              <w:bottom w:val="single" w:sz="2" w:space="0" w:color="auto"/>
              <w:right w:val="single" w:sz="2" w:space="0" w:color="auto"/>
            </w:tcBorders>
            <w:shd w:val="clear" w:color="auto" w:fill="auto"/>
            <w:noWrap/>
            <w:vAlign w:val="center"/>
            <w:hideMark/>
          </w:tcPr>
          <w:p w14:paraId="1D8CC1E0" w14:textId="77777777" w:rsidR="004F21F7" w:rsidRPr="003A115E" w:rsidRDefault="004F21F7" w:rsidP="00A0522B">
            <w:pPr>
              <w:pStyle w:val="cuatexto"/>
              <w:jc w:val="right"/>
            </w:pPr>
            <w:r>
              <w:t>5.532.258</w:t>
            </w:r>
          </w:p>
        </w:tc>
        <w:tc>
          <w:tcPr>
            <w:tcW w:w="471" w:type="pct"/>
            <w:tcBorders>
              <w:top w:val="single" w:sz="4" w:space="0" w:color="auto"/>
              <w:left w:val="single" w:sz="2" w:space="0" w:color="auto"/>
              <w:bottom w:val="single" w:sz="2" w:space="0" w:color="auto"/>
              <w:right w:val="nil"/>
            </w:tcBorders>
            <w:shd w:val="clear" w:color="auto" w:fill="auto"/>
            <w:noWrap/>
            <w:vAlign w:val="center"/>
            <w:hideMark/>
          </w:tcPr>
          <w:p w14:paraId="3BF6708A" w14:textId="77777777" w:rsidR="004F21F7" w:rsidRPr="003A115E" w:rsidRDefault="004F21F7" w:rsidP="00A0522B">
            <w:pPr>
              <w:pStyle w:val="cuatexto"/>
              <w:jc w:val="right"/>
            </w:pPr>
            <w:r>
              <w:t>5</w:t>
            </w:r>
          </w:p>
        </w:tc>
        <w:tc>
          <w:tcPr>
            <w:tcW w:w="470" w:type="pct"/>
            <w:tcBorders>
              <w:top w:val="single" w:sz="4" w:space="0" w:color="auto"/>
              <w:left w:val="nil"/>
              <w:bottom w:val="single" w:sz="2" w:space="0" w:color="auto"/>
              <w:right w:val="nil"/>
            </w:tcBorders>
            <w:shd w:val="clear" w:color="auto" w:fill="auto"/>
            <w:noWrap/>
            <w:vAlign w:val="center"/>
            <w:hideMark/>
          </w:tcPr>
          <w:p w14:paraId="78482084" w14:textId="788A9ECD" w:rsidR="004F21F7" w:rsidRPr="003A115E" w:rsidRDefault="004F21F7" w:rsidP="00A0522B">
            <w:pPr>
              <w:pStyle w:val="cuatexto"/>
              <w:jc w:val="right"/>
            </w:pPr>
            <w:r>
              <w:t>6</w:t>
            </w:r>
          </w:p>
        </w:tc>
      </w:tr>
      <w:tr w:rsidR="000A742F" w:rsidRPr="003A115E" w14:paraId="640569A7" w14:textId="77777777" w:rsidTr="000001CA">
        <w:trPr>
          <w:trHeight w:val="198"/>
        </w:trPr>
        <w:tc>
          <w:tcPr>
            <w:tcW w:w="1598" w:type="pct"/>
            <w:tcBorders>
              <w:top w:val="single" w:sz="2" w:space="0" w:color="auto"/>
              <w:left w:val="nil"/>
              <w:bottom w:val="single" w:sz="2" w:space="0" w:color="auto"/>
              <w:right w:val="nil"/>
            </w:tcBorders>
            <w:shd w:val="clear" w:color="auto" w:fill="auto"/>
            <w:noWrap/>
            <w:vAlign w:val="center"/>
            <w:hideMark/>
          </w:tcPr>
          <w:p w14:paraId="638ADCAC" w14:textId="77777777" w:rsidR="004F21F7" w:rsidRPr="003A115E" w:rsidRDefault="004F21F7" w:rsidP="00A0522B">
            <w:pPr>
              <w:pStyle w:val="cuatexto"/>
            </w:pPr>
            <w:r>
              <w:t>Langileria</w:t>
            </w:r>
          </w:p>
        </w:tc>
        <w:tc>
          <w:tcPr>
            <w:tcW w:w="712" w:type="pct"/>
            <w:tcBorders>
              <w:top w:val="single" w:sz="2" w:space="0" w:color="auto"/>
              <w:left w:val="nil"/>
              <w:bottom w:val="single" w:sz="2" w:space="0" w:color="auto"/>
              <w:right w:val="nil"/>
            </w:tcBorders>
            <w:shd w:val="clear" w:color="auto" w:fill="auto"/>
            <w:noWrap/>
            <w:vAlign w:val="center"/>
            <w:hideMark/>
          </w:tcPr>
          <w:p w14:paraId="6140ABDE" w14:textId="77777777" w:rsidR="004F21F7" w:rsidRPr="003A115E" w:rsidRDefault="004F21F7" w:rsidP="00A0522B">
            <w:pPr>
              <w:pStyle w:val="cuatexto"/>
              <w:jc w:val="right"/>
            </w:pPr>
            <w:r>
              <w:t>17</w:t>
            </w:r>
          </w:p>
        </w:tc>
        <w:tc>
          <w:tcPr>
            <w:tcW w:w="390" w:type="pct"/>
            <w:tcBorders>
              <w:top w:val="single" w:sz="2" w:space="0" w:color="auto"/>
              <w:left w:val="nil"/>
              <w:bottom w:val="single" w:sz="2" w:space="0" w:color="auto"/>
              <w:right w:val="single" w:sz="2" w:space="0" w:color="auto"/>
            </w:tcBorders>
            <w:shd w:val="clear" w:color="auto" w:fill="auto"/>
            <w:noWrap/>
            <w:vAlign w:val="center"/>
            <w:hideMark/>
          </w:tcPr>
          <w:p w14:paraId="090E5E62" w14:textId="77777777" w:rsidR="004F21F7" w:rsidRPr="003A115E" w:rsidRDefault="004F21F7" w:rsidP="00A0522B">
            <w:pPr>
              <w:pStyle w:val="cuatexto"/>
              <w:jc w:val="right"/>
            </w:pPr>
            <w:r>
              <w:t>12</w:t>
            </w:r>
          </w:p>
        </w:tc>
        <w:tc>
          <w:tcPr>
            <w:tcW w:w="792" w:type="pct"/>
            <w:tcBorders>
              <w:top w:val="single" w:sz="2" w:space="0" w:color="auto"/>
              <w:left w:val="single" w:sz="2" w:space="0" w:color="auto"/>
              <w:bottom w:val="single" w:sz="2" w:space="0" w:color="auto"/>
              <w:right w:val="nil"/>
            </w:tcBorders>
            <w:shd w:val="clear" w:color="auto" w:fill="auto"/>
            <w:noWrap/>
            <w:vAlign w:val="center"/>
            <w:hideMark/>
          </w:tcPr>
          <w:p w14:paraId="07479D50" w14:textId="77777777" w:rsidR="004F21F7" w:rsidRPr="003A115E" w:rsidRDefault="004F21F7" w:rsidP="00A0522B">
            <w:pPr>
              <w:pStyle w:val="cuatexto"/>
              <w:jc w:val="right"/>
            </w:pPr>
            <w:r>
              <w:t>14.226</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616AB305" w14:textId="77777777" w:rsidR="004F21F7" w:rsidRPr="003A115E" w:rsidRDefault="004F21F7" w:rsidP="00A0522B">
            <w:pPr>
              <w:pStyle w:val="cuatexto"/>
              <w:jc w:val="right"/>
            </w:pPr>
            <w:r>
              <w:t>57.171</w:t>
            </w:r>
          </w:p>
        </w:tc>
        <w:tc>
          <w:tcPr>
            <w:tcW w:w="471" w:type="pct"/>
            <w:tcBorders>
              <w:top w:val="single" w:sz="2" w:space="0" w:color="auto"/>
              <w:left w:val="single" w:sz="2" w:space="0" w:color="auto"/>
              <w:bottom w:val="single" w:sz="2" w:space="0" w:color="auto"/>
              <w:right w:val="nil"/>
            </w:tcBorders>
            <w:shd w:val="clear" w:color="auto" w:fill="auto"/>
            <w:noWrap/>
            <w:vAlign w:val="center"/>
            <w:hideMark/>
          </w:tcPr>
          <w:p w14:paraId="5562A00E" w14:textId="77777777" w:rsidR="004F21F7" w:rsidRPr="003A115E" w:rsidRDefault="004F21F7" w:rsidP="00A0522B">
            <w:pPr>
              <w:pStyle w:val="cuatexto"/>
              <w:jc w:val="right"/>
            </w:pPr>
            <w:r>
              <w:t>4</w:t>
            </w:r>
          </w:p>
        </w:tc>
        <w:tc>
          <w:tcPr>
            <w:tcW w:w="470" w:type="pct"/>
            <w:tcBorders>
              <w:top w:val="single" w:sz="2" w:space="0" w:color="auto"/>
              <w:left w:val="nil"/>
              <w:bottom w:val="single" w:sz="2" w:space="0" w:color="auto"/>
              <w:right w:val="nil"/>
            </w:tcBorders>
            <w:shd w:val="clear" w:color="auto" w:fill="auto"/>
            <w:noWrap/>
            <w:vAlign w:val="center"/>
            <w:hideMark/>
          </w:tcPr>
          <w:p w14:paraId="43A31FBD" w14:textId="55FCB759" w:rsidR="004F21F7" w:rsidRPr="003A115E" w:rsidRDefault="004F21F7" w:rsidP="00A0522B">
            <w:pPr>
              <w:pStyle w:val="cuatexto"/>
              <w:jc w:val="right"/>
            </w:pPr>
            <w:r>
              <w:t>5</w:t>
            </w:r>
          </w:p>
        </w:tc>
      </w:tr>
      <w:tr w:rsidR="000A742F" w:rsidRPr="003A115E" w14:paraId="5349DEA2" w14:textId="77777777" w:rsidTr="000001CA">
        <w:trPr>
          <w:trHeight w:val="198"/>
        </w:trPr>
        <w:tc>
          <w:tcPr>
            <w:tcW w:w="1598" w:type="pct"/>
            <w:tcBorders>
              <w:top w:val="single" w:sz="2" w:space="0" w:color="auto"/>
              <w:left w:val="nil"/>
              <w:bottom w:val="single" w:sz="2" w:space="0" w:color="auto"/>
              <w:right w:val="nil"/>
            </w:tcBorders>
            <w:shd w:val="clear" w:color="auto" w:fill="auto"/>
            <w:noWrap/>
            <w:vAlign w:val="center"/>
            <w:hideMark/>
          </w:tcPr>
          <w:p w14:paraId="3EB31D42" w14:textId="77777777" w:rsidR="004F21F7" w:rsidRPr="003A115E" w:rsidRDefault="004F21F7" w:rsidP="00A0522B">
            <w:pPr>
              <w:pStyle w:val="cuatexto"/>
            </w:pPr>
            <w:r>
              <w:t>Dirulaguntzak</w:t>
            </w:r>
          </w:p>
        </w:tc>
        <w:tc>
          <w:tcPr>
            <w:tcW w:w="712" w:type="pct"/>
            <w:tcBorders>
              <w:top w:val="single" w:sz="2" w:space="0" w:color="auto"/>
              <w:left w:val="nil"/>
              <w:bottom w:val="single" w:sz="2" w:space="0" w:color="auto"/>
              <w:right w:val="nil"/>
            </w:tcBorders>
            <w:shd w:val="clear" w:color="auto" w:fill="auto"/>
            <w:noWrap/>
            <w:vAlign w:val="center"/>
            <w:hideMark/>
          </w:tcPr>
          <w:p w14:paraId="787654E6" w14:textId="77777777" w:rsidR="004F21F7" w:rsidRPr="003A115E" w:rsidRDefault="004F21F7" w:rsidP="00A0522B">
            <w:pPr>
              <w:pStyle w:val="cuatexto"/>
              <w:jc w:val="right"/>
            </w:pPr>
            <w:r>
              <w:t>10</w:t>
            </w:r>
          </w:p>
        </w:tc>
        <w:tc>
          <w:tcPr>
            <w:tcW w:w="390" w:type="pct"/>
            <w:tcBorders>
              <w:top w:val="single" w:sz="2" w:space="0" w:color="auto"/>
              <w:left w:val="nil"/>
              <w:bottom w:val="single" w:sz="2" w:space="0" w:color="auto"/>
              <w:right w:val="single" w:sz="2" w:space="0" w:color="auto"/>
            </w:tcBorders>
            <w:shd w:val="clear" w:color="auto" w:fill="auto"/>
            <w:noWrap/>
            <w:vAlign w:val="center"/>
            <w:hideMark/>
          </w:tcPr>
          <w:p w14:paraId="6EA3F948" w14:textId="77777777" w:rsidR="004F21F7" w:rsidRPr="003A115E" w:rsidRDefault="004F21F7" w:rsidP="00A0522B">
            <w:pPr>
              <w:pStyle w:val="cuatexto"/>
              <w:jc w:val="right"/>
            </w:pPr>
            <w:r>
              <w:t>17</w:t>
            </w:r>
          </w:p>
        </w:tc>
        <w:tc>
          <w:tcPr>
            <w:tcW w:w="792" w:type="pct"/>
            <w:tcBorders>
              <w:top w:val="single" w:sz="2" w:space="0" w:color="auto"/>
              <w:left w:val="single" w:sz="2" w:space="0" w:color="auto"/>
              <w:bottom w:val="single" w:sz="2" w:space="0" w:color="auto"/>
              <w:right w:val="nil"/>
            </w:tcBorders>
            <w:shd w:val="clear" w:color="auto" w:fill="auto"/>
            <w:noWrap/>
            <w:vAlign w:val="center"/>
            <w:hideMark/>
          </w:tcPr>
          <w:p w14:paraId="239F3791" w14:textId="77777777" w:rsidR="004F21F7" w:rsidRPr="003A115E" w:rsidRDefault="004F21F7" w:rsidP="00A0522B">
            <w:pPr>
              <w:pStyle w:val="cuatexto"/>
              <w:jc w:val="right"/>
            </w:pPr>
            <w:r>
              <w:t>29.610</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2E238B9F" w14:textId="77777777" w:rsidR="004F21F7" w:rsidRPr="003A115E" w:rsidRDefault="004F21F7" w:rsidP="00A0522B">
            <w:pPr>
              <w:pStyle w:val="cuatexto"/>
              <w:jc w:val="right"/>
            </w:pPr>
            <w:r>
              <w:t>149.938</w:t>
            </w:r>
          </w:p>
        </w:tc>
        <w:tc>
          <w:tcPr>
            <w:tcW w:w="471" w:type="pct"/>
            <w:tcBorders>
              <w:top w:val="single" w:sz="2" w:space="0" w:color="auto"/>
              <w:left w:val="single" w:sz="2" w:space="0" w:color="auto"/>
              <w:bottom w:val="single" w:sz="2" w:space="0" w:color="auto"/>
              <w:right w:val="nil"/>
            </w:tcBorders>
            <w:shd w:val="clear" w:color="auto" w:fill="auto"/>
            <w:noWrap/>
            <w:vAlign w:val="center"/>
            <w:hideMark/>
          </w:tcPr>
          <w:p w14:paraId="24B0135A" w14:textId="77777777" w:rsidR="004F21F7" w:rsidRPr="003A115E" w:rsidRDefault="004F21F7" w:rsidP="00A0522B">
            <w:pPr>
              <w:pStyle w:val="cuatexto"/>
              <w:jc w:val="right"/>
            </w:pPr>
            <w:r>
              <w:t>3</w:t>
            </w:r>
          </w:p>
        </w:tc>
        <w:tc>
          <w:tcPr>
            <w:tcW w:w="470" w:type="pct"/>
            <w:tcBorders>
              <w:top w:val="single" w:sz="2" w:space="0" w:color="auto"/>
              <w:left w:val="nil"/>
              <w:bottom w:val="single" w:sz="2" w:space="0" w:color="auto"/>
              <w:right w:val="nil"/>
            </w:tcBorders>
            <w:shd w:val="clear" w:color="auto" w:fill="auto"/>
            <w:noWrap/>
            <w:vAlign w:val="center"/>
            <w:hideMark/>
          </w:tcPr>
          <w:p w14:paraId="11E32D34" w14:textId="77E6F583" w:rsidR="004F21F7" w:rsidRPr="003A115E" w:rsidRDefault="004F21F7" w:rsidP="00A0522B">
            <w:pPr>
              <w:pStyle w:val="cuatexto"/>
              <w:jc w:val="right"/>
            </w:pPr>
            <w:r>
              <w:t>1</w:t>
            </w:r>
          </w:p>
        </w:tc>
      </w:tr>
      <w:tr w:rsidR="000A742F" w:rsidRPr="003A115E" w14:paraId="1A1398EF" w14:textId="77777777" w:rsidTr="000001CA">
        <w:trPr>
          <w:trHeight w:val="198"/>
        </w:trPr>
        <w:tc>
          <w:tcPr>
            <w:tcW w:w="1598" w:type="pct"/>
            <w:tcBorders>
              <w:top w:val="single" w:sz="2" w:space="0" w:color="auto"/>
              <w:left w:val="nil"/>
              <w:bottom w:val="single" w:sz="4" w:space="0" w:color="auto"/>
              <w:right w:val="nil"/>
            </w:tcBorders>
            <w:shd w:val="clear" w:color="auto" w:fill="auto"/>
            <w:noWrap/>
            <w:vAlign w:val="center"/>
            <w:hideMark/>
          </w:tcPr>
          <w:p w14:paraId="53EED646" w14:textId="77777777" w:rsidR="004F21F7" w:rsidRPr="003A115E" w:rsidRDefault="004F21F7" w:rsidP="00A0522B">
            <w:pPr>
              <w:pStyle w:val="cuatexto"/>
            </w:pPr>
            <w:r>
              <w:t>Beste batzuk / Zehaztu gabe</w:t>
            </w:r>
          </w:p>
        </w:tc>
        <w:tc>
          <w:tcPr>
            <w:tcW w:w="712" w:type="pct"/>
            <w:tcBorders>
              <w:top w:val="single" w:sz="2" w:space="0" w:color="auto"/>
              <w:left w:val="nil"/>
              <w:bottom w:val="single" w:sz="4" w:space="0" w:color="auto"/>
              <w:right w:val="nil"/>
            </w:tcBorders>
            <w:shd w:val="clear" w:color="auto" w:fill="auto"/>
            <w:noWrap/>
            <w:vAlign w:val="center"/>
            <w:hideMark/>
          </w:tcPr>
          <w:p w14:paraId="0C9F2B14" w14:textId="77777777" w:rsidR="004F21F7" w:rsidRPr="003A115E" w:rsidRDefault="004F21F7" w:rsidP="00A0522B">
            <w:pPr>
              <w:pStyle w:val="cuatexto"/>
              <w:jc w:val="right"/>
            </w:pPr>
            <w:r>
              <w:t>14</w:t>
            </w:r>
          </w:p>
        </w:tc>
        <w:tc>
          <w:tcPr>
            <w:tcW w:w="390" w:type="pct"/>
            <w:tcBorders>
              <w:top w:val="single" w:sz="2" w:space="0" w:color="auto"/>
              <w:left w:val="nil"/>
              <w:bottom w:val="single" w:sz="4" w:space="0" w:color="auto"/>
              <w:right w:val="single" w:sz="2" w:space="0" w:color="auto"/>
            </w:tcBorders>
            <w:shd w:val="clear" w:color="auto" w:fill="auto"/>
            <w:noWrap/>
            <w:vAlign w:val="center"/>
            <w:hideMark/>
          </w:tcPr>
          <w:p w14:paraId="5144441B" w14:textId="77777777" w:rsidR="004F21F7" w:rsidRPr="003A115E" w:rsidRDefault="004F21F7" w:rsidP="00A0522B">
            <w:pPr>
              <w:pStyle w:val="cuatexto"/>
              <w:jc w:val="right"/>
            </w:pPr>
            <w:r>
              <w:t>18</w:t>
            </w:r>
          </w:p>
        </w:tc>
        <w:tc>
          <w:tcPr>
            <w:tcW w:w="792" w:type="pct"/>
            <w:tcBorders>
              <w:top w:val="single" w:sz="2" w:space="0" w:color="auto"/>
              <w:left w:val="single" w:sz="2" w:space="0" w:color="auto"/>
              <w:bottom w:val="single" w:sz="4" w:space="0" w:color="auto"/>
              <w:right w:val="nil"/>
            </w:tcBorders>
            <w:shd w:val="clear" w:color="auto" w:fill="auto"/>
            <w:noWrap/>
            <w:vAlign w:val="center"/>
            <w:hideMark/>
          </w:tcPr>
          <w:p w14:paraId="42F58F3C" w14:textId="77777777" w:rsidR="004F21F7" w:rsidRPr="003A115E" w:rsidRDefault="004F21F7" w:rsidP="00A0522B">
            <w:pPr>
              <w:pStyle w:val="cuatexto"/>
              <w:jc w:val="right"/>
            </w:pPr>
            <w:r>
              <w:t>11.520</w:t>
            </w:r>
          </w:p>
        </w:tc>
        <w:tc>
          <w:tcPr>
            <w:tcW w:w="566" w:type="pct"/>
            <w:tcBorders>
              <w:top w:val="single" w:sz="2" w:space="0" w:color="auto"/>
              <w:left w:val="nil"/>
              <w:bottom w:val="single" w:sz="4" w:space="0" w:color="auto"/>
              <w:right w:val="single" w:sz="2" w:space="0" w:color="auto"/>
            </w:tcBorders>
            <w:shd w:val="clear" w:color="auto" w:fill="auto"/>
            <w:noWrap/>
            <w:vAlign w:val="center"/>
            <w:hideMark/>
          </w:tcPr>
          <w:p w14:paraId="6184B8F3" w14:textId="77777777" w:rsidR="004F21F7" w:rsidRPr="003A115E" w:rsidRDefault="004F21F7" w:rsidP="00A0522B">
            <w:pPr>
              <w:pStyle w:val="cuatexto"/>
              <w:jc w:val="right"/>
            </w:pPr>
            <w:r>
              <w:t>1.408.057</w:t>
            </w:r>
          </w:p>
        </w:tc>
        <w:tc>
          <w:tcPr>
            <w:tcW w:w="471" w:type="pct"/>
            <w:tcBorders>
              <w:top w:val="single" w:sz="2" w:space="0" w:color="auto"/>
              <w:left w:val="single" w:sz="2" w:space="0" w:color="auto"/>
              <w:bottom w:val="single" w:sz="4" w:space="0" w:color="auto"/>
              <w:right w:val="nil"/>
            </w:tcBorders>
            <w:shd w:val="clear" w:color="auto" w:fill="auto"/>
            <w:noWrap/>
            <w:vAlign w:val="center"/>
            <w:hideMark/>
          </w:tcPr>
          <w:p w14:paraId="3BB83F68" w14:textId="77777777" w:rsidR="004F21F7" w:rsidRPr="003A115E" w:rsidRDefault="004F21F7" w:rsidP="00A0522B">
            <w:pPr>
              <w:pStyle w:val="cuatexto"/>
              <w:jc w:val="right"/>
            </w:pPr>
            <w:r>
              <w:t>11</w:t>
            </w:r>
          </w:p>
        </w:tc>
        <w:tc>
          <w:tcPr>
            <w:tcW w:w="470" w:type="pct"/>
            <w:tcBorders>
              <w:top w:val="single" w:sz="2" w:space="0" w:color="auto"/>
              <w:left w:val="nil"/>
              <w:bottom w:val="single" w:sz="4" w:space="0" w:color="auto"/>
              <w:right w:val="nil"/>
            </w:tcBorders>
            <w:shd w:val="clear" w:color="auto" w:fill="auto"/>
            <w:noWrap/>
            <w:vAlign w:val="center"/>
            <w:hideMark/>
          </w:tcPr>
          <w:p w14:paraId="26655FA9" w14:textId="40A7518B" w:rsidR="004F21F7" w:rsidRPr="003A115E" w:rsidRDefault="004F21F7" w:rsidP="00A0522B">
            <w:pPr>
              <w:pStyle w:val="cuatexto"/>
              <w:jc w:val="right"/>
            </w:pPr>
            <w:r>
              <w:t>3</w:t>
            </w:r>
          </w:p>
        </w:tc>
      </w:tr>
      <w:tr w:rsidR="000A742F" w:rsidRPr="003A115E" w14:paraId="71EC94D8" w14:textId="77777777" w:rsidTr="000001CA">
        <w:trPr>
          <w:trHeight w:val="255"/>
        </w:trPr>
        <w:tc>
          <w:tcPr>
            <w:tcW w:w="1598" w:type="pct"/>
            <w:tcBorders>
              <w:top w:val="single" w:sz="4" w:space="0" w:color="auto"/>
              <w:left w:val="nil"/>
              <w:bottom w:val="single" w:sz="4" w:space="0" w:color="auto"/>
              <w:right w:val="nil"/>
            </w:tcBorders>
            <w:shd w:val="clear" w:color="auto" w:fill="FABF8F" w:themeFill="accent6" w:themeFillTint="99"/>
            <w:noWrap/>
            <w:vAlign w:val="center"/>
            <w:hideMark/>
          </w:tcPr>
          <w:p w14:paraId="7CDEC7B0" w14:textId="77777777" w:rsidR="004F21F7" w:rsidRPr="003A115E" w:rsidRDefault="004F21F7" w:rsidP="00A0522B">
            <w:pPr>
              <w:pStyle w:val="cuadroCabe"/>
            </w:pPr>
            <w:r>
              <w:t>Guztira</w:t>
            </w:r>
          </w:p>
        </w:tc>
        <w:tc>
          <w:tcPr>
            <w:tcW w:w="712" w:type="pct"/>
            <w:tcBorders>
              <w:top w:val="single" w:sz="4" w:space="0" w:color="auto"/>
              <w:left w:val="nil"/>
              <w:bottom w:val="single" w:sz="4" w:space="0" w:color="auto"/>
              <w:right w:val="nil"/>
            </w:tcBorders>
            <w:shd w:val="clear" w:color="auto" w:fill="FABF8F" w:themeFill="accent6" w:themeFillTint="99"/>
            <w:noWrap/>
            <w:vAlign w:val="center"/>
            <w:hideMark/>
          </w:tcPr>
          <w:p w14:paraId="099F93FE" w14:textId="77777777" w:rsidR="004F21F7" w:rsidRPr="003A115E" w:rsidRDefault="004F21F7" w:rsidP="00A0522B">
            <w:pPr>
              <w:pStyle w:val="cuadroCabe"/>
              <w:jc w:val="right"/>
            </w:pPr>
            <w:r>
              <w:t>127</w:t>
            </w:r>
          </w:p>
        </w:tc>
        <w:tc>
          <w:tcPr>
            <w:tcW w:w="390"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9FD1DDC" w14:textId="77777777" w:rsidR="004F21F7" w:rsidRPr="003A115E" w:rsidRDefault="004F21F7" w:rsidP="00A0522B">
            <w:pPr>
              <w:pStyle w:val="cuadroCabe"/>
              <w:jc w:val="right"/>
            </w:pPr>
            <w:r>
              <w:t>188</w:t>
            </w:r>
          </w:p>
        </w:tc>
        <w:tc>
          <w:tcPr>
            <w:tcW w:w="792"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E6F6FAB" w14:textId="77777777" w:rsidR="004F21F7" w:rsidRPr="003A115E" w:rsidRDefault="004F21F7" w:rsidP="00A0522B">
            <w:pPr>
              <w:pStyle w:val="cuadroCabe"/>
              <w:jc w:val="right"/>
            </w:pPr>
            <w:r>
              <w:t>2.215.170</w:t>
            </w:r>
          </w:p>
        </w:tc>
        <w:tc>
          <w:tcPr>
            <w:tcW w:w="56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1BB86E" w14:textId="77777777" w:rsidR="004F21F7" w:rsidRPr="003A115E" w:rsidRDefault="004F21F7" w:rsidP="00A0522B">
            <w:pPr>
              <w:pStyle w:val="cuadroCabe"/>
              <w:jc w:val="right"/>
            </w:pPr>
            <w:r>
              <w:t>7.147.424</w:t>
            </w:r>
          </w:p>
        </w:tc>
        <w:tc>
          <w:tcPr>
            <w:tcW w:w="4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67F2E7A" w14:textId="77777777" w:rsidR="004F21F7" w:rsidRPr="003A115E" w:rsidRDefault="004F21F7" w:rsidP="00A0522B">
            <w:pPr>
              <w:pStyle w:val="cuadroCabe"/>
              <w:jc w:val="right"/>
            </w:pPr>
            <w:r>
              <w:t>23</w:t>
            </w:r>
          </w:p>
        </w:tc>
        <w:tc>
          <w:tcPr>
            <w:tcW w:w="470" w:type="pct"/>
            <w:tcBorders>
              <w:top w:val="single" w:sz="4" w:space="0" w:color="auto"/>
              <w:left w:val="nil"/>
              <w:bottom w:val="single" w:sz="4" w:space="0" w:color="auto"/>
              <w:right w:val="nil"/>
            </w:tcBorders>
            <w:shd w:val="clear" w:color="auto" w:fill="FABF8F" w:themeFill="accent6" w:themeFillTint="99"/>
            <w:noWrap/>
            <w:vAlign w:val="center"/>
            <w:hideMark/>
          </w:tcPr>
          <w:p w14:paraId="2826C1FB" w14:textId="30A8B4A8" w:rsidR="004F21F7" w:rsidRPr="003A115E" w:rsidRDefault="004F21F7" w:rsidP="00A0522B">
            <w:pPr>
              <w:pStyle w:val="cuadroCabe"/>
              <w:jc w:val="right"/>
            </w:pPr>
            <w:r>
              <w:t>15</w:t>
            </w:r>
          </w:p>
        </w:tc>
      </w:tr>
    </w:tbl>
    <w:p w14:paraId="606726BD" w14:textId="29027A08" w:rsidR="004E4A7D" w:rsidRPr="003A115E" w:rsidRDefault="004E4A7D"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i/>
          <w:spacing w:val="6"/>
          <w:sz w:val="26"/>
        </w:rPr>
      </w:pPr>
    </w:p>
    <w:p w14:paraId="5F105CF2" w14:textId="4A0049D7" w:rsidR="004E4A7D" w:rsidRPr="003A115E" w:rsidRDefault="004E4A7D">
      <w:pPr>
        <w:rPr>
          <w:rFonts w:cs="Arial"/>
          <w:i/>
          <w:spacing w:val="6"/>
          <w:sz w:val="26"/>
        </w:rPr>
      </w:pPr>
    </w:p>
    <w:tbl>
      <w:tblPr>
        <w:tblW w:w="5001" w:type="pct"/>
        <w:tblLayout w:type="fixed"/>
        <w:tblCellMar>
          <w:left w:w="70" w:type="dxa"/>
          <w:right w:w="70" w:type="dxa"/>
        </w:tblCellMar>
        <w:tblLook w:val="04A0" w:firstRow="1" w:lastRow="0" w:firstColumn="1" w:lastColumn="0" w:noHBand="0" w:noVBand="1"/>
      </w:tblPr>
      <w:tblGrid>
        <w:gridCol w:w="3024"/>
        <w:gridCol w:w="1229"/>
        <w:gridCol w:w="566"/>
        <w:gridCol w:w="1102"/>
        <w:gridCol w:w="1169"/>
        <w:gridCol w:w="1148"/>
        <w:gridCol w:w="552"/>
      </w:tblGrid>
      <w:tr w:rsidR="000A742F" w:rsidRPr="003A115E" w14:paraId="7065CE9C" w14:textId="77777777" w:rsidTr="00612DE2">
        <w:trPr>
          <w:trHeight w:val="255"/>
        </w:trPr>
        <w:tc>
          <w:tcPr>
            <w:tcW w:w="1720"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233457EE" w14:textId="77777777" w:rsidR="008E47CC" w:rsidRPr="003A115E" w:rsidRDefault="008E47CC" w:rsidP="005D3728">
            <w:pPr>
              <w:pStyle w:val="cuadroCabe"/>
              <w:rPr>
                <w:rFonts w:cs="Arial"/>
                <w:szCs w:val="18"/>
              </w:rPr>
            </w:pPr>
            <w:r>
              <w:t>Arau-haustea/</w:t>
            </w:r>
            <w:proofErr w:type="spellStart"/>
            <w:r>
              <w:t>erag</w:t>
            </w:r>
            <w:proofErr w:type="spellEnd"/>
            <w:r>
              <w:t>. oh. arrazoia</w:t>
            </w:r>
          </w:p>
        </w:tc>
        <w:tc>
          <w:tcPr>
            <w:tcW w:w="1021" w:type="pct"/>
            <w:gridSpan w:val="2"/>
            <w:tcBorders>
              <w:top w:val="single" w:sz="4" w:space="0" w:color="auto"/>
              <w:left w:val="nil"/>
              <w:bottom w:val="single" w:sz="2" w:space="0" w:color="auto"/>
              <w:right w:val="single" w:sz="2" w:space="0" w:color="auto"/>
            </w:tcBorders>
            <w:shd w:val="clear" w:color="auto" w:fill="FABF8F" w:themeFill="accent6" w:themeFillTint="99"/>
            <w:tcMar>
              <w:left w:w="0" w:type="dxa"/>
              <w:right w:w="0" w:type="dxa"/>
            </w:tcMar>
            <w:vAlign w:val="center"/>
            <w:hideMark/>
          </w:tcPr>
          <w:p w14:paraId="2A1E071A" w14:textId="77777777" w:rsidR="008E47CC" w:rsidRPr="003A115E" w:rsidRDefault="008E47CC" w:rsidP="00AA0375">
            <w:pPr>
              <w:pStyle w:val="cuadroCabe"/>
              <w:jc w:val="right"/>
              <w:rPr>
                <w:rFonts w:cs="Arial"/>
                <w:szCs w:val="18"/>
              </w:rPr>
            </w:pPr>
            <w:r>
              <w:t>Eragozpen-oharren kop.</w:t>
            </w:r>
          </w:p>
        </w:tc>
        <w:tc>
          <w:tcPr>
            <w:tcW w:w="1292"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tcMar>
              <w:left w:w="0" w:type="dxa"/>
              <w:right w:w="0" w:type="dxa"/>
            </w:tcMar>
            <w:vAlign w:val="center"/>
            <w:hideMark/>
          </w:tcPr>
          <w:p w14:paraId="5D03286A" w14:textId="77777777" w:rsidR="008E47CC" w:rsidRPr="003A115E" w:rsidRDefault="008E47CC" w:rsidP="00CC28BD">
            <w:pPr>
              <w:pStyle w:val="cuadroCabe"/>
              <w:jc w:val="center"/>
              <w:rPr>
                <w:rFonts w:cs="Arial"/>
                <w:szCs w:val="18"/>
              </w:rPr>
            </w:pPr>
            <w:r>
              <w:t>Zenbatekoa (euroak)</w:t>
            </w:r>
          </w:p>
        </w:tc>
        <w:tc>
          <w:tcPr>
            <w:tcW w:w="967" w:type="pct"/>
            <w:gridSpan w:val="2"/>
            <w:tcBorders>
              <w:top w:val="single" w:sz="4" w:space="0" w:color="auto"/>
              <w:left w:val="single" w:sz="2" w:space="0" w:color="auto"/>
              <w:bottom w:val="single" w:sz="2" w:space="0" w:color="auto"/>
              <w:right w:val="nil"/>
            </w:tcBorders>
            <w:shd w:val="clear" w:color="auto" w:fill="FABF8F" w:themeFill="accent6" w:themeFillTint="99"/>
            <w:tcMar>
              <w:left w:w="0" w:type="dxa"/>
              <w:right w:w="0" w:type="dxa"/>
            </w:tcMar>
            <w:vAlign w:val="center"/>
            <w:hideMark/>
          </w:tcPr>
          <w:p w14:paraId="5D325EA5" w14:textId="629FA3A4" w:rsidR="008E47CC" w:rsidRPr="003A115E" w:rsidRDefault="008E47CC" w:rsidP="00CC28BD">
            <w:pPr>
              <w:pStyle w:val="cuadroCabe"/>
              <w:jc w:val="center"/>
              <w:rPr>
                <w:rFonts w:cs="Arial"/>
                <w:szCs w:val="18"/>
              </w:rPr>
            </w:pPr>
            <w:r>
              <w:t>Zenbatekorik gabe</w:t>
            </w:r>
          </w:p>
        </w:tc>
      </w:tr>
      <w:tr w:rsidR="000A742F" w:rsidRPr="003A115E" w14:paraId="437095BD" w14:textId="77777777" w:rsidTr="00612DE2">
        <w:trPr>
          <w:trHeight w:val="255"/>
        </w:trPr>
        <w:tc>
          <w:tcPr>
            <w:tcW w:w="1720" w:type="pct"/>
            <w:vMerge/>
            <w:vAlign w:val="center"/>
            <w:hideMark/>
          </w:tcPr>
          <w:p w14:paraId="0CB41B61" w14:textId="77777777" w:rsidR="008E47CC" w:rsidRPr="003A115E" w:rsidRDefault="008E47CC" w:rsidP="00CC28BD">
            <w:pPr>
              <w:pStyle w:val="cuadroCabe"/>
              <w:rPr>
                <w:rFonts w:cs="Arial"/>
                <w:szCs w:val="18"/>
              </w:rPr>
            </w:pPr>
          </w:p>
        </w:tc>
        <w:tc>
          <w:tcPr>
            <w:tcW w:w="699" w:type="pct"/>
            <w:tcBorders>
              <w:top w:val="single" w:sz="2" w:space="0" w:color="auto"/>
              <w:left w:val="nil"/>
              <w:bottom w:val="single" w:sz="4" w:space="0" w:color="auto"/>
              <w:right w:val="nil"/>
            </w:tcBorders>
            <w:shd w:val="clear" w:color="auto" w:fill="FABF8F" w:themeFill="accent6" w:themeFillTint="99"/>
            <w:noWrap/>
            <w:tcMar>
              <w:left w:w="0" w:type="dxa"/>
              <w:right w:w="0" w:type="dxa"/>
            </w:tcMar>
            <w:vAlign w:val="center"/>
            <w:hideMark/>
          </w:tcPr>
          <w:p w14:paraId="748B1082" w14:textId="77777777" w:rsidR="008E47CC" w:rsidRPr="003A115E" w:rsidRDefault="008E47CC" w:rsidP="00CC28BD">
            <w:pPr>
              <w:pStyle w:val="cuadroCabe"/>
              <w:jc w:val="right"/>
              <w:rPr>
                <w:rFonts w:cs="Arial"/>
                <w:szCs w:val="18"/>
              </w:rPr>
            </w:pPr>
            <w:r>
              <w:t>2021</w:t>
            </w:r>
          </w:p>
        </w:tc>
        <w:tc>
          <w:tcPr>
            <w:tcW w:w="322" w:type="pct"/>
            <w:tcBorders>
              <w:top w:val="single" w:sz="2" w:space="0" w:color="auto"/>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60534E1" w14:textId="77777777" w:rsidR="008E47CC" w:rsidRPr="003A115E" w:rsidRDefault="008E47CC" w:rsidP="00CC28BD">
            <w:pPr>
              <w:pStyle w:val="cuadroCabe"/>
              <w:jc w:val="right"/>
              <w:rPr>
                <w:rFonts w:cs="Arial"/>
                <w:szCs w:val="18"/>
              </w:rPr>
            </w:pPr>
            <w:r>
              <w:t>2022</w:t>
            </w:r>
          </w:p>
        </w:tc>
        <w:tc>
          <w:tcPr>
            <w:tcW w:w="627" w:type="pct"/>
            <w:tcBorders>
              <w:top w:val="single" w:sz="2" w:space="0" w:color="auto"/>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60CA53B5" w14:textId="77777777" w:rsidR="008E47CC" w:rsidRPr="003A115E" w:rsidRDefault="008E47CC" w:rsidP="00790DB8">
            <w:pPr>
              <w:pStyle w:val="cuadroCabe"/>
              <w:ind w:right="113"/>
              <w:jc w:val="right"/>
              <w:rPr>
                <w:rFonts w:cs="Arial"/>
                <w:szCs w:val="18"/>
              </w:rPr>
            </w:pPr>
            <w:r>
              <w:t>2021</w:t>
            </w:r>
          </w:p>
        </w:tc>
        <w:tc>
          <w:tcPr>
            <w:tcW w:w="665" w:type="pct"/>
            <w:tcBorders>
              <w:top w:val="single" w:sz="2" w:space="0" w:color="auto"/>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4CFA3AE4" w14:textId="77777777" w:rsidR="008E47CC" w:rsidRPr="003A115E" w:rsidRDefault="008E47CC" w:rsidP="00790DB8">
            <w:pPr>
              <w:pStyle w:val="cuatexto"/>
              <w:ind w:right="7"/>
              <w:jc w:val="right"/>
              <w:rPr>
                <w:rFonts w:ascii="Arial" w:hAnsi="Arial" w:cs="Arial"/>
                <w:sz w:val="18"/>
                <w:szCs w:val="18"/>
              </w:rPr>
            </w:pPr>
            <w:r>
              <w:t>2022</w:t>
            </w:r>
          </w:p>
        </w:tc>
        <w:tc>
          <w:tcPr>
            <w:tcW w:w="653" w:type="pct"/>
            <w:tcBorders>
              <w:top w:val="single" w:sz="2" w:space="0" w:color="auto"/>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36B22B80" w14:textId="77777777" w:rsidR="008E47CC" w:rsidRPr="003A115E" w:rsidRDefault="008E47CC" w:rsidP="00CC28BD">
            <w:pPr>
              <w:pStyle w:val="cuadroCabe"/>
              <w:jc w:val="right"/>
              <w:rPr>
                <w:rFonts w:cs="Arial"/>
                <w:szCs w:val="18"/>
              </w:rPr>
            </w:pPr>
            <w:r>
              <w:t>2021</w:t>
            </w:r>
          </w:p>
        </w:tc>
        <w:tc>
          <w:tcPr>
            <w:tcW w:w="314" w:type="pct"/>
            <w:tcBorders>
              <w:top w:val="single" w:sz="2" w:space="0" w:color="auto"/>
              <w:left w:val="nil"/>
              <w:bottom w:val="single" w:sz="4" w:space="0" w:color="auto"/>
              <w:right w:val="nil"/>
            </w:tcBorders>
            <w:shd w:val="clear" w:color="auto" w:fill="FABF8F" w:themeFill="accent6" w:themeFillTint="99"/>
            <w:noWrap/>
            <w:tcMar>
              <w:left w:w="0" w:type="dxa"/>
              <w:right w:w="0" w:type="dxa"/>
            </w:tcMar>
            <w:vAlign w:val="center"/>
            <w:hideMark/>
          </w:tcPr>
          <w:p w14:paraId="6C3B8BD7" w14:textId="77777777" w:rsidR="008E47CC" w:rsidRPr="003A115E" w:rsidRDefault="008E47CC" w:rsidP="00CC28BD">
            <w:pPr>
              <w:pStyle w:val="cuadroCabe"/>
              <w:jc w:val="right"/>
              <w:rPr>
                <w:rFonts w:cs="Arial"/>
                <w:szCs w:val="18"/>
              </w:rPr>
            </w:pPr>
            <w:r>
              <w:t>2022</w:t>
            </w:r>
          </w:p>
        </w:tc>
      </w:tr>
      <w:tr w:rsidR="000A742F" w:rsidRPr="003A115E" w14:paraId="54D3A6A5" w14:textId="77777777" w:rsidTr="004E4A7D">
        <w:trPr>
          <w:trHeight w:val="198"/>
        </w:trPr>
        <w:tc>
          <w:tcPr>
            <w:tcW w:w="1720" w:type="pct"/>
            <w:tcBorders>
              <w:top w:val="nil"/>
              <w:left w:val="nil"/>
              <w:bottom w:val="single" w:sz="2" w:space="0" w:color="auto"/>
              <w:right w:val="nil"/>
            </w:tcBorders>
            <w:shd w:val="clear" w:color="auto" w:fill="auto"/>
            <w:noWrap/>
            <w:vAlign w:val="center"/>
            <w:hideMark/>
          </w:tcPr>
          <w:p w14:paraId="512D5D62" w14:textId="77777777" w:rsidR="008E47CC" w:rsidRPr="003A115E" w:rsidRDefault="008E47CC" w:rsidP="00A0522B">
            <w:pPr>
              <w:pStyle w:val="cuatexto"/>
            </w:pPr>
            <w:r>
              <w:t>Kreditu nahikorik eza</w:t>
            </w:r>
          </w:p>
        </w:tc>
        <w:tc>
          <w:tcPr>
            <w:tcW w:w="699" w:type="pct"/>
            <w:tcBorders>
              <w:top w:val="single" w:sz="4" w:space="0" w:color="auto"/>
              <w:left w:val="nil"/>
              <w:bottom w:val="single" w:sz="2" w:space="0" w:color="auto"/>
              <w:right w:val="nil"/>
            </w:tcBorders>
            <w:shd w:val="clear" w:color="auto" w:fill="auto"/>
            <w:noWrap/>
            <w:vAlign w:val="center"/>
            <w:hideMark/>
          </w:tcPr>
          <w:p w14:paraId="54645DC1" w14:textId="77777777" w:rsidR="008E47CC" w:rsidRPr="003A115E" w:rsidRDefault="008E47CC" w:rsidP="00A0522B">
            <w:pPr>
              <w:pStyle w:val="cuatexto"/>
              <w:jc w:val="right"/>
            </w:pPr>
            <w:r>
              <w:t>37</w:t>
            </w:r>
          </w:p>
        </w:tc>
        <w:tc>
          <w:tcPr>
            <w:tcW w:w="322" w:type="pct"/>
            <w:tcBorders>
              <w:top w:val="single" w:sz="4" w:space="0" w:color="auto"/>
              <w:left w:val="nil"/>
              <w:bottom w:val="single" w:sz="2" w:space="0" w:color="auto"/>
              <w:right w:val="single" w:sz="2" w:space="0" w:color="auto"/>
            </w:tcBorders>
            <w:shd w:val="clear" w:color="auto" w:fill="auto"/>
            <w:noWrap/>
            <w:vAlign w:val="center"/>
            <w:hideMark/>
          </w:tcPr>
          <w:p w14:paraId="296D9732" w14:textId="77777777" w:rsidR="008E47CC" w:rsidRPr="003A115E" w:rsidRDefault="008E47CC" w:rsidP="00A0522B">
            <w:pPr>
              <w:pStyle w:val="cuatexto"/>
              <w:jc w:val="right"/>
            </w:pPr>
            <w:r>
              <w:t>22</w:t>
            </w:r>
          </w:p>
        </w:tc>
        <w:tc>
          <w:tcPr>
            <w:tcW w:w="627" w:type="pct"/>
            <w:tcBorders>
              <w:top w:val="single" w:sz="4" w:space="0" w:color="auto"/>
              <w:left w:val="single" w:sz="2" w:space="0" w:color="auto"/>
              <w:bottom w:val="single" w:sz="2" w:space="0" w:color="auto"/>
              <w:right w:val="nil"/>
            </w:tcBorders>
            <w:shd w:val="clear" w:color="auto" w:fill="auto"/>
            <w:noWrap/>
            <w:vAlign w:val="center"/>
            <w:hideMark/>
          </w:tcPr>
          <w:p w14:paraId="6C4E2A16" w14:textId="77777777" w:rsidR="008E47CC" w:rsidRPr="003A115E" w:rsidRDefault="008E47CC" w:rsidP="00A0522B">
            <w:pPr>
              <w:pStyle w:val="cuatexto"/>
              <w:jc w:val="right"/>
            </w:pPr>
            <w:r>
              <w:t>142.687</w:t>
            </w:r>
          </w:p>
        </w:tc>
        <w:tc>
          <w:tcPr>
            <w:tcW w:w="665" w:type="pct"/>
            <w:tcBorders>
              <w:top w:val="single" w:sz="4" w:space="0" w:color="auto"/>
              <w:left w:val="nil"/>
              <w:bottom w:val="single" w:sz="2" w:space="0" w:color="auto"/>
              <w:right w:val="single" w:sz="2" w:space="0" w:color="auto"/>
            </w:tcBorders>
            <w:shd w:val="clear" w:color="auto" w:fill="auto"/>
            <w:noWrap/>
            <w:vAlign w:val="center"/>
            <w:hideMark/>
          </w:tcPr>
          <w:p w14:paraId="0DB16E6E" w14:textId="7D308BC3" w:rsidR="008E47CC" w:rsidRPr="003A115E" w:rsidRDefault="008E47CC" w:rsidP="00790DB8">
            <w:pPr>
              <w:pStyle w:val="cuatexto"/>
              <w:ind w:right="7"/>
              <w:jc w:val="right"/>
            </w:pPr>
            <w:r>
              <w:t>900.653</w:t>
            </w:r>
          </w:p>
        </w:tc>
        <w:tc>
          <w:tcPr>
            <w:tcW w:w="653" w:type="pct"/>
            <w:tcBorders>
              <w:top w:val="single" w:sz="4" w:space="0" w:color="auto"/>
              <w:left w:val="single" w:sz="2" w:space="0" w:color="auto"/>
              <w:bottom w:val="single" w:sz="2" w:space="0" w:color="auto"/>
              <w:right w:val="nil"/>
            </w:tcBorders>
            <w:shd w:val="clear" w:color="auto" w:fill="auto"/>
            <w:noWrap/>
            <w:vAlign w:val="center"/>
            <w:hideMark/>
          </w:tcPr>
          <w:p w14:paraId="6AE61CBE" w14:textId="77777777" w:rsidR="008E47CC" w:rsidRPr="003A115E" w:rsidRDefault="008E47CC" w:rsidP="00A0522B">
            <w:pPr>
              <w:pStyle w:val="cuatexto"/>
              <w:jc w:val="right"/>
            </w:pPr>
            <w:r>
              <w:t>11</w:t>
            </w:r>
          </w:p>
        </w:tc>
        <w:tc>
          <w:tcPr>
            <w:tcW w:w="314" w:type="pct"/>
            <w:tcBorders>
              <w:top w:val="single" w:sz="4" w:space="0" w:color="auto"/>
              <w:left w:val="nil"/>
              <w:bottom w:val="single" w:sz="2" w:space="0" w:color="auto"/>
              <w:right w:val="nil"/>
            </w:tcBorders>
            <w:shd w:val="clear" w:color="auto" w:fill="auto"/>
            <w:noWrap/>
            <w:vAlign w:val="center"/>
            <w:hideMark/>
          </w:tcPr>
          <w:p w14:paraId="18E99A5D" w14:textId="77777777" w:rsidR="008E47CC" w:rsidRPr="003A115E" w:rsidRDefault="008E47CC" w:rsidP="00A0522B">
            <w:pPr>
              <w:pStyle w:val="cuatexto"/>
              <w:jc w:val="right"/>
            </w:pPr>
            <w:r>
              <w:t>3</w:t>
            </w:r>
          </w:p>
        </w:tc>
      </w:tr>
      <w:tr w:rsidR="000A742F" w:rsidRPr="003A115E" w14:paraId="65D3BCDC"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56ACDF02" w14:textId="77777777" w:rsidR="008E47CC" w:rsidRPr="003A115E" w:rsidRDefault="008E47CC" w:rsidP="00A0522B">
            <w:pPr>
              <w:pStyle w:val="cuatexto"/>
            </w:pPr>
            <w:r>
              <w:t>Kreditu ezegokia</w:t>
            </w:r>
          </w:p>
        </w:tc>
        <w:tc>
          <w:tcPr>
            <w:tcW w:w="699" w:type="pct"/>
            <w:tcBorders>
              <w:top w:val="single" w:sz="2" w:space="0" w:color="auto"/>
              <w:left w:val="nil"/>
              <w:bottom w:val="single" w:sz="2" w:space="0" w:color="auto"/>
              <w:right w:val="nil"/>
            </w:tcBorders>
            <w:shd w:val="clear" w:color="auto" w:fill="auto"/>
            <w:noWrap/>
            <w:vAlign w:val="center"/>
            <w:hideMark/>
          </w:tcPr>
          <w:p w14:paraId="40F42C1D" w14:textId="77777777" w:rsidR="008E47CC" w:rsidRPr="003A115E" w:rsidRDefault="008E47CC" w:rsidP="00A0522B">
            <w:pPr>
              <w:pStyle w:val="cuatexto"/>
              <w:jc w:val="right"/>
            </w:pPr>
            <w:r>
              <w:t>1</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724D2CF3" w14:textId="77777777" w:rsidR="008E47CC" w:rsidRPr="003A115E" w:rsidRDefault="008E47CC" w:rsidP="00A0522B">
            <w:pPr>
              <w:pStyle w:val="cuatexto"/>
              <w:jc w:val="right"/>
            </w:pPr>
            <w:r>
              <w:t>2</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5C24D02" w14:textId="77777777" w:rsidR="008E47CC" w:rsidRPr="003A115E" w:rsidRDefault="008E47CC" w:rsidP="00A0522B">
            <w:pPr>
              <w:pStyle w:val="cuatexto"/>
              <w:jc w:val="right"/>
            </w:pPr>
            <w:r>
              <w:t>47.825</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5A10FA66" w14:textId="162C9D70" w:rsidR="008E47CC" w:rsidRPr="003A115E" w:rsidRDefault="008E47CC" w:rsidP="00790DB8">
            <w:pPr>
              <w:pStyle w:val="cuatexto"/>
              <w:ind w:right="7"/>
              <w:jc w:val="right"/>
            </w:pPr>
            <w:r>
              <w:t>7.087</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58630F7E" w14:textId="77777777" w:rsidR="008E47CC" w:rsidRPr="003A115E" w:rsidRDefault="008E47CC" w:rsidP="00A0522B">
            <w:pPr>
              <w:pStyle w:val="cuatexto"/>
              <w:jc w:val="right"/>
            </w:pPr>
            <w:r>
              <w:t>0</w:t>
            </w:r>
          </w:p>
        </w:tc>
        <w:tc>
          <w:tcPr>
            <w:tcW w:w="314" w:type="pct"/>
            <w:tcBorders>
              <w:top w:val="single" w:sz="2" w:space="0" w:color="auto"/>
              <w:left w:val="nil"/>
              <w:bottom w:val="single" w:sz="2" w:space="0" w:color="auto"/>
              <w:right w:val="nil"/>
            </w:tcBorders>
            <w:shd w:val="clear" w:color="auto" w:fill="auto"/>
            <w:noWrap/>
            <w:vAlign w:val="center"/>
            <w:hideMark/>
          </w:tcPr>
          <w:p w14:paraId="6B5638F3" w14:textId="77777777" w:rsidR="008E47CC" w:rsidRPr="003A115E" w:rsidRDefault="008E47CC" w:rsidP="00A0522B">
            <w:pPr>
              <w:pStyle w:val="cuatexto"/>
              <w:jc w:val="right"/>
            </w:pPr>
            <w:r>
              <w:t>0</w:t>
            </w:r>
          </w:p>
        </w:tc>
      </w:tr>
      <w:tr w:rsidR="000A742F" w:rsidRPr="003A115E" w14:paraId="02DB88F2"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0701240F" w14:textId="77777777" w:rsidR="008E47CC" w:rsidRPr="003A115E" w:rsidRDefault="008E47CC" w:rsidP="00A0522B">
            <w:pPr>
              <w:pStyle w:val="cuatexto"/>
            </w:pPr>
            <w:r>
              <w:t>Fiskalizaziorik eza</w:t>
            </w:r>
          </w:p>
        </w:tc>
        <w:tc>
          <w:tcPr>
            <w:tcW w:w="699" w:type="pct"/>
            <w:tcBorders>
              <w:top w:val="single" w:sz="2" w:space="0" w:color="auto"/>
              <w:left w:val="nil"/>
              <w:bottom w:val="single" w:sz="2" w:space="0" w:color="auto"/>
              <w:right w:val="nil"/>
            </w:tcBorders>
            <w:shd w:val="clear" w:color="auto" w:fill="auto"/>
            <w:noWrap/>
            <w:vAlign w:val="center"/>
            <w:hideMark/>
          </w:tcPr>
          <w:p w14:paraId="51D108A6" w14:textId="77777777" w:rsidR="008E47CC" w:rsidRPr="003A115E" w:rsidRDefault="008E47CC" w:rsidP="00A0522B">
            <w:pPr>
              <w:pStyle w:val="cuatexto"/>
              <w:jc w:val="right"/>
            </w:pPr>
            <w:r>
              <w:t>4</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5B45A0CB" w14:textId="77777777" w:rsidR="008E47CC" w:rsidRPr="003A115E" w:rsidRDefault="008E47CC" w:rsidP="00A0522B">
            <w:pPr>
              <w:pStyle w:val="cuatexto"/>
              <w:jc w:val="right"/>
            </w:pPr>
            <w:r>
              <w:t>5</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9367972" w14:textId="77777777" w:rsidR="008E47CC" w:rsidRPr="003A115E" w:rsidRDefault="008E47CC" w:rsidP="00A0522B">
            <w:pPr>
              <w:pStyle w:val="cuatexto"/>
              <w:jc w:val="right"/>
            </w:pPr>
            <w:r>
              <w:t>25.524</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59DDBAE4" w14:textId="50389868" w:rsidR="008E47CC" w:rsidRPr="003A115E" w:rsidRDefault="008E47CC" w:rsidP="00790DB8">
            <w:pPr>
              <w:pStyle w:val="cuatexto"/>
              <w:ind w:right="7"/>
              <w:jc w:val="right"/>
            </w:pPr>
            <w:r>
              <w:t>130.160</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2A57AAAD" w14:textId="77777777" w:rsidR="008E47CC" w:rsidRPr="003A115E" w:rsidRDefault="008E47CC" w:rsidP="00A0522B">
            <w:pPr>
              <w:pStyle w:val="cuatexto"/>
              <w:jc w:val="right"/>
            </w:pPr>
            <w:r>
              <w:t>1</w:t>
            </w:r>
          </w:p>
        </w:tc>
        <w:tc>
          <w:tcPr>
            <w:tcW w:w="314" w:type="pct"/>
            <w:tcBorders>
              <w:top w:val="single" w:sz="2" w:space="0" w:color="auto"/>
              <w:left w:val="nil"/>
              <w:bottom w:val="single" w:sz="2" w:space="0" w:color="auto"/>
              <w:right w:val="nil"/>
            </w:tcBorders>
            <w:shd w:val="clear" w:color="auto" w:fill="auto"/>
            <w:noWrap/>
            <w:vAlign w:val="center"/>
            <w:hideMark/>
          </w:tcPr>
          <w:p w14:paraId="003B6D44" w14:textId="77777777" w:rsidR="008E47CC" w:rsidRPr="003A115E" w:rsidRDefault="008E47CC" w:rsidP="00A0522B">
            <w:pPr>
              <w:pStyle w:val="cuatexto"/>
              <w:jc w:val="right"/>
            </w:pPr>
            <w:r>
              <w:t>0</w:t>
            </w:r>
          </w:p>
        </w:tc>
      </w:tr>
      <w:tr w:rsidR="000A742F" w:rsidRPr="003A115E" w14:paraId="260F2CE2"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3B216B15" w14:textId="77777777" w:rsidR="008E47CC" w:rsidRPr="003A115E" w:rsidRDefault="008E47CC" w:rsidP="00A0522B">
            <w:pPr>
              <w:pStyle w:val="cuatexto"/>
            </w:pPr>
            <w:r>
              <w:t>Egiaztagirietan irregulartasunak egotea</w:t>
            </w:r>
          </w:p>
        </w:tc>
        <w:tc>
          <w:tcPr>
            <w:tcW w:w="699" w:type="pct"/>
            <w:tcBorders>
              <w:top w:val="single" w:sz="2" w:space="0" w:color="auto"/>
              <w:left w:val="nil"/>
              <w:bottom w:val="single" w:sz="2" w:space="0" w:color="auto"/>
              <w:right w:val="nil"/>
            </w:tcBorders>
            <w:shd w:val="clear" w:color="auto" w:fill="auto"/>
            <w:noWrap/>
            <w:vAlign w:val="center"/>
            <w:hideMark/>
          </w:tcPr>
          <w:p w14:paraId="0C15CB34" w14:textId="77777777" w:rsidR="008E47CC" w:rsidRPr="003A115E" w:rsidRDefault="008E47CC" w:rsidP="00A0522B">
            <w:pPr>
              <w:pStyle w:val="cuatexto"/>
              <w:jc w:val="right"/>
            </w:pPr>
            <w:r>
              <w:t>6</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3B21417D" w14:textId="77777777" w:rsidR="008E47CC" w:rsidRPr="003A115E" w:rsidRDefault="008E47CC" w:rsidP="00A0522B">
            <w:pPr>
              <w:pStyle w:val="cuatexto"/>
              <w:jc w:val="right"/>
            </w:pPr>
            <w:r>
              <w:t>11</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05DA29B6" w14:textId="77777777" w:rsidR="008E47CC" w:rsidRPr="003A115E" w:rsidRDefault="008E47CC" w:rsidP="00A0522B">
            <w:pPr>
              <w:pStyle w:val="cuatexto"/>
              <w:jc w:val="right"/>
            </w:pPr>
            <w:r>
              <w:t>29.170</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1D7EE1AB" w14:textId="57D144FF" w:rsidR="008E47CC" w:rsidRPr="003A115E" w:rsidRDefault="008E47CC" w:rsidP="00790DB8">
            <w:pPr>
              <w:pStyle w:val="cuatexto"/>
              <w:ind w:right="7"/>
              <w:jc w:val="right"/>
            </w:pPr>
            <w:r>
              <w:t>22.390</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27A41997" w14:textId="77777777" w:rsidR="008E47CC" w:rsidRPr="003A115E" w:rsidRDefault="008E47CC" w:rsidP="00A0522B">
            <w:pPr>
              <w:pStyle w:val="cuatexto"/>
              <w:jc w:val="right"/>
            </w:pPr>
            <w:r>
              <w:t>2</w:t>
            </w:r>
          </w:p>
        </w:tc>
        <w:tc>
          <w:tcPr>
            <w:tcW w:w="314" w:type="pct"/>
            <w:tcBorders>
              <w:top w:val="single" w:sz="2" w:space="0" w:color="auto"/>
              <w:left w:val="nil"/>
              <w:bottom w:val="single" w:sz="2" w:space="0" w:color="auto"/>
              <w:right w:val="nil"/>
            </w:tcBorders>
            <w:shd w:val="clear" w:color="auto" w:fill="auto"/>
            <w:noWrap/>
            <w:vAlign w:val="center"/>
            <w:hideMark/>
          </w:tcPr>
          <w:p w14:paraId="5D767FBC" w14:textId="77777777" w:rsidR="008E47CC" w:rsidRPr="003A115E" w:rsidRDefault="008E47CC" w:rsidP="00A0522B">
            <w:pPr>
              <w:pStyle w:val="cuatexto"/>
              <w:jc w:val="right"/>
            </w:pPr>
            <w:r>
              <w:t>0</w:t>
            </w:r>
          </w:p>
        </w:tc>
      </w:tr>
      <w:tr w:rsidR="000A742F" w:rsidRPr="003A115E" w14:paraId="74990D54"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2F39AEEC" w14:textId="77777777" w:rsidR="008E47CC" w:rsidRPr="003A115E" w:rsidRDefault="008E47CC" w:rsidP="00A0522B">
            <w:pPr>
              <w:pStyle w:val="cuatexto"/>
            </w:pPr>
            <w:r>
              <w:t>Funtsezko betekizun edo izapiderik ez</w:t>
            </w:r>
          </w:p>
        </w:tc>
        <w:tc>
          <w:tcPr>
            <w:tcW w:w="699" w:type="pct"/>
            <w:tcBorders>
              <w:top w:val="single" w:sz="2" w:space="0" w:color="auto"/>
              <w:left w:val="nil"/>
              <w:bottom w:val="single" w:sz="2" w:space="0" w:color="auto"/>
              <w:right w:val="nil"/>
            </w:tcBorders>
            <w:shd w:val="clear" w:color="auto" w:fill="auto"/>
            <w:noWrap/>
            <w:vAlign w:val="center"/>
            <w:hideMark/>
          </w:tcPr>
          <w:p w14:paraId="52F85EE3" w14:textId="77777777" w:rsidR="008E47CC" w:rsidRPr="003A115E" w:rsidRDefault="008E47CC" w:rsidP="00A0522B">
            <w:pPr>
              <w:pStyle w:val="cuatexto"/>
              <w:jc w:val="right"/>
            </w:pPr>
            <w:r>
              <w:t>61</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1D5D0B6D" w14:textId="77777777" w:rsidR="008E47CC" w:rsidRPr="003A115E" w:rsidRDefault="008E47CC" w:rsidP="00A0522B">
            <w:pPr>
              <w:pStyle w:val="cuatexto"/>
              <w:jc w:val="right"/>
            </w:pPr>
            <w:r>
              <w:t>114</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58C09BA" w14:textId="77777777" w:rsidR="008E47CC" w:rsidRPr="003A115E" w:rsidRDefault="008E47CC" w:rsidP="00A0522B">
            <w:pPr>
              <w:pStyle w:val="cuatexto"/>
              <w:jc w:val="right"/>
            </w:pPr>
            <w:r>
              <w:t>1.892.310</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385DCFBB" w14:textId="3FF2E977" w:rsidR="008E47CC" w:rsidRPr="003A115E" w:rsidRDefault="008E47CC" w:rsidP="00790DB8">
            <w:pPr>
              <w:pStyle w:val="cuatexto"/>
              <w:ind w:right="7"/>
              <w:jc w:val="right"/>
            </w:pPr>
            <w:r>
              <w:t>4.535.127</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01F70464" w14:textId="77777777" w:rsidR="008E47CC" w:rsidRPr="003A115E" w:rsidRDefault="008E47CC" w:rsidP="00A0522B">
            <w:pPr>
              <w:pStyle w:val="cuatexto"/>
              <w:jc w:val="right"/>
            </w:pPr>
            <w:r>
              <w:t>3</w:t>
            </w:r>
          </w:p>
        </w:tc>
        <w:tc>
          <w:tcPr>
            <w:tcW w:w="314" w:type="pct"/>
            <w:tcBorders>
              <w:top w:val="single" w:sz="2" w:space="0" w:color="auto"/>
              <w:left w:val="nil"/>
              <w:bottom w:val="single" w:sz="2" w:space="0" w:color="auto"/>
              <w:right w:val="nil"/>
            </w:tcBorders>
            <w:shd w:val="clear" w:color="auto" w:fill="auto"/>
            <w:noWrap/>
            <w:vAlign w:val="center"/>
            <w:hideMark/>
          </w:tcPr>
          <w:p w14:paraId="7C70206E" w14:textId="77777777" w:rsidR="008E47CC" w:rsidRPr="003A115E" w:rsidRDefault="008E47CC" w:rsidP="00A0522B">
            <w:pPr>
              <w:pStyle w:val="cuatexto"/>
              <w:jc w:val="right"/>
            </w:pPr>
            <w:r>
              <w:t>6</w:t>
            </w:r>
          </w:p>
        </w:tc>
      </w:tr>
      <w:tr w:rsidR="000A742F" w:rsidRPr="003A115E" w14:paraId="06FBFD28"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2EA1398A" w14:textId="77777777" w:rsidR="008E47CC" w:rsidRPr="003A115E" w:rsidRDefault="008E47CC" w:rsidP="00A0522B">
            <w:pPr>
              <w:pStyle w:val="cuatexto"/>
            </w:pPr>
            <w:r>
              <w:t>Obra, hornidura, erosketa eta zerbitzuen egiaztapen materiala</w:t>
            </w:r>
          </w:p>
        </w:tc>
        <w:tc>
          <w:tcPr>
            <w:tcW w:w="699" w:type="pct"/>
            <w:tcBorders>
              <w:top w:val="single" w:sz="2" w:space="0" w:color="auto"/>
              <w:left w:val="nil"/>
              <w:bottom w:val="single" w:sz="2" w:space="0" w:color="auto"/>
              <w:right w:val="nil"/>
            </w:tcBorders>
            <w:shd w:val="clear" w:color="auto" w:fill="auto"/>
            <w:noWrap/>
            <w:vAlign w:val="center"/>
            <w:hideMark/>
          </w:tcPr>
          <w:p w14:paraId="7A293DDE" w14:textId="10AAB4C4" w:rsidR="008E47CC" w:rsidRPr="003A115E" w:rsidRDefault="000D0B4D" w:rsidP="00A0522B">
            <w:pPr>
              <w:pStyle w:val="cuatexto"/>
              <w:jc w:val="right"/>
            </w:pPr>
            <w:r>
              <w:t>-</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1B376C94" w14:textId="77777777" w:rsidR="008E47CC" w:rsidRPr="003A115E" w:rsidRDefault="008E47CC" w:rsidP="00A0522B">
            <w:pPr>
              <w:pStyle w:val="cuatexto"/>
              <w:jc w:val="right"/>
            </w:pPr>
            <w:r>
              <w:t>3</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384D3837" w14:textId="673D5914" w:rsidR="008E47CC" w:rsidRPr="003A115E" w:rsidRDefault="008E47CC" w:rsidP="00A0522B">
            <w:pPr>
              <w:pStyle w:val="cuatexto"/>
              <w:jc w:val="right"/>
            </w:pPr>
            <w:r>
              <w:t>-</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057276A4" w14:textId="0D5297AE" w:rsidR="008E47CC" w:rsidRPr="003A115E" w:rsidRDefault="008E47CC" w:rsidP="00790DB8">
            <w:pPr>
              <w:pStyle w:val="cuatexto"/>
              <w:ind w:right="7"/>
              <w:jc w:val="right"/>
            </w:pPr>
            <w:r>
              <w:t>3.042</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133E3132" w14:textId="77777777" w:rsidR="008E47CC" w:rsidRPr="003A115E" w:rsidRDefault="008E47CC" w:rsidP="00A0522B">
            <w:pPr>
              <w:pStyle w:val="cuatexto"/>
              <w:jc w:val="right"/>
            </w:pPr>
            <w:r>
              <w:t>0</w:t>
            </w:r>
          </w:p>
        </w:tc>
        <w:tc>
          <w:tcPr>
            <w:tcW w:w="314" w:type="pct"/>
            <w:tcBorders>
              <w:top w:val="single" w:sz="2" w:space="0" w:color="auto"/>
              <w:left w:val="nil"/>
              <w:bottom w:val="single" w:sz="2" w:space="0" w:color="auto"/>
              <w:right w:val="nil"/>
            </w:tcBorders>
            <w:shd w:val="clear" w:color="auto" w:fill="auto"/>
            <w:noWrap/>
            <w:vAlign w:val="center"/>
            <w:hideMark/>
          </w:tcPr>
          <w:p w14:paraId="53F206CE" w14:textId="77777777" w:rsidR="008E47CC" w:rsidRPr="003A115E" w:rsidRDefault="008E47CC" w:rsidP="00A0522B">
            <w:pPr>
              <w:pStyle w:val="cuatexto"/>
              <w:jc w:val="right"/>
            </w:pPr>
            <w:r>
              <w:t>0</w:t>
            </w:r>
          </w:p>
        </w:tc>
      </w:tr>
      <w:tr w:rsidR="000A742F" w:rsidRPr="003A115E" w14:paraId="07B709AD"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0C2BA5BA" w14:textId="77777777" w:rsidR="008E47CC" w:rsidRPr="003A115E" w:rsidRDefault="008E47CC" w:rsidP="00A0522B">
            <w:pPr>
              <w:pStyle w:val="cuatexto"/>
            </w:pPr>
            <w:r>
              <w:t>Ordenamendu juridikoaren aurkako beste ekintza batzuk</w:t>
            </w:r>
          </w:p>
        </w:tc>
        <w:tc>
          <w:tcPr>
            <w:tcW w:w="699" w:type="pct"/>
            <w:tcBorders>
              <w:top w:val="single" w:sz="2" w:space="0" w:color="auto"/>
              <w:left w:val="nil"/>
              <w:bottom w:val="single" w:sz="2" w:space="0" w:color="auto"/>
              <w:right w:val="nil"/>
            </w:tcBorders>
            <w:shd w:val="clear" w:color="auto" w:fill="auto"/>
            <w:noWrap/>
            <w:vAlign w:val="center"/>
            <w:hideMark/>
          </w:tcPr>
          <w:p w14:paraId="01817AE9" w14:textId="77777777" w:rsidR="008E47CC" w:rsidRPr="003A115E" w:rsidRDefault="008E47CC" w:rsidP="00A0522B">
            <w:pPr>
              <w:pStyle w:val="cuatexto"/>
              <w:jc w:val="right"/>
            </w:pPr>
            <w:r>
              <w:t>18</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5F54E1CF" w14:textId="77777777" w:rsidR="008E47CC" w:rsidRPr="003A115E" w:rsidRDefault="008E47CC" w:rsidP="00A0522B">
            <w:pPr>
              <w:pStyle w:val="cuatexto"/>
              <w:jc w:val="right"/>
            </w:pPr>
            <w:r>
              <w:t>24</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56679FA3" w14:textId="77777777" w:rsidR="008E47CC" w:rsidRPr="003A115E" w:rsidRDefault="008E47CC" w:rsidP="00A0522B">
            <w:pPr>
              <w:pStyle w:val="cuatexto"/>
              <w:jc w:val="right"/>
            </w:pPr>
            <w:r>
              <w:t>77.653</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6064028F" w14:textId="515695B9" w:rsidR="008E47CC" w:rsidRPr="003A115E" w:rsidRDefault="008E47CC" w:rsidP="00790DB8">
            <w:pPr>
              <w:pStyle w:val="cuatexto"/>
              <w:ind w:right="7"/>
              <w:jc w:val="right"/>
            </w:pPr>
            <w:r>
              <w:t>288.856</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77C319B0" w14:textId="77777777" w:rsidR="008E47CC" w:rsidRPr="003A115E" w:rsidRDefault="008E47CC" w:rsidP="00A0522B">
            <w:pPr>
              <w:pStyle w:val="cuatexto"/>
              <w:jc w:val="right"/>
            </w:pPr>
            <w:r>
              <w:t>6</w:t>
            </w:r>
          </w:p>
        </w:tc>
        <w:tc>
          <w:tcPr>
            <w:tcW w:w="314" w:type="pct"/>
            <w:tcBorders>
              <w:top w:val="single" w:sz="2" w:space="0" w:color="auto"/>
              <w:left w:val="nil"/>
              <w:bottom w:val="single" w:sz="2" w:space="0" w:color="auto"/>
              <w:right w:val="nil"/>
            </w:tcBorders>
            <w:shd w:val="clear" w:color="auto" w:fill="auto"/>
            <w:noWrap/>
            <w:vAlign w:val="center"/>
            <w:hideMark/>
          </w:tcPr>
          <w:p w14:paraId="12BD6ACE" w14:textId="77777777" w:rsidR="008E47CC" w:rsidRPr="003A115E" w:rsidRDefault="008E47CC" w:rsidP="00A0522B">
            <w:pPr>
              <w:pStyle w:val="cuatexto"/>
              <w:jc w:val="right"/>
            </w:pPr>
            <w:r>
              <w:t>5</w:t>
            </w:r>
          </w:p>
        </w:tc>
      </w:tr>
      <w:tr w:rsidR="000A742F" w:rsidRPr="003A115E" w14:paraId="7D9A9371" w14:textId="77777777" w:rsidTr="004E4A7D">
        <w:trPr>
          <w:trHeight w:val="198"/>
        </w:trPr>
        <w:tc>
          <w:tcPr>
            <w:tcW w:w="1720" w:type="pct"/>
            <w:tcBorders>
              <w:top w:val="single" w:sz="2" w:space="0" w:color="auto"/>
              <w:left w:val="nil"/>
              <w:bottom w:val="single" w:sz="4" w:space="0" w:color="auto"/>
              <w:right w:val="nil"/>
            </w:tcBorders>
            <w:shd w:val="clear" w:color="auto" w:fill="auto"/>
            <w:noWrap/>
            <w:vAlign w:val="center"/>
            <w:hideMark/>
          </w:tcPr>
          <w:p w14:paraId="13FAE51A" w14:textId="77777777" w:rsidR="008E47CC" w:rsidRPr="003A115E" w:rsidRDefault="008E47CC" w:rsidP="0186A00D">
            <w:pPr>
              <w:pStyle w:val="cuatexto"/>
            </w:pPr>
            <w:r>
              <w:t>Gastua onesteko eskumenik gabeko organoa</w:t>
            </w:r>
          </w:p>
        </w:tc>
        <w:tc>
          <w:tcPr>
            <w:tcW w:w="699" w:type="pct"/>
            <w:tcBorders>
              <w:top w:val="single" w:sz="2" w:space="0" w:color="auto"/>
              <w:left w:val="nil"/>
              <w:bottom w:val="single" w:sz="4" w:space="0" w:color="auto"/>
              <w:right w:val="nil"/>
            </w:tcBorders>
            <w:shd w:val="clear" w:color="auto" w:fill="auto"/>
            <w:noWrap/>
            <w:vAlign w:val="center"/>
            <w:hideMark/>
          </w:tcPr>
          <w:p w14:paraId="1B33D337" w14:textId="6A12D4B6" w:rsidR="008E47CC" w:rsidRPr="003A115E" w:rsidRDefault="000D0B4D" w:rsidP="00A0522B">
            <w:pPr>
              <w:pStyle w:val="cuatexto"/>
              <w:jc w:val="right"/>
            </w:pPr>
            <w:r>
              <w:t>-</w:t>
            </w:r>
          </w:p>
        </w:tc>
        <w:tc>
          <w:tcPr>
            <w:tcW w:w="322" w:type="pct"/>
            <w:tcBorders>
              <w:top w:val="single" w:sz="2" w:space="0" w:color="auto"/>
              <w:left w:val="nil"/>
              <w:bottom w:val="single" w:sz="4" w:space="0" w:color="auto"/>
              <w:right w:val="single" w:sz="2" w:space="0" w:color="auto"/>
            </w:tcBorders>
            <w:shd w:val="clear" w:color="auto" w:fill="auto"/>
            <w:noWrap/>
            <w:vAlign w:val="center"/>
            <w:hideMark/>
          </w:tcPr>
          <w:p w14:paraId="2E3AA45F" w14:textId="77777777" w:rsidR="008E47CC" w:rsidRPr="003A115E" w:rsidRDefault="008E47CC" w:rsidP="00A0522B">
            <w:pPr>
              <w:pStyle w:val="cuatexto"/>
              <w:jc w:val="right"/>
            </w:pPr>
            <w:r>
              <w:t>7</w:t>
            </w:r>
          </w:p>
        </w:tc>
        <w:tc>
          <w:tcPr>
            <w:tcW w:w="627" w:type="pct"/>
            <w:tcBorders>
              <w:top w:val="single" w:sz="2" w:space="0" w:color="auto"/>
              <w:left w:val="single" w:sz="2" w:space="0" w:color="auto"/>
              <w:bottom w:val="single" w:sz="4" w:space="0" w:color="auto"/>
              <w:right w:val="nil"/>
            </w:tcBorders>
            <w:shd w:val="clear" w:color="auto" w:fill="auto"/>
            <w:noWrap/>
            <w:vAlign w:val="center"/>
            <w:hideMark/>
          </w:tcPr>
          <w:p w14:paraId="1AC09D9E" w14:textId="7201A8E2" w:rsidR="008E47CC" w:rsidRPr="003A115E" w:rsidRDefault="008E47CC" w:rsidP="00A0522B">
            <w:pPr>
              <w:pStyle w:val="cuatexto"/>
              <w:jc w:val="right"/>
            </w:pPr>
            <w:r>
              <w:t>-</w:t>
            </w:r>
          </w:p>
        </w:tc>
        <w:tc>
          <w:tcPr>
            <w:tcW w:w="665" w:type="pct"/>
            <w:tcBorders>
              <w:top w:val="single" w:sz="2" w:space="0" w:color="auto"/>
              <w:left w:val="nil"/>
              <w:bottom w:val="single" w:sz="4" w:space="0" w:color="auto"/>
              <w:right w:val="single" w:sz="2" w:space="0" w:color="auto"/>
            </w:tcBorders>
            <w:shd w:val="clear" w:color="auto" w:fill="auto"/>
            <w:noWrap/>
            <w:vAlign w:val="center"/>
            <w:hideMark/>
          </w:tcPr>
          <w:p w14:paraId="6A6B665A" w14:textId="02939C2B" w:rsidR="008E47CC" w:rsidRPr="003A115E" w:rsidRDefault="008E47CC" w:rsidP="00790DB8">
            <w:pPr>
              <w:pStyle w:val="cuatexto"/>
              <w:ind w:right="7"/>
              <w:jc w:val="right"/>
            </w:pPr>
            <w:r>
              <w:t>1.260.108</w:t>
            </w:r>
          </w:p>
        </w:tc>
        <w:tc>
          <w:tcPr>
            <w:tcW w:w="653" w:type="pct"/>
            <w:tcBorders>
              <w:top w:val="single" w:sz="2" w:space="0" w:color="auto"/>
              <w:left w:val="single" w:sz="2" w:space="0" w:color="auto"/>
              <w:bottom w:val="single" w:sz="4" w:space="0" w:color="auto"/>
              <w:right w:val="nil"/>
            </w:tcBorders>
            <w:shd w:val="clear" w:color="auto" w:fill="auto"/>
            <w:noWrap/>
            <w:vAlign w:val="center"/>
            <w:hideMark/>
          </w:tcPr>
          <w:p w14:paraId="35426E20" w14:textId="77777777" w:rsidR="008E47CC" w:rsidRPr="003A115E" w:rsidRDefault="008E47CC" w:rsidP="00A0522B">
            <w:pPr>
              <w:pStyle w:val="cuatexto"/>
              <w:jc w:val="right"/>
            </w:pPr>
            <w:r>
              <w:t>0</w:t>
            </w:r>
          </w:p>
        </w:tc>
        <w:tc>
          <w:tcPr>
            <w:tcW w:w="314" w:type="pct"/>
            <w:tcBorders>
              <w:top w:val="single" w:sz="2" w:space="0" w:color="auto"/>
              <w:left w:val="nil"/>
              <w:bottom w:val="single" w:sz="4" w:space="0" w:color="auto"/>
              <w:right w:val="nil"/>
            </w:tcBorders>
            <w:shd w:val="clear" w:color="auto" w:fill="auto"/>
            <w:noWrap/>
            <w:vAlign w:val="center"/>
            <w:hideMark/>
          </w:tcPr>
          <w:p w14:paraId="50879CE3" w14:textId="77777777" w:rsidR="008E47CC" w:rsidRPr="003A115E" w:rsidRDefault="008E47CC" w:rsidP="00A0522B">
            <w:pPr>
              <w:pStyle w:val="cuatexto"/>
              <w:jc w:val="right"/>
            </w:pPr>
            <w:r>
              <w:t>1</w:t>
            </w:r>
          </w:p>
        </w:tc>
      </w:tr>
      <w:tr w:rsidR="000A742F" w:rsidRPr="003A115E" w14:paraId="7453F2AF" w14:textId="77777777" w:rsidTr="000C5D67">
        <w:trPr>
          <w:trHeight w:val="255"/>
        </w:trPr>
        <w:tc>
          <w:tcPr>
            <w:tcW w:w="1720" w:type="pct"/>
            <w:tcBorders>
              <w:top w:val="single" w:sz="4" w:space="0" w:color="auto"/>
              <w:left w:val="nil"/>
              <w:bottom w:val="single" w:sz="4" w:space="0" w:color="auto"/>
              <w:right w:val="nil"/>
            </w:tcBorders>
            <w:shd w:val="clear" w:color="auto" w:fill="FABF8F" w:themeFill="accent6" w:themeFillTint="99"/>
            <w:noWrap/>
            <w:vAlign w:val="center"/>
            <w:hideMark/>
          </w:tcPr>
          <w:p w14:paraId="2E17543B" w14:textId="77777777" w:rsidR="008E47CC" w:rsidRPr="003A115E" w:rsidRDefault="008E47CC" w:rsidP="00A0522B">
            <w:pPr>
              <w:pStyle w:val="cuadroCabe"/>
            </w:pPr>
            <w:r>
              <w:t>Guztira</w:t>
            </w:r>
          </w:p>
        </w:tc>
        <w:tc>
          <w:tcPr>
            <w:tcW w:w="699" w:type="pct"/>
            <w:tcBorders>
              <w:top w:val="single" w:sz="4" w:space="0" w:color="auto"/>
              <w:left w:val="nil"/>
              <w:bottom w:val="single" w:sz="4" w:space="0" w:color="auto"/>
              <w:right w:val="nil"/>
            </w:tcBorders>
            <w:shd w:val="clear" w:color="auto" w:fill="FABF8F" w:themeFill="accent6" w:themeFillTint="99"/>
            <w:noWrap/>
            <w:vAlign w:val="center"/>
            <w:hideMark/>
          </w:tcPr>
          <w:p w14:paraId="500730C7" w14:textId="77777777" w:rsidR="008E47CC" w:rsidRPr="003A115E" w:rsidRDefault="008E47CC" w:rsidP="00A0522B">
            <w:pPr>
              <w:pStyle w:val="cuadroCabe"/>
              <w:jc w:val="right"/>
            </w:pPr>
            <w:r>
              <w:t>127</w:t>
            </w:r>
          </w:p>
        </w:tc>
        <w:tc>
          <w:tcPr>
            <w:tcW w:w="32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EE717DD" w14:textId="77777777" w:rsidR="008E47CC" w:rsidRPr="003A115E" w:rsidRDefault="008E47CC" w:rsidP="00A0522B">
            <w:pPr>
              <w:pStyle w:val="cuadroCabe"/>
              <w:jc w:val="right"/>
            </w:pPr>
            <w:r>
              <w:t>188</w:t>
            </w:r>
          </w:p>
        </w:tc>
        <w:tc>
          <w:tcPr>
            <w:tcW w:w="6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28B3D65" w14:textId="77777777" w:rsidR="008E47CC" w:rsidRPr="003A115E" w:rsidRDefault="008E47CC" w:rsidP="00A0522B">
            <w:pPr>
              <w:pStyle w:val="cuadroCabe"/>
              <w:jc w:val="right"/>
            </w:pPr>
            <w:r>
              <w:t>2.215.170</w:t>
            </w:r>
          </w:p>
        </w:tc>
        <w:tc>
          <w:tcPr>
            <w:tcW w:w="6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2BF29CC" w14:textId="2F210067" w:rsidR="008E47CC" w:rsidRPr="003A115E" w:rsidRDefault="008E47CC" w:rsidP="00790DB8">
            <w:pPr>
              <w:pStyle w:val="cuadroCabe"/>
              <w:ind w:right="7"/>
              <w:jc w:val="right"/>
            </w:pPr>
            <w:r>
              <w:t>7.147.424</w:t>
            </w:r>
          </w:p>
        </w:tc>
        <w:tc>
          <w:tcPr>
            <w:tcW w:w="65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AB37CB5" w14:textId="77777777" w:rsidR="008E47CC" w:rsidRPr="003A115E" w:rsidRDefault="008E47CC" w:rsidP="00A0522B">
            <w:pPr>
              <w:pStyle w:val="cuadroCabe"/>
              <w:jc w:val="right"/>
            </w:pPr>
            <w:r>
              <w:t>23</w:t>
            </w:r>
          </w:p>
        </w:tc>
        <w:tc>
          <w:tcPr>
            <w:tcW w:w="314" w:type="pct"/>
            <w:tcBorders>
              <w:top w:val="single" w:sz="4" w:space="0" w:color="auto"/>
              <w:left w:val="nil"/>
              <w:bottom w:val="single" w:sz="4" w:space="0" w:color="auto"/>
              <w:right w:val="nil"/>
            </w:tcBorders>
            <w:shd w:val="clear" w:color="auto" w:fill="FABF8F" w:themeFill="accent6" w:themeFillTint="99"/>
            <w:noWrap/>
            <w:vAlign w:val="center"/>
            <w:hideMark/>
          </w:tcPr>
          <w:p w14:paraId="42C4007F" w14:textId="77777777" w:rsidR="008E47CC" w:rsidRPr="003A115E" w:rsidRDefault="008E47CC" w:rsidP="00A0522B">
            <w:pPr>
              <w:pStyle w:val="cuadroCabe"/>
              <w:jc w:val="right"/>
            </w:pPr>
            <w:r>
              <w:t>15</w:t>
            </w:r>
          </w:p>
        </w:tc>
      </w:tr>
    </w:tbl>
    <w:p w14:paraId="1587AC63" w14:textId="40015C84" w:rsidR="007C6CA5" w:rsidRPr="003A115E" w:rsidRDefault="79B4F94C" w:rsidP="00CC28BD">
      <w:pPr>
        <w:tabs>
          <w:tab w:val="left" w:pos="1630"/>
          <w:tab w:val="left" w:pos="2480"/>
          <w:tab w:val="left" w:pos="3189"/>
          <w:tab w:val="left" w:pos="4039"/>
          <w:tab w:val="left" w:pos="4748"/>
          <w:tab w:val="left" w:pos="5740"/>
          <w:tab w:val="left" w:pos="6733"/>
          <w:tab w:val="left" w:pos="7725"/>
        </w:tabs>
        <w:spacing w:before="240" w:after="120"/>
        <w:ind w:left="68" w:firstLine="215"/>
        <w:jc w:val="both"/>
        <w:rPr>
          <w:rFonts w:cs="Arial"/>
          <w:spacing w:val="6"/>
          <w:sz w:val="26"/>
          <w:szCs w:val="26"/>
        </w:rPr>
      </w:pPr>
      <w:r>
        <w:rPr>
          <w:sz w:val="26"/>
        </w:rPr>
        <w:t>Kontratazio publikoaren arloan biltzen dira eragozpen-oharren ehuneko 75 eta ukitutako zenbatekoaren ehuneko 77. Bestalde, eragozpen-oharren arrazoi ohikoenak dira funtsezko betekizunak edo izapideak falta izatea (ehuneko 61) eta ordenamendu juridikoaren kontrako beste egintza batzuk eta aurrekontu-kreditu nahikorik ez egotea (ehuneko 13 eta 12, hurrenez hurren).</w:t>
      </w:r>
    </w:p>
    <w:p w14:paraId="2AE09B77" w14:textId="7712376A" w:rsidR="005D3728" w:rsidRPr="003A115E" w:rsidRDefault="008B7066" w:rsidP="00287097">
      <w:pPr>
        <w:tabs>
          <w:tab w:val="left" w:pos="1630"/>
          <w:tab w:val="left" w:pos="2480"/>
          <w:tab w:val="left" w:pos="3189"/>
          <w:tab w:val="left" w:pos="4039"/>
          <w:tab w:val="left" w:pos="4748"/>
          <w:tab w:val="left" w:pos="5740"/>
          <w:tab w:val="left" w:pos="6733"/>
          <w:tab w:val="left" w:pos="7725"/>
        </w:tabs>
        <w:spacing w:after="240"/>
        <w:ind w:left="68" w:firstLine="215"/>
        <w:jc w:val="both"/>
        <w:rPr>
          <w:rFonts w:cs="Arial"/>
          <w:spacing w:val="6"/>
          <w:sz w:val="26"/>
        </w:rPr>
      </w:pPr>
      <w:r>
        <w:rPr>
          <w:sz w:val="26"/>
        </w:rPr>
        <w:t xml:space="preserve">Hurrengo taulan, azkenik, ukitutako zenbatekoaren arabera sailkatu ditugu 2022ko eragozpen-oharrak: </w:t>
      </w:r>
    </w:p>
    <w:p w14:paraId="0C7EE34B" w14:textId="389F276D" w:rsidR="000E3227" w:rsidRPr="003A115E" w:rsidRDefault="009059A2" w:rsidP="31020D79">
      <w:pPr>
        <w:pStyle w:val="texto"/>
        <w:spacing w:after="40"/>
        <w:jc w:val="right"/>
        <w:rPr>
          <w:rFonts w:ascii="Arial Narrow" w:hAnsi="Arial Narrow"/>
          <w:sz w:val="18"/>
          <w:szCs w:val="18"/>
        </w:rPr>
      </w:pPr>
      <w:r>
        <w:rPr>
          <w:rFonts w:ascii="Arial Narrow" w:hAnsi="Arial Narrow"/>
          <w:sz w:val="18"/>
        </w:rPr>
        <w:t>(eurotan)</w:t>
      </w:r>
    </w:p>
    <w:tbl>
      <w:tblPr>
        <w:tblW w:w="5000" w:type="pct"/>
        <w:tblCellMar>
          <w:left w:w="70" w:type="dxa"/>
          <w:right w:w="70" w:type="dxa"/>
        </w:tblCellMar>
        <w:tblLook w:val="04A0" w:firstRow="1" w:lastRow="0" w:firstColumn="1" w:lastColumn="0" w:noHBand="0" w:noVBand="1"/>
      </w:tblPr>
      <w:tblGrid>
        <w:gridCol w:w="2409"/>
        <w:gridCol w:w="3141"/>
        <w:gridCol w:w="3238"/>
      </w:tblGrid>
      <w:tr w:rsidR="000A742F" w:rsidRPr="003A115E" w14:paraId="48632A61" w14:textId="77777777" w:rsidTr="00E03D30">
        <w:trPr>
          <w:trHeight w:val="255"/>
        </w:trPr>
        <w:tc>
          <w:tcPr>
            <w:tcW w:w="1499" w:type="pct"/>
            <w:tcBorders>
              <w:top w:val="single" w:sz="4" w:space="0" w:color="auto"/>
              <w:left w:val="nil"/>
              <w:bottom w:val="single" w:sz="4" w:space="0" w:color="auto"/>
              <w:right w:val="nil"/>
            </w:tcBorders>
            <w:shd w:val="clear" w:color="auto" w:fill="FABF8F" w:themeFill="accent6" w:themeFillTint="99"/>
            <w:noWrap/>
            <w:vAlign w:val="center"/>
            <w:hideMark/>
          </w:tcPr>
          <w:p w14:paraId="560C40F3" w14:textId="77777777" w:rsidR="00E03D30" w:rsidRPr="003A115E" w:rsidRDefault="00E03D30" w:rsidP="003F4C39">
            <w:pPr>
              <w:pStyle w:val="cuadroCabe"/>
            </w:pPr>
            <w:r>
              <w:t>Diru-zenb. tartea</w:t>
            </w:r>
          </w:p>
        </w:tc>
        <w:tc>
          <w:tcPr>
            <w:tcW w:w="1915" w:type="pct"/>
            <w:tcBorders>
              <w:top w:val="single" w:sz="4" w:space="0" w:color="auto"/>
              <w:left w:val="nil"/>
              <w:bottom w:val="single" w:sz="4" w:space="0" w:color="auto"/>
              <w:right w:val="nil"/>
            </w:tcBorders>
            <w:shd w:val="clear" w:color="auto" w:fill="FABF8F" w:themeFill="accent6" w:themeFillTint="99"/>
            <w:noWrap/>
            <w:vAlign w:val="center"/>
            <w:hideMark/>
          </w:tcPr>
          <w:p w14:paraId="2F24999F" w14:textId="77777777" w:rsidR="00E03D30" w:rsidRPr="003A115E" w:rsidRDefault="00E03D30" w:rsidP="003F4C39">
            <w:pPr>
              <w:pStyle w:val="cuadroCabe"/>
              <w:jc w:val="right"/>
            </w:pPr>
            <w:proofErr w:type="spellStart"/>
            <w:r>
              <w:t>Erag</w:t>
            </w:r>
            <w:proofErr w:type="spellEnd"/>
            <w:r>
              <w:t>. oh. kopurua</w:t>
            </w:r>
          </w:p>
        </w:tc>
        <w:tc>
          <w:tcPr>
            <w:tcW w:w="1586" w:type="pct"/>
            <w:tcBorders>
              <w:top w:val="single" w:sz="4" w:space="0" w:color="auto"/>
              <w:left w:val="nil"/>
              <w:bottom w:val="single" w:sz="4" w:space="0" w:color="auto"/>
              <w:right w:val="nil"/>
            </w:tcBorders>
            <w:shd w:val="clear" w:color="auto" w:fill="FABF8F" w:themeFill="accent6" w:themeFillTint="99"/>
            <w:noWrap/>
            <w:vAlign w:val="center"/>
            <w:hideMark/>
          </w:tcPr>
          <w:p w14:paraId="2A263F75" w14:textId="77777777" w:rsidR="00E03D30" w:rsidRPr="003A115E" w:rsidRDefault="00E03D30" w:rsidP="003F4C39">
            <w:pPr>
              <w:pStyle w:val="cuadroCabe"/>
              <w:jc w:val="right"/>
            </w:pPr>
            <w:r>
              <w:t>Zenbatetsi den diru kopurua, guztira</w:t>
            </w:r>
          </w:p>
        </w:tc>
      </w:tr>
      <w:tr w:rsidR="000A742F" w:rsidRPr="003A115E" w14:paraId="440ECB58" w14:textId="77777777" w:rsidTr="00E03D30">
        <w:trPr>
          <w:trHeight w:val="198"/>
        </w:trPr>
        <w:tc>
          <w:tcPr>
            <w:tcW w:w="1499" w:type="pct"/>
            <w:tcBorders>
              <w:top w:val="single" w:sz="4" w:space="0" w:color="auto"/>
              <w:left w:val="nil"/>
              <w:bottom w:val="single" w:sz="2" w:space="0" w:color="auto"/>
              <w:right w:val="nil"/>
            </w:tcBorders>
            <w:shd w:val="clear" w:color="auto" w:fill="auto"/>
            <w:noWrap/>
            <w:vAlign w:val="center"/>
            <w:hideMark/>
          </w:tcPr>
          <w:p w14:paraId="1F5DB018" w14:textId="77777777" w:rsidR="00E03D30" w:rsidRPr="003A115E" w:rsidRDefault="00E03D30" w:rsidP="003F4C39">
            <w:pPr>
              <w:pStyle w:val="cuatexto"/>
            </w:pPr>
            <w:r>
              <w:t>1.000 euro bitarte</w:t>
            </w:r>
          </w:p>
        </w:tc>
        <w:tc>
          <w:tcPr>
            <w:tcW w:w="1915" w:type="pct"/>
            <w:tcBorders>
              <w:top w:val="single" w:sz="4" w:space="0" w:color="auto"/>
              <w:left w:val="nil"/>
              <w:bottom w:val="single" w:sz="2" w:space="0" w:color="auto"/>
              <w:right w:val="nil"/>
            </w:tcBorders>
            <w:shd w:val="clear" w:color="auto" w:fill="auto"/>
            <w:noWrap/>
            <w:vAlign w:val="center"/>
            <w:hideMark/>
          </w:tcPr>
          <w:p w14:paraId="68394EED" w14:textId="77777777" w:rsidR="00E03D30" w:rsidRPr="003A115E" w:rsidRDefault="00E03D30" w:rsidP="003F4C39">
            <w:pPr>
              <w:pStyle w:val="cuatexto"/>
              <w:jc w:val="right"/>
            </w:pPr>
            <w:r>
              <w:t>27</w:t>
            </w:r>
          </w:p>
        </w:tc>
        <w:tc>
          <w:tcPr>
            <w:tcW w:w="1586" w:type="pct"/>
            <w:tcBorders>
              <w:top w:val="single" w:sz="4" w:space="0" w:color="auto"/>
              <w:left w:val="nil"/>
              <w:bottom w:val="single" w:sz="2" w:space="0" w:color="auto"/>
              <w:right w:val="nil"/>
            </w:tcBorders>
            <w:shd w:val="clear" w:color="auto" w:fill="auto"/>
            <w:noWrap/>
            <w:vAlign w:val="center"/>
            <w:hideMark/>
          </w:tcPr>
          <w:p w14:paraId="7995BB80" w14:textId="77777777" w:rsidR="00E03D30" w:rsidRPr="003A115E" w:rsidRDefault="00E03D30" w:rsidP="003F4C39">
            <w:pPr>
              <w:pStyle w:val="cuatexto"/>
              <w:jc w:val="right"/>
            </w:pPr>
            <w:r>
              <w:t xml:space="preserve">              16.600 </w:t>
            </w:r>
          </w:p>
        </w:tc>
      </w:tr>
      <w:tr w:rsidR="000A742F" w:rsidRPr="003A115E" w14:paraId="4C90A32A"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069BC3A5" w14:textId="77777777" w:rsidR="00E03D30" w:rsidRPr="003A115E" w:rsidRDefault="00E03D30" w:rsidP="003F4C39">
            <w:pPr>
              <w:pStyle w:val="cuatexto"/>
            </w:pPr>
            <w:r>
              <w:t>1.001 - 5.000 euro</w:t>
            </w:r>
          </w:p>
        </w:tc>
        <w:tc>
          <w:tcPr>
            <w:tcW w:w="1915" w:type="pct"/>
            <w:tcBorders>
              <w:top w:val="single" w:sz="2" w:space="0" w:color="auto"/>
              <w:left w:val="nil"/>
              <w:bottom w:val="single" w:sz="2" w:space="0" w:color="auto"/>
              <w:right w:val="nil"/>
            </w:tcBorders>
            <w:shd w:val="clear" w:color="auto" w:fill="auto"/>
            <w:noWrap/>
            <w:vAlign w:val="center"/>
            <w:hideMark/>
          </w:tcPr>
          <w:p w14:paraId="20AD362F" w14:textId="77777777" w:rsidR="00E03D30" w:rsidRPr="003A115E" w:rsidRDefault="00E03D30" w:rsidP="003F4C39">
            <w:pPr>
              <w:pStyle w:val="cuatexto"/>
              <w:jc w:val="right"/>
            </w:pPr>
            <w:r>
              <w:t>23</w:t>
            </w:r>
          </w:p>
        </w:tc>
        <w:tc>
          <w:tcPr>
            <w:tcW w:w="1586" w:type="pct"/>
            <w:tcBorders>
              <w:top w:val="single" w:sz="2" w:space="0" w:color="auto"/>
              <w:left w:val="nil"/>
              <w:bottom w:val="single" w:sz="2" w:space="0" w:color="auto"/>
              <w:right w:val="nil"/>
            </w:tcBorders>
            <w:shd w:val="clear" w:color="auto" w:fill="auto"/>
            <w:noWrap/>
            <w:vAlign w:val="center"/>
            <w:hideMark/>
          </w:tcPr>
          <w:p w14:paraId="3004671E" w14:textId="77777777" w:rsidR="00E03D30" w:rsidRPr="003A115E" w:rsidRDefault="00E03D30" w:rsidP="003F4C39">
            <w:pPr>
              <w:pStyle w:val="cuatexto"/>
              <w:jc w:val="right"/>
            </w:pPr>
            <w:r>
              <w:t xml:space="preserve">              54.844 </w:t>
            </w:r>
          </w:p>
        </w:tc>
      </w:tr>
      <w:tr w:rsidR="000A742F" w:rsidRPr="003A115E" w14:paraId="55FD8621"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63D05EF1" w14:textId="77777777" w:rsidR="00E03D30" w:rsidRPr="003A115E" w:rsidRDefault="00E03D30" w:rsidP="003F4C39">
            <w:pPr>
              <w:pStyle w:val="cuatexto"/>
            </w:pPr>
            <w:r>
              <w:t>5.001-10.000 euro</w:t>
            </w:r>
          </w:p>
        </w:tc>
        <w:tc>
          <w:tcPr>
            <w:tcW w:w="1915" w:type="pct"/>
            <w:tcBorders>
              <w:top w:val="single" w:sz="2" w:space="0" w:color="auto"/>
              <w:left w:val="nil"/>
              <w:bottom w:val="single" w:sz="2" w:space="0" w:color="auto"/>
              <w:right w:val="nil"/>
            </w:tcBorders>
            <w:shd w:val="clear" w:color="auto" w:fill="auto"/>
            <w:noWrap/>
            <w:vAlign w:val="center"/>
            <w:hideMark/>
          </w:tcPr>
          <w:p w14:paraId="4BD737D7" w14:textId="77777777" w:rsidR="00E03D30" w:rsidRPr="003A115E" w:rsidRDefault="00E03D30" w:rsidP="003F4C39">
            <w:pPr>
              <w:pStyle w:val="cuatexto"/>
              <w:jc w:val="right"/>
            </w:pPr>
            <w:r>
              <w:t>17</w:t>
            </w:r>
          </w:p>
        </w:tc>
        <w:tc>
          <w:tcPr>
            <w:tcW w:w="1586" w:type="pct"/>
            <w:tcBorders>
              <w:top w:val="single" w:sz="2" w:space="0" w:color="auto"/>
              <w:left w:val="nil"/>
              <w:bottom w:val="single" w:sz="2" w:space="0" w:color="auto"/>
              <w:right w:val="nil"/>
            </w:tcBorders>
            <w:shd w:val="clear" w:color="auto" w:fill="auto"/>
            <w:noWrap/>
            <w:vAlign w:val="center"/>
            <w:hideMark/>
          </w:tcPr>
          <w:p w14:paraId="1A86095A" w14:textId="77777777" w:rsidR="00E03D30" w:rsidRPr="003A115E" w:rsidRDefault="00E03D30" w:rsidP="003F4C39">
            <w:pPr>
              <w:pStyle w:val="cuatexto"/>
              <w:jc w:val="right"/>
            </w:pPr>
            <w:r>
              <w:t xml:space="preserve">             128.112 </w:t>
            </w:r>
          </w:p>
        </w:tc>
      </w:tr>
      <w:tr w:rsidR="000A742F" w:rsidRPr="003A115E" w14:paraId="7B43E8D6"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7A0F8297" w14:textId="77777777" w:rsidR="00E03D30" w:rsidRPr="003A115E" w:rsidRDefault="00E03D30" w:rsidP="003F4C39">
            <w:pPr>
              <w:pStyle w:val="cuatexto"/>
            </w:pPr>
            <w:r>
              <w:t>10.001-20.000 euro</w:t>
            </w:r>
          </w:p>
        </w:tc>
        <w:tc>
          <w:tcPr>
            <w:tcW w:w="1915" w:type="pct"/>
            <w:tcBorders>
              <w:top w:val="single" w:sz="2" w:space="0" w:color="auto"/>
              <w:left w:val="nil"/>
              <w:bottom w:val="single" w:sz="2" w:space="0" w:color="auto"/>
              <w:right w:val="nil"/>
            </w:tcBorders>
            <w:shd w:val="clear" w:color="auto" w:fill="auto"/>
            <w:noWrap/>
            <w:vAlign w:val="center"/>
            <w:hideMark/>
          </w:tcPr>
          <w:p w14:paraId="4011DC8F" w14:textId="77777777" w:rsidR="00E03D30" w:rsidRPr="003A115E" w:rsidRDefault="00E03D30" w:rsidP="003F4C39">
            <w:pPr>
              <w:pStyle w:val="cuatexto"/>
              <w:jc w:val="right"/>
            </w:pPr>
            <w:r>
              <w:t>38</w:t>
            </w:r>
          </w:p>
        </w:tc>
        <w:tc>
          <w:tcPr>
            <w:tcW w:w="1586" w:type="pct"/>
            <w:tcBorders>
              <w:top w:val="single" w:sz="2" w:space="0" w:color="auto"/>
              <w:left w:val="nil"/>
              <w:bottom w:val="single" w:sz="2" w:space="0" w:color="auto"/>
              <w:right w:val="nil"/>
            </w:tcBorders>
            <w:shd w:val="clear" w:color="auto" w:fill="auto"/>
            <w:noWrap/>
            <w:vAlign w:val="center"/>
            <w:hideMark/>
          </w:tcPr>
          <w:p w14:paraId="08471D9D" w14:textId="77777777" w:rsidR="00E03D30" w:rsidRPr="003A115E" w:rsidRDefault="00E03D30" w:rsidP="003F4C39">
            <w:pPr>
              <w:pStyle w:val="cuatexto"/>
              <w:jc w:val="right"/>
            </w:pPr>
            <w:r>
              <w:t xml:space="preserve">             570.193 </w:t>
            </w:r>
          </w:p>
        </w:tc>
      </w:tr>
      <w:tr w:rsidR="000A742F" w:rsidRPr="003A115E" w14:paraId="63E93BA0"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77485286" w14:textId="77777777" w:rsidR="00E03D30" w:rsidRPr="003A115E" w:rsidRDefault="00E03D30" w:rsidP="003F4C39">
            <w:pPr>
              <w:pStyle w:val="cuatexto"/>
            </w:pPr>
            <w:r>
              <w:t>20.000 eurotik gora</w:t>
            </w:r>
          </w:p>
        </w:tc>
        <w:tc>
          <w:tcPr>
            <w:tcW w:w="1915" w:type="pct"/>
            <w:tcBorders>
              <w:top w:val="single" w:sz="2" w:space="0" w:color="auto"/>
              <w:left w:val="nil"/>
              <w:bottom w:val="single" w:sz="2" w:space="0" w:color="auto"/>
              <w:right w:val="nil"/>
            </w:tcBorders>
            <w:shd w:val="clear" w:color="auto" w:fill="auto"/>
            <w:noWrap/>
            <w:vAlign w:val="center"/>
            <w:hideMark/>
          </w:tcPr>
          <w:p w14:paraId="2C92D764" w14:textId="77777777" w:rsidR="00E03D30" w:rsidRPr="003A115E" w:rsidRDefault="00E03D30" w:rsidP="003F4C39">
            <w:pPr>
              <w:pStyle w:val="cuatexto"/>
              <w:jc w:val="right"/>
            </w:pPr>
            <w:r>
              <w:t>68</w:t>
            </w:r>
          </w:p>
        </w:tc>
        <w:tc>
          <w:tcPr>
            <w:tcW w:w="1586" w:type="pct"/>
            <w:tcBorders>
              <w:top w:val="single" w:sz="2" w:space="0" w:color="auto"/>
              <w:left w:val="nil"/>
              <w:bottom w:val="single" w:sz="2" w:space="0" w:color="auto"/>
              <w:right w:val="nil"/>
            </w:tcBorders>
            <w:shd w:val="clear" w:color="auto" w:fill="auto"/>
            <w:noWrap/>
            <w:vAlign w:val="center"/>
            <w:hideMark/>
          </w:tcPr>
          <w:p w14:paraId="185DE2C9" w14:textId="77777777" w:rsidR="00E03D30" w:rsidRPr="003A115E" w:rsidRDefault="00E03D30" w:rsidP="003F4C39">
            <w:pPr>
              <w:pStyle w:val="cuatexto"/>
              <w:jc w:val="right"/>
            </w:pPr>
            <w:r>
              <w:t xml:space="preserve">          6.377.675 </w:t>
            </w:r>
          </w:p>
        </w:tc>
      </w:tr>
      <w:tr w:rsidR="000A742F" w:rsidRPr="003A115E" w14:paraId="03CF89C7" w14:textId="77777777" w:rsidTr="00E03D30">
        <w:trPr>
          <w:trHeight w:val="198"/>
        </w:trPr>
        <w:tc>
          <w:tcPr>
            <w:tcW w:w="1499" w:type="pct"/>
            <w:tcBorders>
              <w:top w:val="single" w:sz="2" w:space="0" w:color="auto"/>
              <w:left w:val="nil"/>
              <w:bottom w:val="single" w:sz="4" w:space="0" w:color="auto"/>
              <w:right w:val="nil"/>
            </w:tcBorders>
            <w:shd w:val="clear" w:color="auto" w:fill="auto"/>
            <w:noWrap/>
            <w:vAlign w:val="center"/>
            <w:hideMark/>
          </w:tcPr>
          <w:p w14:paraId="05A16283" w14:textId="16BAD3DC" w:rsidR="00E03D30" w:rsidRPr="003A115E" w:rsidRDefault="00E03D30" w:rsidP="003F4C39">
            <w:pPr>
              <w:pStyle w:val="cuatexto"/>
            </w:pPr>
            <w:r>
              <w:t>Zenbatekorik ez da agertzen</w:t>
            </w:r>
          </w:p>
        </w:tc>
        <w:tc>
          <w:tcPr>
            <w:tcW w:w="1915" w:type="pct"/>
            <w:tcBorders>
              <w:top w:val="single" w:sz="2" w:space="0" w:color="auto"/>
              <w:left w:val="nil"/>
              <w:bottom w:val="single" w:sz="4" w:space="0" w:color="auto"/>
              <w:right w:val="nil"/>
            </w:tcBorders>
            <w:shd w:val="clear" w:color="auto" w:fill="auto"/>
            <w:noWrap/>
            <w:vAlign w:val="center"/>
            <w:hideMark/>
          </w:tcPr>
          <w:p w14:paraId="1B4CF8F5" w14:textId="77777777" w:rsidR="00E03D30" w:rsidRPr="003A115E" w:rsidRDefault="00E03D30" w:rsidP="003F4C39">
            <w:pPr>
              <w:pStyle w:val="cuatexto"/>
              <w:jc w:val="right"/>
            </w:pPr>
            <w:r>
              <w:t>15</w:t>
            </w:r>
          </w:p>
        </w:tc>
        <w:tc>
          <w:tcPr>
            <w:tcW w:w="1586" w:type="pct"/>
            <w:tcBorders>
              <w:top w:val="single" w:sz="2" w:space="0" w:color="auto"/>
              <w:left w:val="nil"/>
              <w:bottom w:val="single" w:sz="4" w:space="0" w:color="auto"/>
              <w:right w:val="nil"/>
            </w:tcBorders>
            <w:shd w:val="clear" w:color="auto" w:fill="auto"/>
            <w:noWrap/>
            <w:vAlign w:val="center"/>
            <w:hideMark/>
          </w:tcPr>
          <w:p w14:paraId="72F79FC6" w14:textId="77777777" w:rsidR="00E03D30" w:rsidRPr="003A115E" w:rsidRDefault="00E03D30" w:rsidP="003F4C39">
            <w:pPr>
              <w:pStyle w:val="cuatexto"/>
              <w:jc w:val="right"/>
            </w:pPr>
            <w:r>
              <w:t> </w:t>
            </w:r>
          </w:p>
        </w:tc>
      </w:tr>
      <w:tr w:rsidR="000A742F" w:rsidRPr="003A115E" w14:paraId="07593657" w14:textId="77777777" w:rsidTr="00E03D30">
        <w:trPr>
          <w:trHeight w:val="255"/>
        </w:trPr>
        <w:tc>
          <w:tcPr>
            <w:tcW w:w="1499" w:type="pct"/>
            <w:tcBorders>
              <w:top w:val="single" w:sz="4" w:space="0" w:color="auto"/>
              <w:left w:val="nil"/>
              <w:bottom w:val="single" w:sz="4" w:space="0" w:color="auto"/>
              <w:right w:val="nil"/>
            </w:tcBorders>
            <w:shd w:val="clear" w:color="auto" w:fill="FABF8F" w:themeFill="accent6" w:themeFillTint="99"/>
            <w:noWrap/>
            <w:vAlign w:val="center"/>
            <w:hideMark/>
          </w:tcPr>
          <w:p w14:paraId="4BE53F28" w14:textId="77777777" w:rsidR="00E03D30" w:rsidRPr="003A115E" w:rsidRDefault="00E03D30" w:rsidP="003F4C39">
            <w:pPr>
              <w:pStyle w:val="cuadroCabe"/>
            </w:pPr>
            <w:r>
              <w:lastRenderedPageBreak/>
              <w:t>Guztira</w:t>
            </w:r>
          </w:p>
        </w:tc>
        <w:tc>
          <w:tcPr>
            <w:tcW w:w="1915" w:type="pct"/>
            <w:tcBorders>
              <w:top w:val="single" w:sz="4" w:space="0" w:color="auto"/>
              <w:left w:val="nil"/>
              <w:bottom w:val="single" w:sz="4" w:space="0" w:color="auto"/>
              <w:right w:val="nil"/>
            </w:tcBorders>
            <w:shd w:val="clear" w:color="auto" w:fill="FABF8F" w:themeFill="accent6" w:themeFillTint="99"/>
            <w:noWrap/>
            <w:vAlign w:val="center"/>
            <w:hideMark/>
          </w:tcPr>
          <w:p w14:paraId="34B4AD49" w14:textId="77777777" w:rsidR="00E03D30" w:rsidRPr="003A115E" w:rsidRDefault="00E03D30" w:rsidP="00CC28BD">
            <w:pPr>
              <w:pStyle w:val="cuadroCabe"/>
              <w:jc w:val="right"/>
            </w:pPr>
            <w:r>
              <w:t>188</w:t>
            </w:r>
          </w:p>
        </w:tc>
        <w:tc>
          <w:tcPr>
            <w:tcW w:w="1586" w:type="pct"/>
            <w:tcBorders>
              <w:top w:val="single" w:sz="4" w:space="0" w:color="auto"/>
              <w:left w:val="nil"/>
              <w:bottom w:val="single" w:sz="4" w:space="0" w:color="auto"/>
              <w:right w:val="nil"/>
            </w:tcBorders>
            <w:shd w:val="clear" w:color="auto" w:fill="FABF8F" w:themeFill="accent6" w:themeFillTint="99"/>
            <w:noWrap/>
            <w:vAlign w:val="center"/>
            <w:hideMark/>
          </w:tcPr>
          <w:p w14:paraId="12689580" w14:textId="77777777" w:rsidR="00E03D30" w:rsidRPr="003A115E" w:rsidRDefault="00E03D30" w:rsidP="00CC28BD">
            <w:pPr>
              <w:pStyle w:val="cuadroCabe"/>
              <w:jc w:val="right"/>
            </w:pPr>
            <w:r>
              <w:t xml:space="preserve">          7.147.424 </w:t>
            </w:r>
          </w:p>
        </w:tc>
      </w:tr>
    </w:tbl>
    <w:p w14:paraId="20A5239E" w14:textId="77777777" w:rsidR="00553215" w:rsidRPr="003A115E" w:rsidRDefault="00553215" w:rsidP="00553215">
      <w:pPr>
        <w:tabs>
          <w:tab w:val="left" w:pos="1630"/>
          <w:tab w:val="left" w:pos="2480"/>
          <w:tab w:val="left" w:pos="3189"/>
          <w:tab w:val="left" w:pos="4039"/>
          <w:tab w:val="left" w:pos="4748"/>
          <w:tab w:val="left" w:pos="5740"/>
          <w:tab w:val="left" w:pos="6733"/>
          <w:tab w:val="left" w:pos="7725"/>
        </w:tabs>
        <w:ind w:left="68" w:firstLine="215"/>
        <w:jc w:val="both"/>
        <w:rPr>
          <w:rFonts w:cs="Arial"/>
          <w:spacing w:val="6"/>
          <w:sz w:val="26"/>
        </w:rPr>
      </w:pPr>
      <w:bookmarkStart w:id="97" w:name="_Toc123547418"/>
    </w:p>
    <w:p w14:paraId="069275EF" w14:textId="223325AD" w:rsidR="008B7066" w:rsidRPr="003A115E" w:rsidRDefault="00553215" w:rsidP="00553215">
      <w:pPr>
        <w:tabs>
          <w:tab w:val="left" w:pos="1630"/>
          <w:tab w:val="left" w:pos="2480"/>
          <w:tab w:val="left" w:pos="3189"/>
          <w:tab w:val="left" w:pos="4039"/>
          <w:tab w:val="left" w:pos="4748"/>
          <w:tab w:val="left" w:pos="5740"/>
          <w:tab w:val="left" w:pos="6733"/>
          <w:tab w:val="left" w:pos="7725"/>
        </w:tabs>
        <w:ind w:left="68" w:firstLine="215"/>
        <w:jc w:val="both"/>
        <w:rPr>
          <w:rFonts w:cs="Arial"/>
          <w:spacing w:val="6"/>
          <w:sz w:val="26"/>
        </w:rPr>
      </w:pPr>
      <w:r>
        <w:rPr>
          <w:sz w:val="26"/>
        </w:rPr>
        <w:t>Azkenik azpimarratzen dugu ezen, emandako informazioaren arabera, 16 toki-entitatetan 120 ebazpen onetsi direla kontrol-organoek eginiko eragozpen-oharren kontrakoak direnak.</w:t>
      </w:r>
    </w:p>
    <w:p w14:paraId="7D3BA938" w14:textId="36737669" w:rsidR="000E3227" w:rsidRPr="003A115E" w:rsidRDefault="000E3227" w:rsidP="0070115B">
      <w:pPr>
        <w:pStyle w:val="Ttulo2"/>
        <w:spacing w:after="120"/>
        <w:ind w:firstLine="0"/>
        <w:rPr>
          <w:b w:val="0"/>
          <w:i w:val="0"/>
          <w:sz w:val="25"/>
          <w:szCs w:val="25"/>
        </w:rPr>
      </w:pPr>
      <w:bookmarkStart w:id="98" w:name="_Toc188511800"/>
      <w:r>
        <w:rPr>
          <w:b w:val="0"/>
          <w:i w:val="0"/>
          <w:sz w:val="25"/>
        </w:rPr>
        <w:t>IX.4 Diru-sarreren arloko anomalia nagusiak</w:t>
      </w:r>
      <w:bookmarkEnd w:id="97"/>
      <w:bookmarkEnd w:id="98"/>
    </w:p>
    <w:p w14:paraId="7ED70B47" w14:textId="77777777" w:rsidR="007D4F1A" w:rsidRPr="003A115E" w:rsidRDefault="00C00428" w:rsidP="007D4F1A">
      <w:pPr>
        <w:tabs>
          <w:tab w:val="left" w:pos="1630"/>
          <w:tab w:val="left" w:pos="2480"/>
          <w:tab w:val="left" w:pos="3189"/>
          <w:tab w:val="left" w:pos="4039"/>
          <w:tab w:val="left" w:pos="4748"/>
          <w:tab w:val="left" w:pos="5740"/>
          <w:tab w:val="left" w:pos="6733"/>
          <w:tab w:val="left" w:pos="7725"/>
        </w:tabs>
        <w:spacing w:after="240"/>
        <w:ind w:left="68" w:firstLine="215"/>
        <w:jc w:val="both"/>
        <w:rPr>
          <w:sz w:val="26"/>
          <w:szCs w:val="26"/>
        </w:rPr>
      </w:pPr>
      <w:r>
        <w:rPr>
          <w:sz w:val="26"/>
        </w:rPr>
        <w:t>Hiru toki-entitatek diru-sarreren arloko 15 anomaliaren berri eman dute, guztira 348.615 euro ukitzen dituztenak. Zenbateko hori 2021ekoa baino handiagoa da. Ekitaldi horretan zazpi anomaliaren berri eman zen, baina 67.974 euro ukitzen zituzten guztira.</w:t>
      </w:r>
      <w:bookmarkEnd w:id="86"/>
    </w:p>
    <w:p w14:paraId="053152A6" w14:textId="407C6CAD" w:rsidR="007D4F1A" w:rsidRPr="003A115E" w:rsidRDefault="007D4F1A" w:rsidP="007D4F1A">
      <w:pPr>
        <w:pStyle w:val="texto"/>
        <w:tabs>
          <w:tab w:val="clear" w:pos="2835"/>
          <w:tab w:val="clear" w:pos="3969"/>
          <w:tab w:val="clear" w:pos="5103"/>
          <w:tab w:val="clear" w:pos="6237"/>
          <w:tab w:val="clear" w:pos="7371"/>
          <w:tab w:val="num" w:pos="720"/>
          <w:tab w:val="num" w:pos="6597"/>
        </w:tabs>
      </w:pPr>
      <w:r>
        <w:t xml:space="preserve">Javier </w:t>
      </w:r>
      <w:proofErr w:type="spellStart"/>
      <w:r>
        <w:t>Marticorena</w:t>
      </w:r>
      <w:proofErr w:type="spellEnd"/>
      <w:r>
        <w:t xml:space="preserve"> </w:t>
      </w:r>
      <w:proofErr w:type="spellStart"/>
      <w:r>
        <w:t>Chapa</w:t>
      </w:r>
      <w:proofErr w:type="spellEnd"/>
      <w:r>
        <w:t xml:space="preserve"> </w:t>
      </w:r>
      <w:proofErr w:type="spellStart"/>
      <w:r>
        <w:t>auditorea</w:t>
      </w:r>
      <w:proofErr w:type="spellEnd"/>
      <w:r>
        <w:t xml:space="preserve"> arduratu da lan honetaz, eta hark proposatuta jaulkitzen da txosten hau, indarreko araudiak ezarritako izapideak bete ondoren.</w:t>
      </w:r>
    </w:p>
    <w:p w14:paraId="503C6A5E" w14:textId="77777777" w:rsidR="007D4F1A" w:rsidRPr="003A115E" w:rsidRDefault="007D4F1A" w:rsidP="007D4F1A">
      <w:pPr>
        <w:spacing w:before="840" w:after="140"/>
        <w:contextualSpacing/>
        <w:jc w:val="center"/>
        <w:rPr>
          <w:spacing w:val="6"/>
          <w:sz w:val="26"/>
          <w:szCs w:val="26"/>
        </w:rPr>
      </w:pPr>
      <w:r>
        <w:rPr>
          <w:i/>
          <w:sz w:val="26"/>
        </w:rPr>
        <w:t xml:space="preserve">(Ignacio </w:t>
      </w:r>
      <w:proofErr w:type="spellStart"/>
      <w:r>
        <w:rPr>
          <w:i/>
          <w:sz w:val="26"/>
        </w:rPr>
        <w:t>Cabeza</w:t>
      </w:r>
      <w:proofErr w:type="spellEnd"/>
      <w:r>
        <w:rPr>
          <w:i/>
          <w:sz w:val="26"/>
        </w:rPr>
        <w:t xml:space="preserve"> del Salvador lehendakariak modu digitalean sinatu du dokumentu hau, bazterrean adierazitako egunean)</w:t>
      </w:r>
    </w:p>
    <w:p w14:paraId="0618547F" w14:textId="10FAC151" w:rsidR="00795333" w:rsidRPr="003A115E" w:rsidRDefault="00795333" w:rsidP="004E6EFC">
      <w:pPr>
        <w:tabs>
          <w:tab w:val="left" w:pos="1630"/>
          <w:tab w:val="left" w:pos="2480"/>
          <w:tab w:val="left" w:pos="3189"/>
          <w:tab w:val="left" w:pos="4039"/>
          <w:tab w:val="left" w:pos="4748"/>
          <w:tab w:val="left" w:pos="5740"/>
          <w:tab w:val="left" w:pos="6733"/>
          <w:tab w:val="left" w:pos="7725"/>
        </w:tabs>
        <w:spacing w:after="120"/>
        <w:ind w:left="68" w:firstLine="215"/>
        <w:jc w:val="both"/>
        <w:rPr>
          <w:sz w:val="26"/>
          <w:szCs w:val="26"/>
        </w:rPr>
      </w:pPr>
    </w:p>
    <w:p w14:paraId="22A6168C" w14:textId="54810FB6" w:rsidR="000E2223" w:rsidRPr="003A115E" w:rsidRDefault="004E6EFC" w:rsidP="0072368F">
      <w:pPr>
        <w:pStyle w:val="texto"/>
        <w:spacing w:before="480" w:after="0"/>
        <w:ind w:firstLine="0"/>
        <w:jc w:val="center"/>
        <w:rPr>
          <w:i/>
          <w:sz w:val="24"/>
        </w:rPr>
      </w:pPr>
      <w:r>
        <w:rPr>
          <w:i/>
          <w:sz w:val="24"/>
        </w:rPr>
        <w:t xml:space="preserve"> </w:t>
      </w:r>
    </w:p>
    <w:p w14:paraId="4C65A633" w14:textId="05476FC2" w:rsidR="000E2223" w:rsidRPr="003A115E" w:rsidRDefault="000E2223">
      <w:pPr>
        <w:rPr>
          <w:i/>
        </w:rPr>
      </w:pPr>
      <w:r>
        <w:br w:type="page"/>
      </w:r>
    </w:p>
    <w:p w14:paraId="209723BF" w14:textId="001322ED" w:rsidR="00BD0765" w:rsidRPr="003A115E" w:rsidRDefault="00BD0765">
      <w:pPr>
        <w:rPr>
          <w:i/>
        </w:rPr>
      </w:pPr>
    </w:p>
    <w:p w14:paraId="792F8402" w14:textId="3F4FF0DD" w:rsidR="00BD0765" w:rsidRPr="003A115E" w:rsidRDefault="00BD0765">
      <w:pPr>
        <w:rPr>
          <w:i/>
        </w:rPr>
      </w:pPr>
    </w:p>
    <w:p w14:paraId="78D82187" w14:textId="7F8AEA3D" w:rsidR="00BD0765" w:rsidRPr="003A115E" w:rsidRDefault="00BD0765">
      <w:pPr>
        <w:rPr>
          <w:i/>
        </w:rPr>
      </w:pPr>
    </w:p>
    <w:p w14:paraId="0F49192E" w14:textId="753D57DF" w:rsidR="00BD0765" w:rsidRPr="003A115E" w:rsidRDefault="00BD0765">
      <w:pPr>
        <w:rPr>
          <w:i/>
        </w:rPr>
      </w:pPr>
    </w:p>
    <w:p w14:paraId="4D60FAF9" w14:textId="062F0506" w:rsidR="00BD0765" w:rsidRPr="003A115E" w:rsidRDefault="00BD0765">
      <w:pPr>
        <w:rPr>
          <w:i/>
        </w:rPr>
      </w:pPr>
    </w:p>
    <w:p w14:paraId="54E07226" w14:textId="77777777" w:rsidR="00BD0765" w:rsidRPr="003A115E" w:rsidRDefault="00BD0765">
      <w:pPr>
        <w:rPr>
          <w:i/>
        </w:rPr>
      </w:pPr>
    </w:p>
    <w:p w14:paraId="7CECDFF1" w14:textId="6A09ABFB" w:rsidR="00BD0765" w:rsidRPr="003A115E" w:rsidRDefault="00BD0765">
      <w:pPr>
        <w:rPr>
          <w:i/>
        </w:rPr>
      </w:pPr>
    </w:p>
    <w:p w14:paraId="10179FC4" w14:textId="08AF523E" w:rsidR="00BD0765" w:rsidRPr="003A115E" w:rsidRDefault="00BD0765">
      <w:pPr>
        <w:rPr>
          <w:i/>
        </w:rPr>
      </w:pPr>
    </w:p>
    <w:p w14:paraId="48F2C899" w14:textId="2EF251B9" w:rsidR="00BD0765" w:rsidRPr="003A115E" w:rsidRDefault="00BD0765">
      <w:pPr>
        <w:rPr>
          <w:i/>
        </w:rPr>
      </w:pPr>
    </w:p>
    <w:p w14:paraId="2135DFAE" w14:textId="4A4DCEE2" w:rsidR="00BD0765" w:rsidRPr="003A115E" w:rsidRDefault="00BD0765">
      <w:pPr>
        <w:rPr>
          <w:i/>
        </w:rPr>
      </w:pPr>
    </w:p>
    <w:p w14:paraId="41133D93" w14:textId="096A9085" w:rsidR="00BD0765" w:rsidRPr="003A115E" w:rsidRDefault="00FA5CD7" w:rsidP="00287097">
      <w:pPr>
        <w:pStyle w:val="Ttulo1"/>
        <w:jc w:val="right"/>
      </w:pPr>
      <w:bookmarkStart w:id="99" w:name="_Toc188511801"/>
      <w:r>
        <w:t>Eranskinak</w:t>
      </w:r>
      <w:bookmarkEnd w:id="99"/>
    </w:p>
    <w:p w14:paraId="26068D58" w14:textId="3484A3AE" w:rsidR="00BD0765" w:rsidRPr="003A115E" w:rsidRDefault="00BD0765">
      <w:pPr>
        <w:rPr>
          <w:i/>
        </w:rPr>
      </w:pPr>
    </w:p>
    <w:p w14:paraId="5F8815D0" w14:textId="3CF8B558" w:rsidR="00BD0765" w:rsidRPr="003A115E" w:rsidRDefault="00BD0765">
      <w:pPr>
        <w:rPr>
          <w:i/>
        </w:rPr>
      </w:pPr>
    </w:p>
    <w:p w14:paraId="2C51B2FB" w14:textId="2EDCAE76" w:rsidR="00BD0765" w:rsidRPr="003A115E" w:rsidRDefault="00BD0765">
      <w:pPr>
        <w:rPr>
          <w:i/>
        </w:rPr>
      </w:pPr>
    </w:p>
    <w:p w14:paraId="631DB6FD" w14:textId="003B287D" w:rsidR="00BD0765" w:rsidRPr="003A115E" w:rsidRDefault="00BD0765">
      <w:pPr>
        <w:rPr>
          <w:i/>
        </w:rPr>
      </w:pPr>
    </w:p>
    <w:p w14:paraId="788CFEFA" w14:textId="2615DE16" w:rsidR="00BD0765" w:rsidRPr="003A115E" w:rsidRDefault="00BD0765">
      <w:pPr>
        <w:rPr>
          <w:i/>
        </w:rPr>
      </w:pPr>
    </w:p>
    <w:p w14:paraId="2FF5A804" w14:textId="749A6731" w:rsidR="00BD0765" w:rsidRPr="003A115E" w:rsidRDefault="00BD0765">
      <w:pPr>
        <w:rPr>
          <w:i/>
        </w:rPr>
      </w:pPr>
    </w:p>
    <w:p w14:paraId="6275CB3E" w14:textId="2D63D976" w:rsidR="00BD0765" w:rsidRPr="003A115E" w:rsidRDefault="00BD0765">
      <w:pPr>
        <w:rPr>
          <w:i/>
        </w:rPr>
      </w:pPr>
    </w:p>
    <w:p w14:paraId="6A9A61FA" w14:textId="05178B74" w:rsidR="00BD0765" w:rsidRPr="003A115E" w:rsidRDefault="00BD0765">
      <w:pPr>
        <w:rPr>
          <w:i/>
        </w:rPr>
      </w:pPr>
    </w:p>
    <w:p w14:paraId="734D95F6" w14:textId="1249CBEE" w:rsidR="00BD0765" w:rsidRPr="003A115E" w:rsidRDefault="00BD0765">
      <w:pPr>
        <w:rPr>
          <w:i/>
        </w:rPr>
      </w:pPr>
    </w:p>
    <w:p w14:paraId="342126D4" w14:textId="696548CA" w:rsidR="00BD0765" w:rsidRPr="003A115E" w:rsidRDefault="00BD0765">
      <w:pPr>
        <w:rPr>
          <w:i/>
        </w:rPr>
      </w:pPr>
    </w:p>
    <w:p w14:paraId="6DA652E8" w14:textId="11513FB0" w:rsidR="00BD0765" w:rsidRPr="003A115E" w:rsidRDefault="00BD0765">
      <w:pPr>
        <w:rPr>
          <w:i/>
        </w:rPr>
      </w:pPr>
    </w:p>
    <w:p w14:paraId="75050B17" w14:textId="1F731361" w:rsidR="00BD0765" w:rsidRPr="003A115E" w:rsidRDefault="00BD0765">
      <w:pPr>
        <w:rPr>
          <w:i/>
        </w:rPr>
      </w:pPr>
    </w:p>
    <w:p w14:paraId="1CBB26DD" w14:textId="44E95BD4" w:rsidR="00BD0765" w:rsidRPr="003A115E" w:rsidRDefault="00BD0765">
      <w:pPr>
        <w:rPr>
          <w:i/>
        </w:rPr>
      </w:pPr>
    </w:p>
    <w:p w14:paraId="4774A1A4" w14:textId="5931A7D3" w:rsidR="00BD0765" w:rsidRPr="003A115E" w:rsidRDefault="00BD0765">
      <w:pPr>
        <w:rPr>
          <w:i/>
        </w:rPr>
      </w:pPr>
    </w:p>
    <w:p w14:paraId="61003A58" w14:textId="2409EF11" w:rsidR="00BD0765" w:rsidRPr="003A115E" w:rsidRDefault="00BD0765">
      <w:pPr>
        <w:rPr>
          <w:i/>
        </w:rPr>
      </w:pPr>
    </w:p>
    <w:p w14:paraId="2C25186C" w14:textId="3937F885" w:rsidR="00BD0765" w:rsidRPr="003A115E" w:rsidRDefault="00BD0765">
      <w:pPr>
        <w:rPr>
          <w:i/>
        </w:rPr>
      </w:pPr>
    </w:p>
    <w:p w14:paraId="3345D5AB" w14:textId="310A6867" w:rsidR="00BD0765" w:rsidRPr="003A115E" w:rsidRDefault="00BD0765">
      <w:pPr>
        <w:rPr>
          <w:i/>
        </w:rPr>
      </w:pPr>
    </w:p>
    <w:p w14:paraId="7753FE86" w14:textId="4A217A89" w:rsidR="00BD0765" w:rsidRPr="003A115E" w:rsidRDefault="00BD0765">
      <w:pPr>
        <w:rPr>
          <w:i/>
        </w:rPr>
      </w:pPr>
    </w:p>
    <w:p w14:paraId="0166C106" w14:textId="436490DD" w:rsidR="00BD0765" w:rsidRPr="003A115E" w:rsidRDefault="00BD0765">
      <w:pPr>
        <w:rPr>
          <w:i/>
        </w:rPr>
      </w:pPr>
    </w:p>
    <w:p w14:paraId="041650AC" w14:textId="3D515B57" w:rsidR="00BD0765" w:rsidRPr="003A115E" w:rsidRDefault="00BD0765">
      <w:pPr>
        <w:rPr>
          <w:i/>
        </w:rPr>
      </w:pPr>
    </w:p>
    <w:p w14:paraId="7529F8E3" w14:textId="0EF33A0E" w:rsidR="00BD0765" w:rsidRPr="003A115E" w:rsidRDefault="00BD0765">
      <w:pPr>
        <w:rPr>
          <w:i/>
        </w:rPr>
      </w:pPr>
    </w:p>
    <w:p w14:paraId="2406F2A5" w14:textId="0CC40AC2" w:rsidR="00BD0765" w:rsidRPr="003A115E" w:rsidRDefault="00BD0765">
      <w:pPr>
        <w:rPr>
          <w:i/>
        </w:rPr>
      </w:pPr>
    </w:p>
    <w:p w14:paraId="57DD6927" w14:textId="27B396FB" w:rsidR="00BD0765" w:rsidRPr="003A115E" w:rsidRDefault="00BD0765">
      <w:pPr>
        <w:rPr>
          <w:i/>
        </w:rPr>
      </w:pPr>
    </w:p>
    <w:p w14:paraId="2FB3D016" w14:textId="520B5AAF" w:rsidR="00BD0765" w:rsidRPr="003A115E" w:rsidRDefault="00BD0765">
      <w:pPr>
        <w:rPr>
          <w:i/>
        </w:rPr>
      </w:pPr>
    </w:p>
    <w:p w14:paraId="18A2C9B0" w14:textId="65F1C23A" w:rsidR="00BD0765" w:rsidRPr="003A115E" w:rsidRDefault="00BD0765">
      <w:pPr>
        <w:rPr>
          <w:i/>
        </w:rPr>
      </w:pPr>
    </w:p>
    <w:p w14:paraId="06B51446" w14:textId="5B05EE1F" w:rsidR="00BD0765" w:rsidRPr="003A115E" w:rsidRDefault="00BD0765">
      <w:pPr>
        <w:rPr>
          <w:i/>
        </w:rPr>
      </w:pPr>
    </w:p>
    <w:p w14:paraId="0D8CF34E" w14:textId="26B0D051" w:rsidR="00BD0765" w:rsidRPr="003A115E" w:rsidRDefault="00BD0765">
      <w:pPr>
        <w:rPr>
          <w:i/>
        </w:rPr>
      </w:pPr>
    </w:p>
    <w:p w14:paraId="68348DF0" w14:textId="4EF702BE" w:rsidR="00BD0765" w:rsidRPr="003A115E" w:rsidRDefault="00BD0765">
      <w:pPr>
        <w:rPr>
          <w:i/>
        </w:rPr>
      </w:pPr>
    </w:p>
    <w:p w14:paraId="753103D5" w14:textId="19E180F4" w:rsidR="00BD0765" w:rsidRPr="003A115E" w:rsidRDefault="00BD0765">
      <w:pPr>
        <w:rPr>
          <w:i/>
        </w:rPr>
      </w:pPr>
    </w:p>
    <w:p w14:paraId="7B1CD8F1" w14:textId="588D988E" w:rsidR="00BD0765" w:rsidRPr="003A115E" w:rsidRDefault="00BD0765">
      <w:pPr>
        <w:rPr>
          <w:i/>
        </w:rPr>
      </w:pPr>
    </w:p>
    <w:p w14:paraId="4B225DC5" w14:textId="33D74E7E" w:rsidR="00BD0765" w:rsidRPr="003A115E" w:rsidRDefault="00BD0765">
      <w:pPr>
        <w:rPr>
          <w:i/>
        </w:rPr>
      </w:pPr>
    </w:p>
    <w:p w14:paraId="65EB0295" w14:textId="47A132C7" w:rsidR="00BD0765" w:rsidRPr="003A115E" w:rsidRDefault="00BD0765">
      <w:pPr>
        <w:rPr>
          <w:i/>
        </w:rPr>
      </w:pPr>
    </w:p>
    <w:p w14:paraId="611ED56D" w14:textId="23509AD9" w:rsidR="00BD0765" w:rsidRPr="003A115E" w:rsidRDefault="00BD0765">
      <w:pPr>
        <w:rPr>
          <w:i/>
          <w:spacing w:val="6"/>
          <w:lang w:val="es-ES_tradnl" w:eastAsia="en-US"/>
        </w:rPr>
      </w:pPr>
    </w:p>
    <w:p w14:paraId="5975D187" w14:textId="77777777" w:rsidR="00345C6C" w:rsidRPr="003A115E" w:rsidRDefault="00345C6C" w:rsidP="00345C6C">
      <w:pPr>
        <w:pStyle w:val="atitulo1"/>
        <w:rPr>
          <w:color w:val="auto"/>
          <w:sz w:val="28"/>
          <w:szCs w:val="28"/>
        </w:rPr>
      </w:pPr>
      <w:bookmarkStart w:id="100" w:name="_Toc529773890"/>
      <w:bookmarkStart w:id="101" w:name="_Toc24100150"/>
      <w:bookmarkStart w:id="102" w:name="_Toc52348328"/>
      <w:bookmarkStart w:id="103" w:name="_Toc188511802"/>
      <w:r>
        <w:rPr>
          <w:color w:val="auto"/>
          <w:sz w:val="28"/>
        </w:rPr>
        <w:lastRenderedPageBreak/>
        <w:t>I. eranskina. Toki-entitateei aplikatzekoa zaien araudia</w:t>
      </w:r>
      <w:bookmarkEnd w:id="100"/>
      <w:bookmarkEnd w:id="101"/>
      <w:bookmarkEnd w:id="102"/>
      <w:bookmarkEnd w:id="103"/>
    </w:p>
    <w:p w14:paraId="1FDC9EA8" w14:textId="385EDEC9" w:rsidR="00221319" w:rsidRPr="003A115E" w:rsidRDefault="00221319" w:rsidP="00CC28BD">
      <w:pPr>
        <w:pStyle w:val="texto"/>
        <w:rPr>
          <w:sz w:val="24"/>
        </w:rPr>
      </w:pPr>
      <w:r>
        <w:t>Txosten honen IV.3 atalean aipatutakoez gain, 2022an honako arau garrantzitsu hauek onetsi dira, Nafarroako toki sektore publikoan aplikatzekoak:</w:t>
      </w:r>
    </w:p>
    <w:p w14:paraId="5EB1572B" w14:textId="6EC8DF86" w:rsidR="003D0BFE" w:rsidRPr="003A115E" w:rsidRDefault="003D0BFE" w:rsidP="00CC28BD">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89"/>
        <w:rPr>
          <w:szCs w:val="26"/>
        </w:rPr>
      </w:pPr>
      <w:r>
        <w:t>Diputatuen Kongresuaren Erabakia, 2022ko irailaren 22koa, zeinaren bidez aitortzen baita badela ezohiko larrialdi egoera bat, zeinak justifikatzen baitu arau fiskalen etendura 2023an mantentzea.</w:t>
      </w:r>
    </w:p>
    <w:p w14:paraId="65872BDB" w14:textId="77777777" w:rsidR="003D0BFE" w:rsidRPr="003A115E" w:rsidRDefault="003D0BFE" w:rsidP="000E2223">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13/2022 Foru Legea, maiatzaren 12koa, guztira 4.761.112 euroko kreditu berezi bat ematekoa, finantzatze aldera Nafarroako Gobernuko zenbait departamenturen beharrizanak eta Ukrainako gerraren ondorio ekonomikoek ukitutako Nafarroako Foru Komunitateko udal eta kontzejuenak.</w:t>
      </w:r>
    </w:p>
    <w:p w14:paraId="0DAA5856"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19/2022 Foru Legea, uztailaren 1ekoa, zeinaren bidez neurriak hartzen baitira Nafarroako Administrazio Publikoetan egonkortze prozesuak gauzatzeko, Enplegu publikoan behin-behinekotasuna murrizteko premiazko neurriei buruzko abenduaren 28ko 20/2021 Legearen ondorioz.</w:t>
      </w:r>
    </w:p>
    <w:p w14:paraId="68B9349F"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35/2022 Foru Legea, abenduaren 28koa, 2023rako Nafarroako Aurrekontu Orokorrei buruzkoa.</w:t>
      </w:r>
    </w:p>
    <w:p w14:paraId="2424A54F"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36/2022 Foru Legea, abenduaren 28koa, zenbait zerga aldatu eta beste tributu-neurri batzuk hartzeari buruzkoa.</w:t>
      </w:r>
    </w:p>
    <w:p w14:paraId="459F4D36" w14:textId="234427B6" w:rsidR="00E2078D" w:rsidRPr="003A115E" w:rsidRDefault="003D0BFE" w:rsidP="00076D17">
      <w:pPr>
        <w:pStyle w:val="texto"/>
        <w:numPr>
          <w:ilvl w:val="0"/>
          <w:numId w:val="50"/>
        </w:numPr>
        <w:tabs>
          <w:tab w:val="clear" w:pos="2835"/>
          <w:tab w:val="clear" w:pos="3969"/>
          <w:tab w:val="clear" w:pos="5103"/>
          <w:tab w:val="clear" w:pos="6237"/>
          <w:tab w:val="clear" w:pos="7371"/>
          <w:tab w:val="left" w:pos="480"/>
          <w:tab w:val="num" w:pos="600"/>
          <w:tab w:val="num" w:pos="720"/>
        </w:tabs>
        <w:spacing w:after="240"/>
        <w:ind w:left="0" w:firstLine="289"/>
        <w:rPr>
          <w:szCs w:val="26"/>
        </w:rPr>
      </w:pPr>
      <w:r>
        <w:t>98/2022 Foru Dekretua, azaroaren 16koa, udal hirigintza planeamendua prestatzeko laguntzen araubidea ezartzen duena.</w:t>
      </w:r>
    </w:p>
    <w:p w14:paraId="5DF941A0" w14:textId="02B90BB7" w:rsidR="00DA0F30" w:rsidRPr="003A115E" w:rsidRDefault="00DA0F30" w:rsidP="002F258C">
      <w:pPr>
        <w:pStyle w:val="atitulo1"/>
        <w:rPr>
          <w:color w:val="auto"/>
        </w:rPr>
      </w:pPr>
      <w:bookmarkStart w:id="104" w:name="_Toc188511803"/>
      <w:r>
        <w:rPr>
          <w:color w:val="auto"/>
        </w:rPr>
        <w:t>2022an Nafarroako toki-sektore publikoan aplikatzekoak diren arau nagusiak</w:t>
      </w:r>
      <w:bookmarkEnd w:id="104"/>
    </w:p>
    <w:p w14:paraId="34184729" w14:textId="77777777" w:rsidR="00BB7161" w:rsidRPr="003A115E" w:rsidRDefault="00BB7161" w:rsidP="009B1BC5">
      <w:pPr>
        <w:pStyle w:val="texto"/>
        <w:spacing w:before="240"/>
        <w:ind w:firstLine="0"/>
        <w:rPr>
          <w:b/>
        </w:rPr>
      </w:pPr>
      <w:r>
        <w:rPr>
          <w:b/>
        </w:rPr>
        <w:t xml:space="preserve">a) Toki-administrazio eta -araubidea </w:t>
      </w:r>
    </w:p>
    <w:p w14:paraId="30E43C4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Espainiako Konstituzioa.</w:t>
      </w:r>
    </w:p>
    <w:p w14:paraId="3EEA01CE"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13/1982 Lege Organikoa, abuztuaren 10ekoa, Nafarroako foru eraentza berrezarri eta hobetzeari buruzkoa.</w:t>
      </w:r>
    </w:p>
    <w:p w14:paraId="32541FA4"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7/1985 Legea, apirilaren 2koa, Toki-araubidearen oinarriak arautzen dituena.</w:t>
      </w:r>
    </w:p>
    <w:p w14:paraId="45824E2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19/2013 Legea, abenduaren 9koa, Gardentasunari, informazio publikoa eskuratzeari eta gobernu onari buruzkoa.</w:t>
      </w:r>
    </w:p>
    <w:p w14:paraId="32FD7AF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39/2015 Legea, urriaren 1ekoa, Administrazio publikoen administrazio prozedura erkideari buruzkoa.</w:t>
      </w:r>
    </w:p>
    <w:p w14:paraId="4162800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40/2015 Legea, urriaren 1ekoa, Sektore publikoaren araubide juridikoari buruzkoa.</w:t>
      </w:r>
    </w:p>
    <w:p w14:paraId="60FB911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lastRenderedPageBreak/>
        <w:t xml:space="preserve">203/2021 Errege Dekretua, martxoaren 30ekoa, Sektore publikoak bitarteko elektronikoen bidez jarduteko eta funtzionatzeko Erregelamendua onesten duena. </w:t>
      </w:r>
    </w:p>
    <w:p w14:paraId="2DFA8DC7"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6/1990 Foru Legea, uztailaren 2koa, Nafarroako Toki Administrazioari buruzkoa.</w:t>
      </w:r>
    </w:p>
    <w:p w14:paraId="001DE46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5/2018 Foru Legea, maiatzaren 17koa, Gardentasunari, informazio publikoa eskuratzeari eta gobernu onari buruzkoa.</w:t>
      </w:r>
    </w:p>
    <w:p w14:paraId="15CF5C52"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7/2018 Foru Legea, maiatzaren 17koa, Nafarroako Foru Komunitateko jardunbide egokien aldeko eta ustelkeriaren kontrako Bulegoa sortzekoa.</w:t>
      </w:r>
    </w:p>
    <w:p w14:paraId="03D0319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4/2019 Foru Legea, otsailaren 4koa, Nafarroako Toki Administrazioaren erreformarakoa.</w:t>
      </w:r>
    </w:p>
    <w:p w14:paraId="650BD2F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12/2019 Foru Legea, martxoaren 22koa, Nafarroako parte-hartze demokratikoari buruzkoa.</w:t>
      </w:r>
    </w:p>
    <w:p w14:paraId="11A9F8E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17/2019 Foru Legea, apirilaren 4koa, Emakumeen eta gizonen arteko berdintasunari buruzkoa.</w:t>
      </w:r>
    </w:p>
    <w:p w14:paraId="40BF3460"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31/2022 Foru Legea, azaroaren 28koa, Nafarroan desgaitasuna dutenei arreta emateari eta beren eskubideak bermatzeari buruzkoa.</w:t>
      </w:r>
    </w:p>
    <w:p w14:paraId="02491B06"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pPr>
      <w:r>
        <w:t>84/2017 Foru Agindua, Landa Garapeneko, Ingurumeneko eta Toki Administrazioko kontseilariak emana, 2017-2019 aldirako Toki Inbertsioen Plana arautzen duen abenduaren 13ko 18/2016 Foru Legearen 20. artikuluan aurreikusitako klausula soziala aplikatzeko modua arautzen duena.</w:t>
      </w:r>
    </w:p>
    <w:p w14:paraId="6ABE4C7F" w14:textId="77777777" w:rsidR="00BB7161" w:rsidRPr="003A115E" w:rsidRDefault="00BB7161" w:rsidP="00BB7161">
      <w:pPr>
        <w:pStyle w:val="texto"/>
        <w:spacing w:before="240"/>
        <w:ind w:firstLine="0"/>
        <w:rPr>
          <w:b/>
          <w:szCs w:val="26"/>
        </w:rPr>
      </w:pPr>
      <w:r>
        <w:rPr>
          <w:b/>
        </w:rPr>
        <w:t xml:space="preserve">b) Araubide ekonomikoa, aurrekontukoa eta kontabilitatekoa </w:t>
      </w:r>
    </w:p>
    <w:p w14:paraId="25BBDA29"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Kontabilitate Publikoko Plan Orokorra, Toki Administrazioari egokitua, Ekonomia eta Ogasun Ministerioaren 1990eko uztailaren 17ko Ministro Aginduaren bidez onartua, irailaren 21eko 272/1998 Foru Dekretuaren bidez onetsitako Kontabilitatearen Instrukzio Orokorraren 425. arauan xedatutakoaren arabera aplikatzekoa.</w:t>
      </w:r>
    </w:p>
    <w:p w14:paraId="32AD2A97"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 xml:space="preserve">2/1995 Foru Legea, martxoaren 10ekoa, Nafarroako toki-ogasunei buruzkoa. </w:t>
      </w:r>
    </w:p>
    <w:p w14:paraId="3847B89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7/1996 Foru Legea, maiatzaren 28koa, Jarduera ekonomikoen gaineko zergaren tarifak eta jarraibidea onesten dituena.</w:t>
      </w:r>
    </w:p>
    <w:p w14:paraId="3280B17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12/2006 Foru Legea, azaroaren 21ekoa, Nafarroako Lurralde Aberastasunaren Erregistroari eta katastroei buruzkoa.</w:t>
      </w:r>
    </w:p>
    <w:p w14:paraId="0E245EA6" w14:textId="0484E147" w:rsidR="001D5AC6" w:rsidRPr="003A115E" w:rsidRDefault="001D5AC6" w:rsidP="0DF82E94">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pPr>
      <w:r>
        <w:t>18/2016 Foru Legea, abenduaren 13koa, 2017-2019 aldirako Toki Inbertsioen Plana arautzen duena. Horren indarraldia gero luzatua izan da, kasuko datara arte.</w:t>
      </w:r>
    </w:p>
    <w:p w14:paraId="2282B4B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lastRenderedPageBreak/>
        <w:t>18/2021 Foru Legea, abenduaren 29koa, 2022rako Nafarroako Aurrekontu Orokorrei buruzkoa.</w:t>
      </w:r>
    </w:p>
    <w:p w14:paraId="0B5BFDF1" w14:textId="70A936C4"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t xml:space="preserve">270/1998 Foru Dekretua, irailaren 21ekoa, 234/2015 Foru Dekretua, irailaren 23koa, eta 272/1998 eta 273/1998 foru dekretuak, irailaren 21ekoak, aurrekontuari eta gastu publikoari buruzkoa, aurrekontu egiturari buruzkoa, eta Nafarroako Toki Administrazioarentzat Kontabilitate Orokorreko Instrukzio Orokorra eta Kontabilitate </w:t>
      </w:r>
      <w:proofErr w:type="spellStart"/>
      <w:r>
        <w:t>Erraztua</w:t>
      </w:r>
      <w:proofErr w:type="spellEnd"/>
      <w:r>
        <w:t xml:space="preserve"> onestekoak, hurrenez hurren.</w:t>
      </w:r>
    </w:p>
    <w:p w14:paraId="0A7EE84D"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Pr>
          <w:b/>
        </w:rPr>
        <w:t xml:space="preserve">c) Aurrekontu-egonkortasuna eta finantza-jasangarritasuna </w:t>
      </w:r>
    </w:p>
    <w:p w14:paraId="192437F0"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2/2012 Lege Organikoa, apirilaren 27koa, Aurrekontu-egonkortasunari eta finantza-jasangarritasunari buruzkoa.</w:t>
      </w:r>
    </w:p>
    <w:p w14:paraId="44A8FF9D"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9/2013 Lege Organikoa, abenduaren 20koa, Sektore publikoan merkataritza-zorra kontrolatzeari buruzkoa.</w:t>
      </w:r>
    </w:p>
    <w:p w14:paraId="56891298"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6/2015 Lege Organikoa, ekainaren 12koa, honako hauek aldatzekoa: Autonomia-erkidegoak Finantzatzeari buruzko irailaren 22ko 8/1980 Lege Organikoa eta Aurrekontu-egonkortasunari eta Finantza-jasangarritasunari buruzko apirilaren 27ko 2/2012 Lege Organikoa.</w:t>
      </w:r>
    </w:p>
    <w:p w14:paraId="7C06CCAA" w14:textId="77777777" w:rsidR="00AE3136" w:rsidRPr="003A115E" w:rsidRDefault="3835E178"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 xml:space="preserve">3/2004 Legea, abenduaren 29koa, neurriak ezartzen dituena merkataritza-eragiketetako berankortasunaren aurka. </w:t>
      </w:r>
    </w:p>
    <w:p w14:paraId="79F78EEF"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25/2013 Legea, abenduaren 27koa, Sektore publikoan faktura elektronikoa bultzatu eta fakturen kontabilitate-erregistroa sortzekoa.</w:t>
      </w:r>
    </w:p>
    <w:p w14:paraId="54F2DA9C"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 xml:space="preserve">27/2013 Legea, abenduaren 27koa, Toki Administrazioaren Arrazionalizazio eta Jasangarritasunerakoa. </w:t>
      </w:r>
    </w:p>
    <w:p w14:paraId="5CD0528D"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8/2013 Errege Lege-dekretua, ekainaren 28koa, Administrazio publikoen berankortasunaren aurkako eta finantza-arazoak dituzten toki-erakundeei laguntzeko premiazko neurriei buruzkoa.</w:t>
      </w:r>
    </w:p>
    <w:p w14:paraId="5BA3162C"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 xml:space="preserve">17/2014 Errege Lege-dekretua, abenduaren 26koa, Autonomia-erkidegoen eta toki-erakundeen finantza-jasangarritasunerako neurriei eta beste neurri ekonomiko batzuei buruzkoa. </w:t>
      </w:r>
    </w:p>
    <w:p w14:paraId="0F7E4AB2"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 xml:space="preserve">10/2019 Errege Lege-dekretua, martxoaren 29koa, zeinaren bidez 2019ra luzatzen baita finantzen aldetik jasangarriak diren inbertsioetarako autonomia-erkidegoen eta toki-entitateen superabitaren xedea eta beste neurri batzuk hartzen baitira toki entitateetan gaikuntza nazionala duten langileen eginkizunei dagokienez. </w:t>
      </w:r>
    </w:p>
    <w:p w14:paraId="31A3BF5A"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 xml:space="preserve">11/2020 Errege Lege-dekretua, martxoaren 31koa, COVID-19ari aurre egite aldera arlo sozial eta ekonomikoan premiazko neurri osagarriak hartzen dituena. </w:t>
      </w:r>
    </w:p>
    <w:p w14:paraId="638D2DA8"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lastRenderedPageBreak/>
        <w:t>23/2020 Errege Lege-dekretua, ekainaren 23koa, Ekonomia biziberritze aldera energiaren arloko eta beste arlo batzuetako neurriak hartzen dituena.</w:t>
      </w:r>
    </w:p>
    <w:p w14:paraId="26996604"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HAP/2105/2012 Agindua, urriaren 1ekoa, Aurrekontu-egonkortasunari eta finantza-jasangarritasunari buruzko apirilaren 27ko 2/2012 Lege Organikoan aurreikusten diren informazio-emate betebeharrak garatzen dituena.</w:t>
      </w:r>
    </w:p>
    <w:p w14:paraId="77651D54"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2017ko uztailaren 4ko Ebazpena, Altxorraren eta Finantza Politikaren Idazkaritza Nagusiarena, zeinaren bidez definitzen baita autonomia-erkidegoen eta toki-entitateen zorpetze-eragiketei eta  deribatuei aplikatzekoa zaien zuhurtasun finantzarioaren printzipioa.</w:t>
      </w:r>
    </w:p>
    <w:p w14:paraId="249828DE"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27/2012 Foru Legea, abenduaren 28koa, zeinaren bidez Nafarroako Foru Komunitatean neurriak hartzen baitira aurrekontu-oreka bermatzeko eta lehiakortasuna sustatzeko.</w:t>
      </w:r>
    </w:p>
    <w:p w14:paraId="6D373CBF" w14:textId="77777777" w:rsidR="00AE3136" w:rsidRPr="003A115E" w:rsidRDefault="3835E178" w:rsidP="7A99914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7/2021 Ebazpena, urtarrilaren 28koa, Toki Administrazioaren eta Despopulazioaren zuzendari nagusiarena, zeinaren bidez onesten baitira Nafarroako toki-entitateek izenpetzen dituzten kreditu-eragiketek bete behar dituzten zuhurtasun finantzarioko baldintzak, bai eta xedetzat aktibo finantzarioak edo haiek emandako abalen edo bestelako berme publikoen ematea daukaten finantza-eragiketak ere.</w:t>
      </w:r>
    </w:p>
    <w:p w14:paraId="37D21804"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s>
        <w:spacing w:before="240" w:after="240"/>
        <w:ind w:firstLine="0"/>
        <w:rPr>
          <w:b/>
          <w:szCs w:val="26"/>
        </w:rPr>
      </w:pPr>
      <w:r>
        <w:rPr>
          <w:b/>
        </w:rPr>
        <w:t xml:space="preserve">d) Kontratazio administratiboa </w:t>
      </w:r>
    </w:p>
    <w:p w14:paraId="4A087591" w14:textId="77777777" w:rsidR="006812B8" w:rsidRPr="003A115E" w:rsidRDefault="01C3557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t>6/2006 Foru Legea, ekainaren 9koa, Kontratu publikoei buruzkoa (2/2018 Foru Legeak indarra hartu zuen egunean administrazio-klausula partikularren edo arautze-baldintzen pleguak jadanik onetsita zeuzkaten kontratuetarako).</w:t>
      </w:r>
    </w:p>
    <w:p w14:paraId="572699AC"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2/2018 Foru Legea, apirilaren 13koa, Kontratu publikoei buruzkoa.</w:t>
      </w:r>
    </w:p>
    <w:p w14:paraId="30C26396" w14:textId="77777777" w:rsidR="00BB7161" w:rsidRPr="003A115E" w:rsidRDefault="3E974FF2" w:rsidP="00CC28BD">
      <w:pPr>
        <w:pStyle w:val="texto"/>
        <w:spacing w:before="240" w:after="240"/>
        <w:ind w:firstLine="0"/>
        <w:rPr>
          <w:b/>
          <w:bCs/>
        </w:rPr>
      </w:pPr>
      <w:r>
        <w:rPr>
          <w:b/>
        </w:rPr>
        <w:t xml:space="preserve">e) Langileak  </w:t>
      </w:r>
    </w:p>
    <w:p w14:paraId="20025A04"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20/2021 Legea, abenduaren 28koa, Enplegu publikoko behin-behinekotasuna murrizteko premiazko neurriei buruzkoa.</w:t>
      </w:r>
    </w:p>
    <w:p w14:paraId="15441C27"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22/2021 Legea, abenduaren 28koa, 2022rako Estatuko Aurrekontu Orokorrei buruzkoa.</w:t>
      </w:r>
    </w:p>
    <w:p w14:paraId="70F8CFB1"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2/2015 Legegintzako Errege Dekretua, urriaren 23koa, Langileen Estatutuaren Legearen testu bategina onesten duena.</w:t>
      </w:r>
    </w:p>
    <w:p w14:paraId="1444BD1A"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4/2015 Errege Lege-dekretua, martxoaren 22koa, Lan arloan enplegurako lanbide heziketaren sistema presaz erreformatzekoa.</w:t>
      </w:r>
    </w:p>
    <w:p w14:paraId="2C175567"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23/2018 Foru Legea, azaroaren 19koa, Nafarroako Poliziei buruzkoa.</w:t>
      </w:r>
    </w:p>
    <w:p w14:paraId="16342AC9"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lastRenderedPageBreak/>
        <w:t>251/1993 Legegintzako Foru Dekretua, abuztuaren 30ekoa, Nafarroako Administrazio Publikoen zerbitzuko Langileen Estatutuaren testu bategina onesten duena, eta hura garatzeko xedapenak.</w:t>
      </w:r>
    </w:p>
    <w:p w14:paraId="6A5A16BE"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10/2020 Foru  Lege-dekretua, irailaren 16koa, zeinaren bidez neurri batzuk onesten baitira, Nafarroako Foru Komunitateko Administrazioaren eta haren erakunde autonomoen zerbitzuko langileen arlokoak.</w:t>
      </w:r>
    </w:p>
    <w:p w14:paraId="1D2759EE"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158/1984 Foru Dekretua, uztailaren 4koa, Nafarroako Administrazio Publikoen zerbitzuko langileen ordainsariei buruzko behin-behineko Erregelamendua onesten duena.</w:t>
      </w:r>
    </w:p>
    <w:p w14:paraId="09B1D050"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113/1985 Foru Dekretua, ekainaren 5ekoa, Nafarroako administrazio publikoetan sartzeari buruzko erregelamendua onesten duena.</w:t>
      </w:r>
    </w:p>
    <w:p w14:paraId="0591402B"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215/1985 Foru Dekretua, azaroaren 6koa, Nafarroako Administrazio Publikoetako lanpostuak betetzeko erregelamendua onesten duena.</w:t>
      </w:r>
    </w:p>
    <w:p w14:paraId="30576074"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11/2009 Foru Dekretua, otsailaren 9koa, Nafarroako Administrazio Publikoetako funtzionarioen opor, lizentzia eta baimenen erregelamendua onesten duena.</w:t>
      </w:r>
    </w:p>
    <w:p w14:paraId="5E3925C1"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Pr>
          <w:b/>
        </w:rPr>
        <w:t xml:space="preserve">f) Dirulaguntzak </w:t>
      </w:r>
    </w:p>
    <w:p w14:paraId="4D08550C"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38/2003 Lege Orokorra, azaroaren 17koa, Dirulaguntzei buruzkoa.</w:t>
      </w:r>
    </w:p>
    <w:p w14:paraId="1D9648BD"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887/2006 Errege Dekretua, uztailaren 21ekoa, Dirulaguntzei buruzko azaroaren 17ko 38/2003 Lege Orokorraren Erregelamendua onesten duena.</w:t>
      </w:r>
    </w:p>
    <w:p w14:paraId="75BB1418"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Pr>
          <w:b/>
        </w:rPr>
        <w:t>g) Hirigintza, ingurumena, energia eta beste arlo batzuk</w:t>
      </w:r>
    </w:p>
    <w:p w14:paraId="202C1F4D"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7/2021 Legea, maiatzaren 20koa, Klima Aldaketari eta Trantsizio Energetikoari buruzkoa.</w:t>
      </w:r>
    </w:p>
    <w:p w14:paraId="57B99EF1"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7/2003 Foru Legea, otsailaren 14koa, Nafarroako turismoari buruzkoa.</w:t>
      </w:r>
    </w:p>
    <w:p w14:paraId="071378D1"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8/2005 Foru Legea, uztailaren 1ekoa, Nafarroako babes zibilari eta larrialdien kudeaketari buruzkoa.</w:t>
      </w:r>
    </w:p>
    <w:p w14:paraId="110EA7AB"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13/2017 Foru Legea, azaroaren 16koa, Osasunaren eta Gizarte Zerbitzuen arloetako itun sozialak arautzen dituena.</w:t>
      </w:r>
    </w:p>
    <w:p w14:paraId="7A43185E"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14/2018 Foru Legea, ekainaren 18koa, Hondakinei eta haien Fiskalitateari buruzkoa.</w:t>
      </w:r>
    </w:p>
    <w:p w14:paraId="7B0AD8C3"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 xml:space="preserve">17/2020 Foru Legea, abenduaren 16koa, ingurumenean eragina duten jarduerak arautzen dituena. </w:t>
      </w:r>
    </w:p>
    <w:p w14:paraId="6A2AB28A" w14:textId="55F83140"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18/2020 Foru Legea, abenduaren 16koa, enpresen sustraitzearen aldeko eta enpresen deslokalizazioaren aurkako neurriei buruzkoa.</w:t>
      </w:r>
    </w:p>
    <w:p w14:paraId="21C6D332"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lastRenderedPageBreak/>
        <w:t>1/2017 Legegintzako Foru Dekretua, uztailaren 26koa, Lurraldearen Antolamenduari eta Hirigintzari buruzko Foru Legearen testu bategina onesten duena.</w:t>
      </w:r>
    </w:p>
    <w:p w14:paraId="0680DF17" w14:textId="3C1E4E9D" w:rsidR="00BB7161"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48/2020 Foru Dekretua, uztailaren 15ekoa, zeinaren bidez arautzen baitira oinarrizko gizarte zerbitzuen oinarrizko programak eta finantzaketa-sistema.</w:t>
      </w:r>
    </w:p>
    <w:p w14:paraId="2D42038E" w14:textId="77777777" w:rsidR="003E5DFC" w:rsidRPr="003A115E" w:rsidRDefault="003E5DFC" w:rsidP="00CC28BD">
      <w:pPr>
        <w:pStyle w:val="texto"/>
        <w:tabs>
          <w:tab w:val="num" w:pos="786"/>
        </w:tabs>
        <w:spacing w:after="240"/>
        <w:ind w:firstLine="0"/>
        <w:rPr>
          <w:b/>
          <w:bCs/>
          <w:lang w:val="es-ES"/>
        </w:rPr>
      </w:pPr>
    </w:p>
    <w:p w14:paraId="403716D3" w14:textId="61E870F3" w:rsidR="00210333" w:rsidRPr="003A115E" w:rsidRDefault="00CA78E5" w:rsidP="00CC28BD">
      <w:pPr>
        <w:pStyle w:val="texto"/>
        <w:tabs>
          <w:tab w:val="num" w:pos="786"/>
        </w:tabs>
        <w:spacing w:after="240"/>
        <w:ind w:firstLine="0"/>
        <w:rPr>
          <w:b/>
          <w:bCs/>
        </w:rPr>
      </w:pPr>
      <w:r>
        <w:rPr>
          <w:b/>
        </w:rPr>
        <w:t>h) Europako ‘</w:t>
      </w:r>
      <w:proofErr w:type="spellStart"/>
      <w:r>
        <w:rPr>
          <w:b/>
        </w:rPr>
        <w:t>Next</w:t>
      </w:r>
      <w:proofErr w:type="spellEnd"/>
      <w:r>
        <w:rPr>
          <w:b/>
        </w:rPr>
        <w:t xml:space="preserve"> </w:t>
      </w:r>
      <w:proofErr w:type="spellStart"/>
      <w:r>
        <w:rPr>
          <w:b/>
        </w:rPr>
        <w:t>generation</w:t>
      </w:r>
      <w:proofErr w:type="spellEnd"/>
      <w:r>
        <w:rPr>
          <w:b/>
        </w:rPr>
        <w:t>’ funtsak</w:t>
      </w:r>
    </w:p>
    <w:p w14:paraId="498FF06D"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36/2020 Errege Lege-dekretua, abenduaren 30ekoa, premiazko neurriak onesten dituena Administrazio Publikoa modernizatzeko eta Suspertze, Eraldatze eta Erresilientzia Plana exekutatzeko.</w:t>
      </w:r>
    </w:p>
    <w:p w14:paraId="32075326"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4/2021 Foru Lege-dekretua, apirilaren 14koa, zeinaren bidez premiazko neurriak onesten baitira, Suspertzerako Europako Bitartekotik heltzen diren Europako funtsen bidez finantzatzen ahal diren jarduketak kudeatzeko eta betetzeko.</w:t>
      </w:r>
    </w:p>
    <w:p w14:paraId="5E0DB291"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ab/>
        <w:t>HFP/1030/2021 Agindua, irailaren 29koa, Suspertze, Eraldatze eta Erresilientzia Plana kudeatzeko sistema taxutzen duena.</w:t>
      </w:r>
    </w:p>
    <w:p w14:paraId="4E8855BE"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HFP/1031/2021 Agindua, irailaren 29koa, zeinaren bidez ezartzen baita informazioa emateko zer prozedura eta formatu erabili behar dituzten Estatuko, autonomia-erkidegoetako eta tokiko sektore publikoko erakundeek, segimendua egiteko Suspertze, Eraldatze eta Erresilientzia Planaren mugarri eta helburuen betetze-mailaz eta plan horren osagaietako neurrien aurrekontu- eta kontabilitate-exekuzioaz.</w:t>
      </w:r>
    </w:p>
    <w:p w14:paraId="5256D8B0" w14:textId="1E968094" w:rsidR="00210333" w:rsidRPr="003A115E" w:rsidRDefault="00977E2D" w:rsidP="00CC28BD">
      <w:pPr>
        <w:pStyle w:val="texto"/>
        <w:spacing w:before="240" w:after="240"/>
        <w:ind w:firstLine="0"/>
        <w:rPr>
          <w:b/>
          <w:szCs w:val="26"/>
        </w:rPr>
      </w:pPr>
      <w:r>
        <w:rPr>
          <w:b/>
        </w:rPr>
        <w:t>h) Toki-entitate bakoitzaren araudi berekia</w:t>
      </w:r>
    </w:p>
    <w:p w14:paraId="1A487FD2" w14:textId="4E661172" w:rsidR="00210333"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 xml:space="preserve">Toki-entitateen 2022rako aurrekontuen exekuzio-oinarriak. </w:t>
      </w:r>
    </w:p>
    <w:p w14:paraId="4D1C2C96" w14:textId="77777777" w:rsidR="00210333"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Tasak eta prezio publikoak arautzen dituzten ordenantzak eta akordioak.</w:t>
      </w:r>
    </w:p>
    <w:p w14:paraId="339E5571" w14:textId="77777777" w:rsidR="007D68B8"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t>Berariazko hitzarmen kolektiboak.</w:t>
      </w:r>
    </w:p>
    <w:p w14:paraId="3691E7B2" w14:textId="77777777" w:rsidR="00FB4B12" w:rsidRPr="003A115E" w:rsidRDefault="00FB4B12" w:rsidP="005D1423">
      <w:pPr>
        <w:pStyle w:val="texto"/>
        <w:tabs>
          <w:tab w:val="clear" w:pos="2835"/>
          <w:tab w:val="clear" w:pos="3969"/>
          <w:tab w:val="clear" w:pos="5103"/>
          <w:tab w:val="clear" w:pos="6237"/>
          <w:tab w:val="clear" w:pos="7371"/>
          <w:tab w:val="left" w:pos="480"/>
          <w:tab w:val="num" w:pos="720"/>
          <w:tab w:val="num" w:pos="786"/>
          <w:tab w:val="num" w:pos="5606"/>
        </w:tabs>
        <w:ind w:left="290" w:firstLine="0"/>
        <w:rPr>
          <w:szCs w:val="26"/>
        </w:rPr>
      </w:pPr>
      <w:r>
        <w:br w:type="page"/>
      </w:r>
    </w:p>
    <w:p w14:paraId="38645DC7" w14:textId="77777777" w:rsidR="00345C6C" w:rsidRPr="003A115E" w:rsidRDefault="00345C6C" w:rsidP="00F50295">
      <w:pPr>
        <w:pStyle w:val="texto"/>
      </w:pPr>
    </w:p>
    <w:sectPr w:rsidR="00345C6C" w:rsidRPr="003A115E" w:rsidSect="000E5DE1">
      <w:footerReference w:type="default" r:id="rId21"/>
      <w:pgSz w:w="11907" w:h="16840" w:code="9"/>
      <w:pgMar w:top="2109" w:right="1559" w:bottom="1644" w:left="1560"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CF2E" w14:textId="77777777" w:rsidR="00AA5F62" w:rsidRDefault="00AA5F62">
      <w:r>
        <w:separator/>
      </w:r>
    </w:p>
    <w:p w14:paraId="4D9CE63C" w14:textId="77777777" w:rsidR="00AA5F62" w:rsidRDefault="00AA5F62"/>
    <w:p w14:paraId="1739736D" w14:textId="77777777" w:rsidR="00AA5F62" w:rsidRDefault="00AA5F62"/>
    <w:p w14:paraId="120DD818" w14:textId="77777777" w:rsidR="00AA5F62" w:rsidRDefault="00AA5F62"/>
  </w:endnote>
  <w:endnote w:type="continuationSeparator" w:id="0">
    <w:p w14:paraId="69E63517" w14:textId="77777777" w:rsidR="00AA5F62" w:rsidRDefault="00AA5F62">
      <w:r>
        <w:continuationSeparator/>
      </w:r>
    </w:p>
    <w:p w14:paraId="3F8FA9AB" w14:textId="77777777" w:rsidR="00AA5F62" w:rsidRDefault="00AA5F62"/>
    <w:p w14:paraId="056CD7B2" w14:textId="77777777" w:rsidR="00AA5F62" w:rsidRDefault="00AA5F62"/>
    <w:p w14:paraId="3B9B8196" w14:textId="77777777" w:rsidR="00AA5F62" w:rsidRDefault="00AA5F62"/>
  </w:endnote>
  <w:endnote w:type="continuationNotice" w:id="1">
    <w:p w14:paraId="7DA2D7D4" w14:textId="77777777" w:rsidR="00AA5F62" w:rsidRDefault="00AA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10690788" w:rsidR="00AA5F62" w:rsidRDefault="00AA5F6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C30F5C">
      <w:rPr>
        <w:rStyle w:val="Nmerodepgina"/>
      </w:rPr>
      <w:fldChar w:fldCharType="separate"/>
    </w:r>
    <w:r w:rsidR="00C30F5C">
      <w:rPr>
        <w:rStyle w:val="Nmerodepgina"/>
        <w:noProof/>
      </w:rPr>
      <w:t>2</w:t>
    </w:r>
    <w:r>
      <w:rPr>
        <w:rStyle w:val="Nmerodepgina"/>
      </w:rPr>
      <w:fldChar w:fldCharType="end"/>
    </w:r>
  </w:p>
  <w:p w14:paraId="58E6DD4E" w14:textId="77777777" w:rsidR="00AA5F62" w:rsidRDefault="00AA5F62" w:rsidP="0059650E">
    <w:pPr>
      <w:pStyle w:val="Piedepgina"/>
      <w:ind w:right="360"/>
    </w:pPr>
  </w:p>
  <w:p w14:paraId="7D3BEE8F" w14:textId="77777777" w:rsidR="00AA5F62" w:rsidRDefault="00AA5F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B8A3" w14:textId="77777777" w:rsidR="00AA5F62" w:rsidRPr="00F03814" w:rsidRDefault="00AA5F62"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45BACC67" wp14:editId="07777777">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87C6DE0" w14:textId="77777777" w:rsidR="00AA5F62" w:rsidRPr="00F74E38" w:rsidRDefault="00AA5F62" w:rsidP="00F03814">
    <w:pPr>
      <w:pStyle w:val="Piedepgina"/>
      <w:tabs>
        <w:tab w:val="clear" w:pos="4252"/>
        <w:tab w:val="clear" w:pos="8504"/>
        <w:tab w:val="center" w:pos="4560"/>
      </w:tabs>
      <w:ind w:right="360"/>
      <w:jc w:val="left"/>
      <w:rPr>
        <w:rStyle w:val="Nmerodepgina"/>
      </w:rPr>
    </w:pPr>
  </w:p>
  <w:p w14:paraId="5B2F9378" w14:textId="77777777" w:rsidR="00AA5F62" w:rsidRDefault="00AA5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4315" w14:textId="77777777" w:rsidR="00AA5F62" w:rsidRDefault="00AA5F62" w:rsidP="0059650E">
    <w:pPr>
      <w:pStyle w:val="Piedepgina"/>
      <w:ind w:right="360"/>
    </w:pPr>
  </w:p>
  <w:p w14:paraId="3CB648E9" w14:textId="77777777" w:rsidR="00AA5F62" w:rsidRDefault="00AA5F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AF0A" w14:textId="6ADFFD5C" w:rsidR="00AA5F62" w:rsidRPr="00F03814" w:rsidRDefault="00AA5F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375C079D" wp14:editId="07777777">
          <wp:extent cx="213100" cy="37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3254BC2F" w14:textId="77777777" w:rsidR="00AA5F62" w:rsidRDefault="00AA5F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96EE" w14:textId="336C9C22" w:rsidR="00AA5F62" w:rsidRPr="00F03814" w:rsidRDefault="00AA5F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023F9B26" wp14:editId="5D2FB8A0">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E5F52">
      <w:rPr>
        <w:rStyle w:val="Nmerodepgina"/>
      </w:rPr>
      <w:t>21</w:t>
    </w:r>
    <w:r w:rsidRPr="001D4F09">
      <w:rPr>
        <w:rStyle w:val="Nmerodepgina"/>
      </w:rPr>
      <w:fldChar w:fldCharType="end"/>
    </w:r>
    <w:r>
      <w:rPr>
        <w:rStyle w:val="Nmerodepgina"/>
      </w:rPr>
      <w:t xml:space="preserve"> -</w:t>
    </w:r>
  </w:p>
  <w:p w14:paraId="345D818C" w14:textId="77777777" w:rsidR="00AA5F62" w:rsidRDefault="00AA5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622F" w14:textId="77777777" w:rsidR="00AA5F62" w:rsidRDefault="00AA5F62" w:rsidP="00736D0B">
      <w:r>
        <w:separator/>
      </w:r>
    </w:p>
  </w:footnote>
  <w:footnote w:type="continuationSeparator" w:id="0">
    <w:p w14:paraId="158A6267" w14:textId="77777777" w:rsidR="00AA5F62" w:rsidRDefault="00AA5F62">
      <w:r>
        <w:continuationSeparator/>
      </w:r>
    </w:p>
    <w:p w14:paraId="78EDD910" w14:textId="77777777" w:rsidR="00AA5F62" w:rsidRDefault="00AA5F62"/>
    <w:p w14:paraId="57AD3E3C" w14:textId="77777777" w:rsidR="00AA5F62" w:rsidRDefault="00AA5F62"/>
    <w:p w14:paraId="2C3974B7" w14:textId="77777777" w:rsidR="00AA5F62" w:rsidRDefault="00AA5F62"/>
  </w:footnote>
  <w:footnote w:type="continuationNotice" w:id="1">
    <w:p w14:paraId="57FCC7C7" w14:textId="77777777" w:rsidR="00AA5F62" w:rsidRDefault="00AA5F62"/>
  </w:footnote>
  <w:footnote w:id="2">
    <w:p w14:paraId="35842BB4" w14:textId="2C027FF4" w:rsidR="00AA5F62" w:rsidRDefault="00AA5F62" w:rsidP="009B5AB3">
      <w:pPr>
        <w:pStyle w:val="Textonotapie"/>
        <w:ind w:firstLine="0"/>
      </w:pPr>
      <w:r>
        <w:rPr>
          <w:rStyle w:val="Refdenotaalpie"/>
        </w:rPr>
        <w:footnoteRef/>
      </w:r>
      <w:r>
        <w:t xml:space="preserve"> II. eranskina.</w:t>
      </w:r>
    </w:p>
  </w:footnote>
  <w:footnote w:id="3">
    <w:p w14:paraId="2C80329A" w14:textId="707D7F37" w:rsidR="00AA5F62" w:rsidRDefault="00AA5F62" w:rsidP="00107C61">
      <w:pPr>
        <w:pStyle w:val="Textonotapie"/>
        <w:ind w:firstLine="0"/>
      </w:pPr>
      <w:r>
        <w:rPr>
          <w:rStyle w:val="Refdenotaalpie"/>
        </w:rPr>
        <w:footnoteRef/>
      </w:r>
      <w:r>
        <w:t>Toki Administrazioaren eta Despopulazioaren Zuzendaritza Nagusia Nafarroako toki-sektore publikoaren 2022ko egoera finantzarioari buruzko txostena egiten hasi zen eguna.</w:t>
      </w:r>
    </w:p>
  </w:footnote>
  <w:footnote w:id="4">
    <w:p w14:paraId="51F11F33" w14:textId="15DE302E" w:rsidR="00AA5F62" w:rsidRDefault="00AA5F62" w:rsidP="002B51BC">
      <w:pPr>
        <w:pStyle w:val="Textonotapie"/>
        <w:ind w:firstLine="0"/>
      </w:pPr>
      <w:r>
        <w:rPr>
          <w:rStyle w:val="Refdenotaalpie"/>
        </w:rPr>
        <w:footnoteRef/>
      </w:r>
      <w:r>
        <w:t xml:space="preserve"> </w:t>
      </w:r>
      <w:r>
        <w:t>Diruzaintzako gerakin atxikitik heldutako ekarpen gehigarriekin gehitu daiteke.</w:t>
      </w:r>
    </w:p>
  </w:footnote>
  <w:footnote w:id="5">
    <w:p w14:paraId="63F2D5F0" w14:textId="590DC804" w:rsidR="00AA5F62" w:rsidRDefault="00AA5F62" w:rsidP="002B51BC">
      <w:pPr>
        <w:pStyle w:val="Textonotapie"/>
        <w:ind w:firstLine="0"/>
      </w:pPr>
      <w:r>
        <w:rPr>
          <w:rStyle w:val="Refdenotaalpie"/>
        </w:rPr>
        <w:footnoteRef/>
      </w:r>
      <w:r>
        <w:t xml:space="preserve"> </w:t>
      </w:r>
      <w:r>
        <w:t>Bateratzearen efektua da 91,28 eta 98,11 milioi euro diru-sarreretan eta gastuetan, hurrenez hurren.</w:t>
      </w:r>
    </w:p>
  </w:footnote>
  <w:footnote w:id="6">
    <w:p w14:paraId="09A7679E" w14:textId="20F6DA79" w:rsidR="00AA5F62" w:rsidRDefault="00AA5F62" w:rsidP="006A1C03">
      <w:pPr>
        <w:pStyle w:val="Textonotapie"/>
        <w:ind w:firstLine="0"/>
      </w:pPr>
      <w:r>
        <w:rPr>
          <w:rStyle w:val="Refdenotaalpie"/>
        </w:rPr>
        <w:footnoteRef/>
      </w:r>
      <w:r>
        <w:t xml:space="preserve"> </w:t>
      </w:r>
      <w:r>
        <w:t>Maiatzaren 12ko 13/2022 Foru</w:t>
      </w:r>
      <w:r>
        <w:t xml:space="preserve"> Legearen bitartez onetsita.</w:t>
      </w:r>
    </w:p>
  </w:footnote>
  <w:footnote w:id="7">
    <w:p w14:paraId="14250B31" w14:textId="2DC5F6C2" w:rsidR="00AA5F62" w:rsidRDefault="00AA5F62" w:rsidP="00D740FF">
      <w:pPr>
        <w:pStyle w:val="Textonotapie"/>
        <w:ind w:firstLine="0"/>
      </w:pPr>
      <w:r>
        <w:rPr>
          <w:rStyle w:val="Refdenotaalpie"/>
        </w:rPr>
        <w:footnoteRef/>
      </w:r>
      <w:r>
        <w:t xml:space="preserve"> </w:t>
      </w:r>
      <w:r>
        <w:t>2022an SCPSA sozietatearekin bateraturiko informazioa aurkezten da. Horren zergatia da ongizate komunitarioaren programan hondakin-kudeaketak, ur edangarriaren horniketak eta hondakin-uren saneamenduak daukaten garrantzia. 2021an halaber barne hartzen dira Jurramendiko Mankomunitatearen menpeko bi sozietate; dena den, informazio hori ez dago 2022an eskuragarri. Gastu-bateratzearen efektua 97,47 izan zen 2021ean, hiru sozietateak kontuan harturik. Konparazio baterako, 2022an 98,11 milioi eurokoa izan zen, SCPSArekin.</w:t>
      </w:r>
    </w:p>
  </w:footnote>
  <w:footnote w:id="8">
    <w:p w14:paraId="7DBCE02D" w14:textId="284771F6" w:rsidR="00AA5F62" w:rsidRDefault="00AA5F62" w:rsidP="00D740FF">
      <w:pPr>
        <w:pStyle w:val="Textonotapie"/>
        <w:ind w:firstLine="0"/>
      </w:pPr>
      <w:r>
        <w:rPr>
          <w:rStyle w:val="Refdenotaalpie"/>
        </w:rPr>
        <w:footnoteRef/>
      </w:r>
      <w:r>
        <w:t xml:space="preserve"> </w:t>
      </w:r>
      <w:r>
        <w:t>Haien jatorria zuzenekoa (kasuko ministerioa) nahiz zeharkakoa (Nafarroako Gobernua) izan daiteke.</w:t>
      </w:r>
    </w:p>
  </w:footnote>
  <w:footnote w:id="9">
    <w:p w14:paraId="11A4EE6B" w14:textId="126C4C3C" w:rsidR="00AA5F62" w:rsidRDefault="00AA5F62">
      <w:pPr>
        <w:pStyle w:val="Textonotapie"/>
      </w:pPr>
      <w:r>
        <w:rPr>
          <w:rStyle w:val="Refdenotaalpie"/>
        </w:rPr>
        <w:footnoteRef/>
      </w:r>
      <w:r>
        <w:t xml:space="preserve"> </w:t>
      </w:r>
      <w:r>
        <w:t>Entitatearen balantzetik lortzen da, aktibo arruntaren eta pasibo arruntaren arteko diferentziatik.</w:t>
      </w:r>
    </w:p>
  </w:footnote>
  <w:footnote w:id="10">
    <w:p w14:paraId="73338694" w14:textId="66C34E3E" w:rsidR="00AA5F62" w:rsidRDefault="00AA5F62" w:rsidP="008B773A">
      <w:pPr>
        <w:pStyle w:val="Textonotapie"/>
        <w:ind w:firstLine="0"/>
      </w:pPr>
      <w:r>
        <w:rPr>
          <w:rStyle w:val="Refdenotaalpie"/>
        </w:rPr>
        <w:footnoteRef/>
      </w:r>
      <w:r>
        <w:t xml:space="preserve"> </w:t>
      </w:r>
      <w:r>
        <w:t>Udalaren eta haren EEAAen datu bateratuak.</w:t>
      </w:r>
    </w:p>
  </w:footnote>
  <w:footnote w:id="11">
    <w:p w14:paraId="12CC1228" w14:textId="5779E248" w:rsidR="00AA5F62" w:rsidRDefault="00AA5F62" w:rsidP="00551402">
      <w:pPr>
        <w:pStyle w:val="Textonotapie"/>
        <w:ind w:firstLine="0"/>
      </w:pPr>
      <w:r>
        <w:rPr>
          <w:rStyle w:val="Refdenotaalpie"/>
          <w:lang w:val="es-ES"/>
        </w:rPr>
        <w:footnoteRef/>
      </w:r>
      <w:r>
        <w:t xml:space="preserve"> </w:t>
      </w:r>
      <w:r>
        <w:t>Kontratu-erregistroan izen horrekin katalogatuak. Larrialdiko izapidetzea izan duten kontratuei dagozkie.</w:t>
      </w:r>
    </w:p>
  </w:footnote>
  <w:footnote w:id="12">
    <w:p w14:paraId="465A0EF5" w14:textId="4FEFC38D" w:rsidR="00AA5F62" w:rsidRDefault="00AA5F62" w:rsidP="002A3542">
      <w:pPr>
        <w:pStyle w:val="Textonotapie"/>
        <w:ind w:firstLine="0"/>
      </w:pPr>
      <w:r>
        <w:rPr>
          <w:rStyle w:val="Refdenotaalpie"/>
        </w:rPr>
        <w:footnoteRef/>
      </w:r>
      <w:r>
        <w:t xml:space="preserve"> </w:t>
      </w:r>
      <w:r>
        <w:t>Toki Administrazioko Kontabilitate Espedienteetako Datuen Trukea</w:t>
      </w:r>
    </w:p>
  </w:footnote>
  <w:footnote w:id="13">
    <w:p w14:paraId="104AF1B3" w14:textId="2653C9B1" w:rsidR="00AA5F62" w:rsidRDefault="00AA5F62" w:rsidP="00543EBD">
      <w:pPr>
        <w:pStyle w:val="Textonotapie"/>
        <w:ind w:firstLine="0"/>
        <w:jc w:val="left"/>
      </w:pPr>
      <w:r>
        <w:rPr>
          <w:rStyle w:val="Refdenotaalpie"/>
        </w:rPr>
        <w:footnoteRef/>
      </w:r>
      <w:r>
        <w:t xml:space="preserve"> </w:t>
      </w:r>
      <w:r>
        <w:t>Horrenbestez, 2022ko espedienteen atxikipena aplikatzen zaio 2024ko TAFaren banaketari.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8E9E" w14:textId="77777777" w:rsidR="00AA5F62" w:rsidRDefault="00AA5F62">
    <w:pPr>
      <w:pStyle w:val="Encabezado"/>
    </w:pPr>
  </w:p>
  <w:p w14:paraId="3C0395D3" w14:textId="77777777" w:rsidR="00AA5F62" w:rsidRDefault="00AA5F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F6F6" w14:textId="219B122F" w:rsidR="00AA5F62" w:rsidRPr="0059650E" w:rsidRDefault="00AA5F62" w:rsidP="00BA06E7">
    <w:pPr>
      <w:pStyle w:val="Encabezado"/>
      <w:pBdr>
        <w:bottom w:val="single" w:sz="4" w:space="1" w:color="auto"/>
      </w:pBdr>
      <w:spacing w:after="40"/>
      <w:ind w:firstLine="0"/>
      <w:jc w:val="left"/>
    </w:pPr>
    <w:r>
      <w:rPr>
        <w:b/>
        <w:noProof/>
      </w:rPr>
      <w:drawing>
        <wp:inline distT="0" distB="0" distL="0" distR="0" wp14:anchorId="77A719D9" wp14:editId="6E026567">
          <wp:extent cx="721934" cy="755650"/>
          <wp:effectExtent l="0" t="0" r="2540" b="635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27" cy="785160"/>
                  </a:xfrm>
                  <a:prstGeom prst="rect">
                    <a:avLst/>
                  </a:prstGeom>
                  <a:noFill/>
                  <a:ln>
                    <a:noFill/>
                  </a:ln>
                </pic:spPr>
              </pic:pic>
            </a:graphicData>
          </a:graphic>
        </wp:inline>
      </w:drawing>
    </w:r>
    <w:r>
      <w:t xml:space="preserve">               </w:t>
    </w:r>
    <w:r>
      <w:t>Nafarroako toki-sektore publikoari buruzko fiskalizazio txostena, 2022</w:t>
    </w:r>
  </w:p>
  <w:p w14:paraId="2D3F0BEC" w14:textId="77777777" w:rsidR="00AA5F62" w:rsidRDefault="00AA5F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9A1" w14:textId="77777777" w:rsidR="00AA5F62" w:rsidRDefault="00AA5F62" w:rsidP="006A2D41">
    <w:pPr>
      <w:pStyle w:val="Encabezado"/>
      <w:ind w:firstLine="0"/>
      <w:jc w:val="left"/>
    </w:pPr>
    <w:r>
      <w:rPr>
        <w:noProof/>
      </w:rPr>
      <w:drawing>
        <wp:inline distT="0" distB="0" distL="0" distR="0" wp14:anchorId="21D1DA55" wp14:editId="07777777">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C6C2CD5" w14:textId="77777777" w:rsidR="00AA5F62" w:rsidRDefault="00AA5F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88E4" w14:textId="77777777" w:rsidR="00AA5F62" w:rsidRDefault="00AA5F62"/>
  <w:p w14:paraId="508C98E9" w14:textId="77777777" w:rsidR="00AA5F62" w:rsidRDefault="00AA5F62"/>
  <w:p w14:paraId="779F8E76" w14:textId="77777777" w:rsidR="00AA5F62" w:rsidRDefault="00AA5F62"/>
</w:hdr>
</file>

<file path=word/intelligence2.xml><?xml version="1.0" encoding="utf-8"?>
<int2:intelligence xmlns:int2="http://schemas.microsoft.com/office/intelligence/2020/intelligence" xmlns:oel="http://schemas.microsoft.com/office/2019/extlst">
  <int2:observations>
    <int2:textHash int2:hashCode="FsFLvZUuV+45up" int2:id="AfVQCCO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1D49"/>
    <w:multiLevelType w:val="hybridMultilevel"/>
    <w:tmpl w:val="CD2A4624"/>
    <w:lvl w:ilvl="0" w:tplc="0C0A0001">
      <w:start w:val="1"/>
      <w:numFmt w:val="bullet"/>
      <w:lvlText w:val=""/>
      <w:lvlJc w:val="left"/>
      <w:pPr>
        <w:ind w:left="720" w:hanging="360"/>
      </w:pPr>
      <w:rPr>
        <w:rFonts w:ascii="Symbol" w:hAnsi="Symbol" w:hint="default"/>
        <w:color w:val="auto"/>
      </w:rPr>
    </w:lvl>
    <w:lvl w:ilvl="1" w:tplc="96688E82">
      <w:start w:val="1"/>
      <w:numFmt w:val="bullet"/>
      <w:lvlText w:val="o"/>
      <w:lvlJc w:val="left"/>
      <w:pPr>
        <w:ind w:left="1440" w:hanging="360"/>
      </w:pPr>
      <w:rPr>
        <w:rFonts w:ascii="Courier New" w:hAnsi="Courier New" w:hint="default"/>
      </w:rPr>
    </w:lvl>
    <w:lvl w:ilvl="2" w:tplc="81541630">
      <w:start w:val="1"/>
      <w:numFmt w:val="bullet"/>
      <w:lvlText w:val=""/>
      <w:lvlJc w:val="left"/>
      <w:pPr>
        <w:ind w:left="2160" w:hanging="360"/>
      </w:pPr>
      <w:rPr>
        <w:rFonts w:ascii="Wingdings" w:hAnsi="Wingdings" w:hint="default"/>
      </w:rPr>
    </w:lvl>
    <w:lvl w:ilvl="3" w:tplc="7932F706">
      <w:start w:val="1"/>
      <w:numFmt w:val="bullet"/>
      <w:lvlText w:val=""/>
      <w:lvlJc w:val="left"/>
      <w:pPr>
        <w:ind w:left="2880" w:hanging="360"/>
      </w:pPr>
      <w:rPr>
        <w:rFonts w:ascii="Symbol" w:hAnsi="Symbol" w:hint="default"/>
      </w:rPr>
    </w:lvl>
    <w:lvl w:ilvl="4" w:tplc="67D61502">
      <w:start w:val="1"/>
      <w:numFmt w:val="bullet"/>
      <w:lvlText w:val="o"/>
      <w:lvlJc w:val="left"/>
      <w:pPr>
        <w:ind w:left="3600" w:hanging="360"/>
      </w:pPr>
      <w:rPr>
        <w:rFonts w:ascii="Courier New" w:hAnsi="Courier New" w:hint="default"/>
      </w:rPr>
    </w:lvl>
    <w:lvl w:ilvl="5" w:tplc="58A06522">
      <w:start w:val="1"/>
      <w:numFmt w:val="bullet"/>
      <w:lvlText w:val=""/>
      <w:lvlJc w:val="left"/>
      <w:pPr>
        <w:ind w:left="4320" w:hanging="360"/>
      </w:pPr>
      <w:rPr>
        <w:rFonts w:ascii="Wingdings" w:hAnsi="Wingdings" w:hint="default"/>
      </w:rPr>
    </w:lvl>
    <w:lvl w:ilvl="6" w:tplc="532C4B02">
      <w:start w:val="1"/>
      <w:numFmt w:val="bullet"/>
      <w:lvlText w:val=""/>
      <w:lvlJc w:val="left"/>
      <w:pPr>
        <w:ind w:left="5040" w:hanging="360"/>
      </w:pPr>
      <w:rPr>
        <w:rFonts w:ascii="Symbol" w:hAnsi="Symbol" w:hint="default"/>
      </w:rPr>
    </w:lvl>
    <w:lvl w:ilvl="7" w:tplc="FE5CCC20">
      <w:start w:val="1"/>
      <w:numFmt w:val="bullet"/>
      <w:lvlText w:val="o"/>
      <w:lvlJc w:val="left"/>
      <w:pPr>
        <w:ind w:left="5760" w:hanging="360"/>
      </w:pPr>
      <w:rPr>
        <w:rFonts w:ascii="Courier New" w:hAnsi="Courier New" w:hint="default"/>
      </w:rPr>
    </w:lvl>
    <w:lvl w:ilvl="8" w:tplc="79A414C4">
      <w:start w:val="1"/>
      <w:numFmt w:val="bullet"/>
      <w:lvlText w:val=""/>
      <w:lvlJc w:val="left"/>
      <w:pPr>
        <w:ind w:left="6480" w:hanging="360"/>
      </w:pPr>
      <w:rPr>
        <w:rFonts w:ascii="Wingdings" w:hAnsi="Wingdings" w:hint="default"/>
      </w:rPr>
    </w:lvl>
  </w:abstractNum>
  <w:abstractNum w:abstractNumId="1"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15:restartNumberingAfterBreak="0">
    <w:nsid w:val="0EA74F89"/>
    <w:multiLevelType w:val="hybridMultilevel"/>
    <w:tmpl w:val="5D060FC2"/>
    <w:lvl w:ilvl="0" w:tplc="6D062262">
      <w:start w:val="8"/>
      <w:numFmt w:val="lowerLetter"/>
      <w:lvlText w:val="%1)"/>
      <w:lvlJc w:val="left"/>
      <w:pPr>
        <w:ind w:left="72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CF287A"/>
    <w:multiLevelType w:val="hybridMultilevel"/>
    <w:tmpl w:val="B4A6F8B4"/>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6ED18A2"/>
    <w:multiLevelType w:val="hybridMultilevel"/>
    <w:tmpl w:val="0646F868"/>
    <w:lvl w:ilvl="0" w:tplc="6498A7DC">
      <w:start w:val="1"/>
      <w:numFmt w:val="bullet"/>
      <w:lvlText w:val=""/>
      <w:lvlJc w:val="left"/>
      <w:pPr>
        <w:ind w:left="928" w:hanging="360"/>
      </w:pPr>
      <w:rPr>
        <w:rFonts w:ascii="Symbol" w:hAnsi="Symbol" w:hint="default"/>
      </w:rPr>
    </w:lvl>
    <w:lvl w:ilvl="1" w:tplc="379E358E">
      <w:start w:val="1"/>
      <w:numFmt w:val="bullet"/>
      <w:lvlText w:val="o"/>
      <w:lvlJc w:val="left"/>
      <w:pPr>
        <w:ind w:left="1648" w:hanging="360"/>
      </w:pPr>
      <w:rPr>
        <w:rFonts w:ascii="Courier New" w:hAnsi="Courier New" w:hint="default"/>
      </w:rPr>
    </w:lvl>
    <w:lvl w:ilvl="2" w:tplc="DF8802B4">
      <w:start w:val="1"/>
      <w:numFmt w:val="bullet"/>
      <w:lvlText w:val=""/>
      <w:lvlJc w:val="left"/>
      <w:pPr>
        <w:ind w:left="2368" w:hanging="360"/>
      </w:pPr>
      <w:rPr>
        <w:rFonts w:ascii="Wingdings" w:hAnsi="Wingdings" w:hint="default"/>
      </w:rPr>
    </w:lvl>
    <w:lvl w:ilvl="3" w:tplc="EE0E57C8">
      <w:start w:val="1"/>
      <w:numFmt w:val="bullet"/>
      <w:lvlText w:val=""/>
      <w:lvlJc w:val="left"/>
      <w:pPr>
        <w:ind w:left="3088" w:hanging="360"/>
      </w:pPr>
      <w:rPr>
        <w:rFonts w:ascii="Symbol" w:hAnsi="Symbol" w:hint="default"/>
      </w:rPr>
    </w:lvl>
    <w:lvl w:ilvl="4" w:tplc="09BA9592">
      <w:start w:val="1"/>
      <w:numFmt w:val="bullet"/>
      <w:lvlText w:val="o"/>
      <w:lvlJc w:val="left"/>
      <w:pPr>
        <w:ind w:left="3808" w:hanging="360"/>
      </w:pPr>
      <w:rPr>
        <w:rFonts w:ascii="Courier New" w:hAnsi="Courier New" w:hint="default"/>
      </w:rPr>
    </w:lvl>
    <w:lvl w:ilvl="5" w:tplc="78720AD6">
      <w:start w:val="1"/>
      <w:numFmt w:val="bullet"/>
      <w:lvlText w:val=""/>
      <w:lvlJc w:val="left"/>
      <w:pPr>
        <w:ind w:left="4528" w:hanging="360"/>
      </w:pPr>
      <w:rPr>
        <w:rFonts w:ascii="Wingdings" w:hAnsi="Wingdings" w:hint="default"/>
      </w:rPr>
    </w:lvl>
    <w:lvl w:ilvl="6" w:tplc="280CBCA2">
      <w:start w:val="1"/>
      <w:numFmt w:val="bullet"/>
      <w:lvlText w:val=""/>
      <w:lvlJc w:val="left"/>
      <w:pPr>
        <w:ind w:left="5248" w:hanging="360"/>
      </w:pPr>
      <w:rPr>
        <w:rFonts w:ascii="Symbol" w:hAnsi="Symbol" w:hint="default"/>
      </w:rPr>
    </w:lvl>
    <w:lvl w:ilvl="7" w:tplc="446C48C6">
      <w:start w:val="1"/>
      <w:numFmt w:val="bullet"/>
      <w:lvlText w:val="o"/>
      <w:lvlJc w:val="left"/>
      <w:pPr>
        <w:ind w:left="5968" w:hanging="360"/>
      </w:pPr>
      <w:rPr>
        <w:rFonts w:ascii="Courier New" w:hAnsi="Courier New" w:hint="default"/>
      </w:rPr>
    </w:lvl>
    <w:lvl w:ilvl="8" w:tplc="6374EDCC">
      <w:start w:val="1"/>
      <w:numFmt w:val="bullet"/>
      <w:lvlText w:val=""/>
      <w:lvlJc w:val="left"/>
      <w:pPr>
        <w:ind w:left="6688" w:hanging="360"/>
      </w:pPr>
      <w:rPr>
        <w:rFonts w:ascii="Wingdings" w:hAnsi="Wingdings" w:hint="default"/>
      </w:rPr>
    </w:lvl>
  </w:abstractNum>
  <w:abstractNum w:abstractNumId="11"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C1B748A"/>
    <w:multiLevelType w:val="hybridMultilevel"/>
    <w:tmpl w:val="3996C0D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EA3890"/>
    <w:multiLevelType w:val="hybridMultilevel"/>
    <w:tmpl w:val="87148546"/>
    <w:lvl w:ilvl="0" w:tplc="AAAC08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88427B"/>
    <w:multiLevelType w:val="hybridMultilevel"/>
    <w:tmpl w:val="EE96976E"/>
    <w:lvl w:ilvl="0" w:tplc="42AE7D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330F130F"/>
    <w:multiLevelType w:val="hybridMultilevel"/>
    <w:tmpl w:val="91305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4"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8"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8A8A3A"/>
    <w:multiLevelType w:val="hybridMultilevel"/>
    <w:tmpl w:val="92289E0E"/>
    <w:lvl w:ilvl="0" w:tplc="1DD6E3C4">
      <w:start w:val="46"/>
      <w:numFmt w:val="bullet"/>
      <w:lvlText w:val=""/>
      <w:lvlJc w:val="left"/>
      <w:pPr>
        <w:ind w:left="720" w:hanging="360"/>
      </w:pPr>
      <w:rPr>
        <w:rFonts w:ascii="Wingdings" w:hAnsi="Wingdings" w:hint="default"/>
        <w:color w:val="auto"/>
      </w:rPr>
    </w:lvl>
    <w:lvl w:ilvl="1" w:tplc="13A61AC8">
      <w:start w:val="1"/>
      <w:numFmt w:val="bullet"/>
      <w:lvlText w:val="o"/>
      <w:lvlJc w:val="left"/>
      <w:pPr>
        <w:ind w:left="1440" w:hanging="360"/>
      </w:pPr>
      <w:rPr>
        <w:rFonts w:ascii="Courier New" w:hAnsi="Courier New" w:hint="default"/>
      </w:rPr>
    </w:lvl>
    <w:lvl w:ilvl="2" w:tplc="BCE4323A">
      <w:start w:val="1"/>
      <w:numFmt w:val="bullet"/>
      <w:lvlText w:val=""/>
      <w:lvlJc w:val="left"/>
      <w:pPr>
        <w:ind w:left="2160" w:hanging="360"/>
      </w:pPr>
      <w:rPr>
        <w:rFonts w:ascii="Wingdings" w:hAnsi="Wingdings" w:hint="default"/>
      </w:rPr>
    </w:lvl>
    <w:lvl w:ilvl="3" w:tplc="322A068A">
      <w:start w:val="1"/>
      <w:numFmt w:val="bullet"/>
      <w:lvlText w:val=""/>
      <w:lvlJc w:val="left"/>
      <w:pPr>
        <w:ind w:left="2880" w:hanging="360"/>
      </w:pPr>
      <w:rPr>
        <w:rFonts w:ascii="Symbol" w:hAnsi="Symbol" w:hint="default"/>
      </w:rPr>
    </w:lvl>
    <w:lvl w:ilvl="4" w:tplc="3D148926">
      <w:start w:val="1"/>
      <w:numFmt w:val="bullet"/>
      <w:lvlText w:val="o"/>
      <w:lvlJc w:val="left"/>
      <w:pPr>
        <w:ind w:left="3600" w:hanging="360"/>
      </w:pPr>
      <w:rPr>
        <w:rFonts w:ascii="Courier New" w:hAnsi="Courier New" w:hint="default"/>
      </w:rPr>
    </w:lvl>
    <w:lvl w:ilvl="5" w:tplc="F342C650">
      <w:start w:val="1"/>
      <w:numFmt w:val="bullet"/>
      <w:lvlText w:val=""/>
      <w:lvlJc w:val="left"/>
      <w:pPr>
        <w:ind w:left="4320" w:hanging="360"/>
      </w:pPr>
      <w:rPr>
        <w:rFonts w:ascii="Wingdings" w:hAnsi="Wingdings" w:hint="default"/>
      </w:rPr>
    </w:lvl>
    <w:lvl w:ilvl="6" w:tplc="A73C1A5C">
      <w:start w:val="1"/>
      <w:numFmt w:val="bullet"/>
      <w:lvlText w:val=""/>
      <w:lvlJc w:val="left"/>
      <w:pPr>
        <w:ind w:left="5040" w:hanging="360"/>
      </w:pPr>
      <w:rPr>
        <w:rFonts w:ascii="Symbol" w:hAnsi="Symbol" w:hint="default"/>
      </w:rPr>
    </w:lvl>
    <w:lvl w:ilvl="7" w:tplc="BBE610D4">
      <w:start w:val="1"/>
      <w:numFmt w:val="bullet"/>
      <w:lvlText w:val="o"/>
      <w:lvlJc w:val="left"/>
      <w:pPr>
        <w:ind w:left="5760" w:hanging="360"/>
      </w:pPr>
      <w:rPr>
        <w:rFonts w:ascii="Courier New" w:hAnsi="Courier New" w:hint="default"/>
      </w:rPr>
    </w:lvl>
    <w:lvl w:ilvl="8" w:tplc="0680C0C0">
      <w:start w:val="1"/>
      <w:numFmt w:val="bullet"/>
      <w:lvlText w:val=""/>
      <w:lvlJc w:val="left"/>
      <w:pPr>
        <w:ind w:left="6480" w:hanging="360"/>
      </w:pPr>
      <w:rPr>
        <w:rFonts w:ascii="Wingdings" w:hAnsi="Wingdings" w:hint="default"/>
      </w:rPr>
    </w:lvl>
  </w:abstractNum>
  <w:abstractNum w:abstractNumId="30"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1"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4"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7003001F"/>
    <w:multiLevelType w:val="hybridMultilevel"/>
    <w:tmpl w:val="76808282"/>
    <w:lvl w:ilvl="0" w:tplc="FFFFFFFF">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7"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8"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1"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678003119">
    <w:abstractNumId w:val="10"/>
  </w:num>
  <w:num w:numId="2" w16cid:durableId="1315796712">
    <w:abstractNumId w:val="0"/>
  </w:num>
  <w:num w:numId="3" w16cid:durableId="1451313499">
    <w:abstractNumId w:val="45"/>
  </w:num>
  <w:num w:numId="4" w16cid:durableId="54285339">
    <w:abstractNumId w:val="33"/>
  </w:num>
  <w:num w:numId="5" w16cid:durableId="1803112259">
    <w:abstractNumId w:val="6"/>
  </w:num>
  <w:num w:numId="6" w16cid:durableId="1533762045">
    <w:abstractNumId w:val="25"/>
  </w:num>
  <w:num w:numId="7" w16cid:durableId="1934632113">
    <w:abstractNumId w:val="35"/>
  </w:num>
  <w:num w:numId="8" w16cid:durableId="983122180">
    <w:abstractNumId w:val="6"/>
  </w:num>
  <w:num w:numId="9" w16cid:durableId="1562254527">
    <w:abstractNumId w:val="6"/>
  </w:num>
  <w:num w:numId="10" w16cid:durableId="1918128987">
    <w:abstractNumId w:val="6"/>
  </w:num>
  <w:num w:numId="11" w16cid:durableId="150757125">
    <w:abstractNumId w:val="26"/>
  </w:num>
  <w:num w:numId="12" w16cid:durableId="638804066">
    <w:abstractNumId w:val="11"/>
  </w:num>
  <w:num w:numId="13" w16cid:durableId="228542110">
    <w:abstractNumId w:val="23"/>
  </w:num>
  <w:num w:numId="14" w16cid:durableId="1946380182">
    <w:abstractNumId w:val="36"/>
  </w:num>
  <w:num w:numId="15" w16cid:durableId="316231119">
    <w:abstractNumId w:val="24"/>
  </w:num>
  <w:num w:numId="16" w16cid:durableId="1176656521">
    <w:abstractNumId w:val="43"/>
  </w:num>
  <w:num w:numId="17" w16cid:durableId="1668434983">
    <w:abstractNumId w:val="14"/>
  </w:num>
  <w:num w:numId="18" w16cid:durableId="782306335">
    <w:abstractNumId w:val="3"/>
  </w:num>
  <w:num w:numId="19" w16cid:durableId="2140174792">
    <w:abstractNumId w:val="44"/>
  </w:num>
  <w:num w:numId="20" w16cid:durableId="723529105">
    <w:abstractNumId w:val="2"/>
  </w:num>
  <w:num w:numId="21" w16cid:durableId="1392077874">
    <w:abstractNumId w:val="8"/>
  </w:num>
  <w:num w:numId="22" w16cid:durableId="1676956886">
    <w:abstractNumId w:val="41"/>
  </w:num>
  <w:num w:numId="23" w16cid:durableId="1721326517">
    <w:abstractNumId w:val="37"/>
  </w:num>
  <w:num w:numId="24" w16cid:durableId="597954989">
    <w:abstractNumId w:val="9"/>
  </w:num>
  <w:num w:numId="25" w16cid:durableId="2029985355">
    <w:abstractNumId w:val="1"/>
  </w:num>
  <w:num w:numId="26" w16cid:durableId="313604768">
    <w:abstractNumId w:val="19"/>
  </w:num>
  <w:num w:numId="27" w16cid:durableId="1655529985">
    <w:abstractNumId w:val="39"/>
  </w:num>
  <w:num w:numId="28" w16cid:durableId="968899789">
    <w:abstractNumId w:val="32"/>
  </w:num>
  <w:num w:numId="29" w16cid:durableId="532502898">
    <w:abstractNumId w:val="13"/>
  </w:num>
  <w:num w:numId="30" w16cid:durableId="701631184">
    <w:abstractNumId w:val="18"/>
  </w:num>
  <w:num w:numId="31" w16cid:durableId="1659846491">
    <w:abstractNumId w:val="42"/>
  </w:num>
  <w:num w:numId="32" w16cid:durableId="2107580548">
    <w:abstractNumId w:val="20"/>
  </w:num>
  <w:num w:numId="33" w16cid:durableId="451442845">
    <w:abstractNumId w:val="31"/>
  </w:num>
  <w:num w:numId="34" w16cid:durableId="1622148203">
    <w:abstractNumId w:val="22"/>
  </w:num>
  <w:num w:numId="35" w16cid:durableId="1990088212">
    <w:abstractNumId w:val="28"/>
  </w:num>
  <w:num w:numId="36" w16cid:durableId="1453743524">
    <w:abstractNumId w:val="38"/>
  </w:num>
  <w:num w:numId="37" w16cid:durableId="1623225892">
    <w:abstractNumId w:val="15"/>
  </w:num>
  <w:num w:numId="38" w16cid:durableId="991720409">
    <w:abstractNumId w:val="34"/>
  </w:num>
  <w:num w:numId="39" w16cid:durableId="1185247984">
    <w:abstractNumId w:val="27"/>
  </w:num>
  <w:num w:numId="40" w16cid:durableId="444269962">
    <w:abstractNumId w:val="30"/>
  </w:num>
  <w:num w:numId="41" w16cid:durableId="723404301">
    <w:abstractNumId w:val="4"/>
  </w:num>
  <w:num w:numId="42" w16cid:durableId="2072120321">
    <w:abstractNumId w:val="40"/>
  </w:num>
  <w:num w:numId="43" w16cid:durableId="174997042">
    <w:abstractNumId w:val="17"/>
  </w:num>
  <w:num w:numId="44" w16cid:durableId="38404136">
    <w:abstractNumId w:val="16"/>
  </w:num>
  <w:num w:numId="45" w16cid:durableId="534267672">
    <w:abstractNumId w:val="7"/>
  </w:num>
  <w:num w:numId="46" w16cid:durableId="1161970765">
    <w:abstractNumId w:val="5"/>
  </w:num>
  <w:num w:numId="47" w16cid:durableId="1085300332">
    <w:abstractNumId w:val="21"/>
  </w:num>
  <w:num w:numId="48" w16cid:durableId="1039743422">
    <w:abstractNumId w:val="6"/>
  </w:num>
  <w:num w:numId="49" w16cid:durableId="1666516886">
    <w:abstractNumId w:val="12"/>
  </w:num>
  <w:num w:numId="50" w16cid:durableId="199903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01CA"/>
    <w:rsid w:val="00000A14"/>
    <w:rsid w:val="00001513"/>
    <w:rsid w:val="000019D8"/>
    <w:rsid w:val="00001FB1"/>
    <w:rsid w:val="0000316C"/>
    <w:rsid w:val="00003D5C"/>
    <w:rsid w:val="0000665E"/>
    <w:rsid w:val="00006736"/>
    <w:rsid w:val="00006A97"/>
    <w:rsid w:val="0001045A"/>
    <w:rsid w:val="0001123B"/>
    <w:rsid w:val="00011305"/>
    <w:rsid w:val="0001151F"/>
    <w:rsid w:val="00011ADD"/>
    <w:rsid w:val="00012A7F"/>
    <w:rsid w:val="00012BB2"/>
    <w:rsid w:val="00013DA8"/>
    <w:rsid w:val="000166FA"/>
    <w:rsid w:val="00016EF5"/>
    <w:rsid w:val="00017A3A"/>
    <w:rsid w:val="00020D42"/>
    <w:rsid w:val="00021065"/>
    <w:rsid w:val="000225F2"/>
    <w:rsid w:val="00023147"/>
    <w:rsid w:val="00023A06"/>
    <w:rsid w:val="00023DC6"/>
    <w:rsid w:val="00024B9D"/>
    <w:rsid w:val="00025654"/>
    <w:rsid w:val="000258EC"/>
    <w:rsid w:val="00026538"/>
    <w:rsid w:val="000270FE"/>
    <w:rsid w:val="00027ABB"/>
    <w:rsid w:val="00027C49"/>
    <w:rsid w:val="00030B00"/>
    <w:rsid w:val="0003117C"/>
    <w:rsid w:val="00033257"/>
    <w:rsid w:val="00036E42"/>
    <w:rsid w:val="00036EDF"/>
    <w:rsid w:val="00041356"/>
    <w:rsid w:val="0004156D"/>
    <w:rsid w:val="0004373B"/>
    <w:rsid w:val="000448FA"/>
    <w:rsid w:val="0004527E"/>
    <w:rsid w:val="0004580D"/>
    <w:rsid w:val="000472C4"/>
    <w:rsid w:val="00050AA1"/>
    <w:rsid w:val="00051F60"/>
    <w:rsid w:val="00051FA8"/>
    <w:rsid w:val="0005276C"/>
    <w:rsid w:val="0005366F"/>
    <w:rsid w:val="00053A42"/>
    <w:rsid w:val="000550D8"/>
    <w:rsid w:val="0005517D"/>
    <w:rsid w:val="0005662D"/>
    <w:rsid w:val="0005705F"/>
    <w:rsid w:val="00060273"/>
    <w:rsid w:val="00060B51"/>
    <w:rsid w:val="0006133D"/>
    <w:rsid w:val="00061FFC"/>
    <w:rsid w:val="00063585"/>
    <w:rsid w:val="000650A1"/>
    <w:rsid w:val="0006616A"/>
    <w:rsid w:val="00071899"/>
    <w:rsid w:val="00071CD0"/>
    <w:rsid w:val="00071FF5"/>
    <w:rsid w:val="00072028"/>
    <w:rsid w:val="00075677"/>
    <w:rsid w:val="00075692"/>
    <w:rsid w:val="00076D17"/>
    <w:rsid w:val="000775C9"/>
    <w:rsid w:val="00080C80"/>
    <w:rsid w:val="00080D21"/>
    <w:rsid w:val="0008308A"/>
    <w:rsid w:val="00083878"/>
    <w:rsid w:val="0008602B"/>
    <w:rsid w:val="00086E65"/>
    <w:rsid w:val="00087B0A"/>
    <w:rsid w:val="00087B8D"/>
    <w:rsid w:val="000903D2"/>
    <w:rsid w:val="00091AB0"/>
    <w:rsid w:val="000922AD"/>
    <w:rsid w:val="00092719"/>
    <w:rsid w:val="00093D67"/>
    <w:rsid w:val="00093E60"/>
    <w:rsid w:val="0009405F"/>
    <w:rsid w:val="00094508"/>
    <w:rsid w:val="0009579D"/>
    <w:rsid w:val="00095DA9"/>
    <w:rsid w:val="00095DCA"/>
    <w:rsid w:val="000A15DF"/>
    <w:rsid w:val="000A18B7"/>
    <w:rsid w:val="000A2590"/>
    <w:rsid w:val="000A2C1E"/>
    <w:rsid w:val="000A33AE"/>
    <w:rsid w:val="000A4697"/>
    <w:rsid w:val="000A6997"/>
    <w:rsid w:val="000A6CAC"/>
    <w:rsid w:val="000A73FF"/>
    <w:rsid w:val="000A742F"/>
    <w:rsid w:val="000A7696"/>
    <w:rsid w:val="000B0059"/>
    <w:rsid w:val="000B0B6B"/>
    <w:rsid w:val="000B25C9"/>
    <w:rsid w:val="000B2728"/>
    <w:rsid w:val="000B2C14"/>
    <w:rsid w:val="000B3943"/>
    <w:rsid w:val="000B40C8"/>
    <w:rsid w:val="000B4477"/>
    <w:rsid w:val="000B6345"/>
    <w:rsid w:val="000B6626"/>
    <w:rsid w:val="000B71AA"/>
    <w:rsid w:val="000C0650"/>
    <w:rsid w:val="000C0704"/>
    <w:rsid w:val="000C1BEA"/>
    <w:rsid w:val="000C1EAB"/>
    <w:rsid w:val="000C2398"/>
    <w:rsid w:val="000C2B07"/>
    <w:rsid w:val="000C2BDD"/>
    <w:rsid w:val="000C39CC"/>
    <w:rsid w:val="000C3C49"/>
    <w:rsid w:val="000C3E2C"/>
    <w:rsid w:val="000C434C"/>
    <w:rsid w:val="000C5D67"/>
    <w:rsid w:val="000C7566"/>
    <w:rsid w:val="000C7F41"/>
    <w:rsid w:val="000D0B4D"/>
    <w:rsid w:val="000D1064"/>
    <w:rsid w:val="000D188E"/>
    <w:rsid w:val="000D384A"/>
    <w:rsid w:val="000D5335"/>
    <w:rsid w:val="000D6332"/>
    <w:rsid w:val="000D7B42"/>
    <w:rsid w:val="000E0873"/>
    <w:rsid w:val="000E119C"/>
    <w:rsid w:val="000E1A46"/>
    <w:rsid w:val="000E2223"/>
    <w:rsid w:val="000E257A"/>
    <w:rsid w:val="000E266F"/>
    <w:rsid w:val="000E2BB0"/>
    <w:rsid w:val="000E3227"/>
    <w:rsid w:val="000E3DEB"/>
    <w:rsid w:val="000E47A6"/>
    <w:rsid w:val="000E5DE1"/>
    <w:rsid w:val="000E69D1"/>
    <w:rsid w:val="000E7290"/>
    <w:rsid w:val="000E7B86"/>
    <w:rsid w:val="000E7BBF"/>
    <w:rsid w:val="000E7E29"/>
    <w:rsid w:val="000F1436"/>
    <w:rsid w:val="000F2B66"/>
    <w:rsid w:val="000F3D83"/>
    <w:rsid w:val="000F42DC"/>
    <w:rsid w:val="000F44C5"/>
    <w:rsid w:val="000F48E6"/>
    <w:rsid w:val="000F4904"/>
    <w:rsid w:val="000F5C71"/>
    <w:rsid w:val="000F7AB4"/>
    <w:rsid w:val="000F7D8C"/>
    <w:rsid w:val="00100F12"/>
    <w:rsid w:val="00101E58"/>
    <w:rsid w:val="00102554"/>
    <w:rsid w:val="00102F03"/>
    <w:rsid w:val="0010321F"/>
    <w:rsid w:val="00103589"/>
    <w:rsid w:val="00103FBD"/>
    <w:rsid w:val="001045C9"/>
    <w:rsid w:val="001048EE"/>
    <w:rsid w:val="00105158"/>
    <w:rsid w:val="00105F13"/>
    <w:rsid w:val="001071DC"/>
    <w:rsid w:val="00107C61"/>
    <w:rsid w:val="00107CC1"/>
    <w:rsid w:val="00111A92"/>
    <w:rsid w:val="00112476"/>
    <w:rsid w:val="001129A1"/>
    <w:rsid w:val="00113116"/>
    <w:rsid w:val="0011402C"/>
    <w:rsid w:val="001145C3"/>
    <w:rsid w:val="001153BB"/>
    <w:rsid w:val="00115645"/>
    <w:rsid w:val="00115958"/>
    <w:rsid w:val="001161D2"/>
    <w:rsid w:val="0011620F"/>
    <w:rsid w:val="00122CFF"/>
    <w:rsid w:val="00124161"/>
    <w:rsid w:val="0012436A"/>
    <w:rsid w:val="00124B56"/>
    <w:rsid w:val="00124DA4"/>
    <w:rsid w:val="0012657C"/>
    <w:rsid w:val="00127BA9"/>
    <w:rsid w:val="00129C6F"/>
    <w:rsid w:val="00130853"/>
    <w:rsid w:val="00131DF1"/>
    <w:rsid w:val="001320C1"/>
    <w:rsid w:val="00132C38"/>
    <w:rsid w:val="001333CC"/>
    <w:rsid w:val="00133984"/>
    <w:rsid w:val="00133E38"/>
    <w:rsid w:val="00134529"/>
    <w:rsid w:val="00135208"/>
    <w:rsid w:val="001365C4"/>
    <w:rsid w:val="00141327"/>
    <w:rsid w:val="0014147D"/>
    <w:rsid w:val="00141D29"/>
    <w:rsid w:val="001421D1"/>
    <w:rsid w:val="001421DD"/>
    <w:rsid w:val="00144023"/>
    <w:rsid w:val="00144A5D"/>
    <w:rsid w:val="00144A90"/>
    <w:rsid w:val="0014506A"/>
    <w:rsid w:val="00145A20"/>
    <w:rsid w:val="001464A6"/>
    <w:rsid w:val="0014728F"/>
    <w:rsid w:val="00147B3F"/>
    <w:rsid w:val="00150CC1"/>
    <w:rsid w:val="00150D5A"/>
    <w:rsid w:val="00151E95"/>
    <w:rsid w:val="001521A2"/>
    <w:rsid w:val="00152358"/>
    <w:rsid w:val="00152529"/>
    <w:rsid w:val="00152A03"/>
    <w:rsid w:val="0015334C"/>
    <w:rsid w:val="00153D89"/>
    <w:rsid w:val="00155BFF"/>
    <w:rsid w:val="00157E9E"/>
    <w:rsid w:val="00160318"/>
    <w:rsid w:val="00160F66"/>
    <w:rsid w:val="001615DD"/>
    <w:rsid w:val="00162B53"/>
    <w:rsid w:val="001633AF"/>
    <w:rsid w:val="00163657"/>
    <w:rsid w:val="00163C3F"/>
    <w:rsid w:val="00164004"/>
    <w:rsid w:val="00164A7F"/>
    <w:rsid w:val="00164D15"/>
    <w:rsid w:val="0016527F"/>
    <w:rsid w:val="00166114"/>
    <w:rsid w:val="00166A6C"/>
    <w:rsid w:val="0017072A"/>
    <w:rsid w:val="0017101E"/>
    <w:rsid w:val="00171C3B"/>
    <w:rsid w:val="001728D0"/>
    <w:rsid w:val="001731AD"/>
    <w:rsid w:val="00173EDD"/>
    <w:rsid w:val="00173FD7"/>
    <w:rsid w:val="0017402B"/>
    <w:rsid w:val="00174471"/>
    <w:rsid w:val="00174D8B"/>
    <w:rsid w:val="001752E7"/>
    <w:rsid w:val="0017622F"/>
    <w:rsid w:val="00176B58"/>
    <w:rsid w:val="00180CF4"/>
    <w:rsid w:val="00181012"/>
    <w:rsid w:val="0018169C"/>
    <w:rsid w:val="00181D37"/>
    <w:rsid w:val="001835B7"/>
    <w:rsid w:val="001836B7"/>
    <w:rsid w:val="0018426B"/>
    <w:rsid w:val="00184C69"/>
    <w:rsid w:val="00184DF9"/>
    <w:rsid w:val="00185A37"/>
    <w:rsid w:val="0018666B"/>
    <w:rsid w:val="00187575"/>
    <w:rsid w:val="00191F92"/>
    <w:rsid w:val="00193364"/>
    <w:rsid w:val="00193D8B"/>
    <w:rsid w:val="001940E1"/>
    <w:rsid w:val="00194309"/>
    <w:rsid w:val="0019660E"/>
    <w:rsid w:val="001A107B"/>
    <w:rsid w:val="001A20B6"/>
    <w:rsid w:val="001A2797"/>
    <w:rsid w:val="001A2B89"/>
    <w:rsid w:val="001A4609"/>
    <w:rsid w:val="001B0412"/>
    <w:rsid w:val="001B093A"/>
    <w:rsid w:val="001B0D76"/>
    <w:rsid w:val="001B0FF9"/>
    <w:rsid w:val="001B2567"/>
    <w:rsid w:val="001B39E2"/>
    <w:rsid w:val="001B4439"/>
    <w:rsid w:val="001B4B71"/>
    <w:rsid w:val="001B60C8"/>
    <w:rsid w:val="001B66A8"/>
    <w:rsid w:val="001C2B26"/>
    <w:rsid w:val="001C340B"/>
    <w:rsid w:val="001C3A32"/>
    <w:rsid w:val="001C593F"/>
    <w:rsid w:val="001C6473"/>
    <w:rsid w:val="001C66D0"/>
    <w:rsid w:val="001C752A"/>
    <w:rsid w:val="001C7883"/>
    <w:rsid w:val="001C7FBC"/>
    <w:rsid w:val="001D06C1"/>
    <w:rsid w:val="001D149F"/>
    <w:rsid w:val="001D196E"/>
    <w:rsid w:val="001D3544"/>
    <w:rsid w:val="001D4DC4"/>
    <w:rsid w:val="001D4F09"/>
    <w:rsid w:val="001D4F5C"/>
    <w:rsid w:val="001D5AC6"/>
    <w:rsid w:val="001D606B"/>
    <w:rsid w:val="001D7137"/>
    <w:rsid w:val="001E0050"/>
    <w:rsid w:val="001E1116"/>
    <w:rsid w:val="001E1521"/>
    <w:rsid w:val="001E1913"/>
    <w:rsid w:val="001E1D60"/>
    <w:rsid w:val="001E1EDF"/>
    <w:rsid w:val="001E2937"/>
    <w:rsid w:val="001E2E88"/>
    <w:rsid w:val="001E72DA"/>
    <w:rsid w:val="001F1482"/>
    <w:rsid w:val="001F20D7"/>
    <w:rsid w:val="001F3DCD"/>
    <w:rsid w:val="001F7744"/>
    <w:rsid w:val="002014EB"/>
    <w:rsid w:val="00201F30"/>
    <w:rsid w:val="00202B1A"/>
    <w:rsid w:val="00202B90"/>
    <w:rsid w:val="00203471"/>
    <w:rsid w:val="00204979"/>
    <w:rsid w:val="00207610"/>
    <w:rsid w:val="00210333"/>
    <w:rsid w:val="00211397"/>
    <w:rsid w:val="00211B7E"/>
    <w:rsid w:val="00211D69"/>
    <w:rsid w:val="002120E8"/>
    <w:rsid w:val="0021442A"/>
    <w:rsid w:val="00216809"/>
    <w:rsid w:val="002179DB"/>
    <w:rsid w:val="00217AF7"/>
    <w:rsid w:val="00217FB3"/>
    <w:rsid w:val="002204E6"/>
    <w:rsid w:val="002205C4"/>
    <w:rsid w:val="00220A51"/>
    <w:rsid w:val="00221319"/>
    <w:rsid w:val="00222E4F"/>
    <w:rsid w:val="00224357"/>
    <w:rsid w:val="00227718"/>
    <w:rsid w:val="00227E48"/>
    <w:rsid w:val="00227F66"/>
    <w:rsid w:val="00230577"/>
    <w:rsid w:val="0023159D"/>
    <w:rsid w:val="0023209D"/>
    <w:rsid w:val="0023276A"/>
    <w:rsid w:val="002332A2"/>
    <w:rsid w:val="002333F8"/>
    <w:rsid w:val="0023366C"/>
    <w:rsid w:val="00233D79"/>
    <w:rsid w:val="0023703C"/>
    <w:rsid w:val="0023757D"/>
    <w:rsid w:val="00237657"/>
    <w:rsid w:val="002379AC"/>
    <w:rsid w:val="00240051"/>
    <w:rsid w:val="00240D88"/>
    <w:rsid w:val="00241A7A"/>
    <w:rsid w:val="00242BA7"/>
    <w:rsid w:val="002432E6"/>
    <w:rsid w:val="002437B5"/>
    <w:rsid w:val="0024414B"/>
    <w:rsid w:val="002442C1"/>
    <w:rsid w:val="002444FA"/>
    <w:rsid w:val="00244EF1"/>
    <w:rsid w:val="002458BE"/>
    <w:rsid w:val="00245F5B"/>
    <w:rsid w:val="00246F21"/>
    <w:rsid w:val="00247EB6"/>
    <w:rsid w:val="00250200"/>
    <w:rsid w:val="00251D32"/>
    <w:rsid w:val="00252AA5"/>
    <w:rsid w:val="00253E78"/>
    <w:rsid w:val="00253FF6"/>
    <w:rsid w:val="0025E0A6"/>
    <w:rsid w:val="00260666"/>
    <w:rsid w:val="00260CF2"/>
    <w:rsid w:val="002611F7"/>
    <w:rsid w:val="00261A21"/>
    <w:rsid w:val="00262C3C"/>
    <w:rsid w:val="00263306"/>
    <w:rsid w:val="002639FB"/>
    <w:rsid w:val="00263ABE"/>
    <w:rsid w:val="00264008"/>
    <w:rsid w:val="002647D1"/>
    <w:rsid w:val="00264C88"/>
    <w:rsid w:val="0026532C"/>
    <w:rsid w:val="0026575D"/>
    <w:rsid w:val="002678D3"/>
    <w:rsid w:val="002705B0"/>
    <w:rsid w:val="00270EC8"/>
    <w:rsid w:val="002717A6"/>
    <w:rsid w:val="00271D48"/>
    <w:rsid w:val="00272015"/>
    <w:rsid w:val="0027211B"/>
    <w:rsid w:val="00273C10"/>
    <w:rsid w:val="002747F8"/>
    <w:rsid w:val="00274B4C"/>
    <w:rsid w:val="00275121"/>
    <w:rsid w:val="002753C4"/>
    <w:rsid w:val="00275778"/>
    <w:rsid w:val="00275BC0"/>
    <w:rsid w:val="00276264"/>
    <w:rsid w:val="0027649A"/>
    <w:rsid w:val="002766C3"/>
    <w:rsid w:val="00277F69"/>
    <w:rsid w:val="00277F8F"/>
    <w:rsid w:val="00280CDE"/>
    <w:rsid w:val="00280FC5"/>
    <w:rsid w:val="00281DCA"/>
    <w:rsid w:val="002827A0"/>
    <w:rsid w:val="00282D76"/>
    <w:rsid w:val="00282EBD"/>
    <w:rsid w:val="002833D1"/>
    <w:rsid w:val="00283570"/>
    <w:rsid w:val="00284BBF"/>
    <w:rsid w:val="00285AB4"/>
    <w:rsid w:val="00287097"/>
    <w:rsid w:val="00287FF0"/>
    <w:rsid w:val="00292821"/>
    <w:rsid w:val="00292EC9"/>
    <w:rsid w:val="00293A9B"/>
    <w:rsid w:val="00294BB9"/>
    <w:rsid w:val="00295EF9"/>
    <w:rsid w:val="00296435"/>
    <w:rsid w:val="0029663E"/>
    <w:rsid w:val="002966BC"/>
    <w:rsid w:val="00297B04"/>
    <w:rsid w:val="002A056C"/>
    <w:rsid w:val="002A225E"/>
    <w:rsid w:val="002A3268"/>
    <w:rsid w:val="002A3542"/>
    <w:rsid w:val="002A3B89"/>
    <w:rsid w:val="002A4BBC"/>
    <w:rsid w:val="002A4BE9"/>
    <w:rsid w:val="002A4C32"/>
    <w:rsid w:val="002A57E9"/>
    <w:rsid w:val="002A5A28"/>
    <w:rsid w:val="002A66A5"/>
    <w:rsid w:val="002A6EBB"/>
    <w:rsid w:val="002B0298"/>
    <w:rsid w:val="002B1667"/>
    <w:rsid w:val="002B21E9"/>
    <w:rsid w:val="002B2B87"/>
    <w:rsid w:val="002B4AE8"/>
    <w:rsid w:val="002B4E0F"/>
    <w:rsid w:val="002B50B7"/>
    <w:rsid w:val="002B51BC"/>
    <w:rsid w:val="002B5754"/>
    <w:rsid w:val="002C08F6"/>
    <w:rsid w:val="002C0A5F"/>
    <w:rsid w:val="002C109B"/>
    <w:rsid w:val="002C3587"/>
    <w:rsid w:val="002C37C5"/>
    <w:rsid w:val="002C4A0C"/>
    <w:rsid w:val="002C5ECA"/>
    <w:rsid w:val="002C5F74"/>
    <w:rsid w:val="002C651F"/>
    <w:rsid w:val="002C7026"/>
    <w:rsid w:val="002C7E08"/>
    <w:rsid w:val="002D07B2"/>
    <w:rsid w:val="002D089F"/>
    <w:rsid w:val="002D1390"/>
    <w:rsid w:val="002D2265"/>
    <w:rsid w:val="002D301F"/>
    <w:rsid w:val="002D3665"/>
    <w:rsid w:val="002D43C4"/>
    <w:rsid w:val="002D44BC"/>
    <w:rsid w:val="002D54ED"/>
    <w:rsid w:val="002D5635"/>
    <w:rsid w:val="002D65BD"/>
    <w:rsid w:val="002D65E8"/>
    <w:rsid w:val="002D6D69"/>
    <w:rsid w:val="002D7400"/>
    <w:rsid w:val="002D7606"/>
    <w:rsid w:val="002D7D32"/>
    <w:rsid w:val="002E00AF"/>
    <w:rsid w:val="002E02E5"/>
    <w:rsid w:val="002E0346"/>
    <w:rsid w:val="002E0478"/>
    <w:rsid w:val="002E0791"/>
    <w:rsid w:val="002E1B92"/>
    <w:rsid w:val="002E2425"/>
    <w:rsid w:val="002E26EF"/>
    <w:rsid w:val="002E43F6"/>
    <w:rsid w:val="002E4F9D"/>
    <w:rsid w:val="002E5D2D"/>
    <w:rsid w:val="002E6575"/>
    <w:rsid w:val="002E7B81"/>
    <w:rsid w:val="002F09FB"/>
    <w:rsid w:val="002F0E35"/>
    <w:rsid w:val="002F0FE3"/>
    <w:rsid w:val="002F16EC"/>
    <w:rsid w:val="002F1AF0"/>
    <w:rsid w:val="002F2530"/>
    <w:rsid w:val="002F258C"/>
    <w:rsid w:val="002F26DD"/>
    <w:rsid w:val="002F272A"/>
    <w:rsid w:val="002F3225"/>
    <w:rsid w:val="002F3D02"/>
    <w:rsid w:val="002F43D0"/>
    <w:rsid w:val="002F53B4"/>
    <w:rsid w:val="002F5CB0"/>
    <w:rsid w:val="002F76D6"/>
    <w:rsid w:val="00302151"/>
    <w:rsid w:val="00303506"/>
    <w:rsid w:val="0030429A"/>
    <w:rsid w:val="00305919"/>
    <w:rsid w:val="00305BEC"/>
    <w:rsid w:val="003067C1"/>
    <w:rsid w:val="00307057"/>
    <w:rsid w:val="003106B7"/>
    <w:rsid w:val="00312819"/>
    <w:rsid w:val="00312E9C"/>
    <w:rsid w:val="00313030"/>
    <w:rsid w:val="003131AA"/>
    <w:rsid w:val="00313875"/>
    <w:rsid w:val="003145F1"/>
    <w:rsid w:val="00314ACE"/>
    <w:rsid w:val="00317C51"/>
    <w:rsid w:val="003203BF"/>
    <w:rsid w:val="0032094A"/>
    <w:rsid w:val="00321369"/>
    <w:rsid w:val="00321FB2"/>
    <w:rsid w:val="00326B93"/>
    <w:rsid w:val="00326F20"/>
    <w:rsid w:val="00327C65"/>
    <w:rsid w:val="00327F3B"/>
    <w:rsid w:val="00330787"/>
    <w:rsid w:val="003309EF"/>
    <w:rsid w:val="00330E2B"/>
    <w:rsid w:val="00331637"/>
    <w:rsid w:val="00332B21"/>
    <w:rsid w:val="00332D97"/>
    <w:rsid w:val="0033325D"/>
    <w:rsid w:val="00333F46"/>
    <w:rsid w:val="00334432"/>
    <w:rsid w:val="00335633"/>
    <w:rsid w:val="003359BA"/>
    <w:rsid w:val="00337493"/>
    <w:rsid w:val="00340831"/>
    <w:rsid w:val="00341BDD"/>
    <w:rsid w:val="00342723"/>
    <w:rsid w:val="0034285F"/>
    <w:rsid w:val="00342DA8"/>
    <w:rsid w:val="00344011"/>
    <w:rsid w:val="00344721"/>
    <w:rsid w:val="00345C6C"/>
    <w:rsid w:val="003464A4"/>
    <w:rsid w:val="0034719C"/>
    <w:rsid w:val="00351684"/>
    <w:rsid w:val="0035231C"/>
    <w:rsid w:val="00352FA5"/>
    <w:rsid w:val="00354458"/>
    <w:rsid w:val="00354CBD"/>
    <w:rsid w:val="0035535E"/>
    <w:rsid w:val="00355790"/>
    <w:rsid w:val="00355C5E"/>
    <w:rsid w:val="00357131"/>
    <w:rsid w:val="00357645"/>
    <w:rsid w:val="003606A7"/>
    <w:rsid w:val="00361C3A"/>
    <w:rsid w:val="00361D42"/>
    <w:rsid w:val="00363653"/>
    <w:rsid w:val="00363D44"/>
    <w:rsid w:val="003646B9"/>
    <w:rsid w:val="00364DAD"/>
    <w:rsid w:val="0036509D"/>
    <w:rsid w:val="00367BA4"/>
    <w:rsid w:val="00367BDF"/>
    <w:rsid w:val="00370606"/>
    <w:rsid w:val="00371E7C"/>
    <w:rsid w:val="0037228C"/>
    <w:rsid w:val="00373140"/>
    <w:rsid w:val="003736E2"/>
    <w:rsid w:val="003738FD"/>
    <w:rsid w:val="003769D9"/>
    <w:rsid w:val="00381032"/>
    <w:rsid w:val="003810BE"/>
    <w:rsid w:val="00382588"/>
    <w:rsid w:val="00383C42"/>
    <w:rsid w:val="003841AF"/>
    <w:rsid w:val="00384462"/>
    <w:rsid w:val="0038463B"/>
    <w:rsid w:val="00386F6C"/>
    <w:rsid w:val="00387709"/>
    <w:rsid w:val="00387794"/>
    <w:rsid w:val="003901CD"/>
    <w:rsid w:val="0039077F"/>
    <w:rsid w:val="00390A83"/>
    <w:rsid w:val="0039394F"/>
    <w:rsid w:val="00394209"/>
    <w:rsid w:val="00394D35"/>
    <w:rsid w:val="0039626F"/>
    <w:rsid w:val="00397162"/>
    <w:rsid w:val="003975BE"/>
    <w:rsid w:val="003A0421"/>
    <w:rsid w:val="003A115E"/>
    <w:rsid w:val="003A329F"/>
    <w:rsid w:val="003A335E"/>
    <w:rsid w:val="003A382C"/>
    <w:rsid w:val="003A3C18"/>
    <w:rsid w:val="003A3DD2"/>
    <w:rsid w:val="003A5254"/>
    <w:rsid w:val="003B00CD"/>
    <w:rsid w:val="003B04FB"/>
    <w:rsid w:val="003B1052"/>
    <w:rsid w:val="003B1212"/>
    <w:rsid w:val="003B1D64"/>
    <w:rsid w:val="003B2F9F"/>
    <w:rsid w:val="003B3573"/>
    <w:rsid w:val="003B4056"/>
    <w:rsid w:val="003B4CAB"/>
    <w:rsid w:val="003B5813"/>
    <w:rsid w:val="003B687E"/>
    <w:rsid w:val="003C03EA"/>
    <w:rsid w:val="003C0D5C"/>
    <w:rsid w:val="003C1366"/>
    <w:rsid w:val="003C158A"/>
    <w:rsid w:val="003C196B"/>
    <w:rsid w:val="003C2F56"/>
    <w:rsid w:val="003C33DA"/>
    <w:rsid w:val="003C3952"/>
    <w:rsid w:val="003C42D1"/>
    <w:rsid w:val="003C45A1"/>
    <w:rsid w:val="003C5C9A"/>
    <w:rsid w:val="003C5D6F"/>
    <w:rsid w:val="003C6028"/>
    <w:rsid w:val="003C6E1D"/>
    <w:rsid w:val="003D058C"/>
    <w:rsid w:val="003D0BFE"/>
    <w:rsid w:val="003D27ED"/>
    <w:rsid w:val="003D318C"/>
    <w:rsid w:val="003D4B42"/>
    <w:rsid w:val="003D65B4"/>
    <w:rsid w:val="003D76B1"/>
    <w:rsid w:val="003E17A6"/>
    <w:rsid w:val="003E2760"/>
    <w:rsid w:val="003E3655"/>
    <w:rsid w:val="003E494A"/>
    <w:rsid w:val="003E4AA5"/>
    <w:rsid w:val="003E4B5F"/>
    <w:rsid w:val="003E4C01"/>
    <w:rsid w:val="003E4DCD"/>
    <w:rsid w:val="003E5DFC"/>
    <w:rsid w:val="003E5F52"/>
    <w:rsid w:val="003E6EC3"/>
    <w:rsid w:val="003E76C2"/>
    <w:rsid w:val="003F02F7"/>
    <w:rsid w:val="003F1CEC"/>
    <w:rsid w:val="003F43BF"/>
    <w:rsid w:val="003F4C39"/>
    <w:rsid w:val="003F5FA6"/>
    <w:rsid w:val="003F62EF"/>
    <w:rsid w:val="003F6432"/>
    <w:rsid w:val="003F6BE4"/>
    <w:rsid w:val="004002C1"/>
    <w:rsid w:val="00400FFE"/>
    <w:rsid w:val="0040161A"/>
    <w:rsid w:val="00403494"/>
    <w:rsid w:val="00403CF8"/>
    <w:rsid w:val="00403DD4"/>
    <w:rsid w:val="00405911"/>
    <w:rsid w:val="00405DB3"/>
    <w:rsid w:val="0040621D"/>
    <w:rsid w:val="004062F4"/>
    <w:rsid w:val="004069E9"/>
    <w:rsid w:val="00407459"/>
    <w:rsid w:val="00407F5E"/>
    <w:rsid w:val="00410B37"/>
    <w:rsid w:val="00412980"/>
    <w:rsid w:val="00412FBA"/>
    <w:rsid w:val="0041331B"/>
    <w:rsid w:val="0041353A"/>
    <w:rsid w:val="0041396D"/>
    <w:rsid w:val="00413BBA"/>
    <w:rsid w:val="00413D5D"/>
    <w:rsid w:val="00414D01"/>
    <w:rsid w:val="00416342"/>
    <w:rsid w:val="0041650C"/>
    <w:rsid w:val="004170FE"/>
    <w:rsid w:val="0041768E"/>
    <w:rsid w:val="00417A7A"/>
    <w:rsid w:val="00420759"/>
    <w:rsid w:val="0042091A"/>
    <w:rsid w:val="004209E6"/>
    <w:rsid w:val="00420C6D"/>
    <w:rsid w:val="004218FF"/>
    <w:rsid w:val="0042264C"/>
    <w:rsid w:val="0042324B"/>
    <w:rsid w:val="004234E8"/>
    <w:rsid w:val="004240CE"/>
    <w:rsid w:val="00424A62"/>
    <w:rsid w:val="0042557D"/>
    <w:rsid w:val="00425BFF"/>
    <w:rsid w:val="00425EA0"/>
    <w:rsid w:val="00426805"/>
    <w:rsid w:val="00427735"/>
    <w:rsid w:val="00427A66"/>
    <w:rsid w:val="00427C48"/>
    <w:rsid w:val="00427D24"/>
    <w:rsid w:val="00430150"/>
    <w:rsid w:val="004302F9"/>
    <w:rsid w:val="00430F3D"/>
    <w:rsid w:val="00431040"/>
    <w:rsid w:val="00431841"/>
    <w:rsid w:val="0043229B"/>
    <w:rsid w:val="00433430"/>
    <w:rsid w:val="00435287"/>
    <w:rsid w:val="004367EF"/>
    <w:rsid w:val="00440A22"/>
    <w:rsid w:val="00441869"/>
    <w:rsid w:val="004424B9"/>
    <w:rsid w:val="00442B9E"/>
    <w:rsid w:val="00442BB0"/>
    <w:rsid w:val="00442CCA"/>
    <w:rsid w:val="00444647"/>
    <w:rsid w:val="004453CC"/>
    <w:rsid w:val="00445D5B"/>
    <w:rsid w:val="00451D8B"/>
    <w:rsid w:val="00452F78"/>
    <w:rsid w:val="00454323"/>
    <w:rsid w:val="0045550E"/>
    <w:rsid w:val="00455A3A"/>
    <w:rsid w:val="00455B72"/>
    <w:rsid w:val="00456456"/>
    <w:rsid w:val="00456635"/>
    <w:rsid w:val="00462367"/>
    <w:rsid w:val="0046490C"/>
    <w:rsid w:val="00464D2F"/>
    <w:rsid w:val="00466BD9"/>
    <w:rsid w:val="00470287"/>
    <w:rsid w:val="0047058E"/>
    <w:rsid w:val="0047072D"/>
    <w:rsid w:val="00470733"/>
    <w:rsid w:val="00470DDE"/>
    <w:rsid w:val="00472444"/>
    <w:rsid w:val="00472474"/>
    <w:rsid w:val="00473AEF"/>
    <w:rsid w:val="0047488F"/>
    <w:rsid w:val="00475573"/>
    <w:rsid w:val="0047763B"/>
    <w:rsid w:val="004778A8"/>
    <w:rsid w:val="00477C53"/>
    <w:rsid w:val="00480605"/>
    <w:rsid w:val="004817F5"/>
    <w:rsid w:val="0048250E"/>
    <w:rsid w:val="00482AB6"/>
    <w:rsid w:val="00483F6E"/>
    <w:rsid w:val="00484B18"/>
    <w:rsid w:val="00485380"/>
    <w:rsid w:val="004915B9"/>
    <w:rsid w:val="00491AA4"/>
    <w:rsid w:val="004921A5"/>
    <w:rsid w:val="004925C6"/>
    <w:rsid w:val="00492ACD"/>
    <w:rsid w:val="004935CF"/>
    <w:rsid w:val="00493D87"/>
    <w:rsid w:val="00494E62"/>
    <w:rsid w:val="004950D4"/>
    <w:rsid w:val="0049688A"/>
    <w:rsid w:val="004A0506"/>
    <w:rsid w:val="004A153E"/>
    <w:rsid w:val="004A1DEB"/>
    <w:rsid w:val="004A2342"/>
    <w:rsid w:val="004A2F4D"/>
    <w:rsid w:val="004A2F62"/>
    <w:rsid w:val="004A39D5"/>
    <w:rsid w:val="004A3B35"/>
    <w:rsid w:val="004A4FF2"/>
    <w:rsid w:val="004A506D"/>
    <w:rsid w:val="004A7368"/>
    <w:rsid w:val="004A7734"/>
    <w:rsid w:val="004B044B"/>
    <w:rsid w:val="004B0550"/>
    <w:rsid w:val="004B0577"/>
    <w:rsid w:val="004B1465"/>
    <w:rsid w:val="004B1D69"/>
    <w:rsid w:val="004B1DB8"/>
    <w:rsid w:val="004B2F01"/>
    <w:rsid w:val="004B35F2"/>
    <w:rsid w:val="004B4182"/>
    <w:rsid w:val="004B443C"/>
    <w:rsid w:val="004B4538"/>
    <w:rsid w:val="004B49BD"/>
    <w:rsid w:val="004B4EC7"/>
    <w:rsid w:val="004B503B"/>
    <w:rsid w:val="004B54F5"/>
    <w:rsid w:val="004B61BA"/>
    <w:rsid w:val="004B6FB6"/>
    <w:rsid w:val="004B701D"/>
    <w:rsid w:val="004C10C3"/>
    <w:rsid w:val="004C3423"/>
    <w:rsid w:val="004C4818"/>
    <w:rsid w:val="004C571D"/>
    <w:rsid w:val="004C5885"/>
    <w:rsid w:val="004C5B15"/>
    <w:rsid w:val="004C6B49"/>
    <w:rsid w:val="004D2232"/>
    <w:rsid w:val="004D2AF1"/>
    <w:rsid w:val="004D35A2"/>
    <w:rsid w:val="004D3E9C"/>
    <w:rsid w:val="004D5415"/>
    <w:rsid w:val="004D5FD1"/>
    <w:rsid w:val="004D6622"/>
    <w:rsid w:val="004D6DA4"/>
    <w:rsid w:val="004D7282"/>
    <w:rsid w:val="004D7501"/>
    <w:rsid w:val="004D7828"/>
    <w:rsid w:val="004E0375"/>
    <w:rsid w:val="004E173B"/>
    <w:rsid w:val="004E1A08"/>
    <w:rsid w:val="004E2523"/>
    <w:rsid w:val="004E4A7D"/>
    <w:rsid w:val="004E6EFC"/>
    <w:rsid w:val="004F0845"/>
    <w:rsid w:val="004F21F7"/>
    <w:rsid w:val="004F2257"/>
    <w:rsid w:val="004F252C"/>
    <w:rsid w:val="004F50C8"/>
    <w:rsid w:val="004F550C"/>
    <w:rsid w:val="004F5670"/>
    <w:rsid w:val="004F6313"/>
    <w:rsid w:val="004F6B40"/>
    <w:rsid w:val="004F7962"/>
    <w:rsid w:val="004F7C93"/>
    <w:rsid w:val="004F7D75"/>
    <w:rsid w:val="00500AE3"/>
    <w:rsid w:val="00502AAC"/>
    <w:rsid w:val="00504162"/>
    <w:rsid w:val="00506105"/>
    <w:rsid w:val="005063A6"/>
    <w:rsid w:val="00506AA4"/>
    <w:rsid w:val="00511918"/>
    <w:rsid w:val="00512C0A"/>
    <w:rsid w:val="00512D73"/>
    <w:rsid w:val="0051314A"/>
    <w:rsid w:val="00513162"/>
    <w:rsid w:val="00514465"/>
    <w:rsid w:val="00515D95"/>
    <w:rsid w:val="005164EF"/>
    <w:rsid w:val="00516BBC"/>
    <w:rsid w:val="005174D6"/>
    <w:rsid w:val="005174F3"/>
    <w:rsid w:val="005205B0"/>
    <w:rsid w:val="00520AF3"/>
    <w:rsid w:val="00520F8C"/>
    <w:rsid w:val="005217D5"/>
    <w:rsid w:val="00523DC0"/>
    <w:rsid w:val="00524A0B"/>
    <w:rsid w:val="00524B48"/>
    <w:rsid w:val="00525809"/>
    <w:rsid w:val="005272BD"/>
    <w:rsid w:val="00527EE8"/>
    <w:rsid w:val="005344D8"/>
    <w:rsid w:val="00535130"/>
    <w:rsid w:val="00537302"/>
    <w:rsid w:val="00537723"/>
    <w:rsid w:val="00540533"/>
    <w:rsid w:val="00541E7A"/>
    <w:rsid w:val="005422AA"/>
    <w:rsid w:val="00543AF5"/>
    <w:rsid w:val="00543D5A"/>
    <w:rsid w:val="00543EBD"/>
    <w:rsid w:val="00544235"/>
    <w:rsid w:val="0054433D"/>
    <w:rsid w:val="0054497E"/>
    <w:rsid w:val="0054536D"/>
    <w:rsid w:val="00545473"/>
    <w:rsid w:val="005509AF"/>
    <w:rsid w:val="00550A13"/>
    <w:rsid w:val="005510FC"/>
    <w:rsid w:val="00551402"/>
    <w:rsid w:val="00551BB3"/>
    <w:rsid w:val="00553215"/>
    <w:rsid w:val="00555509"/>
    <w:rsid w:val="00555618"/>
    <w:rsid w:val="00555BFA"/>
    <w:rsid w:val="00556CBD"/>
    <w:rsid w:val="00557276"/>
    <w:rsid w:val="00561C5B"/>
    <w:rsid w:val="00562674"/>
    <w:rsid w:val="00562B58"/>
    <w:rsid w:val="00564749"/>
    <w:rsid w:val="00564F2D"/>
    <w:rsid w:val="0056595C"/>
    <w:rsid w:val="005660FB"/>
    <w:rsid w:val="00566186"/>
    <w:rsid w:val="00566CDA"/>
    <w:rsid w:val="0056727E"/>
    <w:rsid w:val="00567BA6"/>
    <w:rsid w:val="00570033"/>
    <w:rsid w:val="00570147"/>
    <w:rsid w:val="00570DE6"/>
    <w:rsid w:val="005720F4"/>
    <w:rsid w:val="005725DB"/>
    <w:rsid w:val="00572F7A"/>
    <w:rsid w:val="0057307E"/>
    <w:rsid w:val="00573A4C"/>
    <w:rsid w:val="00574965"/>
    <w:rsid w:val="00574B79"/>
    <w:rsid w:val="00574D12"/>
    <w:rsid w:val="005759FA"/>
    <w:rsid w:val="00577A16"/>
    <w:rsid w:val="0058009A"/>
    <w:rsid w:val="005800B4"/>
    <w:rsid w:val="0058070B"/>
    <w:rsid w:val="005809E0"/>
    <w:rsid w:val="0058188F"/>
    <w:rsid w:val="0058296F"/>
    <w:rsid w:val="00582C83"/>
    <w:rsid w:val="00583A34"/>
    <w:rsid w:val="00583F3D"/>
    <w:rsid w:val="00584E6A"/>
    <w:rsid w:val="00586731"/>
    <w:rsid w:val="00586A70"/>
    <w:rsid w:val="005903E9"/>
    <w:rsid w:val="00595CAF"/>
    <w:rsid w:val="00595E80"/>
    <w:rsid w:val="005964AD"/>
    <w:rsid w:val="0059650E"/>
    <w:rsid w:val="00596953"/>
    <w:rsid w:val="00597D70"/>
    <w:rsid w:val="005A05B1"/>
    <w:rsid w:val="005A0C13"/>
    <w:rsid w:val="005A1CBE"/>
    <w:rsid w:val="005A1D52"/>
    <w:rsid w:val="005A2FD2"/>
    <w:rsid w:val="005A306D"/>
    <w:rsid w:val="005A4C9D"/>
    <w:rsid w:val="005A4EAE"/>
    <w:rsid w:val="005A5449"/>
    <w:rsid w:val="005A5599"/>
    <w:rsid w:val="005A6030"/>
    <w:rsid w:val="005A63AE"/>
    <w:rsid w:val="005A7D1C"/>
    <w:rsid w:val="005B18E8"/>
    <w:rsid w:val="005B1D44"/>
    <w:rsid w:val="005B3576"/>
    <w:rsid w:val="005B3CE6"/>
    <w:rsid w:val="005B3ED8"/>
    <w:rsid w:val="005B4A3B"/>
    <w:rsid w:val="005B4F45"/>
    <w:rsid w:val="005B552E"/>
    <w:rsid w:val="005B57AD"/>
    <w:rsid w:val="005B722E"/>
    <w:rsid w:val="005B730B"/>
    <w:rsid w:val="005C02FE"/>
    <w:rsid w:val="005C0F7C"/>
    <w:rsid w:val="005C0FB4"/>
    <w:rsid w:val="005C1625"/>
    <w:rsid w:val="005C208F"/>
    <w:rsid w:val="005C2B64"/>
    <w:rsid w:val="005C31B6"/>
    <w:rsid w:val="005C39CA"/>
    <w:rsid w:val="005C45A2"/>
    <w:rsid w:val="005C50AC"/>
    <w:rsid w:val="005C5EDC"/>
    <w:rsid w:val="005C6406"/>
    <w:rsid w:val="005D0415"/>
    <w:rsid w:val="005D0F2E"/>
    <w:rsid w:val="005D1423"/>
    <w:rsid w:val="005D2DFB"/>
    <w:rsid w:val="005D35FB"/>
    <w:rsid w:val="005D3728"/>
    <w:rsid w:val="005D4712"/>
    <w:rsid w:val="005D482E"/>
    <w:rsid w:val="005D487C"/>
    <w:rsid w:val="005D52DA"/>
    <w:rsid w:val="005D665C"/>
    <w:rsid w:val="005D69D1"/>
    <w:rsid w:val="005D76CE"/>
    <w:rsid w:val="005E0572"/>
    <w:rsid w:val="005E08F2"/>
    <w:rsid w:val="005E210D"/>
    <w:rsid w:val="005E41B6"/>
    <w:rsid w:val="005E5687"/>
    <w:rsid w:val="005E65DA"/>
    <w:rsid w:val="005E6C0D"/>
    <w:rsid w:val="005F046A"/>
    <w:rsid w:val="005F0CC5"/>
    <w:rsid w:val="005F2425"/>
    <w:rsid w:val="005F27BE"/>
    <w:rsid w:val="005F3931"/>
    <w:rsid w:val="005F3A0D"/>
    <w:rsid w:val="005F3E5A"/>
    <w:rsid w:val="005F42EC"/>
    <w:rsid w:val="005F4C4B"/>
    <w:rsid w:val="005F5EC7"/>
    <w:rsid w:val="005F7207"/>
    <w:rsid w:val="005F7FCF"/>
    <w:rsid w:val="0060011B"/>
    <w:rsid w:val="0060216C"/>
    <w:rsid w:val="00603A53"/>
    <w:rsid w:val="00603D03"/>
    <w:rsid w:val="00603FF8"/>
    <w:rsid w:val="0060583B"/>
    <w:rsid w:val="00607691"/>
    <w:rsid w:val="006101C9"/>
    <w:rsid w:val="0061062C"/>
    <w:rsid w:val="00611716"/>
    <w:rsid w:val="00612DE2"/>
    <w:rsid w:val="00613183"/>
    <w:rsid w:val="006133F0"/>
    <w:rsid w:val="00616888"/>
    <w:rsid w:val="006176BE"/>
    <w:rsid w:val="00617780"/>
    <w:rsid w:val="00617C38"/>
    <w:rsid w:val="006200D2"/>
    <w:rsid w:val="006206B2"/>
    <w:rsid w:val="006212CB"/>
    <w:rsid w:val="00621CC3"/>
    <w:rsid w:val="00623756"/>
    <w:rsid w:val="006249D7"/>
    <w:rsid w:val="006279F9"/>
    <w:rsid w:val="00627AB9"/>
    <w:rsid w:val="00627E71"/>
    <w:rsid w:val="006310CB"/>
    <w:rsid w:val="00631726"/>
    <w:rsid w:val="0063188A"/>
    <w:rsid w:val="00631BFD"/>
    <w:rsid w:val="006369EE"/>
    <w:rsid w:val="006375F8"/>
    <w:rsid w:val="00637653"/>
    <w:rsid w:val="00640A31"/>
    <w:rsid w:val="0064163F"/>
    <w:rsid w:val="0064700E"/>
    <w:rsid w:val="00647395"/>
    <w:rsid w:val="006475D6"/>
    <w:rsid w:val="00650183"/>
    <w:rsid w:val="00650677"/>
    <w:rsid w:val="00654208"/>
    <w:rsid w:val="00655247"/>
    <w:rsid w:val="006556FD"/>
    <w:rsid w:val="00655D5D"/>
    <w:rsid w:val="00657BCD"/>
    <w:rsid w:val="00657F21"/>
    <w:rsid w:val="006603F3"/>
    <w:rsid w:val="00661725"/>
    <w:rsid w:val="00661E7D"/>
    <w:rsid w:val="00663402"/>
    <w:rsid w:val="006636CF"/>
    <w:rsid w:val="0066476A"/>
    <w:rsid w:val="00664DE6"/>
    <w:rsid w:val="006674E0"/>
    <w:rsid w:val="00670B44"/>
    <w:rsid w:val="00671AD4"/>
    <w:rsid w:val="0067263F"/>
    <w:rsid w:val="00672880"/>
    <w:rsid w:val="006736A9"/>
    <w:rsid w:val="00673BC7"/>
    <w:rsid w:val="006740AC"/>
    <w:rsid w:val="006742C9"/>
    <w:rsid w:val="00674975"/>
    <w:rsid w:val="00675B61"/>
    <w:rsid w:val="00675D39"/>
    <w:rsid w:val="006761BC"/>
    <w:rsid w:val="00676A4C"/>
    <w:rsid w:val="006770BE"/>
    <w:rsid w:val="006812B8"/>
    <w:rsid w:val="00683192"/>
    <w:rsid w:val="00683603"/>
    <w:rsid w:val="00683931"/>
    <w:rsid w:val="0068560B"/>
    <w:rsid w:val="0068757F"/>
    <w:rsid w:val="00692AC6"/>
    <w:rsid w:val="00694017"/>
    <w:rsid w:val="00694361"/>
    <w:rsid w:val="0069454B"/>
    <w:rsid w:val="00695262"/>
    <w:rsid w:val="0069550F"/>
    <w:rsid w:val="006964AC"/>
    <w:rsid w:val="006968D8"/>
    <w:rsid w:val="00697890"/>
    <w:rsid w:val="006A1277"/>
    <w:rsid w:val="006A1C03"/>
    <w:rsid w:val="006A2602"/>
    <w:rsid w:val="006A2D41"/>
    <w:rsid w:val="006A3339"/>
    <w:rsid w:val="006A3944"/>
    <w:rsid w:val="006A3E7E"/>
    <w:rsid w:val="006A4524"/>
    <w:rsid w:val="006A47D1"/>
    <w:rsid w:val="006A62AF"/>
    <w:rsid w:val="006A63EC"/>
    <w:rsid w:val="006A67E1"/>
    <w:rsid w:val="006A7D22"/>
    <w:rsid w:val="006B22C5"/>
    <w:rsid w:val="006B3476"/>
    <w:rsid w:val="006B3A73"/>
    <w:rsid w:val="006B53C7"/>
    <w:rsid w:val="006B54AD"/>
    <w:rsid w:val="006B7EB7"/>
    <w:rsid w:val="006C1161"/>
    <w:rsid w:val="006C36FB"/>
    <w:rsid w:val="006C7D62"/>
    <w:rsid w:val="006D0B23"/>
    <w:rsid w:val="006D1A97"/>
    <w:rsid w:val="006D2613"/>
    <w:rsid w:val="006D2ED6"/>
    <w:rsid w:val="006D31F2"/>
    <w:rsid w:val="006D3802"/>
    <w:rsid w:val="006D557F"/>
    <w:rsid w:val="006D5685"/>
    <w:rsid w:val="006D5CAB"/>
    <w:rsid w:val="006D7808"/>
    <w:rsid w:val="006D788A"/>
    <w:rsid w:val="006D7ADF"/>
    <w:rsid w:val="006E17CB"/>
    <w:rsid w:val="006E1987"/>
    <w:rsid w:val="006E23B2"/>
    <w:rsid w:val="006E2587"/>
    <w:rsid w:val="006E3186"/>
    <w:rsid w:val="006E3E18"/>
    <w:rsid w:val="006E3F24"/>
    <w:rsid w:val="006E4546"/>
    <w:rsid w:val="006E47E5"/>
    <w:rsid w:val="006E497B"/>
    <w:rsid w:val="006E5207"/>
    <w:rsid w:val="006E6450"/>
    <w:rsid w:val="006E6458"/>
    <w:rsid w:val="006F0D52"/>
    <w:rsid w:val="006F1AB3"/>
    <w:rsid w:val="006F1D1F"/>
    <w:rsid w:val="006F22B2"/>
    <w:rsid w:val="006F231C"/>
    <w:rsid w:val="006F2A4B"/>
    <w:rsid w:val="006F2BE7"/>
    <w:rsid w:val="006F3A12"/>
    <w:rsid w:val="006F4256"/>
    <w:rsid w:val="006F591D"/>
    <w:rsid w:val="006F5C60"/>
    <w:rsid w:val="006F5C70"/>
    <w:rsid w:val="006F66AB"/>
    <w:rsid w:val="006F6A20"/>
    <w:rsid w:val="0070115B"/>
    <w:rsid w:val="007011BF"/>
    <w:rsid w:val="00702AFF"/>
    <w:rsid w:val="00702BAF"/>
    <w:rsid w:val="00703449"/>
    <w:rsid w:val="0070415D"/>
    <w:rsid w:val="007042C6"/>
    <w:rsid w:val="007047B2"/>
    <w:rsid w:val="00704A8B"/>
    <w:rsid w:val="00704DE7"/>
    <w:rsid w:val="00705F28"/>
    <w:rsid w:val="00706868"/>
    <w:rsid w:val="00706B38"/>
    <w:rsid w:val="007078B8"/>
    <w:rsid w:val="00710FCC"/>
    <w:rsid w:val="00713099"/>
    <w:rsid w:val="0071401C"/>
    <w:rsid w:val="00714D35"/>
    <w:rsid w:val="00714F90"/>
    <w:rsid w:val="00715BD5"/>
    <w:rsid w:val="00715E32"/>
    <w:rsid w:val="007162D1"/>
    <w:rsid w:val="00716463"/>
    <w:rsid w:val="00716A47"/>
    <w:rsid w:val="0071706E"/>
    <w:rsid w:val="00717B65"/>
    <w:rsid w:val="007221C6"/>
    <w:rsid w:val="0072287B"/>
    <w:rsid w:val="00722C6C"/>
    <w:rsid w:val="0072368F"/>
    <w:rsid w:val="007237DF"/>
    <w:rsid w:val="0072452F"/>
    <w:rsid w:val="00724E94"/>
    <w:rsid w:val="007251ED"/>
    <w:rsid w:val="00727292"/>
    <w:rsid w:val="00730AB8"/>
    <w:rsid w:val="00733BCB"/>
    <w:rsid w:val="00733EBB"/>
    <w:rsid w:val="0073427D"/>
    <w:rsid w:val="0073537F"/>
    <w:rsid w:val="00736D0B"/>
    <w:rsid w:val="00736DA0"/>
    <w:rsid w:val="00737794"/>
    <w:rsid w:val="0073780F"/>
    <w:rsid w:val="00740876"/>
    <w:rsid w:val="00741ED1"/>
    <w:rsid w:val="0074203A"/>
    <w:rsid w:val="00742F6A"/>
    <w:rsid w:val="007446E8"/>
    <w:rsid w:val="007457CA"/>
    <w:rsid w:val="00746564"/>
    <w:rsid w:val="00746B81"/>
    <w:rsid w:val="0075056E"/>
    <w:rsid w:val="00750B52"/>
    <w:rsid w:val="00751441"/>
    <w:rsid w:val="00751553"/>
    <w:rsid w:val="0075165E"/>
    <w:rsid w:val="00751965"/>
    <w:rsid w:val="0075499D"/>
    <w:rsid w:val="00754E10"/>
    <w:rsid w:val="0075796B"/>
    <w:rsid w:val="00761614"/>
    <w:rsid w:val="007618A7"/>
    <w:rsid w:val="00762A29"/>
    <w:rsid w:val="00762CCA"/>
    <w:rsid w:val="0076327D"/>
    <w:rsid w:val="00766047"/>
    <w:rsid w:val="0076645A"/>
    <w:rsid w:val="00767070"/>
    <w:rsid w:val="00767745"/>
    <w:rsid w:val="00767AA2"/>
    <w:rsid w:val="007707FC"/>
    <w:rsid w:val="00770BE3"/>
    <w:rsid w:val="00770EBC"/>
    <w:rsid w:val="0077177A"/>
    <w:rsid w:val="007728A8"/>
    <w:rsid w:val="00772E05"/>
    <w:rsid w:val="007746AF"/>
    <w:rsid w:val="00775794"/>
    <w:rsid w:val="00775B81"/>
    <w:rsid w:val="00777869"/>
    <w:rsid w:val="00777E8F"/>
    <w:rsid w:val="00780260"/>
    <w:rsid w:val="00781A09"/>
    <w:rsid w:val="00781F2B"/>
    <w:rsid w:val="007825F1"/>
    <w:rsid w:val="00784CBA"/>
    <w:rsid w:val="00785832"/>
    <w:rsid w:val="00785A76"/>
    <w:rsid w:val="00787852"/>
    <w:rsid w:val="00787D6A"/>
    <w:rsid w:val="00790DB8"/>
    <w:rsid w:val="007915BC"/>
    <w:rsid w:val="0079209A"/>
    <w:rsid w:val="00793245"/>
    <w:rsid w:val="00793626"/>
    <w:rsid w:val="00793908"/>
    <w:rsid w:val="00793D68"/>
    <w:rsid w:val="0079450B"/>
    <w:rsid w:val="0079471E"/>
    <w:rsid w:val="0079472A"/>
    <w:rsid w:val="007947DB"/>
    <w:rsid w:val="00794832"/>
    <w:rsid w:val="00795333"/>
    <w:rsid w:val="0079554E"/>
    <w:rsid w:val="00795BEE"/>
    <w:rsid w:val="00796089"/>
    <w:rsid w:val="007967FA"/>
    <w:rsid w:val="00796886"/>
    <w:rsid w:val="00796A87"/>
    <w:rsid w:val="00796D89"/>
    <w:rsid w:val="007975D8"/>
    <w:rsid w:val="00797E7A"/>
    <w:rsid w:val="007A0EA6"/>
    <w:rsid w:val="007A2177"/>
    <w:rsid w:val="007A2D9E"/>
    <w:rsid w:val="007A4F10"/>
    <w:rsid w:val="007A55CE"/>
    <w:rsid w:val="007A56E6"/>
    <w:rsid w:val="007A640F"/>
    <w:rsid w:val="007A6732"/>
    <w:rsid w:val="007A7B89"/>
    <w:rsid w:val="007B0381"/>
    <w:rsid w:val="007B0F3D"/>
    <w:rsid w:val="007B148D"/>
    <w:rsid w:val="007B18C8"/>
    <w:rsid w:val="007B2627"/>
    <w:rsid w:val="007B28DE"/>
    <w:rsid w:val="007B38E6"/>
    <w:rsid w:val="007B63FD"/>
    <w:rsid w:val="007B7163"/>
    <w:rsid w:val="007B7A5F"/>
    <w:rsid w:val="007C1046"/>
    <w:rsid w:val="007C19C2"/>
    <w:rsid w:val="007C1D39"/>
    <w:rsid w:val="007C2180"/>
    <w:rsid w:val="007C3208"/>
    <w:rsid w:val="007C36BE"/>
    <w:rsid w:val="007C5C0C"/>
    <w:rsid w:val="007C64A7"/>
    <w:rsid w:val="007C6CA5"/>
    <w:rsid w:val="007C6D74"/>
    <w:rsid w:val="007D302F"/>
    <w:rsid w:val="007D4F1A"/>
    <w:rsid w:val="007D53ED"/>
    <w:rsid w:val="007D5CD1"/>
    <w:rsid w:val="007D6001"/>
    <w:rsid w:val="007D68B8"/>
    <w:rsid w:val="007D7F94"/>
    <w:rsid w:val="007E19E0"/>
    <w:rsid w:val="007E1A33"/>
    <w:rsid w:val="007E1B76"/>
    <w:rsid w:val="007E2185"/>
    <w:rsid w:val="007E219A"/>
    <w:rsid w:val="007E323B"/>
    <w:rsid w:val="007E37BF"/>
    <w:rsid w:val="007E3B01"/>
    <w:rsid w:val="007E5CE8"/>
    <w:rsid w:val="007E6593"/>
    <w:rsid w:val="007F034F"/>
    <w:rsid w:val="007F078F"/>
    <w:rsid w:val="007F0D39"/>
    <w:rsid w:val="007F1101"/>
    <w:rsid w:val="007F1518"/>
    <w:rsid w:val="007F1CB6"/>
    <w:rsid w:val="007F259D"/>
    <w:rsid w:val="007F2CB1"/>
    <w:rsid w:val="007F3E80"/>
    <w:rsid w:val="007F413F"/>
    <w:rsid w:val="007F4190"/>
    <w:rsid w:val="007F5C6B"/>
    <w:rsid w:val="007F6E01"/>
    <w:rsid w:val="0080058B"/>
    <w:rsid w:val="008024F6"/>
    <w:rsid w:val="008037CE"/>
    <w:rsid w:val="00803D20"/>
    <w:rsid w:val="00803E23"/>
    <w:rsid w:val="00804B13"/>
    <w:rsid w:val="008054AB"/>
    <w:rsid w:val="00805508"/>
    <w:rsid w:val="00810121"/>
    <w:rsid w:val="008112A0"/>
    <w:rsid w:val="00812D02"/>
    <w:rsid w:val="0081488B"/>
    <w:rsid w:val="00814B3C"/>
    <w:rsid w:val="008153A1"/>
    <w:rsid w:val="008159D2"/>
    <w:rsid w:val="00815CA1"/>
    <w:rsid w:val="0081696D"/>
    <w:rsid w:val="00816E01"/>
    <w:rsid w:val="0081737C"/>
    <w:rsid w:val="008173D0"/>
    <w:rsid w:val="00817539"/>
    <w:rsid w:val="0081770A"/>
    <w:rsid w:val="008216C4"/>
    <w:rsid w:val="00822785"/>
    <w:rsid w:val="00822A90"/>
    <w:rsid w:val="00823235"/>
    <w:rsid w:val="00823273"/>
    <w:rsid w:val="00823351"/>
    <w:rsid w:val="0082467B"/>
    <w:rsid w:val="008249F1"/>
    <w:rsid w:val="00824AF2"/>
    <w:rsid w:val="00824C66"/>
    <w:rsid w:val="008260B8"/>
    <w:rsid w:val="00826686"/>
    <w:rsid w:val="00827C83"/>
    <w:rsid w:val="00830069"/>
    <w:rsid w:val="00830BB7"/>
    <w:rsid w:val="008319D5"/>
    <w:rsid w:val="00831C7F"/>
    <w:rsid w:val="00835273"/>
    <w:rsid w:val="008353A9"/>
    <w:rsid w:val="00835563"/>
    <w:rsid w:val="008363A5"/>
    <w:rsid w:val="00836511"/>
    <w:rsid w:val="00836B02"/>
    <w:rsid w:val="00836EC6"/>
    <w:rsid w:val="0083741E"/>
    <w:rsid w:val="00837985"/>
    <w:rsid w:val="0084081A"/>
    <w:rsid w:val="00840E3D"/>
    <w:rsid w:val="008412B2"/>
    <w:rsid w:val="00841C2E"/>
    <w:rsid w:val="00841D8C"/>
    <w:rsid w:val="00842220"/>
    <w:rsid w:val="00842D5F"/>
    <w:rsid w:val="00842F8E"/>
    <w:rsid w:val="00843198"/>
    <w:rsid w:val="008433A0"/>
    <w:rsid w:val="00844111"/>
    <w:rsid w:val="00844F74"/>
    <w:rsid w:val="00846382"/>
    <w:rsid w:val="008502B8"/>
    <w:rsid w:val="00850F57"/>
    <w:rsid w:val="008512F4"/>
    <w:rsid w:val="00852474"/>
    <w:rsid w:val="0085260E"/>
    <w:rsid w:val="008528C2"/>
    <w:rsid w:val="008536C2"/>
    <w:rsid w:val="00854F87"/>
    <w:rsid w:val="0085538E"/>
    <w:rsid w:val="008574A7"/>
    <w:rsid w:val="00857AB7"/>
    <w:rsid w:val="00857D24"/>
    <w:rsid w:val="008600C7"/>
    <w:rsid w:val="008617D0"/>
    <w:rsid w:val="00861A60"/>
    <w:rsid w:val="00861A9E"/>
    <w:rsid w:val="00862357"/>
    <w:rsid w:val="00862D02"/>
    <w:rsid w:val="008637B9"/>
    <w:rsid w:val="00863BB0"/>
    <w:rsid w:val="0086415E"/>
    <w:rsid w:val="00864194"/>
    <w:rsid w:val="00864AF8"/>
    <w:rsid w:val="00867048"/>
    <w:rsid w:val="00870399"/>
    <w:rsid w:val="008704BA"/>
    <w:rsid w:val="0087057C"/>
    <w:rsid w:val="0087073F"/>
    <w:rsid w:val="00870D6D"/>
    <w:rsid w:val="008711EC"/>
    <w:rsid w:val="008714CA"/>
    <w:rsid w:val="008718FE"/>
    <w:rsid w:val="00871B7D"/>
    <w:rsid w:val="00872946"/>
    <w:rsid w:val="0087568B"/>
    <w:rsid w:val="008758E6"/>
    <w:rsid w:val="00877BEB"/>
    <w:rsid w:val="0088298B"/>
    <w:rsid w:val="00883928"/>
    <w:rsid w:val="00883C63"/>
    <w:rsid w:val="00883DB7"/>
    <w:rsid w:val="00883DDE"/>
    <w:rsid w:val="00884240"/>
    <w:rsid w:val="00885ED1"/>
    <w:rsid w:val="00887155"/>
    <w:rsid w:val="008871B1"/>
    <w:rsid w:val="00887977"/>
    <w:rsid w:val="0089090B"/>
    <w:rsid w:val="00891D73"/>
    <w:rsid w:val="00892A44"/>
    <w:rsid w:val="00893FBF"/>
    <w:rsid w:val="0089597D"/>
    <w:rsid w:val="00896A1C"/>
    <w:rsid w:val="008974DA"/>
    <w:rsid w:val="008A0CB3"/>
    <w:rsid w:val="008A0E7C"/>
    <w:rsid w:val="008A21EE"/>
    <w:rsid w:val="008A2DE8"/>
    <w:rsid w:val="008A312D"/>
    <w:rsid w:val="008A3E09"/>
    <w:rsid w:val="008A3E57"/>
    <w:rsid w:val="008A52D9"/>
    <w:rsid w:val="008A6B21"/>
    <w:rsid w:val="008A6F13"/>
    <w:rsid w:val="008A7797"/>
    <w:rsid w:val="008A77A7"/>
    <w:rsid w:val="008A7D6F"/>
    <w:rsid w:val="008B03A3"/>
    <w:rsid w:val="008B040E"/>
    <w:rsid w:val="008B07AC"/>
    <w:rsid w:val="008B302E"/>
    <w:rsid w:val="008B3772"/>
    <w:rsid w:val="008B3F34"/>
    <w:rsid w:val="008B4803"/>
    <w:rsid w:val="008B55F5"/>
    <w:rsid w:val="008B6411"/>
    <w:rsid w:val="008B6F75"/>
    <w:rsid w:val="008B7066"/>
    <w:rsid w:val="008B726B"/>
    <w:rsid w:val="008B773A"/>
    <w:rsid w:val="008C027D"/>
    <w:rsid w:val="008C0F59"/>
    <w:rsid w:val="008C1151"/>
    <w:rsid w:val="008C18CD"/>
    <w:rsid w:val="008C464D"/>
    <w:rsid w:val="008C4E86"/>
    <w:rsid w:val="008C56B9"/>
    <w:rsid w:val="008D05E0"/>
    <w:rsid w:val="008D0759"/>
    <w:rsid w:val="008D2600"/>
    <w:rsid w:val="008D29EC"/>
    <w:rsid w:val="008D4E28"/>
    <w:rsid w:val="008D54BB"/>
    <w:rsid w:val="008D567F"/>
    <w:rsid w:val="008D7035"/>
    <w:rsid w:val="008D7A60"/>
    <w:rsid w:val="008E04A7"/>
    <w:rsid w:val="008E0AC0"/>
    <w:rsid w:val="008E1B1C"/>
    <w:rsid w:val="008E1BE9"/>
    <w:rsid w:val="008E2026"/>
    <w:rsid w:val="008E215C"/>
    <w:rsid w:val="008E221A"/>
    <w:rsid w:val="008E3334"/>
    <w:rsid w:val="008E3FFE"/>
    <w:rsid w:val="008E4495"/>
    <w:rsid w:val="008E47CC"/>
    <w:rsid w:val="008E50A9"/>
    <w:rsid w:val="008E60BE"/>
    <w:rsid w:val="008E6B74"/>
    <w:rsid w:val="008F09B7"/>
    <w:rsid w:val="008F0FAF"/>
    <w:rsid w:val="008F1618"/>
    <w:rsid w:val="008F3462"/>
    <w:rsid w:val="008F46CD"/>
    <w:rsid w:val="008F5F8E"/>
    <w:rsid w:val="008F6256"/>
    <w:rsid w:val="008F63DA"/>
    <w:rsid w:val="008F6480"/>
    <w:rsid w:val="008F6A48"/>
    <w:rsid w:val="008F7740"/>
    <w:rsid w:val="008F7B61"/>
    <w:rsid w:val="00900CA2"/>
    <w:rsid w:val="00900D22"/>
    <w:rsid w:val="009012A8"/>
    <w:rsid w:val="00903653"/>
    <w:rsid w:val="009059A2"/>
    <w:rsid w:val="0090665E"/>
    <w:rsid w:val="00907EF4"/>
    <w:rsid w:val="00910A52"/>
    <w:rsid w:val="00910D9A"/>
    <w:rsid w:val="00911079"/>
    <w:rsid w:val="00911479"/>
    <w:rsid w:val="009119CB"/>
    <w:rsid w:val="00911CEC"/>
    <w:rsid w:val="00913E1E"/>
    <w:rsid w:val="00913E58"/>
    <w:rsid w:val="0091484D"/>
    <w:rsid w:val="00915F33"/>
    <w:rsid w:val="00920849"/>
    <w:rsid w:val="00921E56"/>
    <w:rsid w:val="009220B0"/>
    <w:rsid w:val="00922486"/>
    <w:rsid w:val="00922EA7"/>
    <w:rsid w:val="0092357E"/>
    <w:rsid w:val="009240E2"/>
    <w:rsid w:val="00925E71"/>
    <w:rsid w:val="009273A5"/>
    <w:rsid w:val="00927707"/>
    <w:rsid w:val="00927CF6"/>
    <w:rsid w:val="009318AB"/>
    <w:rsid w:val="00932195"/>
    <w:rsid w:val="0093256F"/>
    <w:rsid w:val="009326C3"/>
    <w:rsid w:val="0093329F"/>
    <w:rsid w:val="00935469"/>
    <w:rsid w:val="00937043"/>
    <w:rsid w:val="00942CDB"/>
    <w:rsid w:val="0094327E"/>
    <w:rsid w:val="009445D3"/>
    <w:rsid w:val="00944BE5"/>
    <w:rsid w:val="00945FB9"/>
    <w:rsid w:val="0095069A"/>
    <w:rsid w:val="0095182E"/>
    <w:rsid w:val="0095185F"/>
    <w:rsid w:val="00951885"/>
    <w:rsid w:val="00951C4E"/>
    <w:rsid w:val="009529DF"/>
    <w:rsid w:val="00952EF6"/>
    <w:rsid w:val="00955A8A"/>
    <w:rsid w:val="009571C9"/>
    <w:rsid w:val="00957E49"/>
    <w:rsid w:val="00962DAE"/>
    <w:rsid w:val="0096400D"/>
    <w:rsid w:val="009641E2"/>
    <w:rsid w:val="00964257"/>
    <w:rsid w:val="009645DE"/>
    <w:rsid w:val="00966600"/>
    <w:rsid w:val="00966929"/>
    <w:rsid w:val="009671D9"/>
    <w:rsid w:val="009676E6"/>
    <w:rsid w:val="00967982"/>
    <w:rsid w:val="00971352"/>
    <w:rsid w:val="00973B10"/>
    <w:rsid w:val="009747C0"/>
    <w:rsid w:val="00975E5B"/>
    <w:rsid w:val="00977C8F"/>
    <w:rsid w:val="00977E2D"/>
    <w:rsid w:val="00977F94"/>
    <w:rsid w:val="00980115"/>
    <w:rsid w:val="00981F1D"/>
    <w:rsid w:val="009830B9"/>
    <w:rsid w:val="009844D5"/>
    <w:rsid w:val="009850D0"/>
    <w:rsid w:val="009863E9"/>
    <w:rsid w:val="00987CAD"/>
    <w:rsid w:val="00987D9F"/>
    <w:rsid w:val="00987E91"/>
    <w:rsid w:val="00990189"/>
    <w:rsid w:val="00991E65"/>
    <w:rsid w:val="009920DD"/>
    <w:rsid w:val="00992E20"/>
    <w:rsid w:val="009936FC"/>
    <w:rsid w:val="00993925"/>
    <w:rsid w:val="00993977"/>
    <w:rsid w:val="009939AA"/>
    <w:rsid w:val="009956B1"/>
    <w:rsid w:val="00996DC1"/>
    <w:rsid w:val="009A0259"/>
    <w:rsid w:val="009A05D1"/>
    <w:rsid w:val="009A0CAA"/>
    <w:rsid w:val="009A0D14"/>
    <w:rsid w:val="009A173B"/>
    <w:rsid w:val="009A28AC"/>
    <w:rsid w:val="009A3A5B"/>
    <w:rsid w:val="009A3F2A"/>
    <w:rsid w:val="009A56A6"/>
    <w:rsid w:val="009A6480"/>
    <w:rsid w:val="009A770A"/>
    <w:rsid w:val="009A7A48"/>
    <w:rsid w:val="009B01FA"/>
    <w:rsid w:val="009B0626"/>
    <w:rsid w:val="009B06A9"/>
    <w:rsid w:val="009B1BC5"/>
    <w:rsid w:val="009B2AAC"/>
    <w:rsid w:val="009B2E52"/>
    <w:rsid w:val="009B3521"/>
    <w:rsid w:val="009B3A61"/>
    <w:rsid w:val="009B468A"/>
    <w:rsid w:val="009B541C"/>
    <w:rsid w:val="009B5AB3"/>
    <w:rsid w:val="009B6237"/>
    <w:rsid w:val="009B797A"/>
    <w:rsid w:val="009C22F9"/>
    <w:rsid w:val="009C43FA"/>
    <w:rsid w:val="009C4460"/>
    <w:rsid w:val="009C5091"/>
    <w:rsid w:val="009C6080"/>
    <w:rsid w:val="009C6FC9"/>
    <w:rsid w:val="009C784F"/>
    <w:rsid w:val="009D02FE"/>
    <w:rsid w:val="009D059E"/>
    <w:rsid w:val="009D1A05"/>
    <w:rsid w:val="009D1EF7"/>
    <w:rsid w:val="009D1EFE"/>
    <w:rsid w:val="009D4196"/>
    <w:rsid w:val="009D477B"/>
    <w:rsid w:val="009D5351"/>
    <w:rsid w:val="009D6BBF"/>
    <w:rsid w:val="009D7192"/>
    <w:rsid w:val="009D74E3"/>
    <w:rsid w:val="009E0033"/>
    <w:rsid w:val="009E0E38"/>
    <w:rsid w:val="009E1A35"/>
    <w:rsid w:val="009E24C8"/>
    <w:rsid w:val="009E2A2B"/>
    <w:rsid w:val="009E2D08"/>
    <w:rsid w:val="009E4884"/>
    <w:rsid w:val="009E6477"/>
    <w:rsid w:val="009E6659"/>
    <w:rsid w:val="009E7912"/>
    <w:rsid w:val="009E792F"/>
    <w:rsid w:val="009F09AA"/>
    <w:rsid w:val="009F0AA8"/>
    <w:rsid w:val="009F2C16"/>
    <w:rsid w:val="009F2C1B"/>
    <w:rsid w:val="009F335C"/>
    <w:rsid w:val="009F35A7"/>
    <w:rsid w:val="009F50C6"/>
    <w:rsid w:val="009F5307"/>
    <w:rsid w:val="009F56F9"/>
    <w:rsid w:val="009F670A"/>
    <w:rsid w:val="009F6861"/>
    <w:rsid w:val="00A00040"/>
    <w:rsid w:val="00A002B5"/>
    <w:rsid w:val="00A00D2E"/>
    <w:rsid w:val="00A0260C"/>
    <w:rsid w:val="00A03174"/>
    <w:rsid w:val="00A041B5"/>
    <w:rsid w:val="00A04A7A"/>
    <w:rsid w:val="00A04E27"/>
    <w:rsid w:val="00A04F8C"/>
    <w:rsid w:val="00A0502C"/>
    <w:rsid w:val="00A05158"/>
    <w:rsid w:val="00A0522B"/>
    <w:rsid w:val="00A06694"/>
    <w:rsid w:val="00A112B7"/>
    <w:rsid w:val="00A11861"/>
    <w:rsid w:val="00A11FD0"/>
    <w:rsid w:val="00A12D07"/>
    <w:rsid w:val="00A13BF5"/>
    <w:rsid w:val="00A14837"/>
    <w:rsid w:val="00A14A65"/>
    <w:rsid w:val="00A170AD"/>
    <w:rsid w:val="00A225E3"/>
    <w:rsid w:val="00A23A26"/>
    <w:rsid w:val="00A2414A"/>
    <w:rsid w:val="00A241BC"/>
    <w:rsid w:val="00A242B4"/>
    <w:rsid w:val="00A24A8F"/>
    <w:rsid w:val="00A25650"/>
    <w:rsid w:val="00A25708"/>
    <w:rsid w:val="00A25BF0"/>
    <w:rsid w:val="00A26797"/>
    <w:rsid w:val="00A26B51"/>
    <w:rsid w:val="00A2712A"/>
    <w:rsid w:val="00A277C2"/>
    <w:rsid w:val="00A27FCB"/>
    <w:rsid w:val="00A3026E"/>
    <w:rsid w:val="00A31597"/>
    <w:rsid w:val="00A32317"/>
    <w:rsid w:val="00A334C0"/>
    <w:rsid w:val="00A34749"/>
    <w:rsid w:val="00A34D68"/>
    <w:rsid w:val="00A3668A"/>
    <w:rsid w:val="00A3766C"/>
    <w:rsid w:val="00A4051C"/>
    <w:rsid w:val="00A40ACA"/>
    <w:rsid w:val="00A41B74"/>
    <w:rsid w:val="00A41EE3"/>
    <w:rsid w:val="00A42147"/>
    <w:rsid w:val="00A422A6"/>
    <w:rsid w:val="00A42A96"/>
    <w:rsid w:val="00A42FF6"/>
    <w:rsid w:val="00A4467D"/>
    <w:rsid w:val="00A44D4C"/>
    <w:rsid w:val="00A4576A"/>
    <w:rsid w:val="00A45AD0"/>
    <w:rsid w:val="00A45EE9"/>
    <w:rsid w:val="00A4643F"/>
    <w:rsid w:val="00A47013"/>
    <w:rsid w:val="00A4708A"/>
    <w:rsid w:val="00A47CB1"/>
    <w:rsid w:val="00A5058D"/>
    <w:rsid w:val="00A50884"/>
    <w:rsid w:val="00A50A6E"/>
    <w:rsid w:val="00A51F9A"/>
    <w:rsid w:val="00A51FD1"/>
    <w:rsid w:val="00A5343F"/>
    <w:rsid w:val="00A53C14"/>
    <w:rsid w:val="00A5521E"/>
    <w:rsid w:val="00A559B2"/>
    <w:rsid w:val="00A55ACD"/>
    <w:rsid w:val="00A56272"/>
    <w:rsid w:val="00A56DD7"/>
    <w:rsid w:val="00A57164"/>
    <w:rsid w:val="00A6020A"/>
    <w:rsid w:val="00A60902"/>
    <w:rsid w:val="00A61111"/>
    <w:rsid w:val="00A61410"/>
    <w:rsid w:val="00A6198A"/>
    <w:rsid w:val="00A61BC4"/>
    <w:rsid w:val="00A6209E"/>
    <w:rsid w:val="00A62506"/>
    <w:rsid w:val="00A6301F"/>
    <w:rsid w:val="00A65108"/>
    <w:rsid w:val="00A65153"/>
    <w:rsid w:val="00A65F09"/>
    <w:rsid w:val="00A673DC"/>
    <w:rsid w:val="00A7067F"/>
    <w:rsid w:val="00A707A7"/>
    <w:rsid w:val="00A70E3A"/>
    <w:rsid w:val="00A71198"/>
    <w:rsid w:val="00A718FD"/>
    <w:rsid w:val="00A72341"/>
    <w:rsid w:val="00A74477"/>
    <w:rsid w:val="00A74958"/>
    <w:rsid w:val="00A74E57"/>
    <w:rsid w:val="00A75300"/>
    <w:rsid w:val="00A75E8B"/>
    <w:rsid w:val="00A76B8E"/>
    <w:rsid w:val="00A76DE9"/>
    <w:rsid w:val="00A774CF"/>
    <w:rsid w:val="00A776ED"/>
    <w:rsid w:val="00A80E50"/>
    <w:rsid w:val="00A8133B"/>
    <w:rsid w:val="00A8137F"/>
    <w:rsid w:val="00A83250"/>
    <w:rsid w:val="00A83663"/>
    <w:rsid w:val="00A83A9F"/>
    <w:rsid w:val="00A83B0F"/>
    <w:rsid w:val="00A84216"/>
    <w:rsid w:val="00A86B09"/>
    <w:rsid w:val="00A87AD3"/>
    <w:rsid w:val="00A90022"/>
    <w:rsid w:val="00A90BFA"/>
    <w:rsid w:val="00A92663"/>
    <w:rsid w:val="00A92BF3"/>
    <w:rsid w:val="00A933A7"/>
    <w:rsid w:val="00A943C8"/>
    <w:rsid w:val="00A950A4"/>
    <w:rsid w:val="00A9520D"/>
    <w:rsid w:val="00A9573C"/>
    <w:rsid w:val="00A95DEB"/>
    <w:rsid w:val="00A9605A"/>
    <w:rsid w:val="00A961A7"/>
    <w:rsid w:val="00A9747D"/>
    <w:rsid w:val="00A9791F"/>
    <w:rsid w:val="00AA00A6"/>
    <w:rsid w:val="00AA0375"/>
    <w:rsid w:val="00AA29A2"/>
    <w:rsid w:val="00AA2A74"/>
    <w:rsid w:val="00AA435A"/>
    <w:rsid w:val="00AA564E"/>
    <w:rsid w:val="00AA5F62"/>
    <w:rsid w:val="00AA5FAC"/>
    <w:rsid w:val="00AA6BA8"/>
    <w:rsid w:val="00AA6D2B"/>
    <w:rsid w:val="00AA7149"/>
    <w:rsid w:val="00AA7953"/>
    <w:rsid w:val="00AA7F5A"/>
    <w:rsid w:val="00AA7F66"/>
    <w:rsid w:val="00AB2340"/>
    <w:rsid w:val="00AB29B0"/>
    <w:rsid w:val="00AB3491"/>
    <w:rsid w:val="00AB588F"/>
    <w:rsid w:val="00AB5FE4"/>
    <w:rsid w:val="00AB659D"/>
    <w:rsid w:val="00AB66A4"/>
    <w:rsid w:val="00AB734D"/>
    <w:rsid w:val="00AB7B15"/>
    <w:rsid w:val="00AB7C54"/>
    <w:rsid w:val="00AC0271"/>
    <w:rsid w:val="00AC0CB6"/>
    <w:rsid w:val="00AC229F"/>
    <w:rsid w:val="00AC634E"/>
    <w:rsid w:val="00AC6594"/>
    <w:rsid w:val="00AC7531"/>
    <w:rsid w:val="00AC7826"/>
    <w:rsid w:val="00AC7DBB"/>
    <w:rsid w:val="00AD0263"/>
    <w:rsid w:val="00AD0EE0"/>
    <w:rsid w:val="00AD11A4"/>
    <w:rsid w:val="00AD18B4"/>
    <w:rsid w:val="00AD5FB3"/>
    <w:rsid w:val="00AD655D"/>
    <w:rsid w:val="00AD7671"/>
    <w:rsid w:val="00AE13D4"/>
    <w:rsid w:val="00AE1D5B"/>
    <w:rsid w:val="00AE1F0D"/>
    <w:rsid w:val="00AE1FC2"/>
    <w:rsid w:val="00AE3136"/>
    <w:rsid w:val="00AE3333"/>
    <w:rsid w:val="00AE354A"/>
    <w:rsid w:val="00AE53E8"/>
    <w:rsid w:val="00AE5EBE"/>
    <w:rsid w:val="00AE6A06"/>
    <w:rsid w:val="00AE6FE4"/>
    <w:rsid w:val="00AE79CA"/>
    <w:rsid w:val="00AF0DFE"/>
    <w:rsid w:val="00AF2059"/>
    <w:rsid w:val="00AF2E65"/>
    <w:rsid w:val="00AF3D84"/>
    <w:rsid w:val="00AF4161"/>
    <w:rsid w:val="00AF43A9"/>
    <w:rsid w:val="00AF580B"/>
    <w:rsid w:val="00AF69FA"/>
    <w:rsid w:val="00B007C8"/>
    <w:rsid w:val="00B00F12"/>
    <w:rsid w:val="00B02AD0"/>
    <w:rsid w:val="00B02CA0"/>
    <w:rsid w:val="00B04D97"/>
    <w:rsid w:val="00B05AAF"/>
    <w:rsid w:val="00B074F7"/>
    <w:rsid w:val="00B10B2A"/>
    <w:rsid w:val="00B113F4"/>
    <w:rsid w:val="00B11572"/>
    <w:rsid w:val="00B11B1E"/>
    <w:rsid w:val="00B11B98"/>
    <w:rsid w:val="00B13ADF"/>
    <w:rsid w:val="00B14410"/>
    <w:rsid w:val="00B15684"/>
    <w:rsid w:val="00B15B33"/>
    <w:rsid w:val="00B15DE3"/>
    <w:rsid w:val="00B15E61"/>
    <w:rsid w:val="00B166A5"/>
    <w:rsid w:val="00B1765B"/>
    <w:rsid w:val="00B20FB4"/>
    <w:rsid w:val="00B21727"/>
    <w:rsid w:val="00B21B32"/>
    <w:rsid w:val="00B22821"/>
    <w:rsid w:val="00B22F8D"/>
    <w:rsid w:val="00B238E4"/>
    <w:rsid w:val="00B24F35"/>
    <w:rsid w:val="00B25C38"/>
    <w:rsid w:val="00B3014D"/>
    <w:rsid w:val="00B31EFC"/>
    <w:rsid w:val="00B31F1D"/>
    <w:rsid w:val="00B31F85"/>
    <w:rsid w:val="00B32C88"/>
    <w:rsid w:val="00B34747"/>
    <w:rsid w:val="00B35433"/>
    <w:rsid w:val="00B35445"/>
    <w:rsid w:val="00B4144B"/>
    <w:rsid w:val="00B42E49"/>
    <w:rsid w:val="00B4448A"/>
    <w:rsid w:val="00B45520"/>
    <w:rsid w:val="00B45BA3"/>
    <w:rsid w:val="00B46125"/>
    <w:rsid w:val="00B46C09"/>
    <w:rsid w:val="00B474CE"/>
    <w:rsid w:val="00B50903"/>
    <w:rsid w:val="00B523A3"/>
    <w:rsid w:val="00B52E22"/>
    <w:rsid w:val="00B56D93"/>
    <w:rsid w:val="00B57277"/>
    <w:rsid w:val="00B57B22"/>
    <w:rsid w:val="00B600A7"/>
    <w:rsid w:val="00B62189"/>
    <w:rsid w:val="00B62FFE"/>
    <w:rsid w:val="00B65013"/>
    <w:rsid w:val="00B65FF4"/>
    <w:rsid w:val="00B66358"/>
    <w:rsid w:val="00B66E8A"/>
    <w:rsid w:val="00B7123A"/>
    <w:rsid w:val="00B714B7"/>
    <w:rsid w:val="00B72304"/>
    <w:rsid w:val="00B739A9"/>
    <w:rsid w:val="00B7435C"/>
    <w:rsid w:val="00B746C6"/>
    <w:rsid w:val="00B753E6"/>
    <w:rsid w:val="00B7561A"/>
    <w:rsid w:val="00B75A56"/>
    <w:rsid w:val="00B7602B"/>
    <w:rsid w:val="00B76F38"/>
    <w:rsid w:val="00B77341"/>
    <w:rsid w:val="00B77FE7"/>
    <w:rsid w:val="00B804DE"/>
    <w:rsid w:val="00B8085D"/>
    <w:rsid w:val="00B80FB5"/>
    <w:rsid w:val="00B813BA"/>
    <w:rsid w:val="00B81EFF"/>
    <w:rsid w:val="00B82315"/>
    <w:rsid w:val="00B836BB"/>
    <w:rsid w:val="00B83A58"/>
    <w:rsid w:val="00B84122"/>
    <w:rsid w:val="00B84511"/>
    <w:rsid w:val="00B85436"/>
    <w:rsid w:val="00B8552C"/>
    <w:rsid w:val="00B8580D"/>
    <w:rsid w:val="00B862B0"/>
    <w:rsid w:val="00B86F6D"/>
    <w:rsid w:val="00B87177"/>
    <w:rsid w:val="00B874A9"/>
    <w:rsid w:val="00B87AEF"/>
    <w:rsid w:val="00B919B7"/>
    <w:rsid w:val="00B92D05"/>
    <w:rsid w:val="00B9454E"/>
    <w:rsid w:val="00B95F8E"/>
    <w:rsid w:val="00B9696D"/>
    <w:rsid w:val="00B96E70"/>
    <w:rsid w:val="00BA03C6"/>
    <w:rsid w:val="00BA06E7"/>
    <w:rsid w:val="00BA2B7C"/>
    <w:rsid w:val="00BA3751"/>
    <w:rsid w:val="00BA4483"/>
    <w:rsid w:val="00BA5CAB"/>
    <w:rsid w:val="00BB142A"/>
    <w:rsid w:val="00BB1B40"/>
    <w:rsid w:val="00BB1D3A"/>
    <w:rsid w:val="00BB29F0"/>
    <w:rsid w:val="00BB327B"/>
    <w:rsid w:val="00BB34B9"/>
    <w:rsid w:val="00BB35C2"/>
    <w:rsid w:val="00BB3621"/>
    <w:rsid w:val="00BB427D"/>
    <w:rsid w:val="00BB553B"/>
    <w:rsid w:val="00BB6DDC"/>
    <w:rsid w:val="00BB7161"/>
    <w:rsid w:val="00BC28D7"/>
    <w:rsid w:val="00BC2D0B"/>
    <w:rsid w:val="00BC376C"/>
    <w:rsid w:val="00BC4048"/>
    <w:rsid w:val="00BC4912"/>
    <w:rsid w:val="00BC4B63"/>
    <w:rsid w:val="00BC5897"/>
    <w:rsid w:val="00BC6321"/>
    <w:rsid w:val="00BC7817"/>
    <w:rsid w:val="00BD0765"/>
    <w:rsid w:val="00BD1089"/>
    <w:rsid w:val="00BD116E"/>
    <w:rsid w:val="00BD19B9"/>
    <w:rsid w:val="00BD3819"/>
    <w:rsid w:val="00BD42A4"/>
    <w:rsid w:val="00BD642D"/>
    <w:rsid w:val="00BD6542"/>
    <w:rsid w:val="00BD6744"/>
    <w:rsid w:val="00BD6988"/>
    <w:rsid w:val="00BD6E50"/>
    <w:rsid w:val="00BD7F33"/>
    <w:rsid w:val="00BE0B5A"/>
    <w:rsid w:val="00BE1A77"/>
    <w:rsid w:val="00BE1F22"/>
    <w:rsid w:val="00BE22F7"/>
    <w:rsid w:val="00BE23CB"/>
    <w:rsid w:val="00BE3B6C"/>
    <w:rsid w:val="00BE3E1A"/>
    <w:rsid w:val="00BE4742"/>
    <w:rsid w:val="00BE4C4A"/>
    <w:rsid w:val="00BE580B"/>
    <w:rsid w:val="00BE678D"/>
    <w:rsid w:val="00BE7383"/>
    <w:rsid w:val="00BE754D"/>
    <w:rsid w:val="00BE7B6F"/>
    <w:rsid w:val="00BE7F51"/>
    <w:rsid w:val="00BE7FF2"/>
    <w:rsid w:val="00BF1275"/>
    <w:rsid w:val="00BF1DB9"/>
    <w:rsid w:val="00BF2A59"/>
    <w:rsid w:val="00BF578B"/>
    <w:rsid w:val="00BF5B53"/>
    <w:rsid w:val="00BF655A"/>
    <w:rsid w:val="00BF6D10"/>
    <w:rsid w:val="00BF6E79"/>
    <w:rsid w:val="00BF7C47"/>
    <w:rsid w:val="00C0004C"/>
    <w:rsid w:val="00C0014A"/>
    <w:rsid w:val="00C00428"/>
    <w:rsid w:val="00C007FA"/>
    <w:rsid w:val="00C00968"/>
    <w:rsid w:val="00C031FC"/>
    <w:rsid w:val="00C0378F"/>
    <w:rsid w:val="00C03F6C"/>
    <w:rsid w:val="00C04396"/>
    <w:rsid w:val="00C04D3C"/>
    <w:rsid w:val="00C050A8"/>
    <w:rsid w:val="00C05463"/>
    <w:rsid w:val="00C06AC8"/>
    <w:rsid w:val="00C072DA"/>
    <w:rsid w:val="00C0775A"/>
    <w:rsid w:val="00C077A2"/>
    <w:rsid w:val="00C11B43"/>
    <w:rsid w:val="00C12108"/>
    <w:rsid w:val="00C12113"/>
    <w:rsid w:val="00C121D9"/>
    <w:rsid w:val="00C13453"/>
    <w:rsid w:val="00C15852"/>
    <w:rsid w:val="00C15C69"/>
    <w:rsid w:val="00C15E9F"/>
    <w:rsid w:val="00C167ED"/>
    <w:rsid w:val="00C17F6D"/>
    <w:rsid w:val="00C2205B"/>
    <w:rsid w:val="00C220F9"/>
    <w:rsid w:val="00C22C1E"/>
    <w:rsid w:val="00C23169"/>
    <w:rsid w:val="00C23C20"/>
    <w:rsid w:val="00C24E11"/>
    <w:rsid w:val="00C24EA0"/>
    <w:rsid w:val="00C2541C"/>
    <w:rsid w:val="00C26862"/>
    <w:rsid w:val="00C26CF1"/>
    <w:rsid w:val="00C26F41"/>
    <w:rsid w:val="00C272B2"/>
    <w:rsid w:val="00C30458"/>
    <w:rsid w:val="00C304DF"/>
    <w:rsid w:val="00C30F5C"/>
    <w:rsid w:val="00C3138C"/>
    <w:rsid w:val="00C3150B"/>
    <w:rsid w:val="00C31DA6"/>
    <w:rsid w:val="00C31DEF"/>
    <w:rsid w:val="00C33260"/>
    <w:rsid w:val="00C33D97"/>
    <w:rsid w:val="00C3580D"/>
    <w:rsid w:val="00C35967"/>
    <w:rsid w:val="00C37971"/>
    <w:rsid w:val="00C417C9"/>
    <w:rsid w:val="00C41B50"/>
    <w:rsid w:val="00C42BDE"/>
    <w:rsid w:val="00C4405E"/>
    <w:rsid w:val="00C4598F"/>
    <w:rsid w:val="00C45A95"/>
    <w:rsid w:val="00C45D09"/>
    <w:rsid w:val="00C46BA1"/>
    <w:rsid w:val="00C474E5"/>
    <w:rsid w:val="00C47A8A"/>
    <w:rsid w:val="00C50360"/>
    <w:rsid w:val="00C51174"/>
    <w:rsid w:val="00C53DC1"/>
    <w:rsid w:val="00C53DCF"/>
    <w:rsid w:val="00C54B87"/>
    <w:rsid w:val="00C54E12"/>
    <w:rsid w:val="00C55468"/>
    <w:rsid w:val="00C5643B"/>
    <w:rsid w:val="00C56BF0"/>
    <w:rsid w:val="00C57BBF"/>
    <w:rsid w:val="00C60265"/>
    <w:rsid w:val="00C608D4"/>
    <w:rsid w:val="00C61CC5"/>
    <w:rsid w:val="00C61F0D"/>
    <w:rsid w:val="00C622C3"/>
    <w:rsid w:val="00C62717"/>
    <w:rsid w:val="00C62FB5"/>
    <w:rsid w:val="00C63AFA"/>
    <w:rsid w:val="00C63BD5"/>
    <w:rsid w:val="00C6542F"/>
    <w:rsid w:val="00C65F68"/>
    <w:rsid w:val="00C6643F"/>
    <w:rsid w:val="00C66A24"/>
    <w:rsid w:val="00C6711F"/>
    <w:rsid w:val="00C71F49"/>
    <w:rsid w:val="00C72907"/>
    <w:rsid w:val="00C732FF"/>
    <w:rsid w:val="00C74906"/>
    <w:rsid w:val="00C7605D"/>
    <w:rsid w:val="00C7629C"/>
    <w:rsid w:val="00C76E46"/>
    <w:rsid w:val="00C76FDC"/>
    <w:rsid w:val="00C775B8"/>
    <w:rsid w:val="00C81B0E"/>
    <w:rsid w:val="00C81B40"/>
    <w:rsid w:val="00C81FEA"/>
    <w:rsid w:val="00C823AE"/>
    <w:rsid w:val="00C8376C"/>
    <w:rsid w:val="00C83969"/>
    <w:rsid w:val="00C84D07"/>
    <w:rsid w:val="00C853CF"/>
    <w:rsid w:val="00C85F9D"/>
    <w:rsid w:val="00C86773"/>
    <w:rsid w:val="00C867D1"/>
    <w:rsid w:val="00C86C95"/>
    <w:rsid w:val="00C8707A"/>
    <w:rsid w:val="00C8772D"/>
    <w:rsid w:val="00C87A06"/>
    <w:rsid w:val="00C902EC"/>
    <w:rsid w:val="00C913EE"/>
    <w:rsid w:val="00C91D3A"/>
    <w:rsid w:val="00C95EBA"/>
    <w:rsid w:val="00C96FF5"/>
    <w:rsid w:val="00C97539"/>
    <w:rsid w:val="00C97A26"/>
    <w:rsid w:val="00CA055D"/>
    <w:rsid w:val="00CA05EB"/>
    <w:rsid w:val="00CA0845"/>
    <w:rsid w:val="00CA0D39"/>
    <w:rsid w:val="00CA2929"/>
    <w:rsid w:val="00CA3515"/>
    <w:rsid w:val="00CA368F"/>
    <w:rsid w:val="00CA3A05"/>
    <w:rsid w:val="00CA3C56"/>
    <w:rsid w:val="00CA3EA6"/>
    <w:rsid w:val="00CA5250"/>
    <w:rsid w:val="00CA5787"/>
    <w:rsid w:val="00CA5829"/>
    <w:rsid w:val="00CA59A0"/>
    <w:rsid w:val="00CA5A9B"/>
    <w:rsid w:val="00CA706B"/>
    <w:rsid w:val="00CA78E5"/>
    <w:rsid w:val="00CA7A51"/>
    <w:rsid w:val="00CB0B2E"/>
    <w:rsid w:val="00CB14E9"/>
    <w:rsid w:val="00CB1C44"/>
    <w:rsid w:val="00CB6D90"/>
    <w:rsid w:val="00CB72C3"/>
    <w:rsid w:val="00CC021F"/>
    <w:rsid w:val="00CC0864"/>
    <w:rsid w:val="00CC13C2"/>
    <w:rsid w:val="00CC16E3"/>
    <w:rsid w:val="00CC1836"/>
    <w:rsid w:val="00CC1AB4"/>
    <w:rsid w:val="00CC28BD"/>
    <w:rsid w:val="00CC2B10"/>
    <w:rsid w:val="00CC2C7D"/>
    <w:rsid w:val="00CC3F47"/>
    <w:rsid w:val="00CC40EE"/>
    <w:rsid w:val="00CC45E4"/>
    <w:rsid w:val="00CC74AE"/>
    <w:rsid w:val="00CD0150"/>
    <w:rsid w:val="00CD019F"/>
    <w:rsid w:val="00CD0A7C"/>
    <w:rsid w:val="00CD0B0B"/>
    <w:rsid w:val="00CD1580"/>
    <w:rsid w:val="00CD1876"/>
    <w:rsid w:val="00CD276B"/>
    <w:rsid w:val="00CD27C5"/>
    <w:rsid w:val="00CD2C00"/>
    <w:rsid w:val="00CD5B84"/>
    <w:rsid w:val="00CD7EDE"/>
    <w:rsid w:val="00CE0FA2"/>
    <w:rsid w:val="00CE1252"/>
    <w:rsid w:val="00CE198F"/>
    <w:rsid w:val="00CE4169"/>
    <w:rsid w:val="00CE4EA2"/>
    <w:rsid w:val="00CE66FD"/>
    <w:rsid w:val="00CE7010"/>
    <w:rsid w:val="00CE7894"/>
    <w:rsid w:val="00CE7E8D"/>
    <w:rsid w:val="00CF06A1"/>
    <w:rsid w:val="00CF09FD"/>
    <w:rsid w:val="00CF1467"/>
    <w:rsid w:val="00CF1C0D"/>
    <w:rsid w:val="00CF24F0"/>
    <w:rsid w:val="00CF3254"/>
    <w:rsid w:val="00CF3F37"/>
    <w:rsid w:val="00CF48D6"/>
    <w:rsid w:val="00CF48F7"/>
    <w:rsid w:val="00CF57D6"/>
    <w:rsid w:val="00CF5DBA"/>
    <w:rsid w:val="00CF5E0C"/>
    <w:rsid w:val="00CF6C1B"/>
    <w:rsid w:val="00CF7861"/>
    <w:rsid w:val="00D00B1B"/>
    <w:rsid w:val="00D01108"/>
    <w:rsid w:val="00D019D5"/>
    <w:rsid w:val="00D0203C"/>
    <w:rsid w:val="00D02C29"/>
    <w:rsid w:val="00D03163"/>
    <w:rsid w:val="00D040FE"/>
    <w:rsid w:val="00D04DE5"/>
    <w:rsid w:val="00D05094"/>
    <w:rsid w:val="00D06B5D"/>
    <w:rsid w:val="00D07334"/>
    <w:rsid w:val="00D115E5"/>
    <w:rsid w:val="00D125E6"/>
    <w:rsid w:val="00D13412"/>
    <w:rsid w:val="00D136A0"/>
    <w:rsid w:val="00D14EFB"/>
    <w:rsid w:val="00D1546D"/>
    <w:rsid w:val="00D158F1"/>
    <w:rsid w:val="00D168FD"/>
    <w:rsid w:val="00D16F64"/>
    <w:rsid w:val="00D20DD4"/>
    <w:rsid w:val="00D23225"/>
    <w:rsid w:val="00D234B7"/>
    <w:rsid w:val="00D2472C"/>
    <w:rsid w:val="00D2773D"/>
    <w:rsid w:val="00D27887"/>
    <w:rsid w:val="00D279BA"/>
    <w:rsid w:val="00D30995"/>
    <w:rsid w:val="00D33504"/>
    <w:rsid w:val="00D3371A"/>
    <w:rsid w:val="00D338D1"/>
    <w:rsid w:val="00D33F04"/>
    <w:rsid w:val="00D35117"/>
    <w:rsid w:val="00D352F2"/>
    <w:rsid w:val="00D404B5"/>
    <w:rsid w:val="00D44024"/>
    <w:rsid w:val="00D447CB"/>
    <w:rsid w:val="00D46759"/>
    <w:rsid w:val="00D46800"/>
    <w:rsid w:val="00D47690"/>
    <w:rsid w:val="00D47D16"/>
    <w:rsid w:val="00D505F4"/>
    <w:rsid w:val="00D51069"/>
    <w:rsid w:val="00D51CE1"/>
    <w:rsid w:val="00D526D4"/>
    <w:rsid w:val="00D5352D"/>
    <w:rsid w:val="00D535F4"/>
    <w:rsid w:val="00D556FE"/>
    <w:rsid w:val="00D562F2"/>
    <w:rsid w:val="00D57431"/>
    <w:rsid w:val="00D57958"/>
    <w:rsid w:val="00D57C95"/>
    <w:rsid w:val="00D607C7"/>
    <w:rsid w:val="00D61B93"/>
    <w:rsid w:val="00D630B9"/>
    <w:rsid w:val="00D6379D"/>
    <w:rsid w:val="00D64F53"/>
    <w:rsid w:val="00D67E4A"/>
    <w:rsid w:val="00D710A8"/>
    <w:rsid w:val="00D713BD"/>
    <w:rsid w:val="00D71879"/>
    <w:rsid w:val="00D720F6"/>
    <w:rsid w:val="00D740FF"/>
    <w:rsid w:val="00D7436B"/>
    <w:rsid w:val="00D75738"/>
    <w:rsid w:val="00D75ACC"/>
    <w:rsid w:val="00D76017"/>
    <w:rsid w:val="00D763FD"/>
    <w:rsid w:val="00D77105"/>
    <w:rsid w:val="00D7757E"/>
    <w:rsid w:val="00D77CFE"/>
    <w:rsid w:val="00D8030F"/>
    <w:rsid w:val="00D81DCE"/>
    <w:rsid w:val="00D81DED"/>
    <w:rsid w:val="00D822F7"/>
    <w:rsid w:val="00D83FA9"/>
    <w:rsid w:val="00D854C5"/>
    <w:rsid w:val="00D86249"/>
    <w:rsid w:val="00D863D9"/>
    <w:rsid w:val="00D87146"/>
    <w:rsid w:val="00D871C5"/>
    <w:rsid w:val="00D8764C"/>
    <w:rsid w:val="00D87694"/>
    <w:rsid w:val="00D903EF"/>
    <w:rsid w:val="00D90AD1"/>
    <w:rsid w:val="00D91D18"/>
    <w:rsid w:val="00D941F7"/>
    <w:rsid w:val="00D969CA"/>
    <w:rsid w:val="00D979D4"/>
    <w:rsid w:val="00D97C2C"/>
    <w:rsid w:val="00DA0A0F"/>
    <w:rsid w:val="00DA0A16"/>
    <w:rsid w:val="00DA0B6B"/>
    <w:rsid w:val="00DA0F30"/>
    <w:rsid w:val="00DA1A2B"/>
    <w:rsid w:val="00DA324A"/>
    <w:rsid w:val="00DA4564"/>
    <w:rsid w:val="00DA4DDF"/>
    <w:rsid w:val="00DA509D"/>
    <w:rsid w:val="00DA5225"/>
    <w:rsid w:val="00DA7ACF"/>
    <w:rsid w:val="00DA7D66"/>
    <w:rsid w:val="00DB0804"/>
    <w:rsid w:val="00DB11C0"/>
    <w:rsid w:val="00DB1D23"/>
    <w:rsid w:val="00DB1D32"/>
    <w:rsid w:val="00DB246C"/>
    <w:rsid w:val="00DB29C8"/>
    <w:rsid w:val="00DB2FC4"/>
    <w:rsid w:val="00DB45F1"/>
    <w:rsid w:val="00DB4A84"/>
    <w:rsid w:val="00DB4C56"/>
    <w:rsid w:val="00DB4C94"/>
    <w:rsid w:val="00DB537B"/>
    <w:rsid w:val="00DB69E7"/>
    <w:rsid w:val="00DB70B2"/>
    <w:rsid w:val="00DB743B"/>
    <w:rsid w:val="00DC0A3D"/>
    <w:rsid w:val="00DC1002"/>
    <w:rsid w:val="00DC2AD3"/>
    <w:rsid w:val="00DC382A"/>
    <w:rsid w:val="00DCCF1B"/>
    <w:rsid w:val="00DD0516"/>
    <w:rsid w:val="00DD12DE"/>
    <w:rsid w:val="00DD1E39"/>
    <w:rsid w:val="00DD2401"/>
    <w:rsid w:val="00DD2477"/>
    <w:rsid w:val="00DD2F0B"/>
    <w:rsid w:val="00DD4069"/>
    <w:rsid w:val="00DD412B"/>
    <w:rsid w:val="00DD622A"/>
    <w:rsid w:val="00DD6701"/>
    <w:rsid w:val="00DD6C68"/>
    <w:rsid w:val="00DE1923"/>
    <w:rsid w:val="00DE1C9C"/>
    <w:rsid w:val="00DE264D"/>
    <w:rsid w:val="00DE2B33"/>
    <w:rsid w:val="00DE3814"/>
    <w:rsid w:val="00DE3AEA"/>
    <w:rsid w:val="00DE495C"/>
    <w:rsid w:val="00DE4E2C"/>
    <w:rsid w:val="00DE52B2"/>
    <w:rsid w:val="00DE638B"/>
    <w:rsid w:val="00DE6F8A"/>
    <w:rsid w:val="00DE72EE"/>
    <w:rsid w:val="00DE7A06"/>
    <w:rsid w:val="00DF049B"/>
    <w:rsid w:val="00DF0CD8"/>
    <w:rsid w:val="00DF0CF9"/>
    <w:rsid w:val="00DF24C2"/>
    <w:rsid w:val="00DF37E5"/>
    <w:rsid w:val="00E0010B"/>
    <w:rsid w:val="00E013A0"/>
    <w:rsid w:val="00E02013"/>
    <w:rsid w:val="00E0306B"/>
    <w:rsid w:val="00E03374"/>
    <w:rsid w:val="00E034FE"/>
    <w:rsid w:val="00E03BFC"/>
    <w:rsid w:val="00E03D30"/>
    <w:rsid w:val="00E041E5"/>
    <w:rsid w:val="00E042F5"/>
    <w:rsid w:val="00E04888"/>
    <w:rsid w:val="00E04E69"/>
    <w:rsid w:val="00E06E2A"/>
    <w:rsid w:val="00E07421"/>
    <w:rsid w:val="00E0763B"/>
    <w:rsid w:val="00E077E1"/>
    <w:rsid w:val="00E0794A"/>
    <w:rsid w:val="00E07B2B"/>
    <w:rsid w:val="00E07FDC"/>
    <w:rsid w:val="00E10302"/>
    <w:rsid w:val="00E107FB"/>
    <w:rsid w:val="00E11594"/>
    <w:rsid w:val="00E13183"/>
    <w:rsid w:val="00E16268"/>
    <w:rsid w:val="00E16278"/>
    <w:rsid w:val="00E16347"/>
    <w:rsid w:val="00E17EC5"/>
    <w:rsid w:val="00E2078D"/>
    <w:rsid w:val="00E222FF"/>
    <w:rsid w:val="00E235FE"/>
    <w:rsid w:val="00E24109"/>
    <w:rsid w:val="00E2571F"/>
    <w:rsid w:val="00E25772"/>
    <w:rsid w:val="00E25E48"/>
    <w:rsid w:val="00E26BFD"/>
    <w:rsid w:val="00E27E90"/>
    <w:rsid w:val="00E3080E"/>
    <w:rsid w:val="00E30A83"/>
    <w:rsid w:val="00E3265B"/>
    <w:rsid w:val="00E32B7E"/>
    <w:rsid w:val="00E33D02"/>
    <w:rsid w:val="00E34F2C"/>
    <w:rsid w:val="00E35346"/>
    <w:rsid w:val="00E35B9F"/>
    <w:rsid w:val="00E35D6B"/>
    <w:rsid w:val="00E35D79"/>
    <w:rsid w:val="00E361DB"/>
    <w:rsid w:val="00E36872"/>
    <w:rsid w:val="00E432D0"/>
    <w:rsid w:val="00E44709"/>
    <w:rsid w:val="00E44AF1"/>
    <w:rsid w:val="00E44DF9"/>
    <w:rsid w:val="00E457F1"/>
    <w:rsid w:val="00E45C4A"/>
    <w:rsid w:val="00E45F65"/>
    <w:rsid w:val="00E4641E"/>
    <w:rsid w:val="00E474A2"/>
    <w:rsid w:val="00E50102"/>
    <w:rsid w:val="00E519AE"/>
    <w:rsid w:val="00E52026"/>
    <w:rsid w:val="00E52458"/>
    <w:rsid w:val="00E5274F"/>
    <w:rsid w:val="00E52DF0"/>
    <w:rsid w:val="00E54B74"/>
    <w:rsid w:val="00E54FF7"/>
    <w:rsid w:val="00E559B3"/>
    <w:rsid w:val="00E577BE"/>
    <w:rsid w:val="00E57AF7"/>
    <w:rsid w:val="00E60D20"/>
    <w:rsid w:val="00E61ADC"/>
    <w:rsid w:val="00E61CEB"/>
    <w:rsid w:val="00E6241B"/>
    <w:rsid w:val="00E625AD"/>
    <w:rsid w:val="00E63B1D"/>
    <w:rsid w:val="00E64518"/>
    <w:rsid w:val="00E64FCC"/>
    <w:rsid w:val="00E650AF"/>
    <w:rsid w:val="00E660E3"/>
    <w:rsid w:val="00E671A6"/>
    <w:rsid w:val="00E673EB"/>
    <w:rsid w:val="00E703B6"/>
    <w:rsid w:val="00E70B14"/>
    <w:rsid w:val="00E7168B"/>
    <w:rsid w:val="00E720FE"/>
    <w:rsid w:val="00E72200"/>
    <w:rsid w:val="00E72B1B"/>
    <w:rsid w:val="00E72E7F"/>
    <w:rsid w:val="00E73343"/>
    <w:rsid w:val="00E7351E"/>
    <w:rsid w:val="00E737FF"/>
    <w:rsid w:val="00E739FE"/>
    <w:rsid w:val="00E73D84"/>
    <w:rsid w:val="00E7503B"/>
    <w:rsid w:val="00E75228"/>
    <w:rsid w:val="00E7532D"/>
    <w:rsid w:val="00E75D47"/>
    <w:rsid w:val="00E766F5"/>
    <w:rsid w:val="00E76F7D"/>
    <w:rsid w:val="00E77055"/>
    <w:rsid w:val="00E778F9"/>
    <w:rsid w:val="00E77948"/>
    <w:rsid w:val="00E80C67"/>
    <w:rsid w:val="00E827CA"/>
    <w:rsid w:val="00E82948"/>
    <w:rsid w:val="00E8650E"/>
    <w:rsid w:val="00E86825"/>
    <w:rsid w:val="00E86A10"/>
    <w:rsid w:val="00E90218"/>
    <w:rsid w:val="00E913BB"/>
    <w:rsid w:val="00E91524"/>
    <w:rsid w:val="00E92E19"/>
    <w:rsid w:val="00E934AA"/>
    <w:rsid w:val="00E94AF3"/>
    <w:rsid w:val="00E94D43"/>
    <w:rsid w:val="00E95F2E"/>
    <w:rsid w:val="00E95F9B"/>
    <w:rsid w:val="00EA1508"/>
    <w:rsid w:val="00EA1541"/>
    <w:rsid w:val="00EA32E4"/>
    <w:rsid w:val="00EA3346"/>
    <w:rsid w:val="00EA596A"/>
    <w:rsid w:val="00EA6481"/>
    <w:rsid w:val="00EA73CD"/>
    <w:rsid w:val="00EA7D2D"/>
    <w:rsid w:val="00EA7E36"/>
    <w:rsid w:val="00EB0898"/>
    <w:rsid w:val="00EB1C23"/>
    <w:rsid w:val="00EB465A"/>
    <w:rsid w:val="00EB535D"/>
    <w:rsid w:val="00EB627B"/>
    <w:rsid w:val="00EB6AD7"/>
    <w:rsid w:val="00EB6D94"/>
    <w:rsid w:val="00EB718B"/>
    <w:rsid w:val="00EC1E5E"/>
    <w:rsid w:val="00EC3B45"/>
    <w:rsid w:val="00EC4170"/>
    <w:rsid w:val="00EC4183"/>
    <w:rsid w:val="00EC4C05"/>
    <w:rsid w:val="00EC6468"/>
    <w:rsid w:val="00EC6708"/>
    <w:rsid w:val="00EC6718"/>
    <w:rsid w:val="00EC6E77"/>
    <w:rsid w:val="00ED1BC6"/>
    <w:rsid w:val="00ED207C"/>
    <w:rsid w:val="00ED26F7"/>
    <w:rsid w:val="00ED325A"/>
    <w:rsid w:val="00ED3F41"/>
    <w:rsid w:val="00ED4468"/>
    <w:rsid w:val="00ED5615"/>
    <w:rsid w:val="00ED5BAA"/>
    <w:rsid w:val="00ED692E"/>
    <w:rsid w:val="00ED69AF"/>
    <w:rsid w:val="00EE1847"/>
    <w:rsid w:val="00EE240E"/>
    <w:rsid w:val="00EE2AA9"/>
    <w:rsid w:val="00EE44A3"/>
    <w:rsid w:val="00EE51C3"/>
    <w:rsid w:val="00EE5BBA"/>
    <w:rsid w:val="00EE6211"/>
    <w:rsid w:val="00EE656A"/>
    <w:rsid w:val="00EE688E"/>
    <w:rsid w:val="00EE6A6D"/>
    <w:rsid w:val="00EE700E"/>
    <w:rsid w:val="00EF03E2"/>
    <w:rsid w:val="00EF1DAC"/>
    <w:rsid w:val="00EF2284"/>
    <w:rsid w:val="00EF22A3"/>
    <w:rsid w:val="00EF33ED"/>
    <w:rsid w:val="00EF427F"/>
    <w:rsid w:val="00EF4584"/>
    <w:rsid w:val="00EF5047"/>
    <w:rsid w:val="00EF7F8B"/>
    <w:rsid w:val="00F00171"/>
    <w:rsid w:val="00F008D9"/>
    <w:rsid w:val="00F020C8"/>
    <w:rsid w:val="00F02FF4"/>
    <w:rsid w:val="00F03814"/>
    <w:rsid w:val="00F03F30"/>
    <w:rsid w:val="00F04427"/>
    <w:rsid w:val="00F04CC5"/>
    <w:rsid w:val="00F04F7B"/>
    <w:rsid w:val="00F05277"/>
    <w:rsid w:val="00F07241"/>
    <w:rsid w:val="00F07A09"/>
    <w:rsid w:val="00F07EB3"/>
    <w:rsid w:val="00F10931"/>
    <w:rsid w:val="00F10D80"/>
    <w:rsid w:val="00F112E0"/>
    <w:rsid w:val="00F131AF"/>
    <w:rsid w:val="00F1390C"/>
    <w:rsid w:val="00F1459B"/>
    <w:rsid w:val="00F14A6A"/>
    <w:rsid w:val="00F14B0B"/>
    <w:rsid w:val="00F14D98"/>
    <w:rsid w:val="00F15952"/>
    <w:rsid w:val="00F1684A"/>
    <w:rsid w:val="00F205BE"/>
    <w:rsid w:val="00F20C5E"/>
    <w:rsid w:val="00F20FEC"/>
    <w:rsid w:val="00F2234A"/>
    <w:rsid w:val="00F24B1A"/>
    <w:rsid w:val="00F2572D"/>
    <w:rsid w:val="00F25C8C"/>
    <w:rsid w:val="00F26CEE"/>
    <w:rsid w:val="00F26D4F"/>
    <w:rsid w:val="00F27F72"/>
    <w:rsid w:val="00F3012D"/>
    <w:rsid w:val="00F3106C"/>
    <w:rsid w:val="00F31528"/>
    <w:rsid w:val="00F31986"/>
    <w:rsid w:val="00F32BCE"/>
    <w:rsid w:val="00F33818"/>
    <w:rsid w:val="00F35A33"/>
    <w:rsid w:val="00F36798"/>
    <w:rsid w:val="00F36A1D"/>
    <w:rsid w:val="00F3741E"/>
    <w:rsid w:val="00F3745E"/>
    <w:rsid w:val="00F3754E"/>
    <w:rsid w:val="00F404B8"/>
    <w:rsid w:val="00F41492"/>
    <w:rsid w:val="00F419E5"/>
    <w:rsid w:val="00F41E05"/>
    <w:rsid w:val="00F423D8"/>
    <w:rsid w:val="00F42E57"/>
    <w:rsid w:val="00F43581"/>
    <w:rsid w:val="00F43605"/>
    <w:rsid w:val="00F43EA4"/>
    <w:rsid w:val="00F44278"/>
    <w:rsid w:val="00F4567C"/>
    <w:rsid w:val="00F46F9F"/>
    <w:rsid w:val="00F471FF"/>
    <w:rsid w:val="00F47E56"/>
    <w:rsid w:val="00F47F0C"/>
    <w:rsid w:val="00F50295"/>
    <w:rsid w:val="00F509A4"/>
    <w:rsid w:val="00F519D3"/>
    <w:rsid w:val="00F51B65"/>
    <w:rsid w:val="00F52AAB"/>
    <w:rsid w:val="00F52EB6"/>
    <w:rsid w:val="00F53861"/>
    <w:rsid w:val="00F55260"/>
    <w:rsid w:val="00F55EC2"/>
    <w:rsid w:val="00F56DDD"/>
    <w:rsid w:val="00F61035"/>
    <w:rsid w:val="00F626B6"/>
    <w:rsid w:val="00F6316B"/>
    <w:rsid w:val="00F6408F"/>
    <w:rsid w:val="00F65AE0"/>
    <w:rsid w:val="00F66334"/>
    <w:rsid w:val="00F671E0"/>
    <w:rsid w:val="00F675E0"/>
    <w:rsid w:val="00F70FD9"/>
    <w:rsid w:val="00F71F32"/>
    <w:rsid w:val="00F727A6"/>
    <w:rsid w:val="00F72C99"/>
    <w:rsid w:val="00F737A3"/>
    <w:rsid w:val="00F74E38"/>
    <w:rsid w:val="00F7576C"/>
    <w:rsid w:val="00F76120"/>
    <w:rsid w:val="00F76D6F"/>
    <w:rsid w:val="00F778B0"/>
    <w:rsid w:val="00F80504"/>
    <w:rsid w:val="00F81C62"/>
    <w:rsid w:val="00F823E0"/>
    <w:rsid w:val="00F82C16"/>
    <w:rsid w:val="00F83B7B"/>
    <w:rsid w:val="00F83BC2"/>
    <w:rsid w:val="00F83BD7"/>
    <w:rsid w:val="00F84D5B"/>
    <w:rsid w:val="00F85CE0"/>
    <w:rsid w:val="00F9036B"/>
    <w:rsid w:val="00F9048F"/>
    <w:rsid w:val="00F90769"/>
    <w:rsid w:val="00F924E1"/>
    <w:rsid w:val="00F92EC1"/>
    <w:rsid w:val="00F93812"/>
    <w:rsid w:val="00F93F55"/>
    <w:rsid w:val="00F944DD"/>
    <w:rsid w:val="00F94C47"/>
    <w:rsid w:val="00F9674E"/>
    <w:rsid w:val="00F96A5F"/>
    <w:rsid w:val="00F97B23"/>
    <w:rsid w:val="00FA0421"/>
    <w:rsid w:val="00FA045A"/>
    <w:rsid w:val="00FA0D95"/>
    <w:rsid w:val="00FA1905"/>
    <w:rsid w:val="00FA2ADC"/>
    <w:rsid w:val="00FA2E05"/>
    <w:rsid w:val="00FA3389"/>
    <w:rsid w:val="00FA3476"/>
    <w:rsid w:val="00FA4909"/>
    <w:rsid w:val="00FA495F"/>
    <w:rsid w:val="00FA5548"/>
    <w:rsid w:val="00FA58A6"/>
    <w:rsid w:val="00FA5B88"/>
    <w:rsid w:val="00FA5C22"/>
    <w:rsid w:val="00FA5CD7"/>
    <w:rsid w:val="00FA749D"/>
    <w:rsid w:val="00FB00C2"/>
    <w:rsid w:val="00FB0C10"/>
    <w:rsid w:val="00FB12CC"/>
    <w:rsid w:val="00FB172D"/>
    <w:rsid w:val="00FB2CFA"/>
    <w:rsid w:val="00FB3877"/>
    <w:rsid w:val="00FB3C36"/>
    <w:rsid w:val="00FB4280"/>
    <w:rsid w:val="00FB48EE"/>
    <w:rsid w:val="00FB4B12"/>
    <w:rsid w:val="00FB4FE9"/>
    <w:rsid w:val="00FB60E2"/>
    <w:rsid w:val="00FB673E"/>
    <w:rsid w:val="00FB7135"/>
    <w:rsid w:val="00FB74A6"/>
    <w:rsid w:val="00FB7CCE"/>
    <w:rsid w:val="00FC01C8"/>
    <w:rsid w:val="00FC0A08"/>
    <w:rsid w:val="00FC11D7"/>
    <w:rsid w:val="00FC5027"/>
    <w:rsid w:val="00FC50C7"/>
    <w:rsid w:val="00FC511D"/>
    <w:rsid w:val="00FC5D06"/>
    <w:rsid w:val="00FC6107"/>
    <w:rsid w:val="00FC68BC"/>
    <w:rsid w:val="00FD114C"/>
    <w:rsid w:val="00FD11D4"/>
    <w:rsid w:val="00FD225D"/>
    <w:rsid w:val="00FD2384"/>
    <w:rsid w:val="00FD2EBB"/>
    <w:rsid w:val="00FD3275"/>
    <w:rsid w:val="00FD3CEC"/>
    <w:rsid w:val="00FD6A0B"/>
    <w:rsid w:val="00FD6F99"/>
    <w:rsid w:val="00FE1FFF"/>
    <w:rsid w:val="00FE2AC8"/>
    <w:rsid w:val="00FE452E"/>
    <w:rsid w:val="00FE49B7"/>
    <w:rsid w:val="00FE6864"/>
    <w:rsid w:val="00FE6F54"/>
    <w:rsid w:val="00FF2021"/>
    <w:rsid w:val="00FF3943"/>
    <w:rsid w:val="00FF4275"/>
    <w:rsid w:val="00FF4A4C"/>
    <w:rsid w:val="00FF4C15"/>
    <w:rsid w:val="00FF533C"/>
    <w:rsid w:val="00FF7D7F"/>
    <w:rsid w:val="00FF7FC8"/>
    <w:rsid w:val="01028A59"/>
    <w:rsid w:val="010DCEEC"/>
    <w:rsid w:val="016BC18F"/>
    <w:rsid w:val="0186A00D"/>
    <w:rsid w:val="01A77403"/>
    <w:rsid w:val="01C35578"/>
    <w:rsid w:val="01F87A28"/>
    <w:rsid w:val="01FC6CF4"/>
    <w:rsid w:val="0203A864"/>
    <w:rsid w:val="0212CB40"/>
    <w:rsid w:val="0226B518"/>
    <w:rsid w:val="02706581"/>
    <w:rsid w:val="02A05813"/>
    <w:rsid w:val="02A67A83"/>
    <w:rsid w:val="02D8995B"/>
    <w:rsid w:val="02DCAFB9"/>
    <w:rsid w:val="031CFE0D"/>
    <w:rsid w:val="032D0FBE"/>
    <w:rsid w:val="0332FBC7"/>
    <w:rsid w:val="033E7172"/>
    <w:rsid w:val="03773476"/>
    <w:rsid w:val="0385A76A"/>
    <w:rsid w:val="03896CE8"/>
    <w:rsid w:val="039EDB28"/>
    <w:rsid w:val="03BA3103"/>
    <w:rsid w:val="0458301E"/>
    <w:rsid w:val="047FFDE2"/>
    <w:rsid w:val="0487083B"/>
    <w:rsid w:val="048DD1F2"/>
    <w:rsid w:val="0497FBF6"/>
    <w:rsid w:val="04B1AD41"/>
    <w:rsid w:val="04ED710E"/>
    <w:rsid w:val="05016A63"/>
    <w:rsid w:val="0508459F"/>
    <w:rsid w:val="050C9173"/>
    <w:rsid w:val="0513BEFA"/>
    <w:rsid w:val="05427541"/>
    <w:rsid w:val="05539283"/>
    <w:rsid w:val="05742E70"/>
    <w:rsid w:val="05F85C4D"/>
    <w:rsid w:val="060762B8"/>
    <w:rsid w:val="062A5C0B"/>
    <w:rsid w:val="068E2E66"/>
    <w:rsid w:val="06D24D7E"/>
    <w:rsid w:val="06D91A43"/>
    <w:rsid w:val="06FF1095"/>
    <w:rsid w:val="070EB5C0"/>
    <w:rsid w:val="0711DC60"/>
    <w:rsid w:val="07772DDB"/>
    <w:rsid w:val="0787A40A"/>
    <w:rsid w:val="07A1CCB9"/>
    <w:rsid w:val="07F1376E"/>
    <w:rsid w:val="07F90BFA"/>
    <w:rsid w:val="08601BD0"/>
    <w:rsid w:val="08678C8D"/>
    <w:rsid w:val="08A606FE"/>
    <w:rsid w:val="08B9A7A2"/>
    <w:rsid w:val="08F473E1"/>
    <w:rsid w:val="09193144"/>
    <w:rsid w:val="09438C0C"/>
    <w:rsid w:val="095F918C"/>
    <w:rsid w:val="09A17324"/>
    <w:rsid w:val="09A8AEC8"/>
    <w:rsid w:val="09EB9A2C"/>
    <w:rsid w:val="09F991B0"/>
    <w:rsid w:val="0A29331C"/>
    <w:rsid w:val="0A351958"/>
    <w:rsid w:val="0A56ED0F"/>
    <w:rsid w:val="0A5C996F"/>
    <w:rsid w:val="0AFF1D90"/>
    <w:rsid w:val="0B08432B"/>
    <w:rsid w:val="0B1EF713"/>
    <w:rsid w:val="0B7BDE85"/>
    <w:rsid w:val="0B86781C"/>
    <w:rsid w:val="0B911778"/>
    <w:rsid w:val="0B98EC3F"/>
    <w:rsid w:val="0B9D8C1A"/>
    <w:rsid w:val="0BA12176"/>
    <w:rsid w:val="0BA5F3F9"/>
    <w:rsid w:val="0BB5B7C6"/>
    <w:rsid w:val="0BC76529"/>
    <w:rsid w:val="0BE0290A"/>
    <w:rsid w:val="0C1711E6"/>
    <w:rsid w:val="0C1D0F3C"/>
    <w:rsid w:val="0C2BCE75"/>
    <w:rsid w:val="0C2FEC9E"/>
    <w:rsid w:val="0C913A1C"/>
    <w:rsid w:val="0CA06761"/>
    <w:rsid w:val="0CB1707B"/>
    <w:rsid w:val="0CC3D3C8"/>
    <w:rsid w:val="0CCB0A8A"/>
    <w:rsid w:val="0CCF7297"/>
    <w:rsid w:val="0CDE9EB9"/>
    <w:rsid w:val="0CEFE624"/>
    <w:rsid w:val="0D080138"/>
    <w:rsid w:val="0D4620B0"/>
    <w:rsid w:val="0D5E2068"/>
    <w:rsid w:val="0D6420E2"/>
    <w:rsid w:val="0D8126B7"/>
    <w:rsid w:val="0DB0B47B"/>
    <w:rsid w:val="0DC0D3D5"/>
    <w:rsid w:val="0DC6BCBE"/>
    <w:rsid w:val="0DCCCDBD"/>
    <w:rsid w:val="0DD1C718"/>
    <w:rsid w:val="0DF3048D"/>
    <w:rsid w:val="0DF82E94"/>
    <w:rsid w:val="0E0F9EE7"/>
    <w:rsid w:val="0E110564"/>
    <w:rsid w:val="0E4F5E8C"/>
    <w:rsid w:val="0E64FB5F"/>
    <w:rsid w:val="0E71462E"/>
    <w:rsid w:val="0E8BB685"/>
    <w:rsid w:val="0EBDC3D7"/>
    <w:rsid w:val="0EFD2841"/>
    <w:rsid w:val="0F606594"/>
    <w:rsid w:val="0F7BD35E"/>
    <w:rsid w:val="0F874C0A"/>
    <w:rsid w:val="0F977FB3"/>
    <w:rsid w:val="0FF9B5C0"/>
    <w:rsid w:val="0FFCD7D7"/>
    <w:rsid w:val="10475339"/>
    <w:rsid w:val="10637F00"/>
    <w:rsid w:val="10900017"/>
    <w:rsid w:val="109B75FC"/>
    <w:rsid w:val="10B01303"/>
    <w:rsid w:val="10CD3276"/>
    <w:rsid w:val="11383DF7"/>
    <w:rsid w:val="116CE441"/>
    <w:rsid w:val="11AC3B81"/>
    <w:rsid w:val="11DFC7C2"/>
    <w:rsid w:val="11E6D9BA"/>
    <w:rsid w:val="11E83F98"/>
    <w:rsid w:val="11FF880C"/>
    <w:rsid w:val="12358BA7"/>
    <w:rsid w:val="12C98CC7"/>
    <w:rsid w:val="12CA31D4"/>
    <w:rsid w:val="131383C4"/>
    <w:rsid w:val="134447A5"/>
    <w:rsid w:val="139DB6D6"/>
    <w:rsid w:val="13CC959F"/>
    <w:rsid w:val="13DEE7C1"/>
    <w:rsid w:val="13EE0BE2"/>
    <w:rsid w:val="142431B2"/>
    <w:rsid w:val="144D09B7"/>
    <w:rsid w:val="144FA099"/>
    <w:rsid w:val="14A3CA17"/>
    <w:rsid w:val="14CB2737"/>
    <w:rsid w:val="14FC45A1"/>
    <w:rsid w:val="1509D284"/>
    <w:rsid w:val="1525ED11"/>
    <w:rsid w:val="1548D9A8"/>
    <w:rsid w:val="15775CC2"/>
    <w:rsid w:val="157AB822"/>
    <w:rsid w:val="157F5B1F"/>
    <w:rsid w:val="16012D89"/>
    <w:rsid w:val="16211F15"/>
    <w:rsid w:val="163AF7C9"/>
    <w:rsid w:val="1652789A"/>
    <w:rsid w:val="1662A73E"/>
    <w:rsid w:val="16DE6F65"/>
    <w:rsid w:val="16E376AF"/>
    <w:rsid w:val="16E7D7EA"/>
    <w:rsid w:val="16EE6521"/>
    <w:rsid w:val="16EF89E6"/>
    <w:rsid w:val="173E5A99"/>
    <w:rsid w:val="175F76A4"/>
    <w:rsid w:val="17722149"/>
    <w:rsid w:val="177493EF"/>
    <w:rsid w:val="17CCD16B"/>
    <w:rsid w:val="181B726D"/>
    <w:rsid w:val="1860BAA5"/>
    <w:rsid w:val="188665C9"/>
    <w:rsid w:val="18905731"/>
    <w:rsid w:val="18CFC844"/>
    <w:rsid w:val="18F29F4D"/>
    <w:rsid w:val="18FC7FE5"/>
    <w:rsid w:val="190AA633"/>
    <w:rsid w:val="190F03F4"/>
    <w:rsid w:val="19245DFB"/>
    <w:rsid w:val="19313A4C"/>
    <w:rsid w:val="193EEBA8"/>
    <w:rsid w:val="19541E24"/>
    <w:rsid w:val="196293D1"/>
    <w:rsid w:val="198FF202"/>
    <w:rsid w:val="19A4E504"/>
    <w:rsid w:val="19D54468"/>
    <w:rsid w:val="1A177BC8"/>
    <w:rsid w:val="1A272AA8"/>
    <w:rsid w:val="1A3454D2"/>
    <w:rsid w:val="1A653BC3"/>
    <w:rsid w:val="1AC3E687"/>
    <w:rsid w:val="1AD3FBF7"/>
    <w:rsid w:val="1ADFC0D5"/>
    <w:rsid w:val="1B078DC3"/>
    <w:rsid w:val="1B2CF570"/>
    <w:rsid w:val="1B8AEB6D"/>
    <w:rsid w:val="1BA1D5F9"/>
    <w:rsid w:val="1BBE02DB"/>
    <w:rsid w:val="1BC26375"/>
    <w:rsid w:val="1BC8619F"/>
    <w:rsid w:val="1BD04392"/>
    <w:rsid w:val="1BF77B21"/>
    <w:rsid w:val="1C1E6B2C"/>
    <w:rsid w:val="1C6DFDCF"/>
    <w:rsid w:val="1C941A39"/>
    <w:rsid w:val="1CC5030E"/>
    <w:rsid w:val="1CD642FC"/>
    <w:rsid w:val="1D10AC8D"/>
    <w:rsid w:val="1D39334B"/>
    <w:rsid w:val="1D76C1D8"/>
    <w:rsid w:val="1D7B834C"/>
    <w:rsid w:val="1DF9CCE1"/>
    <w:rsid w:val="1E174486"/>
    <w:rsid w:val="1E44F2DE"/>
    <w:rsid w:val="1E68553D"/>
    <w:rsid w:val="1E949ABA"/>
    <w:rsid w:val="1E94D9DF"/>
    <w:rsid w:val="1E988779"/>
    <w:rsid w:val="1E98C35E"/>
    <w:rsid w:val="1EB47EF1"/>
    <w:rsid w:val="1EF71C18"/>
    <w:rsid w:val="1F0691FA"/>
    <w:rsid w:val="1F188809"/>
    <w:rsid w:val="1F20C504"/>
    <w:rsid w:val="1F6CACC7"/>
    <w:rsid w:val="1F89BD6E"/>
    <w:rsid w:val="1F8F74E6"/>
    <w:rsid w:val="1FBAF9CD"/>
    <w:rsid w:val="1FED629F"/>
    <w:rsid w:val="1FF0D070"/>
    <w:rsid w:val="1FF1B929"/>
    <w:rsid w:val="2000A6DF"/>
    <w:rsid w:val="2043DF63"/>
    <w:rsid w:val="20670254"/>
    <w:rsid w:val="208F9D05"/>
    <w:rsid w:val="20CA59C9"/>
    <w:rsid w:val="210E547D"/>
    <w:rsid w:val="2146ABB2"/>
    <w:rsid w:val="2158877E"/>
    <w:rsid w:val="21653AF6"/>
    <w:rsid w:val="21B2073E"/>
    <w:rsid w:val="21B8DB18"/>
    <w:rsid w:val="220B62F2"/>
    <w:rsid w:val="220D4D97"/>
    <w:rsid w:val="220F9452"/>
    <w:rsid w:val="2215D4BA"/>
    <w:rsid w:val="22547E17"/>
    <w:rsid w:val="225A316B"/>
    <w:rsid w:val="227C7E19"/>
    <w:rsid w:val="227F886F"/>
    <w:rsid w:val="229FD4D1"/>
    <w:rsid w:val="22C85D35"/>
    <w:rsid w:val="22CA3A98"/>
    <w:rsid w:val="22DF266E"/>
    <w:rsid w:val="22E2A4EE"/>
    <w:rsid w:val="22F9774B"/>
    <w:rsid w:val="22FCB1BE"/>
    <w:rsid w:val="232FBC50"/>
    <w:rsid w:val="2444559A"/>
    <w:rsid w:val="2452B41F"/>
    <w:rsid w:val="24549635"/>
    <w:rsid w:val="24842D98"/>
    <w:rsid w:val="24A8ADD9"/>
    <w:rsid w:val="24F4D62A"/>
    <w:rsid w:val="2504466E"/>
    <w:rsid w:val="253DE521"/>
    <w:rsid w:val="2587C98D"/>
    <w:rsid w:val="25F16B7B"/>
    <w:rsid w:val="2600737A"/>
    <w:rsid w:val="267A1FDB"/>
    <w:rsid w:val="273FE5D4"/>
    <w:rsid w:val="276316FD"/>
    <w:rsid w:val="27655D25"/>
    <w:rsid w:val="277EA282"/>
    <w:rsid w:val="27BAB512"/>
    <w:rsid w:val="27D5F83A"/>
    <w:rsid w:val="27D732D9"/>
    <w:rsid w:val="281C3A20"/>
    <w:rsid w:val="285839C2"/>
    <w:rsid w:val="288DBC4A"/>
    <w:rsid w:val="28EDD146"/>
    <w:rsid w:val="2920814E"/>
    <w:rsid w:val="293006F9"/>
    <w:rsid w:val="294FFBD9"/>
    <w:rsid w:val="29DAE365"/>
    <w:rsid w:val="29DBFB8E"/>
    <w:rsid w:val="2A123FDF"/>
    <w:rsid w:val="2A298CAB"/>
    <w:rsid w:val="2A35F78D"/>
    <w:rsid w:val="2A3ED489"/>
    <w:rsid w:val="2A8DF160"/>
    <w:rsid w:val="2AD0A479"/>
    <w:rsid w:val="2AD8E761"/>
    <w:rsid w:val="2AF8A924"/>
    <w:rsid w:val="2B0C57FC"/>
    <w:rsid w:val="2B331A92"/>
    <w:rsid w:val="2B38951E"/>
    <w:rsid w:val="2B5086B6"/>
    <w:rsid w:val="2B5F34C5"/>
    <w:rsid w:val="2B7C529C"/>
    <w:rsid w:val="2B88CAC2"/>
    <w:rsid w:val="2B92A4F3"/>
    <w:rsid w:val="2BF3B221"/>
    <w:rsid w:val="2C2530CC"/>
    <w:rsid w:val="2C35EAA6"/>
    <w:rsid w:val="2C6E0668"/>
    <w:rsid w:val="2C7397AF"/>
    <w:rsid w:val="2C7D294A"/>
    <w:rsid w:val="2C985A8E"/>
    <w:rsid w:val="2CAEC4EB"/>
    <w:rsid w:val="2CCB70F4"/>
    <w:rsid w:val="2CD41298"/>
    <w:rsid w:val="2D261105"/>
    <w:rsid w:val="2D2C31AC"/>
    <w:rsid w:val="2D3343E6"/>
    <w:rsid w:val="2D395965"/>
    <w:rsid w:val="2D7D7925"/>
    <w:rsid w:val="2D829F44"/>
    <w:rsid w:val="2D9E1600"/>
    <w:rsid w:val="2DADDA4F"/>
    <w:rsid w:val="2E24EA28"/>
    <w:rsid w:val="2E41EA50"/>
    <w:rsid w:val="2E4859A6"/>
    <w:rsid w:val="2E4F89CA"/>
    <w:rsid w:val="2E93CF55"/>
    <w:rsid w:val="2E9E70A8"/>
    <w:rsid w:val="2EDF987A"/>
    <w:rsid w:val="2EF1AC4D"/>
    <w:rsid w:val="2F268D86"/>
    <w:rsid w:val="2F42FFA6"/>
    <w:rsid w:val="2F731279"/>
    <w:rsid w:val="2F759377"/>
    <w:rsid w:val="2F9D0317"/>
    <w:rsid w:val="2FAC1AF9"/>
    <w:rsid w:val="2FE6A331"/>
    <w:rsid w:val="30317F9D"/>
    <w:rsid w:val="30371F56"/>
    <w:rsid w:val="3069F462"/>
    <w:rsid w:val="309BF835"/>
    <w:rsid w:val="30AD5CF4"/>
    <w:rsid w:val="30B571B8"/>
    <w:rsid w:val="30C57982"/>
    <w:rsid w:val="31020D79"/>
    <w:rsid w:val="3173EE19"/>
    <w:rsid w:val="31833982"/>
    <w:rsid w:val="31AEBC3F"/>
    <w:rsid w:val="32372580"/>
    <w:rsid w:val="3237D836"/>
    <w:rsid w:val="32678DA7"/>
    <w:rsid w:val="326CDDC8"/>
    <w:rsid w:val="32823E72"/>
    <w:rsid w:val="328EC39F"/>
    <w:rsid w:val="32BA4FC3"/>
    <w:rsid w:val="32FA749F"/>
    <w:rsid w:val="33186F73"/>
    <w:rsid w:val="331F9F8B"/>
    <w:rsid w:val="332CB513"/>
    <w:rsid w:val="33372B1C"/>
    <w:rsid w:val="33B40BB7"/>
    <w:rsid w:val="33FC73E7"/>
    <w:rsid w:val="340C6232"/>
    <w:rsid w:val="341DF5E0"/>
    <w:rsid w:val="34260D5E"/>
    <w:rsid w:val="3442BF43"/>
    <w:rsid w:val="3444769D"/>
    <w:rsid w:val="344A9011"/>
    <w:rsid w:val="3466DE46"/>
    <w:rsid w:val="346CE50E"/>
    <w:rsid w:val="348768B5"/>
    <w:rsid w:val="3495FB44"/>
    <w:rsid w:val="34CD8A04"/>
    <w:rsid w:val="35350EC5"/>
    <w:rsid w:val="3561739A"/>
    <w:rsid w:val="35C00099"/>
    <w:rsid w:val="35D48B38"/>
    <w:rsid w:val="35E55339"/>
    <w:rsid w:val="35FD34EA"/>
    <w:rsid w:val="3616C135"/>
    <w:rsid w:val="361A49D3"/>
    <w:rsid w:val="3621ECC6"/>
    <w:rsid w:val="362A68E1"/>
    <w:rsid w:val="36A21712"/>
    <w:rsid w:val="36A2C82E"/>
    <w:rsid w:val="36B4BB66"/>
    <w:rsid w:val="3705E6DC"/>
    <w:rsid w:val="3710BB4A"/>
    <w:rsid w:val="37AF0177"/>
    <w:rsid w:val="37CA8E11"/>
    <w:rsid w:val="37D018FB"/>
    <w:rsid w:val="37D1CBB9"/>
    <w:rsid w:val="37F173E2"/>
    <w:rsid w:val="382EA10B"/>
    <w:rsid w:val="3835E178"/>
    <w:rsid w:val="3859A7A5"/>
    <w:rsid w:val="385B2BD0"/>
    <w:rsid w:val="387BBB62"/>
    <w:rsid w:val="387C3431"/>
    <w:rsid w:val="38910365"/>
    <w:rsid w:val="38BDA6CE"/>
    <w:rsid w:val="38C550DD"/>
    <w:rsid w:val="3903C632"/>
    <w:rsid w:val="39528535"/>
    <w:rsid w:val="399D7658"/>
    <w:rsid w:val="3A20FAF8"/>
    <w:rsid w:val="3A2AB8B2"/>
    <w:rsid w:val="3A2BE131"/>
    <w:rsid w:val="3A49C87E"/>
    <w:rsid w:val="3AA11628"/>
    <w:rsid w:val="3ABC7BED"/>
    <w:rsid w:val="3AD4D0EE"/>
    <w:rsid w:val="3AE3213D"/>
    <w:rsid w:val="3AE5DA20"/>
    <w:rsid w:val="3AF45DF9"/>
    <w:rsid w:val="3B087FF9"/>
    <w:rsid w:val="3B611BE8"/>
    <w:rsid w:val="3B9EBBBB"/>
    <w:rsid w:val="3BB6CFB6"/>
    <w:rsid w:val="3BC0E936"/>
    <w:rsid w:val="3BF17C9D"/>
    <w:rsid w:val="3C0E6FED"/>
    <w:rsid w:val="3C175D43"/>
    <w:rsid w:val="3C9C8BB0"/>
    <w:rsid w:val="3CA4BE8C"/>
    <w:rsid w:val="3CAC0282"/>
    <w:rsid w:val="3CE7C971"/>
    <w:rsid w:val="3CF06455"/>
    <w:rsid w:val="3D12350B"/>
    <w:rsid w:val="3D1B8FCB"/>
    <w:rsid w:val="3D28AFDF"/>
    <w:rsid w:val="3D585B26"/>
    <w:rsid w:val="3D737750"/>
    <w:rsid w:val="3E28D6FC"/>
    <w:rsid w:val="3E385C11"/>
    <w:rsid w:val="3E51EBCD"/>
    <w:rsid w:val="3E570840"/>
    <w:rsid w:val="3E5A1654"/>
    <w:rsid w:val="3E68E91B"/>
    <w:rsid w:val="3E974FF2"/>
    <w:rsid w:val="3EFDC14E"/>
    <w:rsid w:val="3F0802E8"/>
    <w:rsid w:val="3F24892F"/>
    <w:rsid w:val="3F516D64"/>
    <w:rsid w:val="3F8F4116"/>
    <w:rsid w:val="3FBAF302"/>
    <w:rsid w:val="3FFC85C7"/>
    <w:rsid w:val="400DB2BB"/>
    <w:rsid w:val="40112630"/>
    <w:rsid w:val="4016954D"/>
    <w:rsid w:val="4043A3EB"/>
    <w:rsid w:val="404FF9D9"/>
    <w:rsid w:val="4053308D"/>
    <w:rsid w:val="40838E45"/>
    <w:rsid w:val="409C3603"/>
    <w:rsid w:val="40B5BC7C"/>
    <w:rsid w:val="40BAAFCA"/>
    <w:rsid w:val="4113F108"/>
    <w:rsid w:val="4139EA78"/>
    <w:rsid w:val="41805DB6"/>
    <w:rsid w:val="4182EBDF"/>
    <w:rsid w:val="419E4B2D"/>
    <w:rsid w:val="4233D0B5"/>
    <w:rsid w:val="4237852D"/>
    <w:rsid w:val="424FC34F"/>
    <w:rsid w:val="42596098"/>
    <w:rsid w:val="429EFBE2"/>
    <w:rsid w:val="42CF2264"/>
    <w:rsid w:val="42E90977"/>
    <w:rsid w:val="430D6647"/>
    <w:rsid w:val="43202A26"/>
    <w:rsid w:val="433963ED"/>
    <w:rsid w:val="43696AFC"/>
    <w:rsid w:val="43F877B4"/>
    <w:rsid w:val="442F204B"/>
    <w:rsid w:val="442F7F8B"/>
    <w:rsid w:val="4434127C"/>
    <w:rsid w:val="445306CD"/>
    <w:rsid w:val="44588D94"/>
    <w:rsid w:val="446FD724"/>
    <w:rsid w:val="44908DCF"/>
    <w:rsid w:val="450814B0"/>
    <w:rsid w:val="451FE7E9"/>
    <w:rsid w:val="45355F49"/>
    <w:rsid w:val="459A3C30"/>
    <w:rsid w:val="459E0FAC"/>
    <w:rsid w:val="45AAECB2"/>
    <w:rsid w:val="45ABD4C9"/>
    <w:rsid w:val="45D3CF85"/>
    <w:rsid w:val="45E977C7"/>
    <w:rsid w:val="461CF0BB"/>
    <w:rsid w:val="4650DE80"/>
    <w:rsid w:val="4657CAE8"/>
    <w:rsid w:val="4677883A"/>
    <w:rsid w:val="4693A6F6"/>
    <w:rsid w:val="46C40B28"/>
    <w:rsid w:val="46DC22BD"/>
    <w:rsid w:val="4717E269"/>
    <w:rsid w:val="472AFBA7"/>
    <w:rsid w:val="472C798F"/>
    <w:rsid w:val="47341453"/>
    <w:rsid w:val="47466591"/>
    <w:rsid w:val="477C930C"/>
    <w:rsid w:val="4787FD0D"/>
    <w:rsid w:val="4788E6E7"/>
    <w:rsid w:val="47BEE3C6"/>
    <w:rsid w:val="47C86843"/>
    <w:rsid w:val="47C9B836"/>
    <w:rsid w:val="47D54DFB"/>
    <w:rsid w:val="480845C8"/>
    <w:rsid w:val="480F88E2"/>
    <w:rsid w:val="48222099"/>
    <w:rsid w:val="482DE382"/>
    <w:rsid w:val="485D4249"/>
    <w:rsid w:val="48632F7C"/>
    <w:rsid w:val="4867D2E6"/>
    <w:rsid w:val="48ADE627"/>
    <w:rsid w:val="48E4C144"/>
    <w:rsid w:val="4914B4D2"/>
    <w:rsid w:val="495E740A"/>
    <w:rsid w:val="499B4826"/>
    <w:rsid w:val="49BD2A9E"/>
    <w:rsid w:val="49ED92C1"/>
    <w:rsid w:val="49FE20D5"/>
    <w:rsid w:val="4A010087"/>
    <w:rsid w:val="4A579E7B"/>
    <w:rsid w:val="4A6F1A1D"/>
    <w:rsid w:val="4A7778FC"/>
    <w:rsid w:val="4A9B3AC1"/>
    <w:rsid w:val="4AB7204C"/>
    <w:rsid w:val="4AD5E856"/>
    <w:rsid w:val="4B2DFD97"/>
    <w:rsid w:val="4B34F82E"/>
    <w:rsid w:val="4B4725F4"/>
    <w:rsid w:val="4B4A9DE9"/>
    <w:rsid w:val="4B6B4766"/>
    <w:rsid w:val="4B94E30B"/>
    <w:rsid w:val="4BEB5EC0"/>
    <w:rsid w:val="4C1358E0"/>
    <w:rsid w:val="4C1F0B98"/>
    <w:rsid w:val="4C2E4EC5"/>
    <w:rsid w:val="4C857C16"/>
    <w:rsid w:val="4CB05758"/>
    <w:rsid w:val="4CEB350C"/>
    <w:rsid w:val="4CFC2906"/>
    <w:rsid w:val="4D15E5E4"/>
    <w:rsid w:val="4D35DFA2"/>
    <w:rsid w:val="4D59FE32"/>
    <w:rsid w:val="4DAD9F9F"/>
    <w:rsid w:val="4DD9BF13"/>
    <w:rsid w:val="4E249471"/>
    <w:rsid w:val="4E2E1EA4"/>
    <w:rsid w:val="4E30FBE0"/>
    <w:rsid w:val="4E35F40E"/>
    <w:rsid w:val="4E54BE8A"/>
    <w:rsid w:val="4E8B87DB"/>
    <w:rsid w:val="4ED38904"/>
    <w:rsid w:val="4F4AF9A2"/>
    <w:rsid w:val="4F539D37"/>
    <w:rsid w:val="4F5871DE"/>
    <w:rsid w:val="4F62F5C7"/>
    <w:rsid w:val="4FB480A8"/>
    <w:rsid w:val="4FD1488E"/>
    <w:rsid w:val="4FD77996"/>
    <w:rsid w:val="4FDB6ECF"/>
    <w:rsid w:val="4FE0315E"/>
    <w:rsid w:val="50003C74"/>
    <w:rsid w:val="5001726A"/>
    <w:rsid w:val="500D2E44"/>
    <w:rsid w:val="5022086D"/>
    <w:rsid w:val="50295080"/>
    <w:rsid w:val="503BBCA5"/>
    <w:rsid w:val="505595C7"/>
    <w:rsid w:val="505FF705"/>
    <w:rsid w:val="508B5AED"/>
    <w:rsid w:val="50C69D8D"/>
    <w:rsid w:val="510026EE"/>
    <w:rsid w:val="510DFFFB"/>
    <w:rsid w:val="51505109"/>
    <w:rsid w:val="5165D9AD"/>
    <w:rsid w:val="51C8EE8D"/>
    <w:rsid w:val="51D6FE4F"/>
    <w:rsid w:val="51ED2218"/>
    <w:rsid w:val="5256B9E0"/>
    <w:rsid w:val="529876AE"/>
    <w:rsid w:val="52C6DF7C"/>
    <w:rsid w:val="52E65567"/>
    <w:rsid w:val="53117F75"/>
    <w:rsid w:val="53137080"/>
    <w:rsid w:val="535D2C8E"/>
    <w:rsid w:val="5360E5DC"/>
    <w:rsid w:val="537B9794"/>
    <w:rsid w:val="5380D38A"/>
    <w:rsid w:val="53A0DB5A"/>
    <w:rsid w:val="53BEA56A"/>
    <w:rsid w:val="53F3B609"/>
    <w:rsid w:val="53F40480"/>
    <w:rsid w:val="54295076"/>
    <w:rsid w:val="543079EB"/>
    <w:rsid w:val="5445A0BD"/>
    <w:rsid w:val="5445BA9D"/>
    <w:rsid w:val="54515FE2"/>
    <w:rsid w:val="546FF71F"/>
    <w:rsid w:val="548B38AD"/>
    <w:rsid w:val="54AE0F87"/>
    <w:rsid w:val="54EB98E3"/>
    <w:rsid w:val="553FAA29"/>
    <w:rsid w:val="55664324"/>
    <w:rsid w:val="55DFA2D3"/>
    <w:rsid w:val="55F658BD"/>
    <w:rsid w:val="5630E129"/>
    <w:rsid w:val="563B2A63"/>
    <w:rsid w:val="5669C78F"/>
    <w:rsid w:val="5697BF2C"/>
    <w:rsid w:val="56D53C78"/>
    <w:rsid w:val="56E79B4F"/>
    <w:rsid w:val="56FB6647"/>
    <w:rsid w:val="56FC82D2"/>
    <w:rsid w:val="573E3ACD"/>
    <w:rsid w:val="57464C4C"/>
    <w:rsid w:val="574CD56A"/>
    <w:rsid w:val="57953309"/>
    <w:rsid w:val="57D4D8C7"/>
    <w:rsid w:val="57DE6F3C"/>
    <w:rsid w:val="580897DC"/>
    <w:rsid w:val="587B88ED"/>
    <w:rsid w:val="59121BAC"/>
    <w:rsid w:val="59164AF9"/>
    <w:rsid w:val="595C7538"/>
    <w:rsid w:val="596B9BD7"/>
    <w:rsid w:val="59A48DD0"/>
    <w:rsid w:val="59A5D65C"/>
    <w:rsid w:val="5A675AF2"/>
    <w:rsid w:val="5A6F979A"/>
    <w:rsid w:val="5A870B34"/>
    <w:rsid w:val="5A8A14E1"/>
    <w:rsid w:val="5A9F4C56"/>
    <w:rsid w:val="5AFDFC7D"/>
    <w:rsid w:val="5B02927B"/>
    <w:rsid w:val="5B12411A"/>
    <w:rsid w:val="5B1F8B22"/>
    <w:rsid w:val="5B2EF14F"/>
    <w:rsid w:val="5B4DA116"/>
    <w:rsid w:val="5B70A935"/>
    <w:rsid w:val="5B74C97C"/>
    <w:rsid w:val="5BF597B5"/>
    <w:rsid w:val="5C07BE28"/>
    <w:rsid w:val="5C0D6FD8"/>
    <w:rsid w:val="5C9BB874"/>
    <w:rsid w:val="5CA917DE"/>
    <w:rsid w:val="5CFE14D8"/>
    <w:rsid w:val="5D0886C7"/>
    <w:rsid w:val="5D490B1E"/>
    <w:rsid w:val="5DDB876F"/>
    <w:rsid w:val="5E08B5FC"/>
    <w:rsid w:val="5E275DB2"/>
    <w:rsid w:val="5E3AD4EE"/>
    <w:rsid w:val="5E66CD14"/>
    <w:rsid w:val="5E66F394"/>
    <w:rsid w:val="5F2080F7"/>
    <w:rsid w:val="5F5F81DC"/>
    <w:rsid w:val="5F6F8516"/>
    <w:rsid w:val="5F88AD73"/>
    <w:rsid w:val="5FA247E5"/>
    <w:rsid w:val="5FA4E56B"/>
    <w:rsid w:val="601D9BFE"/>
    <w:rsid w:val="602EF40C"/>
    <w:rsid w:val="6034C028"/>
    <w:rsid w:val="606B9FBE"/>
    <w:rsid w:val="60C23F7E"/>
    <w:rsid w:val="60D406E5"/>
    <w:rsid w:val="6139F9D8"/>
    <w:rsid w:val="614D82F7"/>
    <w:rsid w:val="615F3F1B"/>
    <w:rsid w:val="617A6985"/>
    <w:rsid w:val="617FF774"/>
    <w:rsid w:val="61AF830F"/>
    <w:rsid w:val="61B85B13"/>
    <w:rsid w:val="620353E4"/>
    <w:rsid w:val="6283968E"/>
    <w:rsid w:val="62D36044"/>
    <w:rsid w:val="62F74F01"/>
    <w:rsid w:val="630E32B5"/>
    <w:rsid w:val="6356AD95"/>
    <w:rsid w:val="638159B2"/>
    <w:rsid w:val="6385D481"/>
    <w:rsid w:val="63C061AC"/>
    <w:rsid w:val="63D89DF2"/>
    <w:rsid w:val="6422F0A7"/>
    <w:rsid w:val="64B811D8"/>
    <w:rsid w:val="64F90636"/>
    <w:rsid w:val="650A9BB5"/>
    <w:rsid w:val="650F3EBE"/>
    <w:rsid w:val="653FF764"/>
    <w:rsid w:val="6548AA60"/>
    <w:rsid w:val="6549F66C"/>
    <w:rsid w:val="654CE9F4"/>
    <w:rsid w:val="6567B324"/>
    <w:rsid w:val="656987FC"/>
    <w:rsid w:val="657A1BE0"/>
    <w:rsid w:val="657C07D8"/>
    <w:rsid w:val="65D0179F"/>
    <w:rsid w:val="660D5B21"/>
    <w:rsid w:val="66194EF5"/>
    <w:rsid w:val="666AE9B2"/>
    <w:rsid w:val="66965351"/>
    <w:rsid w:val="66CD1E69"/>
    <w:rsid w:val="66D41C85"/>
    <w:rsid w:val="66D6C507"/>
    <w:rsid w:val="6736CB4E"/>
    <w:rsid w:val="67583547"/>
    <w:rsid w:val="676E5F13"/>
    <w:rsid w:val="678E8312"/>
    <w:rsid w:val="679B9D04"/>
    <w:rsid w:val="679FFFD0"/>
    <w:rsid w:val="67D8BE68"/>
    <w:rsid w:val="67E816D6"/>
    <w:rsid w:val="683D1EA1"/>
    <w:rsid w:val="68463710"/>
    <w:rsid w:val="685D0C9C"/>
    <w:rsid w:val="68680EFF"/>
    <w:rsid w:val="68690FEB"/>
    <w:rsid w:val="6881DB12"/>
    <w:rsid w:val="68C350C4"/>
    <w:rsid w:val="68CCFB83"/>
    <w:rsid w:val="68DCE11C"/>
    <w:rsid w:val="6909813B"/>
    <w:rsid w:val="6916675C"/>
    <w:rsid w:val="6921F5DC"/>
    <w:rsid w:val="69615403"/>
    <w:rsid w:val="69862BCF"/>
    <w:rsid w:val="69A2912F"/>
    <w:rsid w:val="69C0583E"/>
    <w:rsid w:val="6A054072"/>
    <w:rsid w:val="6A28BBB8"/>
    <w:rsid w:val="6A51EE5D"/>
    <w:rsid w:val="6A92953C"/>
    <w:rsid w:val="6A9FBC90"/>
    <w:rsid w:val="6AD8E52F"/>
    <w:rsid w:val="6ADC315B"/>
    <w:rsid w:val="6AE74058"/>
    <w:rsid w:val="6B1C2D28"/>
    <w:rsid w:val="6B40E16E"/>
    <w:rsid w:val="6BBAE8E5"/>
    <w:rsid w:val="6BBD3DE9"/>
    <w:rsid w:val="6BE9C2AF"/>
    <w:rsid w:val="6BF67592"/>
    <w:rsid w:val="6BFE6F16"/>
    <w:rsid w:val="6C08A898"/>
    <w:rsid w:val="6C28A217"/>
    <w:rsid w:val="6C54C311"/>
    <w:rsid w:val="6C6A4016"/>
    <w:rsid w:val="6C87387B"/>
    <w:rsid w:val="6C952642"/>
    <w:rsid w:val="6CAE42BE"/>
    <w:rsid w:val="6CC5443B"/>
    <w:rsid w:val="6CD355F0"/>
    <w:rsid w:val="6CE54871"/>
    <w:rsid w:val="6CEE9AE0"/>
    <w:rsid w:val="6D0FA8A6"/>
    <w:rsid w:val="6D43019B"/>
    <w:rsid w:val="6DB0BCBC"/>
    <w:rsid w:val="6DFE00CB"/>
    <w:rsid w:val="6E0CBCEB"/>
    <w:rsid w:val="6E48AD39"/>
    <w:rsid w:val="6E525055"/>
    <w:rsid w:val="6E65F18D"/>
    <w:rsid w:val="6EABEB65"/>
    <w:rsid w:val="6EDD9B72"/>
    <w:rsid w:val="6EF1B2FF"/>
    <w:rsid w:val="6EF855FE"/>
    <w:rsid w:val="6F1BDD00"/>
    <w:rsid w:val="6F1F9271"/>
    <w:rsid w:val="6F24D8AE"/>
    <w:rsid w:val="6F2A9B62"/>
    <w:rsid w:val="6F4C81D5"/>
    <w:rsid w:val="6F865EAC"/>
    <w:rsid w:val="6F94D5D7"/>
    <w:rsid w:val="6FDA1E69"/>
    <w:rsid w:val="6FF4C121"/>
    <w:rsid w:val="6FFA57F5"/>
    <w:rsid w:val="70482953"/>
    <w:rsid w:val="70643F85"/>
    <w:rsid w:val="706D9852"/>
    <w:rsid w:val="70ED4607"/>
    <w:rsid w:val="711C4F31"/>
    <w:rsid w:val="7143B0AE"/>
    <w:rsid w:val="714E47A2"/>
    <w:rsid w:val="71518C3E"/>
    <w:rsid w:val="715E9EE3"/>
    <w:rsid w:val="7162139D"/>
    <w:rsid w:val="7240D35B"/>
    <w:rsid w:val="729CE842"/>
    <w:rsid w:val="72BE54C7"/>
    <w:rsid w:val="72EF1331"/>
    <w:rsid w:val="7343BDE8"/>
    <w:rsid w:val="736DB87E"/>
    <w:rsid w:val="73F54201"/>
    <w:rsid w:val="743499F5"/>
    <w:rsid w:val="745FF654"/>
    <w:rsid w:val="7481BD4A"/>
    <w:rsid w:val="74B44BC8"/>
    <w:rsid w:val="74D5926E"/>
    <w:rsid w:val="754B5091"/>
    <w:rsid w:val="7594A72B"/>
    <w:rsid w:val="7597F077"/>
    <w:rsid w:val="75BDDDF6"/>
    <w:rsid w:val="75E7D2DA"/>
    <w:rsid w:val="760597EE"/>
    <w:rsid w:val="766730D4"/>
    <w:rsid w:val="7676041C"/>
    <w:rsid w:val="76C670C5"/>
    <w:rsid w:val="76CE4B01"/>
    <w:rsid w:val="76DC37DD"/>
    <w:rsid w:val="76F00784"/>
    <w:rsid w:val="7712B11E"/>
    <w:rsid w:val="772A7F12"/>
    <w:rsid w:val="774C1598"/>
    <w:rsid w:val="7773B292"/>
    <w:rsid w:val="777A3E03"/>
    <w:rsid w:val="77805EFA"/>
    <w:rsid w:val="7783A33B"/>
    <w:rsid w:val="780313DD"/>
    <w:rsid w:val="78261C16"/>
    <w:rsid w:val="782E51C9"/>
    <w:rsid w:val="7843DB7F"/>
    <w:rsid w:val="7861BDC8"/>
    <w:rsid w:val="786BCF60"/>
    <w:rsid w:val="786C3AE2"/>
    <w:rsid w:val="788DFD6D"/>
    <w:rsid w:val="78B3BDED"/>
    <w:rsid w:val="78D6FE6D"/>
    <w:rsid w:val="78FA24CF"/>
    <w:rsid w:val="79082A74"/>
    <w:rsid w:val="794C1027"/>
    <w:rsid w:val="7959B122"/>
    <w:rsid w:val="797BD6FF"/>
    <w:rsid w:val="79B4F94C"/>
    <w:rsid w:val="79D73236"/>
    <w:rsid w:val="79E0C194"/>
    <w:rsid w:val="79E24B46"/>
    <w:rsid w:val="79EB3BD3"/>
    <w:rsid w:val="7A25B89D"/>
    <w:rsid w:val="7A3FA55F"/>
    <w:rsid w:val="7A999140"/>
    <w:rsid w:val="7AB720B0"/>
    <w:rsid w:val="7ABC18DE"/>
    <w:rsid w:val="7ABE479D"/>
    <w:rsid w:val="7B6CB54D"/>
    <w:rsid w:val="7B80CE7E"/>
    <w:rsid w:val="7BEAAF93"/>
    <w:rsid w:val="7BF0B334"/>
    <w:rsid w:val="7C1314A1"/>
    <w:rsid w:val="7C1A3EEB"/>
    <w:rsid w:val="7C74F94C"/>
    <w:rsid w:val="7CD85485"/>
    <w:rsid w:val="7CEFE4C8"/>
    <w:rsid w:val="7D14E311"/>
    <w:rsid w:val="7D1AEEA2"/>
    <w:rsid w:val="7D1DE9B3"/>
    <w:rsid w:val="7D589654"/>
    <w:rsid w:val="7DBDB718"/>
    <w:rsid w:val="7DD2D789"/>
    <w:rsid w:val="7DD2E04F"/>
    <w:rsid w:val="7DEC4262"/>
    <w:rsid w:val="7DEEC172"/>
    <w:rsid w:val="7E2421C7"/>
    <w:rsid w:val="7E2B2C7B"/>
    <w:rsid w:val="7E666C5A"/>
    <w:rsid w:val="7EBB5CB8"/>
    <w:rsid w:val="7EBE05CA"/>
    <w:rsid w:val="7EC966B4"/>
    <w:rsid w:val="7EF5EAB4"/>
    <w:rsid w:val="7F045D98"/>
    <w:rsid w:val="7F1661FE"/>
    <w:rsid w:val="7F257783"/>
    <w:rsid w:val="7F34FB2B"/>
    <w:rsid w:val="7F712E40"/>
    <w:rsid w:val="7F81CEA5"/>
    <w:rsid w:val="7F839F95"/>
    <w:rsid w:val="7FA33525"/>
    <w:rsid w:val="7FB6889E"/>
    <w:rsid w:val="7FBAF37F"/>
    <w:rsid w:val="7FFDD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6CDF4B7"/>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41396D"/>
    <w:rPr>
      <w:sz w:val="24"/>
      <w:szCs w:val="24"/>
    </w:rPr>
  </w:style>
  <w:style w:type="paragraph" w:styleId="Ttulo1">
    <w:name w:val="heading 1"/>
    <w:basedOn w:val="Normal"/>
    <w:next w:val="Normal"/>
    <w:qFormat/>
    <w:rsid w:val="001C3A32"/>
    <w:pPr>
      <w:keepNext/>
      <w:spacing w:before="240" w:after="60"/>
      <w:ind w:firstLine="567"/>
      <w:jc w:val="both"/>
      <w:outlineLvl w:val="0"/>
    </w:pPr>
    <w:rPr>
      <w:rFonts w:ascii="Arial" w:hAnsi="Arial" w:cs="Arial"/>
      <w:b/>
      <w:bCs/>
      <w:kern w:val="32"/>
      <w:sz w:val="32"/>
      <w:szCs w:val="32"/>
      <w:lang w:eastAsia="en-US"/>
    </w:rPr>
  </w:style>
  <w:style w:type="paragraph" w:styleId="Ttulo2">
    <w:name w:val="heading 2"/>
    <w:basedOn w:val="Normal"/>
    <w:next w:val="Normal"/>
    <w:qFormat/>
    <w:rsid w:val="001C3A32"/>
    <w:pPr>
      <w:keepNext/>
      <w:spacing w:before="240" w:after="60"/>
      <w:ind w:firstLine="567"/>
      <w:jc w:val="both"/>
      <w:outlineLvl w:val="1"/>
    </w:pPr>
    <w:rPr>
      <w:rFonts w:ascii="Arial" w:hAnsi="Arial" w:cs="Arial"/>
      <w:b/>
      <w:bCs/>
      <w:i/>
      <w:iCs/>
      <w:sz w:val="28"/>
      <w:szCs w:val="28"/>
      <w:lang w:eastAsia="en-US"/>
    </w:rPr>
  </w:style>
  <w:style w:type="paragraph" w:styleId="Ttulo3">
    <w:name w:val="heading 3"/>
    <w:basedOn w:val="Normal"/>
    <w:next w:val="Normal"/>
    <w:link w:val="Ttulo3Car"/>
    <w:uiPriority w:val="9"/>
    <w:qFormat/>
    <w:rsid w:val="001C3A32"/>
    <w:pPr>
      <w:keepNext/>
      <w:spacing w:before="240" w:after="60"/>
      <w:ind w:firstLine="567"/>
      <w:jc w:val="both"/>
      <w:outlineLvl w:val="2"/>
    </w:pPr>
    <w:rPr>
      <w:rFonts w:ascii="Arial" w:hAnsi="Arial" w:cs="Arial"/>
      <w:b/>
      <w:bCs/>
      <w:sz w:val="20"/>
      <w:szCs w:val="26"/>
      <w:lang w:eastAsia="en-US"/>
    </w:rPr>
  </w:style>
  <w:style w:type="paragraph" w:styleId="Ttulo5">
    <w:name w:val="heading 5"/>
    <w:basedOn w:val="Normal"/>
    <w:next w:val="Normal"/>
    <w:link w:val="Ttulo5Car"/>
    <w:uiPriority w:val="99"/>
    <w:qFormat/>
    <w:rsid w:val="001C3A32"/>
    <w:pPr>
      <w:keepNext/>
      <w:tabs>
        <w:tab w:val="left" w:pos="7200"/>
      </w:tabs>
      <w:ind w:right="44"/>
      <w:jc w:val="center"/>
      <w:outlineLvl w:val="4"/>
    </w:pPr>
    <w:rPr>
      <w:b/>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5"/>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ind w:left="4536"/>
      <w:jc w:val="both"/>
    </w:pPr>
    <w:rPr>
      <w:rFonts w:ascii="ITCCentury Book" w:hAnsi="ITCCentury Book"/>
      <w:sz w:val="60"/>
      <w:szCs w:val="20"/>
      <w:lang w:eastAsia="en-US"/>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spacing w:after="140"/>
      <w:ind w:firstLine="284"/>
      <w:jc w:val="both"/>
    </w:pPr>
    <w:rPr>
      <w:spacing w:val="6"/>
      <w:sz w:val="26"/>
      <w:lang w:eastAsia="en-US"/>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jc w:val="both"/>
    </w:pPr>
    <w:rPr>
      <w:rFonts w:ascii="Arial Narrow" w:hAnsi="Arial Narrow"/>
      <w:smallCaps/>
      <w:sz w:val="22"/>
      <w:szCs w:val="20"/>
      <w:lang w:eastAsia="en-US"/>
    </w:rPr>
  </w:style>
  <w:style w:type="paragraph" w:styleId="TDC2">
    <w:name w:val="toc 2"/>
    <w:basedOn w:val="Normal"/>
    <w:next w:val="Normal"/>
    <w:autoRedefine/>
    <w:uiPriority w:val="39"/>
    <w:rsid w:val="00477C53"/>
    <w:pPr>
      <w:tabs>
        <w:tab w:val="right" w:leader="dot" w:pos="8930"/>
      </w:tabs>
      <w:ind w:left="378"/>
      <w:jc w:val="both"/>
    </w:pPr>
    <w:rPr>
      <w:rFonts w:ascii="Arial Narrow" w:hAnsi="Arial Narrow"/>
      <w:sz w:val="22"/>
      <w:szCs w:val="20"/>
      <w:lang w:eastAsia="en-US"/>
    </w:rPr>
  </w:style>
  <w:style w:type="paragraph" w:styleId="Textodeglobo">
    <w:name w:val="Balloon Text"/>
    <w:basedOn w:val="Normal"/>
    <w:semiHidden/>
    <w:rsid w:val="000A4697"/>
    <w:pPr>
      <w:spacing w:after="140"/>
      <w:ind w:firstLine="567"/>
      <w:jc w:val="both"/>
    </w:pPr>
    <w:rPr>
      <w:rFonts w:ascii="Tahoma" w:hAnsi="Tahoma" w:cs="Tahoma"/>
      <w:sz w:val="16"/>
      <w:szCs w:val="16"/>
      <w:lang w:eastAsia="en-US"/>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pPr>
      <w:spacing w:after="140"/>
      <w:ind w:firstLine="567"/>
      <w:jc w:val="both"/>
    </w:pPr>
    <w:rPr>
      <w:b/>
      <w:bCs/>
      <w:sz w:val="20"/>
      <w:szCs w:val="20"/>
      <w:lang w:eastAsia="en-U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spacing w:after="140"/>
      <w:ind w:left="567"/>
      <w:jc w:val="both"/>
    </w:pPr>
    <w:rPr>
      <w:rFonts w:ascii="Arial Narrow" w:hAnsi="Arial Narrow"/>
      <w:sz w:val="22"/>
      <w:szCs w:val="20"/>
      <w:lang w:eastAsia="en-US"/>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u-ES"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45C6C"/>
    <w:pPr>
      <w:ind w:left="720"/>
      <w:contextualSpacing/>
    </w:pPr>
    <w:rPr>
      <w:sz w:val="20"/>
      <w:szCs w:val="20"/>
      <w:lang w:eastAsia="en-US"/>
    </w:rPr>
  </w:style>
  <w:style w:type="character" w:customStyle="1" w:styleId="PiedepginaCar">
    <w:name w:val="Pie de página Car"/>
    <w:basedOn w:val="Fuentedeprrafopredeter"/>
    <w:link w:val="Piedepgina"/>
    <w:uiPriority w:val="99"/>
    <w:rsid w:val="00345C6C"/>
    <w:rPr>
      <w:spacing w:val="6"/>
      <w:lang w:val="eu-ES"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unhideWhenUsed/>
    <w:rsid w:val="00345C6C"/>
    <w:pPr>
      <w:ind w:firstLine="567"/>
      <w:jc w:val="both"/>
    </w:pPr>
    <w:rPr>
      <w:sz w:val="20"/>
      <w:szCs w:val="20"/>
      <w:lang w:eastAsia="en-US"/>
    </w:rPr>
  </w:style>
  <w:style w:type="character" w:customStyle="1" w:styleId="TextonotapieCar">
    <w:name w:val="Texto nota pie Car"/>
    <w:basedOn w:val="Fuentedeprrafopredeter"/>
    <w:link w:val="Textonotapie"/>
    <w:rsid w:val="00345C6C"/>
    <w:rPr>
      <w:lang w:val="eu-ES" w:eastAsia="en-US"/>
    </w:rPr>
  </w:style>
  <w:style w:type="character" w:styleId="Refdenotaalpie">
    <w:name w:val="footnote reference"/>
    <w:basedOn w:val="Fuentedeprrafopredeter"/>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pPr>
      <w:spacing w:after="140"/>
      <w:ind w:firstLine="567"/>
      <w:jc w:val="both"/>
    </w:pPr>
    <w:rPr>
      <w:sz w:val="20"/>
      <w:szCs w:val="20"/>
      <w:lang w:eastAsia="en-US"/>
    </w:rPr>
  </w:style>
  <w:style w:type="character" w:customStyle="1" w:styleId="TextocomentarioCar">
    <w:name w:val="Texto comentario Car"/>
    <w:basedOn w:val="Fuentedeprrafopredeter"/>
    <w:link w:val="Textocomentario"/>
    <w:semiHidden/>
    <w:rsid w:val="00B72304"/>
    <w:rPr>
      <w:lang w:val="eu-ES"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u-ES" w:eastAsia="en-US"/>
    </w:rPr>
  </w:style>
  <w:style w:type="character" w:customStyle="1" w:styleId="Ttulo3Car">
    <w:name w:val="Título 3 Car"/>
    <w:basedOn w:val="Fuentedeprrafopredeter"/>
    <w:link w:val="Ttulo3"/>
    <w:uiPriority w:val="9"/>
    <w:rsid w:val="00B83A58"/>
    <w:rPr>
      <w:rFonts w:ascii="Arial" w:hAnsi="Arial" w:cs="Arial"/>
      <w:b/>
      <w:bCs/>
      <w:szCs w:val="26"/>
      <w:lang w:val="eu-ES"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9A7A48"/>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25"/>
      <w:lang w:eastAsia="es-ES"/>
    </w:rPr>
  </w:style>
  <w:style w:type="paragraph" w:styleId="Revisin">
    <w:name w:val="Revision"/>
    <w:hidden/>
    <w:uiPriority w:val="99"/>
    <w:semiHidden/>
    <w:rsid w:val="009A7A48"/>
    <w:rPr>
      <w:lang w:eastAsia="en-US"/>
    </w:rPr>
  </w:style>
  <w:style w:type="paragraph" w:customStyle="1" w:styleId="Default">
    <w:name w:val="Default"/>
    <w:rsid w:val="00A90022"/>
    <w:pPr>
      <w:autoSpaceDE w:val="0"/>
      <w:autoSpaceDN w:val="0"/>
      <w:adjustRightInd w:val="0"/>
    </w:pPr>
    <w:rPr>
      <w:color w:val="000000"/>
      <w:sz w:val="24"/>
      <w:szCs w:val="24"/>
    </w:rPr>
  </w:style>
  <w:style w:type="character" w:customStyle="1" w:styleId="CharacterStyle1">
    <w:name w:val="Character Style 1"/>
    <w:basedOn w:val="Fuentedeprrafopredeter"/>
    <w:uiPriority w:val="1"/>
    <w:rsid w:val="0DF82E94"/>
    <w:rPr>
      <w:rFonts w:ascii="Garamond" w:eastAsia="Times New Roman" w:hAnsi="Garamond" w:cs="Garamond"/>
      <w:sz w:val="22"/>
      <w:szCs w:val="22"/>
    </w:rPr>
  </w:style>
  <w:style w:type="paragraph" w:customStyle="1" w:styleId="Style1">
    <w:name w:val="Style 1"/>
    <w:basedOn w:val="Normal"/>
    <w:uiPriority w:val="1"/>
    <w:rsid w:val="0DF82E94"/>
  </w:style>
  <w:style w:type="character" w:customStyle="1" w:styleId="normaltextrun">
    <w:name w:val="normaltextrun"/>
    <w:basedOn w:val="Fuentedeprrafopredeter"/>
    <w:rsid w:val="00BF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40326497">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17573010">
      <w:bodyDiv w:val="1"/>
      <w:marLeft w:val="0"/>
      <w:marRight w:val="0"/>
      <w:marTop w:val="0"/>
      <w:marBottom w:val="0"/>
      <w:divBdr>
        <w:top w:val="none" w:sz="0" w:space="0" w:color="auto"/>
        <w:left w:val="none" w:sz="0" w:space="0" w:color="auto"/>
        <w:bottom w:val="none" w:sz="0" w:space="0" w:color="auto"/>
        <w:right w:val="none" w:sz="0" w:space="0" w:color="auto"/>
      </w:divBdr>
    </w:div>
    <w:div w:id="117920487">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175075161">
      <w:bodyDiv w:val="1"/>
      <w:marLeft w:val="0"/>
      <w:marRight w:val="0"/>
      <w:marTop w:val="0"/>
      <w:marBottom w:val="0"/>
      <w:divBdr>
        <w:top w:val="none" w:sz="0" w:space="0" w:color="auto"/>
        <w:left w:val="none" w:sz="0" w:space="0" w:color="auto"/>
        <w:bottom w:val="none" w:sz="0" w:space="0" w:color="auto"/>
        <w:right w:val="none" w:sz="0" w:space="0" w:color="auto"/>
      </w:divBdr>
    </w:div>
    <w:div w:id="216866435">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249392284">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23632940">
      <w:bodyDiv w:val="1"/>
      <w:marLeft w:val="0"/>
      <w:marRight w:val="0"/>
      <w:marTop w:val="0"/>
      <w:marBottom w:val="0"/>
      <w:divBdr>
        <w:top w:val="none" w:sz="0" w:space="0" w:color="auto"/>
        <w:left w:val="none" w:sz="0" w:space="0" w:color="auto"/>
        <w:bottom w:val="none" w:sz="0" w:space="0" w:color="auto"/>
        <w:right w:val="none" w:sz="0" w:space="0" w:color="auto"/>
      </w:divBdr>
    </w:div>
    <w:div w:id="353386797">
      <w:bodyDiv w:val="1"/>
      <w:marLeft w:val="0"/>
      <w:marRight w:val="0"/>
      <w:marTop w:val="0"/>
      <w:marBottom w:val="0"/>
      <w:divBdr>
        <w:top w:val="none" w:sz="0" w:space="0" w:color="auto"/>
        <w:left w:val="none" w:sz="0" w:space="0" w:color="auto"/>
        <w:bottom w:val="none" w:sz="0" w:space="0" w:color="auto"/>
        <w:right w:val="none" w:sz="0" w:space="0" w:color="auto"/>
      </w:divBdr>
    </w:div>
    <w:div w:id="353851856">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578904928">
      <w:bodyDiv w:val="1"/>
      <w:marLeft w:val="0"/>
      <w:marRight w:val="0"/>
      <w:marTop w:val="0"/>
      <w:marBottom w:val="0"/>
      <w:divBdr>
        <w:top w:val="none" w:sz="0" w:space="0" w:color="auto"/>
        <w:left w:val="none" w:sz="0" w:space="0" w:color="auto"/>
        <w:bottom w:val="none" w:sz="0" w:space="0" w:color="auto"/>
        <w:right w:val="none" w:sz="0" w:space="0" w:color="auto"/>
      </w:divBdr>
    </w:div>
    <w:div w:id="580531895">
      <w:bodyDiv w:val="1"/>
      <w:marLeft w:val="0"/>
      <w:marRight w:val="0"/>
      <w:marTop w:val="0"/>
      <w:marBottom w:val="0"/>
      <w:divBdr>
        <w:top w:val="none" w:sz="0" w:space="0" w:color="auto"/>
        <w:left w:val="none" w:sz="0" w:space="0" w:color="auto"/>
        <w:bottom w:val="none" w:sz="0" w:space="0" w:color="auto"/>
        <w:right w:val="none" w:sz="0" w:space="0" w:color="auto"/>
      </w:divBdr>
    </w:div>
    <w:div w:id="606497855">
      <w:bodyDiv w:val="1"/>
      <w:marLeft w:val="0"/>
      <w:marRight w:val="0"/>
      <w:marTop w:val="0"/>
      <w:marBottom w:val="0"/>
      <w:divBdr>
        <w:top w:val="none" w:sz="0" w:space="0" w:color="auto"/>
        <w:left w:val="none" w:sz="0" w:space="0" w:color="auto"/>
        <w:bottom w:val="none" w:sz="0" w:space="0" w:color="auto"/>
        <w:right w:val="none" w:sz="0" w:space="0" w:color="auto"/>
      </w:divBdr>
    </w:div>
    <w:div w:id="612202251">
      <w:bodyDiv w:val="1"/>
      <w:marLeft w:val="0"/>
      <w:marRight w:val="0"/>
      <w:marTop w:val="0"/>
      <w:marBottom w:val="0"/>
      <w:divBdr>
        <w:top w:val="none" w:sz="0" w:space="0" w:color="auto"/>
        <w:left w:val="none" w:sz="0" w:space="0" w:color="auto"/>
        <w:bottom w:val="none" w:sz="0" w:space="0" w:color="auto"/>
        <w:right w:val="none" w:sz="0" w:space="0" w:color="auto"/>
      </w:divBdr>
    </w:div>
    <w:div w:id="666447947">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833884476">
      <w:bodyDiv w:val="1"/>
      <w:marLeft w:val="0"/>
      <w:marRight w:val="0"/>
      <w:marTop w:val="0"/>
      <w:marBottom w:val="0"/>
      <w:divBdr>
        <w:top w:val="none" w:sz="0" w:space="0" w:color="auto"/>
        <w:left w:val="none" w:sz="0" w:space="0" w:color="auto"/>
        <w:bottom w:val="none" w:sz="0" w:space="0" w:color="auto"/>
        <w:right w:val="none" w:sz="0" w:space="0" w:color="auto"/>
      </w:divBdr>
    </w:div>
    <w:div w:id="896666032">
      <w:bodyDiv w:val="1"/>
      <w:marLeft w:val="0"/>
      <w:marRight w:val="0"/>
      <w:marTop w:val="0"/>
      <w:marBottom w:val="0"/>
      <w:divBdr>
        <w:top w:val="none" w:sz="0" w:space="0" w:color="auto"/>
        <w:left w:val="none" w:sz="0" w:space="0" w:color="auto"/>
        <w:bottom w:val="none" w:sz="0" w:space="0" w:color="auto"/>
        <w:right w:val="none" w:sz="0" w:space="0" w:color="auto"/>
      </w:divBdr>
    </w:div>
    <w:div w:id="934705035">
      <w:bodyDiv w:val="1"/>
      <w:marLeft w:val="0"/>
      <w:marRight w:val="0"/>
      <w:marTop w:val="0"/>
      <w:marBottom w:val="0"/>
      <w:divBdr>
        <w:top w:val="none" w:sz="0" w:space="0" w:color="auto"/>
        <w:left w:val="none" w:sz="0" w:space="0" w:color="auto"/>
        <w:bottom w:val="none" w:sz="0" w:space="0" w:color="auto"/>
        <w:right w:val="none" w:sz="0" w:space="0" w:color="auto"/>
      </w:divBdr>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004361899">
      <w:bodyDiv w:val="1"/>
      <w:marLeft w:val="0"/>
      <w:marRight w:val="0"/>
      <w:marTop w:val="0"/>
      <w:marBottom w:val="0"/>
      <w:divBdr>
        <w:top w:val="none" w:sz="0" w:space="0" w:color="auto"/>
        <w:left w:val="none" w:sz="0" w:space="0" w:color="auto"/>
        <w:bottom w:val="none" w:sz="0" w:space="0" w:color="auto"/>
        <w:right w:val="none" w:sz="0" w:space="0" w:color="auto"/>
      </w:divBdr>
    </w:div>
    <w:div w:id="1072970422">
      <w:bodyDiv w:val="1"/>
      <w:marLeft w:val="0"/>
      <w:marRight w:val="0"/>
      <w:marTop w:val="0"/>
      <w:marBottom w:val="0"/>
      <w:divBdr>
        <w:top w:val="none" w:sz="0" w:space="0" w:color="auto"/>
        <w:left w:val="none" w:sz="0" w:space="0" w:color="auto"/>
        <w:bottom w:val="none" w:sz="0" w:space="0" w:color="auto"/>
        <w:right w:val="none" w:sz="0" w:space="0" w:color="auto"/>
      </w:divBdr>
    </w:div>
    <w:div w:id="1200050234">
      <w:bodyDiv w:val="1"/>
      <w:marLeft w:val="0"/>
      <w:marRight w:val="0"/>
      <w:marTop w:val="0"/>
      <w:marBottom w:val="0"/>
      <w:divBdr>
        <w:top w:val="none" w:sz="0" w:space="0" w:color="auto"/>
        <w:left w:val="none" w:sz="0" w:space="0" w:color="auto"/>
        <w:bottom w:val="none" w:sz="0" w:space="0" w:color="auto"/>
        <w:right w:val="none" w:sz="0" w:space="0" w:color="auto"/>
      </w:divBdr>
    </w:div>
    <w:div w:id="1214385117">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50428735">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288050706">
      <w:bodyDiv w:val="1"/>
      <w:marLeft w:val="0"/>
      <w:marRight w:val="0"/>
      <w:marTop w:val="0"/>
      <w:marBottom w:val="0"/>
      <w:divBdr>
        <w:top w:val="none" w:sz="0" w:space="0" w:color="auto"/>
        <w:left w:val="none" w:sz="0" w:space="0" w:color="auto"/>
        <w:bottom w:val="none" w:sz="0" w:space="0" w:color="auto"/>
        <w:right w:val="none" w:sz="0" w:space="0" w:color="auto"/>
      </w:divBdr>
    </w:div>
    <w:div w:id="130111542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320228030">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466311662">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589733230">
      <w:bodyDiv w:val="1"/>
      <w:marLeft w:val="0"/>
      <w:marRight w:val="0"/>
      <w:marTop w:val="0"/>
      <w:marBottom w:val="0"/>
      <w:divBdr>
        <w:top w:val="none" w:sz="0" w:space="0" w:color="auto"/>
        <w:left w:val="none" w:sz="0" w:space="0" w:color="auto"/>
        <w:bottom w:val="none" w:sz="0" w:space="0" w:color="auto"/>
        <w:right w:val="none" w:sz="0" w:space="0" w:color="auto"/>
      </w:divBdr>
    </w:div>
    <w:div w:id="1592007614">
      <w:bodyDiv w:val="1"/>
      <w:marLeft w:val="0"/>
      <w:marRight w:val="0"/>
      <w:marTop w:val="0"/>
      <w:marBottom w:val="0"/>
      <w:divBdr>
        <w:top w:val="none" w:sz="0" w:space="0" w:color="auto"/>
        <w:left w:val="none" w:sz="0" w:space="0" w:color="auto"/>
        <w:bottom w:val="none" w:sz="0" w:space="0" w:color="auto"/>
        <w:right w:val="none" w:sz="0" w:space="0" w:color="auto"/>
      </w:divBdr>
    </w:div>
    <w:div w:id="1700353592">
      <w:bodyDiv w:val="1"/>
      <w:marLeft w:val="0"/>
      <w:marRight w:val="0"/>
      <w:marTop w:val="0"/>
      <w:marBottom w:val="0"/>
      <w:divBdr>
        <w:top w:val="none" w:sz="0" w:space="0" w:color="auto"/>
        <w:left w:val="none" w:sz="0" w:space="0" w:color="auto"/>
        <w:bottom w:val="none" w:sz="0" w:space="0" w:color="auto"/>
        <w:right w:val="none" w:sz="0" w:space="0" w:color="auto"/>
      </w:divBdr>
    </w:div>
    <w:div w:id="1756441194">
      <w:bodyDiv w:val="1"/>
      <w:marLeft w:val="0"/>
      <w:marRight w:val="0"/>
      <w:marTop w:val="0"/>
      <w:marBottom w:val="0"/>
      <w:divBdr>
        <w:top w:val="none" w:sz="0" w:space="0" w:color="auto"/>
        <w:left w:val="none" w:sz="0" w:space="0" w:color="auto"/>
        <w:bottom w:val="none" w:sz="0" w:space="0" w:color="auto"/>
        <w:right w:val="none" w:sz="0" w:space="0" w:color="auto"/>
      </w:divBdr>
    </w:div>
    <w:div w:id="1772971894">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1986858973">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 w:id="2127309196">
      <w:bodyDiv w:val="1"/>
      <w:marLeft w:val="0"/>
      <w:marRight w:val="0"/>
      <w:marTop w:val="0"/>
      <w:marBottom w:val="0"/>
      <w:divBdr>
        <w:top w:val="none" w:sz="0" w:space="0" w:color="auto"/>
        <w:left w:val="none" w:sz="0" w:space="0" w:color="auto"/>
        <w:bottom w:val="none" w:sz="0" w:space="0" w:color="auto"/>
        <w:right w:val="none" w:sz="0" w:space="0" w:color="auto"/>
      </w:divBdr>
    </w:div>
    <w:div w:id="21341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documenttasks/documenttasks1.xml><?xml version="1.0" encoding="utf-8"?>
<t:Tasks xmlns:t="http://schemas.microsoft.com/office/tasks/2019/documenttasks" xmlns:oel="http://schemas.microsoft.com/office/2019/extlst">
  <t:Task id="{5391BAE8-E90B-4061-9DFB-0914D8644B16}">
    <t:Anchor>
      <t:Comment id="1122304888"/>
    </t:Anchor>
    <t:History>
      <t:Event id="{FABE28CE-66F9-4E24-B4D4-318F28CB8B6A}" time="2023-11-09T10:17:39.075Z">
        <t:Attribution userId="S::jgarcilo@comptos.org::a3610a7e-53b1-4569-8a6b-0fe398ecfa63" userProvider="AD" userName="Garcia Logroño, Jose Javier (Cámara de Comptos)"/>
        <t:Anchor>
          <t:Comment id="1280493374"/>
        </t:Anchor>
        <t:Create/>
      </t:Event>
      <t:Event id="{8B00EC07-1160-48B3-9A8C-0B2551170471}" time="2023-11-09T10:17:39.075Z">
        <t:Attribution userId="S::jgarcilo@comptos.org::a3610a7e-53b1-4569-8a6b-0fe398ecfa63" userProvider="AD" userName="Garcia Logroño, Jose Javier (Cámara de Comptos)"/>
        <t:Anchor>
          <t:Comment id="1280493374"/>
        </t:Anchor>
        <t:Assign userId="S::metxartz@comptos.org::13fdbe6d-1317-4349-9d59-71c82ba9e442" userProvider="AD" userName="Etxarte Zambrano, Maite (Camara de Comptos)"/>
      </t:Event>
      <t:Event id="{25F81FF9-36F7-4A73-8662-FEE25AE3FD11}" time="2023-11-09T10:17:39.075Z">
        <t:Attribution userId="S::jgarcilo@comptos.org::a3610a7e-53b1-4569-8a6b-0fe398ecfa63" userProvider="AD" userName="Garcia Logroño, Jose Javier (Cámara de Comptos)"/>
        <t:Anchor>
          <t:Comment id="1280493374"/>
        </t:Anchor>
        <t:SetTitle title="@Etxarte Zambrano, Maite (Camara de Comptos) : Comprobemos que no hay ninguna entidad local justo en el límit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BEE59848147E042AED90B1213C9601A" ma:contentTypeVersion="4" ma:contentTypeDescription="Crear nuevo documento." ma:contentTypeScope="" ma:versionID="660cc47536fe54265764b3498eadc4ee">
  <xsd:schema xmlns:xsd="http://www.w3.org/2001/XMLSchema" xmlns:xs="http://www.w3.org/2001/XMLSchema" xmlns:p="http://schemas.microsoft.com/office/2006/metadata/properties" xmlns:ns2="1bb2d6c8-44f6-4b72-9c6c-6f0940020fb1" targetNamespace="http://schemas.microsoft.com/office/2006/metadata/properties" ma:root="true" ma:fieldsID="a3587469a79f0fc80d074887c40f7447" ns2:_="">
    <xsd:import namespace="1bb2d6c8-44f6-4b72-9c6c-6f0940020f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2d6c8-44f6-4b72-9c6c-6f094002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CEAE0-AFC4-4463-A1CD-2E5530C3D548}">
  <ds:schemaRefs>
    <ds:schemaRef ds:uri="http://schemas.openxmlformats.org/officeDocument/2006/bibliography"/>
  </ds:schemaRefs>
</ds:datastoreItem>
</file>

<file path=customXml/itemProps2.xml><?xml version="1.0" encoding="utf-8"?>
<ds:datastoreItem xmlns:ds="http://schemas.openxmlformats.org/officeDocument/2006/customXml" ds:itemID="{7A3BF00B-CFB4-47F1-B2EB-E5CFBA1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2d6c8-44f6-4b72-9c6c-6f0940020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C8C1A-EA90-462E-B3AD-9B98CF6A18D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bb2d6c8-44f6-4b72-9c6c-6f0940020fb1"/>
    <ds:schemaRef ds:uri="http://www.w3.org/XML/1998/namespace"/>
  </ds:schemaRefs>
</ds:datastoreItem>
</file>

<file path=customXml/itemProps4.xml><?xml version="1.0" encoding="utf-8"?>
<ds:datastoreItem xmlns:ds="http://schemas.openxmlformats.org/officeDocument/2006/customXml" ds:itemID="{0813A92F-905F-42AA-933E-2FC042F85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Borrador Final</Template>
  <TotalTime>1</TotalTime>
  <Pages>48</Pages>
  <Words>10148</Words>
  <Characters>76552</Characters>
  <Application>Microsoft Office Word</Application>
  <DocSecurity>0</DocSecurity>
  <Lines>637</Lines>
  <Paragraphs>173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Martin Cestao, Nerea</cp:lastModifiedBy>
  <cp:revision>3</cp:revision>
  <cp:lastPrinted>2024-12-04T09:44:00Z</cp:lastPrinted>
  <dcterms:created xsi:type="dcterms:W3CDTF">2025-01-07T14:28:00Z</dcterms:created>
  <dcterms:modified xsi:type="dcterms:W3CDTF">2025-01-23T07:03:00Z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0x0101004BEE59848147E042AED90B1213C9601A</vt:lpwstr>
  </property>
</Properties>
</file>