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E225" w14:textId="2FF6BAA7" w:rsidR="00C451FF" w:rsidRPr="00B34EFD" w:rsidRDefault="00B56249" w:rsidP="00B34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40"/>
          <w:szCs w:val="40"/>
        </w:rPr>
      </w:pPr>
      <w:r w:rsidRPr="00B34EFD">
        <w:rPr>
          <w:b/>
          <w:bCs/>
          <w:sz w:val="40"/>
          <w:szCs w:val="40"/>
        </w:rPr>
        <w:t>ENMIENDAS ORDENADAS LEY-00009</w:t>
      </w:r>
    </w:p>
    <w:p w14:paraId="10D9564A" w14:textId="77777777" w:rsidR="00B34EFD" w:rsidRDefault="00B34EFD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CBA956" w14:textId="066FFA13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1- UPN</w:t>
      </w:r>
    </w:p>
    <w:p w14:paraId="40BD396A" w14:textId="453BFAA0" w:rsidR="00B56249" w:rsidRDefault="00405DD1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Modificar</w:t>
      </w:r>
      <w:r w:rsidR="00B237B9">
        <w:rPr>
          <w:rFonts w:ascii="Arial" w:hAnsi="Arial" w:cs="Arial"/>
          <w:sz w:val="24"/>
          <w:szCs w:val="24"/>
          <w:lang w:val="es-ES"/>
        </w:rPr>
        <w:t xml:space="preserve"> </w:t>
      </w:r>
      <w:r w:rsidR="00B56249" w:rsidRPr="00B56249">
        <w:rPr>
          <w:rFonts w:ascii="Arial" w:hAnsi="Arial" w:cs="Arial"/>
          <w:sz w:val="24"/>
          <w:szCs w:val="24"/>
          <w:lang w:val="es-ES"/>
        </w:rPr>
        <w:t>del art. 6.4 a) la expresión “o por razones de oportunidad y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="00B56249" w:rsidRPr="00B56249">
        <w:rPr>
          <w:rFonts w:ascii="Arial" w:hAnsi="Arial" w:cs="Arial"/>
          <w:sz w:val="24"/>
          <w:szCs w:val="24"/>
          <w:lang w:val="es-ES"/>
        </w:rPr>
        <w:t>conveniencia debidamente motivadas”</w:t>
      </w:r>
    </w:p>
    <w:p w14:paraId="50B68F12" w14:textId="77777777" w:rsidR="00B56249" w:rsidRDefault="00B56249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110C2A" w14:textId="073797F1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2</w:t>
      </w:r>
      <w:r w:rsidR="00D7581C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9C4EB5">
        <w:rPr>
          <w:rFonts w:ascii="Arial" w:hAnsi="Arial" w:cs="Arial"/>
          <w:b/>
          <w:bCs/>
          <w:sz w:val="24"/>
          <w:szCs w:val="24"/>
          <w:u w:val="single"/>
        </w:rPr>
        <w:t xml:space="preserve"> UPN</w:t>
      </w:r>
    </w:p>
    <w:p w14:paraId="0D63D0EC" w14:textId="302C5D67" w:rsidR="00B56249" w:rsidRPr="00B56249" w:rsidRDefault="00B56249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56249">
        <w:rPr>
          <w:rFonts w:ascii="Arial" w:hAnsi="Arial" w:cs="Arial"/>
          <w:sz w:val="24"/>
          <w:szCs w:val="24"/>
          <w:lang w:val="es-ES"/>
        </w:rPr>
        <w:t>Modificar en el art. 6.5 la expresión “se entenderá que la solicitud ha sido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B56249">
        <w:rPr>
          <w:rFonts w:ascii="Arial" w:hAnsi="Arial" w:cs="Arial"/>
          <w:sz w:val="24"/>
          <w:szCs w:val="24"/>
          <w:lang w:val="es-ES"/>
        </w:rPr>
        <w:t>desestimada por silencio administrativo” por:</w:t>
      </w:r>
    </w:p>
    <w:p w14:paraId="5D38F668" w14:textId="4952B0CC" w:rsidR="00B56249" w:rsidRDefault="00B56249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56249">
        <w:rPr>
          <w:rFonts w:ascii="Arial" w:hAnsi="Arial" w:cs="Arial"/>
          <w:sz w:val="24"/>
          <w:szCs w:val="24"/>
          <w:lang w:val="es-ES"/>
        </w:rPr>
        <w:t>“se entenderá que la solicitud ha sido estimada por silencio administrativo”</w:t>
      </w:r>
    </w:p>
    <w:p w14:paraId="74D4CF63" w14:textId="77777777" w:rsidR="00B56249" w:rsidRDefault="00B56249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028CB4" w14:textId="2DB74B36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3- UPN</w:t>
      </w:r>
    </w:p>
    <w:p w14:paraId="6E15FB54" w14:textId="195311F5" w:rsidR="00A30720" w:rsidRP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Añadir un nuevo punto 6.3, cambiando la correlación de números del art. 6, el punto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7 del artículo 7. En concreto el texto:</w:t>
      </w:r>
    </w:p>
    <w:p w14:paraId="0BF8A527" w14:textId="56B5A980" w:rsidR="00B56249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“Mediante ordenanza municipal se determinará la formación del censo, la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publicidad que se le debe dar, así como el procedimiento de presentación y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resolución de reclamaciones contra el mismo”.</w:t>
      </w:r>
    </w:p>
    <w:p w14:paraId="791A97D6" w14:textId="7777777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DCA065" w14:textId="5087CEE0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4</w:t>
      </w:r>
      <w:r w:rsidR="00A30720" w:rsidRPr="009C4EB5">
        <w:rPr>
          <w:rFonts w:ascii="Arial" w:hAnsi="Arial" w:cs="Arial"/>
          <w:b/>
          <w:bCs/>
          <w:sz w:val="24"/>
          <w:szCs w:val="24"/>
          <w:u w:val="single"/>
        </w:rPr>
        <w:t>- UPN</w:t>
      </w:r>
    </w:p>
    <w:p w14:paraId="110E8FB0" w14:textId="26752945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Eliminar el art. 7.6</w:t>
      </w:r>
    </w:p>
    <w:p w14:paraId="4B836353" w14:textId="7777777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0215B7" w14:textId="62A9F0CA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5</w:t>
      </w:r>
      <w:r w:rsidR="00A30720" w:rsidRPr="009C4EB5">
        <w:rPr>
          <w:rFonts w:ascii="Arial" w:hAnsi="Arial" w:cs="Arial"/>
          <w:b/>
          <w:bCs/>
          <w:sz w:val="24"/>
          <w:szCs w:val="24"/>
          <w:u w:val="single"/>
        </w:rPr>
        <w:t>- UPN</w:t>
      </w:r>
    </w:p>
    <w:p w14:paraId="5F2AA18A" w14:textId="7486E4B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Eliminar el art 7.7.</w:t>
      </w:r>
    </w:p>
    <w:p w14:paraId="5F895515" w14:textId="7777777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A4A2D4" w14:textId="77777777" w:rsidR="009C4EB5" w:rsidRDefault="009C4EB5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CB0EB0" w14:textId="77777777" w:rsidR="009C4EB5" w:rsidRDefault="009C4EB5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07CAD8" w14:textId="32FF3F38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ENMIENDA 6</w:t>
      </w:r>
      <w:r w:rsidR="009C4EB5" w:rsidRPr="009C4EB5">
        <w:rPr>
          <w:rFonts w:ascii="Arial" w:hAnsi="Arial" w:cs="Arial"/>
          <w:b/>
          <w:bCs/>
          <w:sz w:val="24"/>
          <w:szCs w:val="24"/>
          <w:u w:val="single"/>
        </w:rPr>
        <w:t>- UPN</w:t>
      </w:r>
    </w:p>
    <w:p w14:paraId="37ADD224" w14:textId="77777777" w:rsidR="00A30720" w:rsidRP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Modificar el art 9.1:</w:t>
      </w:r>
    </w:p>
    <w:p w14:paraId="250922FA" w14:textId="1117690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“Verificada por el municipio la correcta ratificación de la propuesta del Área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de Promoción Económica en los términos señalados en el artículo anterior,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 xml:space="preserve">ésta </w:t>
      </w:r>
      <w:r w:rsidR="009C4EB5">
        <w:rPr>
          <w:rFonts w:ascii="Arial" w:hAnsi="Arial" w:cs="Arial"/>
          <w:sz w:val="24"/>
          <w:szCs w:val="24"/>
          <w:lang w:val="es-ES"/>
        </w:rPr>
        <w:t>q</w:t>
      </w:r>
      <w:r w:rsidRPr="00A30720">
        <w:rPr>
          <w:rFonts w:ascii="Arial" w:hAnsi="Arial" w:cs="Arial"/>
          <w:sz w:val="24"/>
          <w:szCs w:val="24"/>
          <w:lang w:val="es-ES"/>
        </w:rPr>
        <w:t>uedará aprobada. En el caso de que no pueda ratificarse la propuesta,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 xml:space="preserve">se </w:t>
      </w:r>
      <w:r w:rsidR="009C4EB5">
        <w:rPr>
          <w:rFonts w:ascii="Arial" w:hAnsi="Arial" w:cs="Arial"/>
          <w:sz w:val="24"/>
          <w:szCs w:val="24"/>
          <w:lang w:val="es-ES"/>
        </w:rPr>
        <w:t>t</w:t>
      </w:r>
      <w:r w:rsidRPr="00A30720">
        <w:rPr>
          <w:rFonts w:ascii="Arial" w:hAnsi="Arial" w:cs="Arial"/>
          <w:sz w:val="24"/>
          <w:szCs w:val="24"/>
          <w:lang w:val="es-ES"/>
        </w:rPr>
        <w:t>endrá por finalizado el procedimiento dando por terminada finalizada por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el Pleno la autorización provisional”</w:t>
      </w:r>
    </w:p>
    <w:p w14:paraId="1ACE91EB" w14:textId="7777777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FDB79B" w14:textId="6EB3C90B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7</w:t>
      </w:r>
      <w:r w:rsidR="00A30720" w:rsidRPr="009C4EB5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FC1123">
        <w:rPr>
          <w:rFonts w:ascii="Arial" w:hAnsi="Arial" w:cs="Arial"/>
          <w:b/>
          <w:bCs/>
          <w:sz w:val="24"/>
          <w:szCs w:val="24"/>
          <w:u w:val="single"/>
        </w:rPr>
        <w:t>CONTIGO NAVARRA-ZUREKIN NAFARROA</w:t>
      </w:r>
    </w:p>
    <w:p w14:paraId="5E123B13" w14:textId="229E7442" w:rsidR="00A30720" w:rsidRPr="00A30720" w:rsidRDefault="009C4EB5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</w:t>
      </w:r>
      <w:r w:rsidR="00A30720" w:rsidRPr="00A30720">
        <w:rPr>
          <w:rFonts w:ascii="Arial" w:hAnsi="Arial" w:cs="Arial"/>
          <w:sz w:val="24"/>
          <w:szCs w:val="24"/>
          <w:lang w:val="es-ES"/>
        </w:rPr>
        <w:t>odificación</w:t>
      </w:r>
      <w:r w:rsidR="00A30720" w:rsidRPr="00A3072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30720" w:rsidRPr="00A30720">
        <w:rPr>
          <w:rFonts w:ascii="Arial" w:hAnsi="Arial" w:cs="Arial"/>
          <w:sz w:val="24"/>
          <w:szCs w:val="24"/>
          <w:lang w:val="es-ES"/>
        </w:rPr>
        <w:t>al apartado a) del punto 1 del artículo 14, que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30720" w:rsidRPr="00A30720">
        <w:rPr>
          <w:rFonts w:ascii="Arial" w:hAnsi="Arial" w:cs="Arial"/>
          <w:sz w:val="24"/>
          <w:szCs w:val="24"/>
          <w:lang w:val="es-ES"/>
        </w:rPr>
        <w:t>quedaría redactado de la siguiente manera:</w:t>
      </w:r>
    </w:p>
    <w:p w14:paraId="39969597" w14:textId="6E7C011E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a) Quienes tengan la obligación de satisfacer las aportaciones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previstas en el apartado 1º del artículo 21 de esta ley foral, que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decidan voluntariamente ser miembros de la entidad y que, o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 xml:space="preserve">bien conste así en la constitución de la misma, </w:t>
      </w:r>
      <w:r w:rsidR="009C4EB5">
        <w:rPr>
          <w:rFonts w:ascii="Arial" w:hAnsi="Arial" w:cs="Arial"/>
          <w:sz w:val="24"/>
          <w:szCs w:val="24"/>
          <w:lang w:val="es-ES"/>
        </w:rPr>
        <w:t>o</w:t>
      </w:r>
      <w:r w:rsidRPr="00A30720">
        <w:rPr>
          <w:rFonts w:ascii="Arial" w:hAnsi="Arial" w:cs="Arial"/>
          <w:sz w:val="24"/>
          <w:szCs w:val="24"/>
          <w:lang w:val="es-ES"/>
        </w:rPr>
        <w:t xml:space="preserve"> bien notifiquen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a la Secretaría de la Junta Directiva su decisión expresa de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formar parte de la Asamblea General. En este último caso el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reconocimiento de su condición de miembro se hará efectiva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de manera automática en la próxima asamblea, de carácter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ordinario o extraordinaria, siempre que haya transcurrido, al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menos, un mes desde la citada notificación. Cada miembro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dispondrá de tantos votos como número de participaciones le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correspondan en el Área de Promoción Económica conforme 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lo señalado en artículo 23.</w:t>
      </w:r>
    </w:p>
    <w:p w14:paraId="1390AC82" w14:textId="77777777" w:rsidR="009C4EB5" w:rsidRDefault="009C4EB5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46D8D5" w14:textId="77777777" w:rsidR="00FC1123" w:rsidRPr="009C4EB5" w:rsidRDefault="00B56249" w:rsidP="00FC11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8</w:t>
      </w:r>
      <w:r w:rsidR="00A30720" w:rsidRPr="009C4EB5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FC1123">
        <w:rPr>
          <w:rFonts w:ascii="Arial" w:hAnsi="Arial" w:cs="Arial"/>
          <w:b/>
          <w:bCs/>
          <w:sz w:val="24"/>
          <w:szCs w:val="24"/>
          <w:u w:val="single"/>
        </w:rPr>
        <w:t>CONTIGO NAVARRA-ZUREKIN NAFARROA</w:t>
      </w:r>
    </w:p>
    <w:p w14:paraId="247987CF" w14:textId="55F94D7A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9EF948" w14:textId="743EB0A5" w:rsidR="00A30720" w:rsidRPr="00A30720" w:rsidRDefault="009C4EB5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C4EB5">
        <w:rPr>
          <w:rFonts w:ascii="Arial" w:hAnsi="Arial" w:cs="Arial"/>
          <w:sz w:val="24"/>
          <w:szCs w:val="24"/>
          <w:lang w:val="es-ES"/>
        </w:rPr>
        <w:t>M</w:t>
      </w:r>
      <w:r w:rsidR="00A30720" w:rsidRPr="00A30720">
        <w:rPr>
          <w:rFonts w:ascii="Arial" w:hAnsi="Arial" w:cs="Arial"/>
          <w:sz w:val="24"/>
          <w:szCs w:val="24"/>
          <w:lang w:val="es-ES"/>
        </w:rPr>
        <w:t>odificación</w:t>
      </w:r>
      <w:r w:rsidR="00A30720" w:rsidRPr="00A3072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30720" w:rsidRPr="00A30720">
        <w:rPr>
          <w:rFonts w:ascii="Arial" w:hAnsi="Arial" w:cs="Arial"/>
          <w:sz w:val="24"/>
          <w:szCs w:val="24"/>
          <w:lang w:val="es-ES"/>
        </w:rPr>
        <w:t>al apartado 3 del artículo 21, que quedaría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30720" w:rsidRPr="00A30720">
        <w:rPr>
          <w:rFonts w:ascii="Arial" w:hAnsi="Arial" w:cs="Arial"/>
          <w:sz w:val="24"/>
          <w:szCs w:val="24"/>
          <w:lang w:val="es-ES"/>
        </w:rPr>
        <w:t>redactado de la siguiente manera:</w:t>
      </w:r>
    </w:p>
    <w:p w14:paraId="79898F8F" w14:textId="2F9B0F8B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3. La obligación de realizar estas aportaciones a la financiación del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Área de Promoción Económica no comporta por sí misma la condición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de miembro del Área de Promoción Económica. Quienes tengan la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 xml:space="preserve">obligación de pagar la </w:t>
      </w:r>
      <w:r w:rsidRPr="00A30720">
        <w:rPr>
          <w:rFonts w:ascii="Arial" w:hAnsi="Arial" w:cs="Arial"/>
          <w:sz w:val="24"/>
          <w:szCs w:val="24"/>
          <w:lang w:val="es-ES"/>
        </w:rPr>
        <w:lastRenderedPageBreak/>
        <w:t>aportación y deseen ser miembros del Área de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Promoción Económica deberán formalizar su alta por el procedimiento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establecido en el apartado a) del punto 1 del artículo 14 de la presente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Ley Foral.</w:t>
      </w:r>
    </w:p>
    <w:p w14:paraId="4591D722" w14:textId="7777777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2FB81F" w14:textId="0DE2CC30" w:rsidR="00FC1123" w:rsidRPr="009C4EB5" w:rsidRDefault="00B56249" w:rsidP="00FC11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9</w:t>
      </w:r>
      <w:r w:rsidR="00FC1123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FC1123">
        <w:rPr>
          <w:rFonts w:ascii="Arial" w:hAnsi="Arial" w:cs="Arial"/>
          <w:b/>
          <w:bCs/>
          <w:sz w:val="24"/>
          <w:szCs w:val="24"/>
          <w:u w:val="single"/>
        </w:rPr>
        <w:t>CONTIGO NAVARRA-ZUREKIN NAFARROA</w:t>
      </w:r>
    </w:p>
    <w:p w14:paraId="244D15B5" w14:textId="1CB729B2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AB7C66" w14:textId="536646F2" w:rsidR="00A30720" w:rsidRPr="00A30720" w:rsidRDefault="009C4EB5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</w:t>
      </w:r>
      <w:r w:rsidR="00A30720" w:rsidRPr="00A30720">
        <w:rPr>
          <w:rFonts w:ascii="Arial" w:hAnsi="Arial" w:cs="Arial"/>
          <w:sz w:val="24"/>
          <w:szCs w:val="24"/>
          <w:lang w:val="es-ES"/>
        </w:rPr>
        <w:t>odificación</w:t>
      </w:r>
      <w:r w:rsidR="00A30720" w:rsidRPr="00A3072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A30720" w:rsidRPr="00A30720">
        <w:rPr>
          <w:rFonts w:ascii="Arial" w:hAnsi="Arial" w:cs="Arial"/>
          <w:sz w:val="24"/>
          <w:szCs w:val="24"/>
          <w:lang w:val="es-ES"/>
        </w:rPr>
        <w:t>al artículo 22 que quedaría redactado de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30720" w:rsidRPr="00A30720">
        <w:rPr>
          <w:rFonts w:ascii="Arial" w:hAnsi="Arial" w:cs="Arial"/>
          <w:sz w:val="24"/>
          <w:szCs w:val="24"/>
          <w:lang w:val="es-ES"/>
        </w:rPr>
        <w:t>siguiente manera:</w:t>
      </w:r>
    </w:p>
    <w:p w14:paraId="1B5C74CF" w14:textId="27B56BD8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Están exentos de Satisfacer la aportación obligatoria quienes disfruten de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la exención del Impuesto Sobre Actividades Económica, en los términos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establecidos en el artículo 150, apartados a), b), c), d), e) y f) de la Ley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Foral 2/1995, de 10 de marzo, de Haciendas Locales de Navarra así como,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con carácter general, las asociaciones juveniles, deportivas,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gastronómicas y/o culturales.</w:t>
      </w:r>
    </w:p>
    <w:p w14:paraId="1422205B" w14:textId="77777777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35336C" w14:textId="11430133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10</w:t>
      </w:r>
      <w:r w:rsidR="00A30720" w:rsidRPr="009C4EB5">
        <w:rPr>
          <w:rFonts w:ascii="Arial" w:hAnsi="Arial" w:cs="Arial"/>
          <w:b/>
          <w:bCs/>
          <w:sz w:val="24"/>
          <w:szCs w:val="24"/>
          <w:u w:val="single"/>
        </w:rPr>
        <w:t>- UPN</w:t>
      </w:r>
    </w:p>
    <w:p w14:paraId="7AE6AC16" w14:textId="77777777" w:rsidR="00A30720" w:rsidRP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Modificar el art 29; “La vigencia de las Áreas de Promoción Económica será de</w:t>
      </w:r>
    </w:p>
    <w:p w14:paraId="4006933B" w14:textId="7E64D202" w:rsid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diez años salvo que en el convenio se establezca una duración menor…”</w:t>
      </w:r>
    </w:p>
    <w:p w14:paraId="23432381" w14:textId="77777777" w:rsidR="009C4EB5" w:rsidRDefault="009C4EB5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355160" w14:textId="619C7102" w:rsidR="00B56249" w:rsidRPr="009C4EB5" w:rsidRDefault="00B56249" w:rsidP="009C4E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C4EB5">
        <w:rPr>
          <w:rFonts w:ascii="Arial" w:hAnsi="Arial" w:cs="Arial"/>
          <w:b/>
          <w:bCs/>
          <w:sz w:val="24"/>
          <w:szCs w:val="24"/>
          <w:u w:val="single"/>
        </w:rPr>
        <w:t>ENMIENDA 11</w:t>
      </w:r>
      <w:r w:rsidR="00A30720" w:rsidRPr="009C4EB5">
        <w:rPr>
          <w:rFonts w:ascii="Arial" w:hAnsi="Arial" w:cs="Arial"/>
          <w:b/>
          <w:bCs/>
          <w:sz w:val="24"/>
          <w:szCs w:val="24"/>
          <w:u w:val="single"/>
        </w:rPr>
        <w:t>- UPN</w:t>
      </w:r>
    </w:p>
    <w:p w14:paraId="7D26E022" w14:textId="77777777" w:rsidR="00A30720" w:rsidRP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Modificar el art 29</w:t>
      </w:r>
    </w:p>
    <w:p w14:paraId="34C66CF4" w14:textId="1509F7D0" w:rsidR="00A30720" w:rsidRPr="00A30720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0720">
        <w:rPr>
          <w:rFonts w:ascii="Arial" w:hAnsi="Arial" w:cs="Arial"/>
          <w:sz w:val="24"/>
          <w:szCs w:val="24"/>
          <w:lang w:val="es-ES"/>
        </w:rPr>
        <w:t>- Eliminar “así se ratifique posteriormente por el mismo procedimiento exigido para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su constitución”, quedando el art 29 con la siguiente redacción:</w:t>
      </w:r>
    </w:p>
    <w:p w14:paraId="7D2FEF5C" w14:textId="5BDAB17F" w:rsidR="00B56249" w:rsidRPr="00B56249" w:rsidRDefault="00A30720" w:rsidP="009C4E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720">
        <w:rPr>
          <w:rFonts w:ascii="Arial" w:hAnsi="Arial" w:cs="Arial"/>
          <w:sz w:val="24"/>
          <w:szCs w:val="24"/>
          <w:lang w:val="es-ES"/>
        </w:rPr>
        <w:t>“La vigencia de las Áreas de Promoción Económica será de cinco años,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salvo que en el convenio se establezca una duración inferior. Transcurrido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 xml:space="preserve">dicho plazo, 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e</w:t>
      </w:r>
      <w:r w:rsidRPr="00A30720">
        <w:rPr>
          <w:rFonts w:ascii="Arial" w:hAnsi="Arial" w:cs="Arial"/>
          <w:sz w:val="24"/>
          <w:szCs w:val="24"/>
          <w:lang w:val="es-ES"/>
        </w:rPr>
        <w:t>l Área de Promoción Económica podrá ser prorrogada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siempre que, después de someterlo a consulta de la Asamblea General, se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presentare ante el municipio un propuesta de actuación que incluya la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descripción de las actividades previstas durante el periodo de vigencia y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 xml:space="preserve">un proyecto detallado, con una memoria </w:t>
      </w:r>
      <w:r w:rsidRPr="00A30720">
        <w:rPr>
          <w:rFonts w:ascii="Arial" w:hAnsi="Arial" w:cs="Arial"/>
          <w:sz w:val="24"/>
          <w:szCs w:val="24"/>
          <w:lang w:val="es-ES"/>
        </w:rPr>
        <w:lastRenderedPageBreak/>
        <w:t>justificativa de las viabilidad de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ambos, así como una propuesta de convenio con la entidad local,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correspondiendo a la Junta Directiva las facultades previstas para la</w:t>
      </w:r>
      <w:r w:rsidR="009C4EB5">
        <w:rPr>
          <w:rFonts w:ascii="Arial" w:hAnsi="Arial" w:cs="Arial"/>
          <w:sz w:val="24"/>
          <w:szCs w:val="24"/>
          <w:lang w:val="es-ES"/>
        </w:rPr>
        <w:t xml:space="preserve"> </w:t>
      </w:r>
      <w:r w:rsidRPr="00A30720">
        <w:rPr>
          <w:rFonts w:ascii="Arial" w:hAnsi="Arial" w:cs="Arial"/>
          <w:sz w:val="24"/>
          <w:szCs w:val="24"/>
          <w:lang w:val="es-ES"/>
        </w:rPr>
        <w:t>Comisión Promotora en el artículo 6 de esta ley foral”</w:t>
      </w:r>
    </w:p>
    <w:sectPr w:rsidR="00B56249" w:rsidRPr="00B56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1"/>
  </w:num>
  <w:num w:numId="2" w16cid:durableId="118836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49"/>
    <w:rsid w:val="001F2AE4"/>
    <w:rsid w:val="002A33F7"/>
    <w:rsid w:val="002E09AF"/>
    <w:rsid w:val="00405DD1"/>
    <w:rsid w:val="00484D00"/>
    <w:rsid w:val="00652720"/>
    <w:rsid w:val="006B6500"/>
    <w:rsid w:val="00791EB0"/>
    <w:rsid w:val="00911B26"/>
    <w:rsid w:val="009C4EB5"/>
    <w:rsid w:val="00A30720"/>
    <w:rsid w:val="00A63E99"/>
    <w:rsid w:val="00B237B9"/>
    <w:rsid w:val="00B34EFD"/>
    <w:rsid w:val="00B56249"/>
    <w:rsid w:val="00BF5995"/>
    <w:rsid w:val="00C451FF"/>
    <w:rsid w:val="00D7581C"/>
    <w:rsid w:val="00F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1C20"/>
  <w15:chartTrackingRefBased/>
  <w15:docId w15:val="{044FD4A1-383C-41D0-B210-B1313FB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56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6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overflowPunct w:val="0"/>
      <w:autoSpaceDE w:val="0"/>
      <w:autoSpaceDN w:val="0"/>
      <w:adjustRightInd w:val="0"/>
      <w:spacing w:before="120" w:after="100" w:line="440" w:lineRule="exact"/>
      <w:jc w:val="both"/>
      <w:textAlignment w:val="baseline"/>
    </w:pPr>
    <w:rPr>
      <w:rFonts w:ascii="Arial" w:eastAsia="Times New Roman" w:hAnsi="Arial" w:cs="Arial"/>
      <w:sz w:val="28"/>
      <w:szCs w:val="20"/>
      <w:u w:val="single"/>
      <w:lang w:eastAsia="es-ES"/>
    </w:rPr>
  </w:style>
  <w:style w:type="paragraph" w:customStyle="1" w:styleId="GUION">
    <w:name w:val="GUION"/>
    <w:basedOn w:val="Normal"/>
    <w:rsid w:val="00911B26"/>
    <w:pPr>
      <w:numPr>
        <w:numId w:val="1"/>
      </w:numPr>
      <w:overflowPunct w:val="0"/>
      <w:autoSpaceDE w:val="0"/>
      <w:autoSpaceDN w:val="0"/>
      <w:adjustRightInd w:val="0"/>
      <w:spacing w:after="100" w:line="440" w:lineRule="exact"/>
      <w:jc w:val="both"/>
      <w:textAlignment w:val="baseline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overflowPunct w:val="0"/>
      <w:autoSpaceDE w:val="0"/>
      <w:autoSpaceDN w:val="0"/>
      <w:adjustRightInd w:val="0"/>
      <w:spacing w:after="240" w:line="440" w:lineRule="exact"/>
      <w:ind w:firstLine="567"/>
      <w:jc w:val="both"/>
      <w:textAlignment w:val="baseline"/>
    </w:pPr>
    <w:rPr>
      <w:rFonts w:ascii="Arial (W1)" w:eastAsia="Times New Roman" w:hAnsi="Arial (W1)" w:cs="Times New Roman"/>
      <w:sz w:val="24"/>
      <w:szCs w:val="20"/>
      <w:lang w:eastAsia="es-ES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overflowPunct w:val="0"/>
      <w:autoSpaceDE w:val="0"/>
      <w:autoSpaceDN w:val="0"/>
      <w:adjustRightInd w:val="0"/>
      <w:spacing w:before="120" w:after="480" w:line="240" w:lineRule="auto"/>
      <w:ind w:left="709" w:firstLine="142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val="es-ES_tradnl"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B562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62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249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249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6249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249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249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249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249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B56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624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B56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6249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B5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6249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B562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62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6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6249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B56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Atozqui Hualde, Vanessa</dc:creator>
  <cp:keywords/>
  <dc:description/>
  <cp:lastModifiedBy>Mauleón, Fernando</cp:lastModifiedBy>
  <cp:revision>8</cp:revision>
  <dcterms:created xsi:type="dcterms:W3CDTF">2024-11-06T07:55:00Z</dcterms:created>
  <dcterms:modified xsi:type="dcterms:W3CDTF">2024-11-07T09:48:00Z</dcterms:modified>
</cp:coreProperties>
</file>