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A6FE" w14:textId="12C138FE" w:rsidR="00F65888" w:rsidRPr="00F65888" w:rsidRDefault="00F65888" w:rsidP="00F65888">
      <w:pPr>
        <w:jc w:val="both"/>
        <w:rPr>
          <w:rFonts w:ascii="Calibri" w:hAnsi="Calibri" w:cs="Calibri"/>
          <w:sz w:val="22"/>
          <w:szCs w:val="22"/>
        </w:rPr>
      </w:pPr>
      <w:r>
        <w:rPr>
          <w:rFonts w:ascii="Calibri" w:hAnsi="Calibri"/>
          <w:sz w:val="22"/>
        </w:rPr>
        <w:t>24MOC-120</w:t>
      </w:r>
    </w:p>
    <w:p w14:paraId="6B08C544" w14:textId="71AC909D" w:rsidR="00F65888" w:rsidRPr="00F65888" w:rsidRDefault="00F65888" w:rsidP="00F65888">
      <w:pPr>
        <w:jc w:val="both"/>
        <w:rPr>
          <w:rFonts w:ascii="Calibri" w:hAnsi="Calibri" w:cs="Calibri"/>
          <w:sz w:val="22"/>
          <w:szCs w:val="22"/>
        </w:rPr>
      </w:pPr>
      <w:r>
        <w:rPr>
          <w:rFonts w:ascii="Calibri" w:hAnsi="Calibri"/>
          <w:sz w:val="22"/>
        </w:rPr>
        <w:t xml:space="preserve">Nafarroako Gorteetako kide den eta Alderdi Popularra talde parlamentarioari atxikita dagoen Irene Royo </w:t>
      </w:r>
      <w:proofErr w:type="spellStart"/>
      <w:r>
        <w:rPr>
          <w:rFonts w:ascii="Calibri" w:hAnsi="Calibri"/>
          <w:sz w:val="22"/>
        </w:rPr>
        <w:t>Ortín</w:t>
      </w:r>
      <w:proofErr w:type="spellEnd"/>
      <w:r>
        <w:rPr>
          <w:rFonts w:ascii="Calibri" w:hAnsi="Calibri"/>
          <w:sz w:val="22"/>
        </w:rPr>
        <w:t xml:space="preserve"> andreak, Legebiltzarreko Erregelamenduan xedatuaren babesean, honako mozio hau aurkezten du, Osoko Bilkuran eztabaidatzeko:</w:t>
      </w:r>
    </w:p>
    <w:p w14:paraId="01442244" w14:textId="2886641A" w:rsidR="00F65888" w:rsidRPr="00F65888" w:rsidRDefault="00F65888" w:rsidP="00F65888">
      <w:pPr>
        <w:jc w:val="both"/>
        <w:rPr>
          <w:rFonts w:ascii="Calibri" w:hAnsi="Calibri" w:cs="Calibri"/>
          <w:sz w:val="22"/>
          <w:szCs w:val="22"/>
        </w:rPr>
      </w:pPr>
      <w:proofErr w:type="spellStart"/>
      <w:r>
        <w:rPr>
          <w:rFonts w:ascii="Calibri" w:hAnsi="Calibri"/>
          <w:sz w:val="22"/>
        </w:rPr>
        <w:t>Fundación</w:t>
      </w:r>
      <w:proofErr w:type="spellEnd"/>
      <w:r>
        <w:rPr>
          <w:rFonts w:ascii="Calibri" w:hAnsi="Calibri"/>
          <w:sz w:val="22"/>
        </w:rPr>
        <w:t xml:space="preserve"> para el </w:t>
      </w:r>
      <w:proofErr w:type="spellStart"/>
      <w:r>
        <w:rPr>
          <w:rFonts w:ascii="Calibri" w:hAnsi="Calibri"/>
          <w:sz w:val="22"/>
        </w:rPr>
        <w:t>Avance</w:t>
      </w:r>
      <w:proofErr w:type="spellEnd"/>
      <w:r>
        <w:rPr>
          <w:rFonts w:ascii="Calibri" w:hAnsi="Calibri"/>
          <w:sz w:val="22"/>
        </w:rPr>
        <w:t xml:space="preserve"> de la </w:t>
      </w:r>
      <w:proofErr w:type="spellStart"/>
      <w:r>
        <w:rPr>
          <w:rFonts w:ascii="Calibri" w:hAnsi="Calibri"/>
          <w:sz w:val="22"/>
        </w:rPr>
        <w:t>Libertad</w:t>
      </w:r>
      <w:proofErr w:type="spellEnd"/>
      <w:r>
        <w:rPr>
          <w:rFonts w:ascii="Calibri" w:hAnsi="Calibri"/>
          <w:sz w:val="22"/>
        </w:rPr>
        <w:t xml:space="preserve"> eta </w:t>
      </w:r>
      <w:proofErr w:type="spellStart"/>
      <w:r>
        <w:rPr>
          <w:rFonts w:ascii="Calibri" w:hAnsi="Calibri"/>
          <w:sz w:val="22"/>
        </w:rPr>
        <w:t>Tax</w:t>
      </w:r>
      <w:proofErr w:type="spellEnd"/>
      <w:r>
        <w:rPr>
          <w:rFonts w:ascii="Calibri" w:hAnsi="Calibri"/>
          <w:sz w:val="22"/>
        </w:rPr>
        <w:t xml:space="preserve"> </w:t>
      </w:r>
      <w:proofErr w:type="spellStart"/>
      <w:r>
        <w:rPr>
          <w:rFonts w:ascii="Calibri" w:hAnsi="Calibri"/>
          <w:sz w:val="22"/>
        </w:rPr>
        <w:t>Fundation</w:t>
      </w:r>
      <w:proofErr w:type="spellEnd"/>
      <w:r>
        <w:rPr>
          <w:rFonts w:ascii="Calibri" w:hAnsi="Calibri"/>
          <w:sz w:val="22"/>
        </w:rPr>
        <w:t xml:space="preserve"> fundazioek egindako azken lanean –fiskalitatea beste erkidego batzuekin alderatuta aztertzen da, bost zerga nagusirekin lotutako hirurogei aldagai baino gehiago baliatuta: errentaren gaineko zerga, ondarearen gaineko zerga, oinordetzen gaineko zerga, ondare eskualdaketen eta egintza juridiko dokumentatuen gaineko zerga eta autonomia-erkidegoetako zerga berekiak–, Nafarroa azken tokian ageri da lehiakortasun fiskalaren rankingean, bai errentan bai ondarean. Orobat beteko luke azken tokia sozietateen gaineko zergan, nahiz eta zerga hori ez den zerrenda horretan ageri, Euskadik eta Nafarroak soilik daukatelako sozietateen gainean arauak emateko ahalmena; izan ere, foru-erkidegoak % 28ko zerga-tasa aplikatzen die enpresa handiei, eta Frantzian eta Espainiako gainontzeko erkidegoetan % 25ekoa aplikatzen da, eta Euskadin, berriz, % 24koa.</w:t>
      </w:r>
    </w:p>
    <w:p w14:paraId="6C8DC7A1" w14:textId="0B861C92" w:rsidR="00F65888" w:rsidRPr="00F65888" w:rsidRDefault="00F65888" w:rsidP="00F65888">
      <w:pPr>
        <w:jc w:val="both"/>
        <w:rPr>
          <w:rFonts w:ascii="Calibri" w:hAnsi="Calibri" w:cs="Calibri"/>
          <w:sz w:val="22"/>
          <w:szCs w:val="22"/>
        </w:rPr>
      </w:pPr>
      <w:r>
        <w:rPr>
          <w:rFonts w:ascii="Calibri" w:hAnsi="Calibri"/>
          <w:sz w:val="22"/>
        </w:rPr>
        <w:t xml:space="preserve">Joan den ostiralean, Nafarroako Enpresaburuen Konfederazioko lehendakariak deitoratu egin zuen Nafarroak 14. tokia hartzea lehiakortasun fiskalaren erregio-indizean, </w:t>
      </w:r>
      <w:proofErr w:type="spellStart"/>
      <w:r>
        <w:rPr>
          <w:rFonts w:ascii="Calibri" w:hAnsi="Calibri"/>
          <w:sz w:val="22"/>
        </w:rPr>
        <w:t>zeinean</w:t>
      </w:r>
      <w:proofErr w:type="spellEnd"/>
      <w:r>
        <w:rPr>
          <w:rFonts w:ascii="Calibri" w:hAnsi="Calibri"/>
          <w:sz w:val="22"/>
        </w:rPr>
        <w:t xml:space="preserve"> Madril eta euskal ogasunak lehen tokian baitaude, eta honako hau adierazi zuen: "nik nire zergak eta Gipuzkoan ordaintzen direnak ikusi nahi ditut, eta</w:t>
      </w:r>
      <w:r w:rsidR="0048269E">
        <w:rPr>
          <w:rFonts w:ascii="Calibri" w:hAnsi="Calibri"/>
          <w:sz w:val="22"/>
        </w:rPr>
        <w:t xml:space="preserve"> ‘</w:t>
      </w:r>
      <w:r>
        <w:rPr>
          <w:rFonts w:ascii="Calibri" w:hAnsi="Calibri"/>
          <w:sz w:val="22"/>
        </w:rPr>
        <w:t>ni berdina naiz</w:t>
      </w:r>
      <w:r w:rsidR="0048269E">
        <w:rPr>
          <w:rFonts w:ascii="Calibri" w:hAnsi="Calibri"/>
          <w:sz w:val="22"/>
        </w:rPr>
        <w:t>’</w:t>
      </w:r>
      <w:r>
        <w:rPr>
          <w:rFonts w:ascii="Calibri" w:hAnsi="Calibri"/>
          <w:sz w:val="22"/>
        </w:rPr>
        <w:t xml:space="preserve"> esan, 5 metrora dauden enpresek ez dezaten erabaki hara joatea. Daukaguna gorde eta ahal dugun guztia erakarri behar dugu".</w:t>
      </w:r>
    </w:p>
    <w:p w14:paraId="1CF9A63C" w14:textId="7A06434F" w:rsidR="00F65888" w:rsidRPr="00F65888" w:rsidRDefault="00F65888" w:rsidP="00F65888">
      <w:pPr>
        <w:jc w:val="both"/>
        <w:rPr>
          <w:rFonts w:ascii="Calibri" w:hAnsi="Calibri" w:cs="Calibri"/>
          <w:sz w:val="22"/>
          <w:szCs w:val="22"/>
        </w:rPr>
      </w:pPr>
      <w:r>
        <w:rPr>
          <w:rFonts w:ascii="Calibri" w:hAnsi="Calibri"/>
          <w:sz w:val="22"/>
        </w:rPr>
        <w:t>Errentaren gaineko zergan Nafarroak aurten onetsi zituen aldaketek –eskala autonomikoa nahiz gutxieneko pertsonal eta familiarrak deflatatu ziren– ez dute zuzendu Nafarroak beste erregio batzuen aldean daukan desabantaila fiskala; aitzitik, toki bat galdu du aurtengo Lehiakortasun Fiskalaren Indize Autonomikoan, halako moduan non, lehen adierazi dugun moduan, erkidegoa azken tokian jarri baita hala errentari nola ondareari dagokienez.</w:t>
      </w:r>
    </w:p>
    <w:p w14:paraId="457F922E" w14:textId="37E8F621" w:rsidR="00F65888" w:rsidRPr="00F65888" w:rsidRDefault="00F65888" w:rsidP="00F65888">
      <w:pPr>
        <w:jc w:val="both"/>
        <w:rPr>
          <w:rFonts w:ascii="Calibri" w:hAnsi="Calibri" w:cs="Calibri"/>
          <w:sz w:val="22"/>
          <w:szCs w:val="22"/>
        </w:rPr>
      </w:pPr>
      <w:proofErr w:type="spellStart"/>
      <w:r>
        <w:rPr>
          <w:rFonts w:ascii="Calibri" w:hAnsi="Calibri"/>
          <w:sz w:val="22"/>
        </w:rPr>
        <w:t>C</w:t>
      </w:r>
      <w:r w:rsidR="00AC125A">
        <w:rPr>
          <w:rFonts w:ascii="Calibri" w:hAnsi="Calibri"/>
          <w:sz w:val="22"/>
        </w:rPr>
        <w:t>o</w:t>
      </w:r>
      <w:r>
        <w:rPr>
          <w:rFonts w:ascii="Calibri" w:hAnsi="Calibri"/>
          <w:sz w:val="22"/>
        </w:rPr>
        <w:t>.</w:t>
      </w:r>
      <w:r w:rsidR="00AC125A">
        <w:rPr>
          <w:rFonts w:ascii="Calibri" w:hAnsi="Calibri"/>
          <w:sz w:val="22"/>
        </w:rPr>
        <w:t>Ciudadana</w:t>
      </w:r>
      <w:r>
        <w:rPr>
          <w:rFonts w:ascii="Calibri" w:hAnsi="Calibri"/>
          <w:sz w:val="22"/>
        </w:rPr>
        <w:t>k</w:t>
      </w:r>
      <w:proofErr w:type="spellEnd"/>
      <w:r>
        <w:rPr>
          <w:rFonts w:ascii="Calibri" w:hAnsi="Calibri"/>
          <w:sz w:val="22"/>
        </w:rPr>
        <w:t xml:space="preserve"> aurkeztutako Joeren Nafarroako Panelak ere beste horrenbeste erakusten du: gure ahulezietako bat da fiskalitate handia eta inbertsiorako erakarmen txikia daukagula, eta horiek giltzarri dira gure etorkizunari begira.</w:t>
      </w:r>
    </w:p>
    <w:p w14:paraId="4A17C9E6" w14:textId="77777777" w:rsidR="00F65888" w:rsidRPr="00F65888" w:rsidRDefault="00F65888" w:rsidP="00F65888">
      <w:pPr>
        <w:jc w:val="both"/>
        <w:rPr>
          <w:rFonts w:ascii="Calibri" w:hAnsi="Calibri" w:cs="Calibri"/>
          <w:sz w:val="22"/>
          <w:szCs w:val="22"/>
        </w:rPr>
      </w:pPr>
      <w:r>
        <w:rPr>
          <w:rFonts w:ascii="Calibri" w:hAnsi="Calibri"/>
          <w:sz w:val="22"/>
        </w:rPr>
        <w:t>Hori dela-eta aurkeztu dugu ondoko erabaki proposamena:</w:t>
      </w:r>
    </w:p>
    <w:p w14:paraId="00E6F202" w14:textId="07309EC8" w:rsidR="00F65888" w:rsidRPr="00F65888" w:rsidRDefault="00F65888" w:rsidP="00F65888">
      <w:pPr>
        <w:jc w:val="both"/>
        <w:rPr>
          <w:rFonts w:ascii="Calibri" w:hAnsi="Calibri" w:cs="Calibri"/>
          <w:sz w:val="22"/>
          <w:szCs w:val="22"/>
        </w:rPr>
      </w:pPr>
      <w:r>
        <w:rPr>
          <w:rFonts w:ascii="Calibri" w:hAnsi="Calibri"/>
          <w:sz w:val="22"/>
        </w:rPr>
        <w:t>Bakarra. Nafarroako Gobernua premiatzen da beste erkidego batzuen aldean Nafarroaren lehiakortasun fiskalaren hobekuntza izan dadin aldaketa fiskalei buruzko hurrengo legearen oinarria.</w:t>
      </w:r>
    </w:p>
    <w:p w14:paraId="36DEE974" w14:textId="77777777" w:rsidR="00F65888" w:rsidRPr="00F65888" w:rsidRDefault="00F65888" w:rsidP="00F65888">
      <w:pPr>
        <w:jc w:val="both"/>
        <w:rPr>
          <w:rFonts w:ascii="Calibri" w:hAnsi="Calibri" w:cs="Calibri"/>
          <w:sz w:val="22"/>
          <w:szCs w:val="22"/>
        </w:rPr>
      </w:pPr>
      <w:r>
        <w:rPr>
          <w:rFonts w:ascii="Calibri" w:hAnsi="Calibri"/>
          <w:sz w:val="22"/>
        </w:rPr>
        <w:t>Iruñean, 2024ko urriaren 6an</w:t>
      </w:r>
    </w:p>
    <w:p w14:paraId="107490A2" w14:textId="57652BCE" w:rsidR="008D7F85" w:rsidRPr="00AA6B8A" w:rsidRDefault="00AA6B8A" w:rsidP="00F65888">
      <w:pPr>
        <w:jc w:val="both"/>
        <w:rPr>
          <w:rFonts w:ascii="Calibri" w:hAnsi="Calibri" w:cs="Calibri"/>
          <w:sz w:val="22"/>
          <w:szCs w:val="22"/>
        </w:rPr>
      </w:pPr>
      <w:r>
        <w:rPr>
          <w:rFonts w:ascii="Calibri" w:hAnsi="Calibri"/>
          <w:sz w:val="22"/>
        </w:rPr>
        <w:t xml:space="preserve">Foru parlamentaria: Irene Royo </w:t>
      </w:r>
      <w:proofErr w:type="spellStart"/>
      <w:r>
        <w:rPr>
          <w:rFonts w:ascii="Calibri" w:hAnsi="Calibri"/>
          <w:sz w:val="22"/>
        </w:rPr>
        <w:t>Ortin</w:t>
      </w:r>
      <w:proofErr w:type="spellEnd"/>
    </w:p>
    <w:sectPr w:rsidR="008D7F85" w:rsidRPr="00AA6B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88"/>
    <w:rsid w:val="003E3E22"/>
    <w:rsid w:val="004613A4"/>
    <w:rsid w:val="0048269E"/>
    <w:rsid w:val="005762CC"/>
    <w:rsid w:val="00600DE2"/>
    <w:rsid w:val="007D520E"/>
    <w:rsid w:val="008D7F85"/>
    <w:rsid w:val="00A36075"/>
    <w:rsid w:val="00A877BA"/>
    <w:rsid w:val="00AA6B8A"/>
    <w:rsid w:val="00AC125A"/>
    <w:rsid w:val="00B0049F"/>
    <w:rsid w:val="00E2340F"/>
    <w:rsid w:val="00E872DF"/>
    <w:rsid w:val="00F65888"/>
    <w:rsid w:val="00F777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AA86"/>
  <w15:chartTrackingRefBased/>
  <w15:docId w15:val="{54B72A51-9BD3-47E4-8BC7-C298ED88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5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5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58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58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58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58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58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58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58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58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58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58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58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58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58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58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58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5888"/>
    <w:rPr>
      <w:rFonts w:eastAsiaTheme="majorEastAsia" w:cstheme="majorBidi"/>
      <w:color w:val="272727" w:themeColor="text1" w:themeTint="D8"/>
    </w:rPr>
  </w:style>
  <w:style w:type="paragraph" w:styleId="Ttulo">
    <w:name w:val="Title"/>
    <w:basedOn w:val="Normal"/>
    <w:next w:val="Normal"/>
    <w:link w:val="TtuloCar"/>
    <w:uiPriority w:val="10"/>
    <w:qFormat/>
    <w:rsid w:val="00F65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58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58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58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5888"/>
    <w:pPr>
      <w:spacing w:before="160"/>
      <w:jc w:val="center"/>
    </w:pPr>
    <w:rPr>
      <w:i/>
      <w:iCs/>
      <w:color w:val="404040" w:themeColor="text1" w:themeTint="BF"/>
    </w:rPr>
  </w:style>
  <w:style w:type="character" w:customStyle="1" w:styleId="CitaCar">
    <w:name w:val="Cita Car"/>
    <w:basedOn w:val="Fuentedeprrafopredeter"/>
    <w:link w:val="Cita"/>
    <w:uiPriority w:val="29"/>
    <w:rsid w:val="00F65888"/>
    <w:rPr>
      <w:i/>
      <w:iCs/>
      <w:color w:val="404040" w:themeColor="text1" w:themeTint="BF"/>
    </w:rPr>
  </w:style>
  <w:style w:type="paragraph" w:styleId="Prrafodelista">
    <w:name w:val="List Paragraph"/>
    <w:basedOn w:val="Normal"/>
    <w:uiPriority w:val="34"/>
    <w:qFormat/>
    <w:rsid w:val="00F65888"/>
    <w:pPr>
      <w:ind w:left="720"/>
      <w:contextualSpacing/>
    </w:pPr>
  </w:style>
  <w:style w:type="character" w:styleId="nfasisintenso">
    <w:name w:val="Intense Emphasis"/>
    <w:basedOn w:val="Fuentedeprrafopredeter"/>
    <w:uiPriority w:val="21"/>
    <w:qFormat/>
    <w:rsid w:val="00F65888"/>
    <w:rPr>
      <w:i/>
      <w:iCs/>
      <w:color w:val="0F4761" w:themeColor="accent1" w:themeShade="BF"/>
    </w:rPr>
  </w:style>
  <w:style w:type="paragraph" w:styleId="Citadestacada">
    <w:name w:val="Intense Quote"/>
    <w:basedOn w:val="Normal"/>
    <w:next w:val="Normal"/>
    <w:link w:val="CitadestacadaCar"/>
    <w:uiPriority w:val="30"/>
    <w:qFormat/>
    <w:rsid w:val="00F65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5888"/>
    <w:rPr>
      <w:i/>
      <w:iCs/>
      <w:color w:val="0F4761" w:themeColor="accent1" w:themeShade="BF"/>
    </w:rPr>
  </w:style>
  <w:style w:type="character" w:styleId="Referenciaintensa">
    <w:name w:val="Intense Reference"/>
    <w:basedOn w:val="Fuentedeprrafopredeter"/>
    <w:uiPriority w:val="32"/>
    <w:qFormat/>
    <w:rsid w:val="00F658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398</Words>
  <Characters>2194</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5</cp:revision>
  <dcterms:created xsi:type="dcterms:W3CDTF">2024-10-11T07:04:00Z</dcterms:created>
  <dcterms:modified xsi:type="dcterms:W3CDTF">2024-10-14T12:31:00Z</dcterms:modified>
</cp:coreProperties>
</file>