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363D" w14:textId="20254CF7" w:rsidR="0079595B" w:rsidRDefault="000E4F2F" w:rsidP="000E4F2F">
      <w:pPr>
        <w:spacing w:line="360" w:lineRule="auto"/>
        <w:jc w:val="both"/>
        <w:rPr>
          <w:rFonts w:ascii="Arial" w:hAnsi="Arial" w:cs="Arial"/>
          <w:sz w:val="24"/>
          <w:szCs w:val="24"/>
        </w:rPr>
      </w:pPr>
      <w:r>
        <w:rPr>
          <w:rFonts w:ascii="Arial" w:hAnsi="Arial"/>
          <w:sz w:val="24"/>
        </w:rPr>
        <w:t xml:space="preserve">EH Bildu Nafarroa talde parlamentarioari atxikitako foru parlamentari Arantxa </w:t>
      </w:r>
      <w:proofErr w:type="spellStart"/>
      <w:r>
        <w:rPr>
          <w:rFonts w:ascii="Arial" w:hAnsi="Arial"/>
          <w:sz w:val="24"/>
        </w:rPr>
        <w:t>lzurdiaga</w:t>
      </w:r>
      <w:proofErr w:type="spellEnd"/>
      <w:r>
        <w:rPr>
          <w:rFonts w:ascii="Arial" w:hAnsi="Arial"/>
          <w:sz w:val="24"/>
        </w:rPr>
        <w:t xml:space="preserve"> Osinaga andreak 11-24/PES-00290 galdera egin du, idatziz erantzun dakion. Hona Nafarroako Gobernuko Eskubide Sozialetako, Ekonomia Sozialeko eta Enpleguko kontseilariaren erantzuna:</w:t>
      </w:r>
    </w:p>
    <w:p w14:paraId="6D570FC4" w14:textId="77777777" w:rsidR="0079595B" w:rsidRDefault="0079595B" w:rsidP="00943DD9">
      <w:pPr>
        <w:spacing w:line="360" w:lineRule="auto"/>
        <w:jc w:val="both"/>
        <w:rPr>
          <w:rFonts w:ascii="Arial" w:hAnsi="Arial" w:cs="Arial"/>
          <w:sz w:val="24"/>
          <w:szCs w:val="24"/>
        </w:rPr>
      </w:pPr>
    </w:p>
    <w:p w14:paraId="11A46D27" w14:textId="77777777" w:rsidR="0079595B" w:rsidRDefault="00943DD9" w:rsidP="000E4F2F">
      <w:pPr>
        <w:spacing w:line="360" w:lineRule="auto"/>
        <w:jc w:val="both"/>
        <w:rPr>
          <w:rFonts w:ascii="Arial" w:hAnsi="Arial" w:cs="Arial"/>
          <w:sz w:val="24"/>
        </w:rPr>
      </w:pPr>
      <w:r>
        <w:rPr>
          <w:rFonts w:ascii="Arial" w:hAnsi="Arial"/>
          <w:sz w:val="24"/>
        </w:rPr>
        <w:t>Zeintzuk dira eta zertan dautza Nafarroako Osasun Publikoaren eta Lan Osasunaren Institutuko Lan Osasunaren Zuzendariordetzaren hobekuntza-proposamenak?</w:t>
      </w:r>
    </w:p>
    <w:p w14:paraId="446CB039" w14:textId="68D5029F" w:rsidR="0079595B"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 xml:space="preserve">Nafarroako Lan Osasunaren Kontseiluan lan-osasunaren inguruko proposamenak lantzeko eta partekatzeko aukera dute eragile sozial eta ekonomikoek, baina horrekin batera 2024an egindako bileretan irizpideak partekatu ahal izan dira Ekonomia Sozialeko eta Laneko Zuzendaritza Nagusiaren, Osasuneko Zuzendaritza Nagusiaren eta </w:t>
      </w:r>
      <w:proofErr w:type="spellStart"/>
      <w:r>
        <w:rPr>
          <w:rFonts w:ascii="Arial" w:hAnsi="Arial"/>
          <w:color w:val="000000" w:themeColor="text1"/>
          <w:sz w:val="24"/>
        </w:rPr>
        <w:t>NOPLOIren</w:t>
      </w:r>
      <w:proofErr w:type="spellEnd"/>
      <w:r>
        <w:rPr>
          <w:rFonts w:ascii="Arial" w:hAnsi="Arial"/>
          <w:color w:val="000000" w:themeColor="text1"/>
          <w:sz w:val="24"/>
        </w:rPr>
        <w:t xml:space="preserve"> aldetik garatutako neurri eta programa batzuen inguruan.</w:t>
      </w:r>
    </w:p>
    <w:p w14:paraId="5521CB21" w14:textId="6BFC2D8F" w:rsidR="00943DD9" w:rsidRPr="00943DD9"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 xml:space="preserve">Horietako bat izan da prebentzioko lurralde-ordezkariaren deialdia; horren inguruan Ekonomia Sozialeko eta Laneko Zuzendaritza Nagusiak, Osasuneko Zuzendaritza Nagusiarekin eta </w:t>
      </w:r>
      <w:proofErr w:type="spellStart"/>
      <w:r>
        <w:rPr>
          <w:rFonts w:ascii="Arial" w:hAnsi="Arial"/>
          <w:color w:val="000000" w:themeColor="text1"/>
          <w:sz w:val="24"/>
        </w:rPr>
        <w:t>NOPLOIrekin</w:t>
      </w:r>
      <w:proofErr w:type="spellEnd"/>
      <w:r>
        <w:rPr>
          <w:rFonts w:ascii="Arial" w:hAnsi="Arial"/>
          <w:color w:val="000000" w:themeColor="text1"/>
          <w:sz w:val="24"/>
        </w:rPr>
        <w:t xml:space="preserve"> duen lankidetza esparruan eta deialdia hobetzeko asmoarekin, lan-istripuen aurkako borroka eraginkorragoa izan dadin, proposamenak eskatzen ditu.</w:t>
      </w:r>
    </w:p>
    <w:p w14:paraId="673602D2" w14:textId="77777777" w:rsidR="0079595B" w:rsidRDefault="00943DD9" w:rsidP="00943DD9">
      <w:pPr>
        <w:spacing w:line="360" w:lineRule="auto"/>
        <w:jc w:val="both"/>
        <w:rPr>
          <w:rFonts w:ascii="Arial" w:hAnsi="Arial" w:cs="Arial"/>
          <w:color w:val="000000" w:themeColor="text1"/>
          <w:sz w:val="24"/>
          <w:szCs w:val="24"/>
        </w:rPr>
      </w:pPr>
      <w:proofErr w:type="spellStart"/>
      <w:r>
        <w:rPr>
          <w:rFonts w:ascii="Arial" w:hAnsi="Arial"/>
          <w:color w:val="000000" w:themeColor="text1"/>
          <w:sz w:val="24"/>
        </w:rPr>
        <w:t>NOPLOIren</w:t>
      </w:r>
      <w:proofErr w:type="spellEnd"/>
      <w:r>
        <w:rPr>
          <w:rFonts w:ascii="Arial" w:hAnsi="Arial"/>
          <w:color w:val="000000" w:themeColor="text1"/>
          <w:sz w:val="24"/>
        </w:rPr>
        <w:t xml:space="preserve"> aldetik maiatzaren 15ean bidalitako proposamenak honako hauek dira:</w:t>
      </w:r>
    </w:p>
    <w:p w14:paraId="50CF2D43" w14:textId="18B15C7E" w:rsidR="00943DD9" w:rsidRPr="00943DD9" w:rsidRDefault="00943DD9" w:rsidP="00943DD9">
      <w:pPr>
        <w:spacing w:line="360" w:lineRule="auto"/>
        <w:ind w:left="708"/>
        <w:jc w:val="both"/>
        <w:rPr>
          <w:rFonts w:ascii="Arial" w:hAnsi="Arial" w:cs="Arial"/>
          <w:color w:val="000000" w:themeColor="text1"/>
          <w:sz w:val="24"/>
          <w:szCs w:val="24"/>
        </w:rPr>
      </w:pPr>
      <w:r>
        <w:rPr>
          <w:rFonts w:ascii="Arial" w:hAnsi="Arial"/>
          <w:color w:val="000000" w:themeColor="text1"/>
          <w:sz w:val="24"/>
        </w:rPr>
        <w:t xml:space="preserve">- </w:t>
      </w:r>
      <w:r>
        <w:rPr>
          <w:rFonts w:ascii="Arial" w:hAnsi="Arial"/>
          <w:i/>
          <w:iCs/>
          <w:color w:val="000000" w:themeColor="text1"/>
          <w:sz w:val="24"/>
        </w:rPr>
        <w:t xml:space="preserve">“Enpresa </w:t>
      </w:r>
      <w:proofErr w:type="spellStart"/>
      <w:r>
        <w:rPr>
          <w:rFonts w:ascii="Arial" w:hAnsi="Arial"/>
          <w:i/>
          <w:iCs/>
          <w:color w:val="000000" w:themeColor="text1"/>
          <w:sz w:val="24"/>
        </w:rPr>
        <w:t>txikiagoetara</w:t>
      </w:r>
      <w:proofErr w:type="spellEnd"/>
      <w:r>
        <w:rPr>
          <w:rFonts w:ascii="Arial" w:hAnsi="Arial"/>
          <w:i/>
          <w:iCs/>
          <w:color w:val="000000" w:themeColor="text1"/>
          <w:sz w:val="24"/>
        </w:rPr>
        <w:t xml:space="preserve"> bisitak egitea sustatzea.</w:t>
      </w:r>
      <w:r>
        <w:rPr>
          <w:rFonts w:ascii="Arial" w:hAnsi="Arial"/>
          <w:i/>
          <w:color w:val="000000" w:themeColor="text1"/>
          <w:sz w:val="24"/>
        </w:rPr>
        <w:t xml:space="preserve"> Aurreko deialdietan plantilla 50rainokoa zen, azkenekoan 100eraino zabaldu zen (horrek dakar Nafarroan diren enpresetatik % 98 sartzen ahal direla). Proposatzen dugu 50era itzultzea, kontuan hartuta 50 baino gutxiagoko plantilla duten enpresa asko daudela. Eta gainera laneko arriskuen prebentziorako eta ordezkaritza sindikal gutxiago dute”.</w:t>
      </w:r>
    </w:p>
    <w:p w14:paraId="37084A71" w14:textId="77777777" w:rsidR="00943DD9" w:rsidRPr="00943DD9" w:rsidRDefault="00943DD9" w:rsidP="00943DD9">
      <w:pPr>
        <w:spacing w:line="360" w:lineRule="auto"/>
        <w:ind w:left="708"/>
        <w:jc w:val="both"/>
        <w:rPr>
          <w:rFonts w:ascii="Arial" w:hAnsi="Arial" w:cs="Arial"/>
          <w:i/>
          <w:color w:val="000000" w:themeColor="text1"/>
          <w:sz w:val="24"/>
          <w:szCs w:val="24"/>
        </w:rPr>
      </w:pPr>
      <w:r>
        <w:rPr>
          <w:rFonts w:ascii="Arial" w:hAnsi="Arial"/>
          <w:i/>
          <w:color w:val="000000" w:themeColor="text1"/>
          <w:sz w:val="24"/>
        </w:rPr>
        <w:lastRenderedPageBreak/>
        <w:t>“-Proposatzen dugu bisitatutako enpresetatik % 70 baino gehiago 25 baino gutxiagoko plantillakoak izatea, eta % 50 6 baino gutxiagoko plantillakoak izatea (puntuak eman)”.</w:t>
      </w:r>
    </w:p>
    <w:p w14:paraId="78AE77D3" w14:textId="77777777" w:rsidR="0079595B" w:rsidRDefault="00943DD9" w:rsidP="00943DD9">
      <w:pPr>
        <w:spacing w:line="360" w:lineRule="auto"/>
        <w:ind w:left="708"/>
        <w:jc w:val="both"/>
        <w:rPr>
          <w:rFonts w:ascii="Arial" w:hAnsi="Arial" w:cs="Arial"/>
          <w:i/>
          <w:color w:val="000000" w:themeColor="text1"/>
          <w:sz w:val="24"/>
          <w:szCs w:val="24"/>
        </w:rPr>
      </w:pPr>
      <w:r>
        <w:rPr>
          <w:rFonts w:ascii="Arial" w:hAnsi="Arial"/>
          <w:i/>
          <w:color w:val="000000" w:themeColor="text1"/>
          <w:sz w:val="24"/>
        </w:rPr>
        <w:t xml:space="preserve">“- Eta % 70 baino gehiagotan ardatza eta lehentasuna izatea EJSN-56 Tabernak eta jatetxeak eta EJSN-57 </w:t>
      </w:r>
      <w:proofErr w:type="spellStart"/>
      <w:r>
        <w:rPr>
          <w:rFonts w:ascii="Arial" w:hAnsi="Arial"/>
          <w:i/>
          <w:color w:val="000000" w:themeColor="text1"/>
          <w:sz w:val="24"/>
        </w:rPr>
        <w:t>Txikikazko</w:t>
      </w:r>
      <w:proofErr w:type="spellEnd"/>
      <w:r>
        <w:rPr>
          <w:rFonts w:ascii="Arial" w:hAnsi="Arial"/>
          <w:i/>
          <w:color w:val="000000" w:themeColor="text1"/>
          <w:sz w:val="24"/>
        </w:rPr>
        <w:t xml:space="preserve"> merkataritza  izaera duten enpresak (30 puntu ematea)”.</w:t>
      </w:r>
    </w:p>
    <w:p w14:paraId="711DBEC5" w14:textId="77777777" w:rsidR="0079595B"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Proposamen horiek dirulaguntza emateko irizpideetan sartzeko aurkezten dira, deialdi hori norgehiagoka ebazten delako.</w:t>
      </w:r>
    </w:p>
    <w:p w14:paraId="4E5754A1" w14:textId="77777777" w:rsidR="0079595B" w:rsidRDefault="00943DD9" w:rsidP="00943DD9">
      <w:pPr>
        <w:spacing w:line="360" w:lineRule="auto"/>
        <w:jc w:val="both"/>
        <w:rPr>
          <w:rFonts w:ascii="Arial" w:hAnsi="Arial" w:cs="Arial"/>
          <w:sz w:val="24"/>
          <w:szCs w:val="24"/>
        </w:rPr>
      </w:pPr>
      <w:r>
        <w:rPr>
          <w:rFonts w:ascii="Arial" w:hAnsi="Arial"/>
          <w:sz w:val="24"/>
        </w:rPr>
        <w:t>Proposatutako neurriak 2024ko deialdian sartu dira edo sartuko dira?</w:t>
      </w:r>
    </w:p>
    <w:p w14:paraId="1D8F3ECD" w14:textId="77777777" w:rsidR="0079595B"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Proposamenak Ekonomia Sozialeko eta Laneko Zuzendaritza Nagusian baloratu dira eta bat datoz aurretik aztertutako hobekuntzarako irizpideekin.</w:t>
      </w:r>
    </w:p>
    <w:p w14:paraId="25449B5F" w14:textId="551FDE36" w:rsidR="0079595B"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 xml:space="preserve">Enpresa </w:t>
      </w:r>
      <w:proofErr w:type="spellStart"/>
      <w:r>
        <w:rPr>
          <w:rFonts w:ascii="Arial" w:hAnsi="Arial"/>
          <w:color w:val="000000" w:themeColor="text1"/>
          <w:sz w:val="24"/>
        </w:rPr>
        <w:t>txikiagoetara</w:t>
      </w:r>
      <w:proofErr w:type="spellEnd"/>
      <w:r>
        <w:rPr>
          <w:rFonts w:ascii="Arial" w:hAnsi="Arial"/>
          <w:color w:val="000000" w:themeColor="text1"/>
          <w:sz w:val="24"/>
        </w:rPr>
        <w:t xml:space="preserve"> bisitak egitea sustatzea garrantzitsua da, Nafarroan ETEak (enpresa txiki eta ertainak) nahiz </w:t>
      </w:r>
      <w:proofErr w:type="spellStart"/>
      <w:r>
        <w:rPr>
          <w:rFonts w:ascii="Arial" w:hAnsi="Arial"/>
          <w:color w:val="000000" w:themeColor="text1"/>
          <w:sz w:val="24"/>
        </w:rPr>
        <w:t>mikroETEak</w:t>
      </w:r>
      <w:proofErr w:type="spellEnd"/>
      <w:r>
        <w:rPr>
          <w:rFonts w:ascii="Arial" w:hAnsi="Arial"/>
          <w:color w:val="000000" w:themeColor="text1"/>
          <w:sz w:val="24"/>
        </w:rPr>
        <w:t xml:space="preserve"> nagusi direlako eta horiek dira, hain zuzen, laneko arriskuen prebentziorako neurriak aplikatzeko baliabide gutxiago eta ordezkaritza sindikal gutxiago dutenak, bereziki 6 langile baino gutxiago dutenak, no</w:t>
      </w:r>
      <w:r w:rsidR="00026670">
        <w:rPr>
          <w:rFonts w:ascii="Arial" w:hAnsi="Arial"/>
          <w:color w:val="000000" w:themeColor="text1"/>
          <w:sz w:val="24"/>
        </w:rPr>
        <w:t>n</w:t>
      </w:r>
      <w:r>
        <w:rPr>
          <w:rFonts w:ascii="Arial" w:hAnsi="Arial"/>
          <w:color w:val="000000" w:themeColor="text1"/>
          <w:sz w:val="24"/>
        </w:rPr>
        <w:t xml:space="preserve"> araudiagatik ez dagoen hori izaterik. Azken irizpide hori 2024ko deialdian sartu dugu, honela:</w:t>
      </w:r>
    </w:p>
    <w:p w14:paraId="5AA7F966" w14:textId="4ED2741D" w:rsidR="00943DD9" w:rsidRPr="00943DD9" w:rsidRDefault="00943DD9" w:rsidP="00943DD9">
      <w:pPr>
        <w:pStyle w:val="Prrafodelista"/>
        <w:numPr>
          <w:ilvl w:val="0"/>
          <w:numId w:val="4"/>
        </w:numPr>
        <w:spacing w:line="360" w:lineRule="auto"/>
        <w:contextualSpacing w:val="0"/>
        <w:jc w:val="both"/>
        <w:rPr>
          <w:rFonts w:ascii="Arial" w:hAnsi="Arial" w:cs="Arial"/>
          <w:color w:val="000000" w:themeColor="text1"/>
          <w:sz w:val="24"/>
          <w:szCs w:val="24"/>
        </w:rPr>
      </w:pPr>
      <w:r>
        <w:rPr>
          <w:rFonts w:ascii="Arial" w:hAnsi="Arial"/>
          <w:color w:val="000000" w:themeColor="text1"/>
          <w:sz w:val="24"/>
        </w:rPr>
        <w:t>Enpresetatik % 20, gutxienez, 6 langile baino gutxiagokoak izan beharko dira.</w:t>
      </w:r>
    </w:p>
    <w:p w14:paraId="05D5B2A4" w14:textId="7ABD5B04" w:rsidR="0079595B" w:rsidRDefault="00943DD9" w:rsidP="00943DD9">
      <w:pPr>
        <w:pStyle w:val="Prrafodelista"/>
        <w:numPr>
          <w:ilvl w:val="0"/>
          <w:numId w:val="4"/>
        </w:numPr>
        <w:spacing w:line="360" w:lineRule="auto"/>
        <w:contextualSpacing w:val="0"/>
        <w:jc w:val="both"/>
        <w:rPr>
          <w:rFonts w:ascii="Arial" w:hAnsi="Arial" w:cs="Arial"/>
          <w:color w:val="000000" w:themeColor="text1"/>
          <w:sz w:val="24"/>
          <w:szCs w:val="24"/>
        </w:rPr>
      </w:pPr>
      <w:r>
        <w:rPr>
          <w:rFonts w:ascii="Arial" w:hAnsi="Arial"/>
          <w:color w:val="000000" w:themeColor="text1"/>
          <w:sz w:val="24"/>
        </w:rPr>
        <w:t>Enpresetatik % 75, gutxienez, 50 langile baino gutxiagokoak izan beharko dira.</w:t>
      </w:r>
    </w:p>
    <w:p w14:paraId="274DD826" w14:textId="77777777" w:rsidR="0079595B"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 xml:space="preserve">Era berean, garrantzitsutzat jotzen dugu prebentzioaren arloko bisitak lehentasunez egitea lan-istripu kopuru handiena  duten enpresetan . Arazo horrek Nafarroako sektore asko ukitzen ditu eta hala agertzen da 2023ko lehentasunezko </w:t>
      </w:r>
      <w:proofErr w:type="spellStart"/>
      <w:r>
        <w:rPr>
          <w:rFonts w:ascii="Arial" w:hAnsi="Arial"/>
          <w:color w:val="000000" w:themeColor="text1"/>
          <w:sz w:val="24"/>
        </w:rPr>
        <w:t>EJSNren</w:t>
      </w:r>
      <w:proofErr w:type="spellEnd"/>
      <w:r>
        <w:rPr>
          <w:rFonts w:ascii="Arial" w:hAnsi="Arial"/>
          <w:color w:val="000000" w:themeColor="text1"/>
          <w:sz w:val="24"/>
        </w:rPr>
        <w:t xml:space="preserve"> zerrendan, lan-istripuen eta pertsona kopuruen indizea izanik &gt;P75. </w:t>
      </w:r>
      <w:proofErr w:type="spellStart"/>
      <w:r>
        <w:rPr>
          <w:rFonts w:ascii="Arial" w:hAnsi="Arial"/>
          <w:color w:val="000000" w:themeColor="text1"/>
          <w:sz w:val="24"/>
        </w:rPr>
        <w:t>NOPLOIk</w:t>
      </w:r>
      <w:proofErr w:type="spellEnd"/>
      <w:r>
        <w:rPr>
          <w:rFonts w:ascii="Arial" w:hAnsi="Arial"/>
          <w:color w:val="000000" w:themeColor="text1"/>
          <w:sz w:val="24"/>
        </w:rPr>
        <w:t xml:space="preserve"> emandako zerrenda estatistiko horrek ezarri behar du lehentasunaren erreferentzia. Beraz, lehentasunerako irizpide hauek ezarri ditugu:</w:t>
      </w:r>
    </w:p>
    <w:p w14:paraId="2742FF89" w14:textId="4D59AA87" w:rsidR="00943DD9" w:rsidRPr="00943DD9" w:rsidRDefault="00943DD9" w:rsidP="00943DD9">
      <w:pPr>
        <w:pStyle w:val="Prrafodelista"/>
        <w:numPr>
          <w:ilvl w:val="0"/>
          <w:numId w:val="3"/>
        </w:numPr>
        <w:spacing w:line="360" w:lineRule="auto"/>
        <w:contextualSpacing w:val="0"/>
        <w:jc w:val="both"/>
        <w:rPr>
          <w:rFonts w:ascii="Arial" w:hAnsi="Arial" w:cs="Arial"/>
          <w:color w:val="000000" w:themeColor="text1"/>
          <w:sz w:val="24"/>
          <w:szCs w:val="24"/>
        </w:rPr>
      </w:pPr>
      <w:r>
        <w:rPr>
          <w:rFonts w:ascii="Arial" w:hAnsi="Arial"/>
          <w:color w:val="000000" w:themeColor="text1"/>
          <w:sz w:val="24"/>
        </w:rPr>
        <w:lastRenderedPageBreak/>
        <w:t xml:space="preserve">Enpresetatik % 50, gutxienez, izanen dira Nafarroako Osasun Publikoaren eta Lan Osasunaren Institutuak 2023an lehentasunezko gisa ezarritako lehen 10 EJSNetako batekoak. </w:t>
      </w:r>
    </w:p>
    <w:p w14:paraId="2A26D023" w14:textId="03EFE379" w:rsidR="0079595B" w:rsidRDefault="00943DD9" w:rsidP="00943DD9">
      <w:pPr>
        <w:pStyle w:val="Prrafodelista"/>
        <w:numPr>
          <w:ilvl w:val="0"/>
          <w:numId w:val="3"/>
        </w:numPr>
        <w:spacing w:line="360" w:lineRule="auto"/>
        <w:contextualSpacing w:val="0"/>
        <w:jc w:val="both"/>
        <w:rPr>
          <w:rFonts w:ascii="Arial" w:hAnsi="Arial" w:cs="Arial"/>
          <w:color w:val="000000" w:themeColor="text1"/>
          <w:sz w:val="24"/>
          <w:szCs w:val="24"/>
        </w:rPr>
      </w:pPr>
      <w:r>
        <w:rPr>
          <w:rFonts w:ascii="Arial" w:hAnsi="Arial"/>
          <w:color w:val="000000" w:themeColor="text1"/>
          <w:sz w:val="24"/>
        </w:rPr>
        <w:t>Lehentasunezko gisa jarritako EJSN bakar batek ere ez du bilduko enpresetatik % 50 baino gehiago.</w:t>
      </w:r>
    </w:p>
    <w:p w14:paraId="0F2EAE32" w14:textId="77777777" w:rsidR="0079595B"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Irizpide horiek oinarri arautzaileetan sartu dira, exekuziorako irizpide gisa, hau da, behin laguntza emanda nahitaez bete beharrekoak izanen dira. Era horretan ziurtatzen dugu proiektuetan sartuko direla; bestela, baremazio positiboarekin emateko irizpide gisa sartuta soilik, bakarrik konputatuko dira ematerakoan.</w:t>
      </w:r>
    </w:p>
    <w:p w14:paraId="23512219" w14:textId="77777777" w:rsidR="0079595B"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 xml:space="preserve">Honela, deialdiak betebehar zuzenagoa sortuko luke lehentasun handiko sektoreetan, istripu kopuru handienak duten horietan era zeharkakoagoan, enpresa </w:t>
      </w:r>
      <w:proofErr w:type="spellStart"/>
      <w:r>
        <w:rPr>
          <w:rFonts w:ascii="Arial" w:hAnsi="Arial"/>
          <w:color w:val="000000" w:themeColor="text1"/>
          <w:sz w:val="24"/>
        </w:rPr>
        <w:t>txikiagoetara</w:t>
      </w:r>
      <w:proofErr w:type="spellEnd"/>
      <w:r>
        <w:rPr>
          <w:rFonts w:ascii="Arial" w:hAnsi="Arial"/>
          <w:color w:val="000000" w:themeColor="text1"/>
          <w:sz w:val="24"/>
        </w:rPr>
        <w:t xml:space="preserve"> eta sektore ezberdinetara iritsita, kontuan hartuz 6 langile baino gutxiagoko enpresen ordezkaritza sindikalaren eza.</w:t>
      </w:r>
    </w:p>
    <w:p w14:paraId="648125D2" w14:textId="77777777" w:rsidR="0079595B"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Irizpide horietaz gain oinarri arautzaile berriek berriketa batzuk dakartzate, esaterako, lurralde-banaketarako irizpidea, halako moduz non neurria lurralde osoan era orekatuan erabiliko den.</w:t>
      </w:r>
    </w:p>
    <w:p w14:paraId="6CCF067C" w14:textId="212B312A" w:rsidR="0079595B" w:rsidRPr="00FD6518" w:rsidRDefault="00943DD9" w:rsidP="00943DD9">
      <w:pPr>
        <w:spacing w:line="360" w:lineRule="auto"/>
        <w:jc w:val="both"/>
      </w:pPr>
      <w:r>
        <w:rPr>
          <w:rFonts w:ascii="Arial" w:hAnsi="Arial"/>
          <w:color w:val="000000" w:themeColor="text1"/>
          <w:sz w:val="24"/>
        </w:rPr>
        <w:t>Enpresen % 40, gutxienez ere, Iruñerritik kanpo egon beharko dira. Nafarroako Enpresen Behatokiak (</w:t>
      </w:r>
      <w:hyperlink r:id="rId7" w:history="1">
        <w:r>
          <w:rPr>
            <w:rStyle w:val="Hipervnculo"/>
            <w:rFonts w:ascii="Arial" w:hAnsi="Arial"/>
            <w:color w:val="000000" w:themeColor="text1"/>
            <w:sz w:val="24"/>
          </w:rPr>
          <w:t>https://observatorioempresarial.navarra.es/</w:t>
        </w:r>
      </w:hyperlink>
      <w:r w:rsidR="00FD6518">
        <w:rPr>
          <w:rStyle w:val="Hipervnculo"/>
          <w:rFonts w:ascii="Arial" w:hAnsi="Arial"/>
          <w:color w:val="000000" w:themeColor="text1"/>
          <w:sz w:val="24"/>
        </w:rPr>
        <w:t>)</w:t>
      </w:r>
      <w:r>
        <w:t xml:space="preserve"> </w:t>
      </w:r>
      <w:r w:rsidRPr="00FD6518">
        <w:rPr>
          <w:rFonts w:ascii="Arial" w:hAnsi="Arial"/>
          <w:color w:val="000000" w:themeColor="text1"/>
          <w:sz w:val="24"/>
        </w:rPr>
        <w:t>dituen datuekin bat.</w:t>
      </w:r>
    </w:p>
    <w:p w14:paraId="0AF9D569" w14:textId="77777777" w:rsidR="0079595B" w:rsidRDefault="00943DD9" w:rsidP="00943DD9">
      <w:pPr>
        <w:spacing w:line="360" w:lineRule="auto"/>
        <w:jc w:val="both"/>
        <w:rPr>
          <w:rFonts w:ascii="Arial" w:hAnsi="Arial" w:cs="Arial"/>
          <w:color w:val="000000" w:themeColor="text1"/>
          <w:sz w:val="24"/>
          <w:szCs w:val="24"/>
        </w:rPr>
      </w:pPr>
      <w:r>
        <w:rPr>
          <w:rFonts w:ascii="Arial" w:hAnsi="Arial"/>
          <w:color w:val="000000" w:themeColor="text1"/>
          <w:sz w:val="24"/>
        </w:rPr>
        <w:t>Deialdiaren beste berriketa bat da 2024an exekuzio epea 6 hilabetekoa izanen dela, 2024ko abendura arte, deialdiaren denbora-muga urte naturala izan dadin; halaber denbora horretan lehenagoko deialdien jarraipena eginen litzateke, agertoki berria</w:t>
      </w:r>
      <w:r>
        <w:rPr>
          <w:rFonts w:ascii="Arial" w:hAnsi="Arial"/>
          <w:color w:val="000000" w:themeColor="text1"/>
          <w:sz w:val="24"/>
        </w:rPr>
        <w:br/>
        <w:t xml:space="preserve"> eta 2025ean dituen emaitzak aztertzeko, helburua izanik prebentzioko jarduketak hobetzen jarraitzea eta deialdi berri bat diseinatzea 2025-2028 aldirako Nafarroako Enplegu Planaren esparruan.</w:t>
      </w:r>
    </w:p>
    <w:p w14:paraId="496605DA" w14:textId="16BDD0A4" w:rsidR="0079595B" w:rsidRDefault="000E4F2F" w:rsidP="000E4F2F">
      <w:pPr>
        <w:spacing w:line="360" w:lineRule="auto"/>
        <w:jc w:val="both"/>
        <w:rPr>
          <w:rFonts w:ascii="Arial" w:hAnsi="Arial" w:cs="Arial"/>
          <w:sz w:val="24"/>
          <w:szCs w:val="24"/>
        </w:rPr>
      </w:pPr>
      <w:r>
        <w:rPr>
          <w:rFonts w:ascii="Arial" w:hAnsi="Arial"/>
          <w:sz w:val="24"/>
        </w:rPr>
        <w:t>Hori jakinarazten dut, Nafarroako Parlamentuko Erregelamenduaren 215. artikuluan xedatutakoa betez.</w:t>
      </w:r>
    </w:p>
    <w:p w14:paraId="6909957C" w14:textId="77777777" w:rsidR="0079595B" w:rsidRDefault="000E4F2F" w:rsidP="000E4F2F">
      <w:pPr>
        <w:spacing w:line="360" w:lineRule="auto"/>
        <w:jc w:val="center"/>
        <w:rPr>
          <w:rFonts w:ascii="Arial" w:hAnsi="Arial" w:cs="Arial"/>
          <w:sz w:val="24"/>
          <w:szCs w:val="24"/>
        </w:rPr>
      </w:pPr>
      <w:r>
        <w:rPr>
          <w:rFonts w:ascii="Arial" w:hAnsi="Arial"/>
          <w:sz w:val="24"/>
        </w:rPr>
        <w:lastRenderedPageBreak/>
        <w:t>Iruñean, 2024ko uztailaren 5ean.</w:t>
      </w:r>
    </w:p>
    <w:p w14:paraId="7756982F" w14:textId="479A93E2" w:rsidR="000E4F2F" w:rsidRPr="00764E30" w:rsidRDefault="0079595B" w:rsidP="000E4F2F">
      <w:pPr>
        <w:spacing w:line="360" w:lineRule="auto"/>
        <w:jc w:val="center"/>
        <w:rPr>
          <w:rFonts w:ascii="Arial" w:hAnsi="Arial" w:cs="Arial"/>
          <w:sz w:val="24"/>
          <w:szCs w:val="24"/>
        </w:rPr>
      </w:pPr>
      <w:r>
        <w:rPr>
          <w:rFonts w:ascii="Arial" w:hAnsi="Arial"/>
          <w:sz w:val="24"/>
        </w:rPr>
        <w:t>Eskubide Sozialetako, Ekonomia Sozialeko eta Enpleguko kontseilaria:</w:t>
      </w:r>
    </w:p>
    <w:p w14:paraId="42C10102" w14:textId="7ABE15E3" w:rsidR="0079595B" w:rsidRDefault="0079595B" w:rsidP="0079595B">
      <w:pPr>
        <w:spacing w:line="360" w:lineRule="auto"/>
        <w:jc w:val="center"/>
        <w:rPr>
          <w:rFonts w:ascii="Arial" w:hAnsi="Arial" w:cs="Arial"/>
          <w:sz w:val="24"/>
          <w:szCs w:val="24"/>
        </w:rPr>
      </w:pPr>
      <w:r>
        <w:rPr>
          <w:rFonts w:ascii="Arial" w:hAnsi="Arial"/>
          <w:sz w:val="24"/>
        </w:rPr>
        <w:t xml:space="preserve"> María Carmen Maeztu </w:t>
      </w:r>
      <w:proofErr w:type="spellStart"/>
      <w:r>
        <w:rPr>
          <w:rFonts w:ascii="Arial" w:hAnsi="Arial"/>
          <w:sz w:val="24"/>
        </w:rPr>
        <w:t>Villafranca</w:t>
      </w:r>
      <w:proofErr w:type="spellEnd"/>
    </w:p>
    <w:p w14:paraId="01509507" w14:textId="77777777" w:rsidR="0079595B" w:rsidRDefault="0079595B" w:rsidP="00943DD9">
      <w:pPr>
        <w:rPr>
          <w:rFonts w:ascii="Arial" w:hAnsi="Arial" w:cs="Arial"/>
          <w:sz w:val="24"/>
          <w:szCs w:val="24"/>
        </w:rPr>
      </w:pPr>
    </w:p>
    <w:p w14:paraId="2CB338EC" w14:textId="2B734740" w:rsidR="00660200" w:rsidRPr="002F5D61" w:rsidRDefault="00660200" w:rsidP="002F5D61">
      <w:pPr>
        <w:spacing w:line="360" w:lineRule="auto"/>
        <w:jc w:val="both"/>
        <w:rPr>
          <w:rFonts w:ascii="Arial" w:hAnsi="Arial" w:cs="Arial"/>
          <w:sz w:val="24"/>
          <w:szCs w:val="24"/>
        </w:rPr>
      </w:pPr>
    </w:p>
    <w:sectPr w:rsidR="00660200" w:rsidRPr="002F5D61" w:rsidSect="000A28AD">
      <w:pgSz w:w="11906" w:h="16838"/>
      <w:pgMar w:top="2552" w:right="1701" w:bottom="2552"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143D2" w14:textId="77777777" w:rsidR="000E4F2F" w:rsidRDefault="000E4F2F" w:rsidP="000E4F2F">
      <w:r>
        <w:separator/>
      </w:r>
    </w:p>
  </w:endnote>
  <w:endnote w:type="continuationSeparator" w:id="0">
    <w:p w14:paraId="51320DD6" w14:textId="77777777" w:rsidR="000E4F2F" w:rsidRDefault="000E4F2F" w:rsidP="000E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DC5C1" w14:textId="77777777" w:rsidR="000E4F2F" w:rsidRDefault="000E4F2F" w:rsidP="000E4F2F">
      <w:r>
        <w:separator/>
      </w:r>
    </w:p>
  </w:footnote>
  <w:footnote w:type="continuationSeparator" w:id="0">
    <w:p w14:paraId="1697270A" w14:textId="77777777" w:rsidR="000E4F2F" w:rsidRDefault="000E4F2F" w:rsidP="000E4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06DD2"/>
    <w:multiLevelType w:val="hybridMultilevel"/>
    <w:tmpl w:val="B7D4C8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1C0730E"/>
    <w:multiLevelType w:val="hybridMultilevel"/>
    <w:tmpl w:val="72A83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38012C"/>
    <w:multiLevelType w:val="hybridMultilevel"/>
    <w:tmpl w:val="49ACC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427A07"/>
    <w:multiLevelType w:val="hybridMultilevel"/>
    <w:tmpl w:val="82E4D0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822C92"/>
    <w:multiLevelType w:val="hybridMultilevel"/>
    <w:tmpl w:val="88B4CF06"/>
    <w:lvl w:ilvl="0" w:tplc="AAA2B67A">
      <w:start w:val="1"/>
      <w:numFmt w:val="decimal"/>
      <w:lvlText w:val="%1."/>
      <w:lvlJc w:val="left"/>
      <w:pPr>
        <w:ind w:left="360" w:hanging="360"/>
      </w:pPr>
      <w:rPr>
        <w:rFonts w:ascii="Arial" w:eastAsia="Times New Roman" w:hAnsi="Arial" w:cs="Arial"/>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3E96589"/>
    <w:multiLevelType w:val="hybridMultilevel"/>
    <w:tmpl w:val="0CA0BC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5638491">
    <w:abstractNumId w:val="4"/>
  </w:num>
  <w:num w:numId="2" w16cid:durableId="736586105">
    <w:abstractNumId w:val="0"/>
  </w:num>
  <w:num w:numId="3" w16cid:durableId="914706599">
    <w:abstractNumId w:val="3"/>
  </w:num>
  <w:num w:numId="4" w16cid:durableId="1105078881">
    <w:abstractNumId w:val="5"/>
  </w:num>
  <w:num w:numId="5" w16cid:durableId="9378864">
    <w:abstractNumId w:val="2"/>
  </w:num>
  <w:num w:numId="6" w16cid:durableId="194923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97"/>
    <w:rsid w:val="00026670"/>
    <w:rsid w:val="000A28AD"/>
    <w:rsid w:val="000E4F2F"/>
    <w:rsid w:val="00202AA2"/>
    <w:rsid w:val="002D0AD7"/>
    <w:rsid w:val="002F5D61"/>
    <w:rsid w:val="00660200"/>
    <w:rsid w:val="00730C9E"/>
    <w:rsid w:val="0079595B"/>
    <w:rsid w:val="007A6305"/>
    <w:rsid w:val="00943DD9"/>
    <w:rsid w:val="00B45504"/>
    <w:rsid w:val="00B85768"/>
    <w:rsid w:val="00EC0D97"/>
    <w:rsid w:val="00FD6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7D29"/>
  <w15:chartTrackingRefBased/>
  <w15:docId w15:val="{F82F31CE-FC01-4855-9573-D4899BCB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F2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F2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E4F2F"/>
  </w:style>
  <w:style w:type="paragraph" w:styleId="Piedepgina">
    <w:name w:val="footer"/>
    <w:basedOn w:val="Normal"/>
    <w:link w:val="PiedepginaCar"/>
    <w:unhideWhenUsed/>
    <w:rsid w:val="000E4F2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0E4F2F"/>
  </w:style>
  <w:style w:type="paragraph" w:styleId="Textoindependiente">
    <w:name w:val="Body Text"/>
    <w:basedOn w:val="Normal"/>
    <w:link w:val="TextoindependienteCar"/>
    <w:rsid w:val="000E4F2F"/>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0E4F2F"/>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0E4F2F"/>
  </w:style>
  <w:style w:type="paragraph" w:styleId="Prrafodelista">
    <w:name w:val="List Paragraph"/>
    <w:basedOn w:val="Normal"/>
    <w:uiPriority w:val="34"/>
    <w:qFormat/>
    <w:rsid w:val="000E4F2F"/>
    <w:pPr>
      <w:ind w:left="720"/>
      <w:contextualSpacing/>
    </w:pPr>
  </w:style>
  <w:style w:type="character" w:styleId="Hipervnculo">
    <w:name w:val="Hyperlink"/>
    <w:basedOn w:val="Fuentedeprrafopredeter"/>
    <w:uiPriority w:val="99"/>
    <w:semiHidden/>
    <w:unhideWhenUsed/>
    <w:rsid w:val="00943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servatorioempresarial.nav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814</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9</cp:revision>
  <dcterms:created xsi:type="dcterms:W3CDTF">2024-07-04T06:27:00Z</dcterms:created>
  <dcterms:modified xsi:type="dcterms:W3CDTF">2024-08-09T06:37:00Z</dcterms:modified>
</cp:coreProperties>
</file>