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7FAF" w14:textId="77777777" w:rsidR="004870D3" w:rsidRDefault="00B46458" w:rsidP="00B46458">
      <w:pPr>
        <w:spacing w:line="360" w:lineRule="auto"/>
        <w:jc w:val="both"/>
        <w:rPr>
          <w:rFonts w:ascii="Arial" w:hAnsi="Arial" w:cs="Arial"/>
          <w:sz w:val="24"/>
          <w:szCs w:val="24"/>
        </w:rPr>
      </w:pPr>
      <w:r w:rsidRPr="00764E30">
        <w:rPr>
          <w:rFonts w:ascii="Arial" w:hAnsi="Arial" w:cs="Arial"/>
          <w:sz w:val="24"/>
          <w:szCs w:val="24"/>
        </w:rPr>
        <w:t>La consejera de Derechos Sociales, Economía Social y Empleo del Gobierno de Navarra, en relación con la pregunta para su contestación por escrito formulada por</w:t>
      </w:r>
      <w:r>
        <w:rPr>
          <w:rFonts w:ascii="Arial" w:hAnsi="Arial" w:cs="Arial"/>
          <w:sz w:val="24"/>
          <w:szCs w:val="24"/>
        </w:rPr>
        <w:t xml:space="preserve"> el Parlamentario Foral Ilmo. Sr. D. Javier Arza Porras, adscrito al Grupo Parlamentario EH Bildu Nafarroa, en la que solicita (11-24/PES-00061):</w:t>
      </w:r>
    </w:p>
    <w:p w14:paraId="024DDF0F" w14:textId="77777777" w:rsidR="004870D3" w:rsidRDefault="00B46458" w:rsidP="00B46458">
      <w:pPr>
        <w:pStyle w:val="Prrafodelista"/>
        <w:numPr>
          <w:ilvl w:val="0"/>
          <w:numId w:val="1"/>
        </w:numPr>
        <w:spacing w:line="360" w:lineRule="auto"/>
        <w:jc w:val="both"/>
        <w:rPr>
          <w:rFonts w:ascii="Arial" w:hAnsi="Arial" w:cs="Arial"/>
          <w:sz w:val="24"/>
          <w:szCs w:val="24"/>
        </w:rPr>
      </w:pPr>
      <w:r>
        <w:rPr>
          <w:rFonts w:ascii="Arial" w:hAnsi="Arial" w:cs="Arial"/>
          <w:sz w:val="24"/>
          <w:szCs w:val="24"/>
        </w:rPr>
        <w:t>¿En qué momento se encuentra el proceso de extensión de los puntos de encuentro familiar a todas las áreas de servicios sociales de Navarra? ¿Qué criterios se utilizan para decidir en qué área se instala o no un punto de encuentro familiar? ¿Qué datos puede aportar su Departamento sobre el número de casos que acceden a los puntos de encuentro, según área de residencia?</w:t>
      </w:r>
    </w:p>
    <w:p w14:paraId="56D56550" w14:textId="77777777" w:rsidR="004870D3" w:rsidRDefault="00973507" w:rsidP="00B46458">
      <w:pPr>
        <w:spacing w:line="360" w:lineRule="auto"/>
        <w:jc w:val="both"/>
        <w:rPr>
          <w:rFonts w:ascii="Arial" w:hAnsi="Arial" w:cs="Arial"/>
          <w:sz w:val="24"/>
          <w:szCs w:val="24"/>
        </w:rPr>
      </w:pPr>
      <w:r>
        <w:rPr>
          <w:rFonts w:ascii="Arial" w:hAnsi="Arial" w:cs="Arial"/>
          <w:sz w:val="24"/>
          <w:szCs w:val="24"/>
        </w:rPr>
        <w:t xml:space="preserve">Tiene a </w:t>
      </w:r>
      <w:r w:rsidR="00B46458">
        <w:rPr>
          <w:rFonts w:ascii="Arial" w:hAnsi="Arial" w:cs="Arial"/>
          <w:sz w:val="24"/>
          <w:szCs w:val="24"/>
        </w:rPr>
        <w:t>bien informar</w:t>
      </w:r>
      <w:r>
        <w:rPr>
          <w:rFonts w:ascii="Arial" w:hAnsi="Arial" w:cs="Arial"/>
          <w:sz w:val="24"/>
          <w:szCs w:val="24"/>
        </w:rPr>
        <w:t xml:space="preserve"> de</w:t>
      </w:r>
      <w:r w:rsidR="00B46458">
        <w:rPr>
          <w:rFonts w:ascii="Arial" w:hAnsi="Arial" w:cs="Arial"/>
          <w:sz w:val="24"/>
          <w:szCs w:val="24"/>
        </w:rPr>
        <w:t xml:space="preserve"> lo siguiente:</w:t>
      </w:r>
    </w:p>
    <w:p w14:paraId="02967E07" w14:textId="0073000B" w:rsidR="00973507" w:rsidRPr="00973507" w:rsidRDefault="00973507" w:rsidP="00973507">
      <w:pPr>
        <w:spacing w:line="360" w:lineRule="auto"/>
        <w:jc w:val="both"/>
        <w:rPr>
          <w:rFonts w:ascii="Arial" w:hAnsi="Arial" w:cs="Arial"/>
          <w:sz w:val="24"/>
          <w:szCs w:val="24"/>
        </w:rPr>
      </w:pPr>
      <w:r w:rsidRPr="00973507">
        <w:rPr>
          <w:rFonts w:ascii="Arial" w:hAnsi="Arial" w:cs="Arial"/>
          <w:sz w:val="24"/>
          <w:szCs w:val="24"/>
        </w:rPr>
        <w:t xml:space="preserve">La extensión de los puntos de encuentro familiar a diferentes áreas de servicios sociales se ha ido ejecutando en función de la demanda de solicitudes de este servicio por parte de los juzgados y del propio sistema de protección. La última ampliación fue para crear un Punto de Encuentro específico para el sistema de protección, en el que poder atender los encuentros con las familias biológicas de aquellos menores en los que la medida de protección era un acogimiento familiar. La demanda (más de 200 menores en acogimiento familiar) exigía un servicio específico, y la mayor parte de la población diana se encontraba en Pamplona y Comarca. </w:t>
      </w:r>
    </w:p>
    <w:p w14:paraId="4A8F631A" w14:textId="77777777" w:rsidR="004870D3" w:rsidRDefault="00973507" w:rsidP="00973507">
      <w:pPr>
        <w:spacing w:line="360" w:lineRule="auto"/>
        <w:jc w:val="both"/>
        <w:rPr>
          <w:rFonts w:ascii="Arial" w:hAnsi="Arial" w:cs="Arial"/>
          <w:sz w:val="24"/>
          <w:szCs w:val="24"/>
        </w:rPr>
      </w:pPr>
      <w:r w:rsidRPr="00973507">
        <w:rPr>
          <w:rFonts w:ascii="Arial" w:hAnsi="Arial" w:cs="Arial"/>
          <w:sz w:val="24"/>
          <w:szCs w:val="24"/>
        </w:rPr>
        <w:t>En estos momentos, existe una solicitud para la extensión de este servicio al área de Estella. Es necesario que exista una demanda suficiente para que el servicio sea eficiente, teniendo en cuenta que requiere un personal mínimo para su funcionamiento</w:t>
      </w:r>
      <w:r w:rsidR="00E73660">
        <w:rPr>
          <w:rFonts w:ascii="Arial" w:hAnsi="Arial" w:cs="Arial"/>
          <w:sz w:val="24"/>
          <w:szCs w:val="24"/>
        </w:rPr>
        <w:t xml:space="preserve">: </w:t>
      </w:r>
      <w:r w:rsidRPr="00973507">
        <w:rPr>
          <w:rFonts w:ascii="Arial" w:hAnsi="Arial" w:cs="Arial"/>
          <w:sz w:val="24"/>
          <w:szCs w:val="24"/>
        </w:rPr>
        <w:t xml:space="preserve">2 técnicos de intervención familiar a jornada completa, un 25% de jornada de coordinación, </w:t>
      </w:r>
      <w:r w:rsidR="00E73660">
        <w:rPr>
          <w:rFonts w:ascii="Arial" w:hAnsi="Arial" w:cs="Arial"/>
          <w:sz w:val="24"/>
          <w:szCs w:val="24"/>
        </w:rPr>
        <w:t>un 25% de jornada de psicología (es el personal con el que, actualmente, cuentan los Puntos de Encuentro Familiar de Tudela y Tafalla).</w:t>
      </w:r>
    </w:p>
    <w:p w14:paraId="45F3E1E5" w14:textId="50E05E52" w:rsidR="004870D3" w:rsidRDefault="00973507" w:rsidP="00973507">
      <w:pPr>
        <w:spacing w:line="360" w:lineRule="auto"/>
        <w:jc w:val="both"/>
        <w:rPr>
          <w:rFonts w:ascii="Arial" w:hAnsi="Arial" w:cs="Arial"/>
          <w:sz w:val="24"/>
          <w:szCs w:val="24"/>
        </w:rPr>
      </w:pPr>
      <w:r w:rsidRPr="00973507">
        <w:rPr>
          <w:rFonts w:ascii="Arial" w:hAnsi="Arial" w:cs="Arial"/>
          <w:sz w:val="24"/>
          <w:szCs w:val="24"/>
        </w:rPr>
        <w:t>Se va a realizar un análisis de los procedimientos atendidos en los juzgados de Estella, y valorar si es posible su extensión a dicha área el próximo año.</w:t>
      </w:r>
    </w:p>
    <w:p w14:paraId="04356278" w14:textId="5FE742A0" w:rsidR="00973507" w:rsidRDefault="00973507" w:rsidP="00973507">
      <w:pPr>
        <w:spacing w:line="360" w:lineRule="auto"/>
        <w:jc w:val="both"/>
        <w:rPr>
          <w:rFonts w:ascii="Arial" w:hAnsi="Arial" w:cs="Arial"/>
          <w:sz w:val="24"/>
          <w:szCs w:val="24"/>
        </w:rPr>
      </w:pPr>
      <w:proofErr w:type="gramStart"/>
      <w:r w:rsidRPr="00973507">
        <w:rPr>
          <w:rFonts w:ascii="Arial" w:hAnsi="Arial" w:cs="Arial"/>
          <w:sz w:val="24"/>
          <w:szCs w:val="24"/>
        </w:rPr>
        <w:t>En relación al</w:t>
      </w:r>
      <w:proofErr w:type="gramEnd"/>
      <w:r w:rsidRPr="00973507">
        <w:rPr>
          <w:rFonts w:ascii="Arial" w:hAnsi="Arial" w:cs="Arial"/>
          <w:sz w:val="24"/>
          <w:szCs w:val="24"/>
        </w:rPr>
        <w:t xml:space="preserve"> área de servicios sociales de procedencia de las personas atendidas, la distribución en 2023 fue la siguiente:</w:t>
      </w:r>
    </w:p>
    <w:p w14:paraId="0F0F530A" w14:textId="77777777" w:rsidR="00973507" w:rsidRDefault="00973507" w:rsidP="00973507">
      <w:pPr>
        <w:spacing w:line="360" w:lineRule="auto"/>
        <w:jc w:val="both"/>
        <w:rPr>
          <w:rFonts w:ascii="Arial" w:hAnsi="Arial" w:cs="Arial"/>
          <w:sz w:val="24"/>
          <w:szCs w:val="24"/>
        </w:rPr>
      </w:pPr>
    </w:p>
    <w:p w14:paraId="6FEB4AB7" w14:textId="77777777" w:rsidR="004870D3" w:rsidRDefault="004870D3" w:rsidP="00973507">
      <w:pPr>
        <w:spacing w:line="360" w:lineRule="auto"/>
        <w:jc w:val="both"/>
        <w:rPr>
          <w:rFonts w:ascii="Arial" w:hAnsi="Arial" w:cs="Arial"/>
          <w:sz w:val="24"/>
          <w:szCs w:val="24"/>
        </w:rPr>
      </w:pPr>
    </w:p>
    <w:p w14:paraId="3FFBF243" w14:textId="77777777" w:rsidR="004870D3" w:rsidRPr="00973507" w:rsidRDefault="004870D3" w:rsidP="00973507">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973507" w:rsidRPr="004870D3" w14:paraId="5B0B63EB" w14:textId="77777777" w:rsidTr="0079232C">
        <w:tc>
          <w:tcPr>
            <w:tcW w:w="4247" w:type="dxa"/>
          </w:tcPr>
          <w:p w14:paraId="59F15802" w14:textId="1E264259" w:rsidR="00973507" w:rsidRPr="004870D3" w:rsidRDefault="004870D3" w:rsidP="004870D3">
            <w:pPr>
              <w:spacing w:before="60" w:line="360" w:lineRule="auto"/>
              <w:jc w:val="both"/>
              <w:rPr>
                <w:rFonts w:ascii="Arial" w:hAnsi="Arial" w:cs="Arial"/>
                <w:sz w:val="18"/>
                <w:szCs w:val="18"/>
              </w:rPr>
            </w:pPr>
            <w:r>
              <w:rPr>
                <w:rFonts w:ascii="Arial" w:hAnsi="Arial" w:cs="Arial"/>
                <w:sz w:val="18"/>
                <w:szCs w:val="18"/>
              </w:rPr>
              <w:lastRenderedPageBreak/>
              <w:t>Á</w:t>
            </w:r>
            <w:r w:rsidR="00973507" w:rsidRPr="004870D3">
              <w:rPr>
                <w:rFonts w:ascii="Arial" w:hAnsi="Arial" w:cs="Arial"/>
                <w:sz w:val="18"/>
                <w:szCs w:val="18"/>
              </w:rPr>
              <w:t>rea Norte</w:t>
            </w:r>
          </w:p>
        </w:tc>
        <w:tc>
          <w:tcPr>
            <w:tcW w:w="4247" w:type="dxa"/>
          </w:tcPr>
          <w:p w14:paraId="1ACA3978"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43</w:t>
            </w:r>
          </w:p>
        </w:tc>
      </w:tr>
      <w:tr w:rsidR="00973507" w:rsidRPr="004870D3" w14:paraId="4FD19F8C" w14:textId="77777777" w:rsidTr="0079232C">
        <w:tc>
          <w:tcPr>
            <w:tcW w:w="4247" w:type="dxa"/>
          </w:tcPr>
          <w:p w14:paraId="5F051878"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Área Comarca de Pamplona</w:t>
            </w:r>
          </w:p>
        </w:tc>
        <w:tc>
          <w:tcPr>
            <w:tcW w:w="4247" w:type="dxa"/>
          </w:tcPr>
          <w:p w14:paraId="61889539"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242</w:t>
            </w:r>
          </w:p>
        </w:tc>
      </w:tr>
      <w:tr w:rsidR="00973507" w:rsidRPr="004870D3" w14:paraId="306EEDB2" w14:textId="77777777" w:rsidTr="0079232C">
        <w:tc>
          <w:tcPr>
            <w:tcW w:w="4247" w:type="dxa"/>
          </w:tcPr>
          <w:p w14:paraId="37E290A8"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Área de Pamplona</w:t>
            </w:r>
          </w:p>
        </w:tc>
        <w:tc>
          <w:tcPr>
            <w:tcW w:w="4247" w:type="dxa"/>
          </w:tcPr>
          <w:p w14:paraId="09D44BDC"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224</w:t>
            </w:r>
          </w:p>
        </w:tc>
      </w:tr>
      <w:tr w:rsidR="00973507" w:rsidRPr="004870D3" w14:paraId="7AA74883" w14:textId="77777777" w:rsidTr="0079232C">
        <w:tc>
          <w:tcPr>
            <w:tcW w:w="4247" w:type="dxa"/>
          </w:tcPr>
          <w:p w14:paraId="2AA1970A"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Área de Estella</w:t>
            </w:r>
          </w:p>
        </w:tc>
        <w:tc>
          <w:tcPr>
            <w:tcW w:w="4247" w:type="dxa"/>
          </w:tcPr>
          <w:p w14:paraId="142C1827"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26</w:t>
            </w:r>
          </w:p>
        </w:tc>
      </w:tr>
      <w:tr w:rsidR="00973507" w:rsidRPr="004870D3" w14:paraId="3BACB2F3" w14:textId="77777777" w:rsidTr="0079232C">
        <w:tc>
          <w:tcPr>
            <w:tcW w:w="4247" w:type="dxa"/>
          </w:tcPr>
          <w:p w14:paraId="7E95BA34"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Área de Tafalla</w:t>
            </w:r>
          </w:p>
        </w:tc>
        <w:tc>
          <w:tcPr>
            <w:tcW w:w="4247" w:type="dxa"/>
          </w:tcPr>
          <w:p w14:paraId="51155D64"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103</w:t>
            </w:r>
          </w:p>
        </w:tc>
      </w:tr>
      <w:tr w:rsidR="00973507" w:rsidRPr="004870D3" w14:paraId="7809A50B" w14:textId="77777777" w:rsidTr="0079232C">
        <w:tc>
          <w:tcPr>
            <w:tcW w:w="4247" w:type="dxa"/>
          </w:tcPr>
          <w:p w14:paraId="6B59E426"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Área de Tudela</w:t>
            </w:r>
          </w:p>
        </w:tc>
        <w:tc>
          <w:tcPr>
            <w:tcW w:w="4247" w:type="dxa"/>
          </w:tcPr>
          <w:p w14:paraId="729277C5"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139</w:t>
            </w:r>
          </w:p>
        </w:tc>
      </w:tr>
      <w:tr w:rsidR="00973507" w:rsidRPr="004870D3" w14:paraId="15544630" w14:textId="77777777" w:rsidTr="0079232C">
        <w:tc>
          <w:tcPr>
            <w:tcW w:w="4247" w:type="dxa"/>
          </w:tcPr>
          <w:p w14:paraId="250D872A"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Otros</w:t>
            </w:r>
          </w:p>
        </w:tc>
        <w:tc>
          <w:tcPr>
            <w:tcW w:w="4247" w:type="dxa"/>
          </w:tcPr>
          <w:p w14:paraId="13072CF4"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46</w:t>
            </w:r>
          </w:p>
        </w:tc>
      </w:tr>
      <w:tr w:rsidR="00973507" w:rsidRPr="004870D3" w14:paraId="5EC94C9C" w14:textId="77777777" w:rsidTr="0079232C">
        <w:tc>
          <w:tcPr>
            <w:tcW w:w="4247" w:type="dxa"/>
          </w:tcPr>
          <w:p w14:paraId="5D156618" w14:textId="77777777" w:rsidR="00973507" w:rsidRPr="004870D3" w:rsidRDefault="00973507" w:rsidP="004870D3">
            <w:pPr>
              <w:spacing w:before="60" w:line="360" w:lineRule="auto"/>
              <w:jc w:val="both"/>
              <w:rPr>
                <w:rFonts w:ascii="Arial" w:hAnsi="Arial" w:cs="Arial"/>
                <w:sz w:val="18"/>
                <w:szCs w:val="18"/>
              </w:rPr>
            </w:pPr>
            <w:r w:rsidRPr="004870D3">
              <w:rPr>
                <w:rFonts w:ascii="Arial" w:hAnsi="Arial" w:cs="Arial"/>
                <w:sz w:val="18"/>
                <w:szCs w:val="18"/>
              </w:rPr>
              <w:t>TOTAL</w:t>
            </w:r>
          </w:p>
        </w:tc>
        <w:tc>
          <w:tcPr>
            <w:tcW w:w="4247" w:type="dxa"/>
          </w:tcPr>
          <w:p w14:paraId="18FA8B93" w14:textId="77777777" w:rsidR="00973507" w:rsidRPr="004870D3" w:rsidRDefault="00973507" w:rsidP="004870D3">
            <w:pPr>
              <w:spacing w:before="60" w:line="360" w:lineRule="auto"/>
              <w:jc w:val="center"/>
              <w:rPr>
                <w:rFonts w:ascii="Arial" w:hAnsi="Arial" w:cs="Arial"/>
                <w:sz w:val="18"/>
                <w:szCs w:val="18"/>
              </w:rPr>
            </w:pPr>
            <w:r w:rsidRPr="004870D3">
              <w:rPr>
                <w:rFonts w:ascii="Arial" w:hAnsi="Arial" w:cs="Arial"/>
                <w:sz w:val="18"/>
                <w:szCs w:val="18"/>
              </w:rPr>
              <w:t>823</w:t>
            </w:r>
          </w:p>
        </w:tc>
      </w:tr>
    </w:tbl>
    <w:p w14:paraId="382DEC01" w14:textId="77777777" w:rsidR="004870D3" w:rsidRDefault="004870D3" w:rsidP="00B46458">
      <w:pPr>
        <w:spacing w:line="360" w:lineRule="auto"/>
        <w:jc w:val="both"/>
        <w:rPr>
          <w:rFonts w:ascii="Arial" w:hAnsi="Arial" w:cs="Arial"/>
          <w:sz w:val="24"/>
          <w:szCs w:val="24"/>
        </w:rPr>
      </w:pPr>
    </w:p>
    <w:p w14:paraId="70B98F5C" w14:textId="77777777" w:rsidR="004870D3" w:rsidRDefault="00B46458" w:rsidP="00B46458">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7E3986CE" w14:textId="54C3A5B9" w:rsidR="00B46458" w:rsidRDefault="00B46458" w:rsidP="00B46458">
      <w:pPr>
        <w:spacing w:line="360" w:lineRule="auto"/>
        <w:jc w:val="center"/>
        <w:rPr>
          <w:rFonts w:ascii="Arial" w:hAnsi="Arial" w:cs="Arial"/>
          <w:sz w:val="24"/>
          <w:szCs w:val="24"/>
        </w:rPr>
      </w:pPr>
      <w:r w:rsidRPr="00973507">
        <w:rPr>
          <w:rFonts w:ascii="Arial" w:hAnsi="Arial" w:cs="Arial"/>
          <w:sz w:val="24"/>
          <w:szCs w:val="24"/>
        </w:rPr>
        <w:t>Pamplona-</w:t>
      </w:r>
      <w:proofErr w:type="spellStart"/>
      <w:r w:rsidRPr="00973507">
        <w:rPr>
          <w:rFonts w:ascii="Arial" w:hAnsi="Arial" w:cs="Arial"/>
          <w:sz w:val="24"/>
          <w:szCs w:val="24"/>
        </w:rPr>
        <w:t>Iruñea</w:t>
      </w:r>
      <w:proofErr w:type="spellEnd"/>
      <w:r w:rsidRPr="00973507">
        <w:rPr>
          <w:rFonts w:ascii="Arial" w:hAnsi="Arial" w:cs="Arial"/>
          <w:sz w:val="24"/>
          <w:szCs w:val="24"/>
        </w:rPr>
        <w:t xml:space="preserve">, </w:t>
      </w:r>
      <w:r w:rsidR="00973507" w:rsidRPr="00973507">
        <w:rPr>
          <w:rFonts w:ascii="Arial" w:hAnsi="Arial" w:cs="Arial"/>
          <w:sz w:val="24"/>
          <w:szCs w:val="24"/>
        </w:rPr>
        <w:t>19</w:t>
      </w:r>
      <w:r w:rsidRPr="00973507">
        <w:rPr>
          <w:rFonts w:ascii="Arial" w:hAnsi="Arial" w:cs="Arial"/>
          <w:sz w:val="24"/>
          <w:szCs w:val="24"/>
        </w:rPr>
        <w:t xml:space="preserve"> de </w:t>
      </w:r>
      <w:r w:rsidR="00973507" w:rsidRPr="00973507">
        <w:rPr>
          <w:rFonts w:ascii="Arial" w:hAnsi="Arial" w:cs="Arial"/>
          <w:sz w:val="24"/>
          <w:szCs w:val="24"/>
        </w:rPr>
        <w:t>febrero de 2024</w:t>
      </w:r>
    </w:p>
    <w:p w14:paraId="10301B79" w14:textId="77777777" w:rsidR="004870D3" w:rsidRDefault="004870D3" w:rsidP="004870D3">
      <w:pPr>
        <w:jc w:val="center"/>
        <w:rPr>
          <w:rFonts w:ascii="Arial" w:hAnsi="Arial" w:cs="Arial"/>
          <w:sz w:val="24"/>
          <w:szCs w:val="24"/>
        </w:rPr>
      </w:pPr>
      <w:r>
        <w:rPr>
          <w:rFonts w:ascii="Arial" w:hAnsi="Arial" w:cs="Arial"/>
          <w:sz w:val="24"/>
          <w:szCs w:val="24"/>
        </w:rPr>
        <w:t>La Consejera de Derechos Sociales, Economía Social y Empleo: María Carmen Maeztu Villafranca</w:t>
      </w:r>
    </w:p>
    <w:p w14:paraId="743A5C7A" w14:textId="598CF8C2" w:rsidR="004870D3" w:rsidRPr="00973507" w:rsidRDefault="004870D3" w:rsidP="00B46458">
      <w:pPr>
        <w:spacing w:line="360" w:lineRule="auto"/>
        <w:jc w:val="center"/>
        <w:rPr>
          <w:rFonts w:ascii="Arial" w:hAnsi="Arial" w:cs="Arial"/>
          <w:sz w:val="24"/>
          <w:szCs w:val="24"/>
        </w:rPr>
      </w:pPr>
    </w:p>
    <w:sectPr w:rsidR="004870D3" w:rsidRPr="00973507"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40FD" w14:textId="77777777" w:rsidR="00B46458" w:rsidRDefault="00B46458" w:rsidP="00B46458">
      <w:r>
        <w:separator/>
      </w:r>
    </w:p>
  </w:endnote>
  <w:endnote w:type="continuationSeparator" w:id="0">
    <w:p w14:paraId="1D1A25A1" w14:textId="77777777" w:rsidR="00B46458" w:rsidRDefault="00B46458" w:rsidP="00B4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6052" w14:textId="77777777" w:rsidR="00B46458" w:rsidRDefault="00B46458" w:rsidP="00B46458">
      <w:r>
        <w:separator/>
      </w:r>
    </w:p>
  </w:footnote>
  <w:footnote w:type="continuationSeparator" w:id="0">
    <w:p w14:paraId="2D3517B4" w14:textId="77777777" w:rsidR="00B46458" w:rsidRDefault="00B46458" w:rsidP="00B4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2798"/>
    <w:multiLevelType w:val="hybridMultilevel"/>
    <w:tmpl w:val="487A0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270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9D"/>
    <w:rsid w:val="004870D3"/>
    <w:rsid w:val="00747F50"/>
    <w:rsid w:val="007A7318"/>
    <w:rsid w:val="00973507"/>
    <w:rsid w:val="00B46458"/>
    <w:rsid w:val="00E73660"/>
    <w:rsid w:val="00FC1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EB0B"/>
  <w15:chartTrackingRefBased/>
  <w15:docId w15:val="{D66AFB9C-AB26-47F5-98A8-65D90241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5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458"/>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B46458"/>
  </w:style>
  <w:style w:type="paragraph" w:styleId="Piedepgina">
    <w:name w:val="footer"/>
    <w:basedOn w:val="Normal"/>
    <w:link w:val="PiedepginaCar"/>
    <w:unhideWhenUsed/>
    <w:rsid w:val="00B46458"/>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B46458"/>
  </w:style>
  <w:style w:type="paragraph" w:styleId="Textoindependiente">
    <w:name w:val="Body Text"/>
    <w:basedOn w:val="Normal"/>
    <w:link w:val="TextoindependienteCar"/>
    <w:rsid w:val="00B46458"/>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46458"/>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B46458"/>
  </w:style>
  <w:style w:type="paragraph" w:styleId="Prrafodelista">
    <w:name w:val="List Paragraph"/>
    <w:basedOn w:val="Normal"/>
    <w:uiPriority w:val="34"/>
    <w:qFormat/>
    <w:rsid w:val="00B46458"/>
    <w:pPr>
      <w:ind w:left="720"/>
      <w:contextualSpacing/>
    </w:pPr>
  </w:style>
  <w:style w:type="table" w:styleId="Tablaconcuadrcula">
    <w:name w:val="Table Grid"/>
    <w:basedOn w:val="Tablanormal"/>
    <w:uiPriority w:val="59"/>
    <w:rsid w:val="0097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2132</Characters>
  <Application>Microsoft Office Word</Application>
  <DocSecurity>0</DocSecurity>
  <Lines>17</Lines>
  <Paragraphs>5</Paragraphs>
  <ScaleCrop>false</ScaleCrop>
  <Company>Gobierno de Navarra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2024-02-20T08:01:00Z</dcterms:created>
  <dcterms:modified xsi:type="dcterms:W3CDTF">2024-02-21T10:39:00Z</dcterms:modified>
</cp:coreProperties>
</file>