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revisado la cobertura e intensidad a 3-6 años y aumentado la intensidad del servicio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revisado la cobertura e intensidad a 3-6 años y aumentado la intensidad del servicio en función de las necesidades de cada usuario/a y de las familias, en particular a grupos específicos como los y las menores en situación de riesgo psicosocial o con prematuridad o bajo peso al nacer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