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04C7"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54C194BA" wp14:editId="21738B0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4F2005" w14:textId="77777777" w:rsidR="003F2998" w:rsidRPr="003A7956" w:rsidRDefault="003F2998" w:rsidP="004C3423">
                            <w:pPr>
                              <w:spacing w:after="0"/>
                              <w:ind w:firstLine="0"/>
                              <w:jc w:val="center"/>
                              <w:rPr>
                                <w:sz w:val="18"/>
                                <w:szCs w:val="18"/>
                                <w:lang w:val="es-ES"/>
                              </w:rPr>
                            </w:pPr>
                            <w:r w:rsidRPr="003A7956">
                              <w:rPr>
                                <w:sz w:val="18"/>
                                <w:szCs w:val="18"/>
                                <w:lang w:val="es-ES"/>
                              </w:rPr>
                              <w:t>CAMARA DE</w:t>
                            </w:r>
                          </w:p>
                          <w:p w14:paraId="0E8C45B9" w14:textId="77777777" w:rsidR="003F2998" w:rsidRPr="003A7956" w:rsidRDefault="003F2998" w:rsidP="004C3423">
                            <w:pPr>
                              <w:spacing w:after="0"/>
                              <w:ind w:firstLine="0"/>
                              <w:jc w:val="center"/>
                              <w:rPr>
                                <w:sz w:val="18"/>
                                <w:szCs w:val="18"/>
                                <w:lang w:val="es-ES"/>
                              </w:rPr>
                            </w:pPr>
                            <w:r w:rsidRPr="003A7956">
                              <w:rPr>
                                <w:sz w:val="18"/>
                                <w:szCs w:val="18"/>
                                <w:lang w:val="es-ES"/>
                              </w:rPr>
                              <w:t>COMPTOS</w:t>
                            </w:r>
                          </w:p>
                          <w:p w14:paraId="365B7EE2" w14:textId="77777777" w:rsidR="003F2998" w:rsidRPr="003A7956" w:rsidRDefault="003F2998" w:rsidP="004C3423">
                            <w:pPr>
                              <w:spacing w:after="0"/>
                              <w:ind w:firstLine="0"/>
                              <w:jc w:val="center"/>
                              <w:rPr>
                                <w:sz w:val="18"/>
                                <w:szCs w:val="18"/>
                                <w:lang w:val="es-ES"/>
                              </w:rPr>
                            </w:pPr>
                            <w:r w:rsidRPr="003A7956">
                              <w:rPr>
                                <w:sz w:val="18"/>
                                <w:szCs w:val="18"/>
                                <w:lang w:val="es-ES"/>
                              </w:rPr>
                              <w:t>DE NAVARRA</w:t>
                            </w:r>
                          </w:p>
                          <w:p w14:paraId="6F1F722D" w14:textId="77777777" w:rsidR="003F2998" w:rsidRPr="003A7956" w:rsidRDefault="003F2998" w:rsidP="004C3423">
                            <w:pPr>
                              <w:spacing w:after="0"/>
                              <w:ind w:firstLine="0"/>
                              <w:jc w:val="center"/>
                              <w:rPr>
                                <w:color w:val="808080"/>
                                <w:sz w:val="18"/>
                                <w:szCs w:val="18"/>
                                <w:lang w:val="es-ES"/>
                              </w:rPr>
                            </w:pPr>
                            <w:r w:rsidRPr="003A7956">
                              <w:rPr>
                                <w:color w:val="808080"/>
                                <w:sz w:val="18"/>
                                <w:szCs w:val="18"/>
                                <w:lang w:val="es-ES"/>
                              </w:rPr>
                              <w:t>NAFARROAKO</w:t>
                            </w:r>
                          </w:p>
                          <w:p w14:paraId="246C0C87" w14:textId="77777777" w:rsidR="003F2998" w:rsidRPr="003A7956" w:rsidRDefault="003F2998" w:rsidP="004C3423">
                            <w:pPr>
                              <w:spacing w:after="0"/>
                              <w:ind w:firstLine="0"/>
                              <w:jc w:val="center"/>
                              <w:rPr>
                                <w:color w:val="808080"/>
                                <w:sz w:val="18"/>
                                <w:szCs w:val="18"/>
                                <w:lang w:val="es-ES"/>
                              </w:rPr>
                            </w:pPr>
                            <w:r w:rsidRPr="003A7956">
                              <w:rPr>
                                <w:color w:val="808080"/>
                                <w:sz w:val="18"/>
                                <w:szCs w:val="18"/>
                                <w:lang w:val="es-ES"/>
                              </w:rPr>
                              <w:t>KONTUEN</w:t>
                            </w:r>
                          </w:p>
                          <w:p w14:paraId="60296B56" w14:textId="77777777" w:rsidR="003F2998" w:rsidRPr="003A7956" w:rsidRDefault="003F2998" w:rsidP="004C3423">
                            <w:pPr>
                              <w:spacing w:after="0"/>
                              <w:ind w:firstLine="0"/>
                              <w:jc w:val="center"/>
                              <w:rPr>
                                <w:color w:val="808080"/>
                                <w:sz w:val="18"/>
                                <w:szCs w:val="18"/>
                                <w:lang w:val="es-ES"/>
                              </w:rPr>
                            </w:pPr>
                            <w:r w:rsidRPr="003A7956">
                              <w:rPr>
                                <w:color w:val="808080"/>
                                <w:sz w:val="18"/>
                                <w:szCs w:val="18"/>
                                <w:lang w:val="es-ES"/>
                              </w:rPr>
                              <w:t>GANBERA</w:t>
                            </w:r>
                          </w:p>
                          <w:p w14:paraId="3007A958" w14:textId="77777777" w:rsidR="003F2998" w:rsidRPr="002C7026" w:rsidRDefault="003F2998"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94BA"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784F2005" w14:textId="77777777" w:rsidR="003F2998" w:rsidRPr="003A7956" w:rsidRDefault="003F2998" w:rsidP="004C3423">
                      <w:pPr>
                        <w:spacing w:after="0"/>
                        <w:ind w:firstLine="0"/>
                        <w:jc w:val="center"/>
                        <w:rPr>
                          <w:sz w:val="18"/>
                          <w:szCs w:val="18"/>
                          <w:lang w:val="es-ES"/>
                        </w:rPr>
                      </w:pPr>
                      <w:r w:rsidRPr="003A7956">
                        <w:rPr>
                          <w:sz w:val="18"/>
                          <w:szCs w:val="18"/>
                          <w:lang w:val="es-ES"/>
                        </w:rPr>
                        <w:t>CAMARA DE</w:t>
                      </w:r>
                    </w:p>
                    <w:p w14:paraId="0E8C45B9" w14:textId="77777777" w:rsidR="003F2998" w:rsidRPr="003A7956" w:rsidRDefault="003F2998" w:rsidP="004C3423">
                      <w:pPr>
                        <w:spacing w:after="0"/>
                        <w:ind w:firstLine="0"/>
                        <w:jc w:val="center"/>
                        <w:rPr>
                          <w:sz w:val="18"/>
                          <w:szCs w:val="18"/>
                          <w:lang w:val="es-ES"/>
                        </w:rPr>
                      </w:pPr>
                      <w:r w:rsidRPr="003A7956">
                        <w:rPr>
                          <w:sz w:val="18"/>
                          <w:szCs w:val="18"/>
                          <w:lang w:val="es-ES"/>
                        </w:rPr>
                        <w:t>COMPTOS</w:t>
                      </w:r>
                    </w:p>
                    <w:p w14:paraId="365B7EE2" w14:textId="77777777" w:rsidR="003F2998" w:rsidRPr="003A7956" w:rsidRDefault="003F2998" w:rsidP="004C3423">
                      <w:pPr>
                        <w:spacing w:after="0"/>
                        <w:ind w:firstLine="0"/>
                        <w:jc w:val="center"/>
                        <w:rPr>
                          <w:sz w:val="18"/>
                          <w:szCs w:val="18"/>
                          <w:lang w:val="es-ES"/>
                        </w:rPr>
                      </w:pPr>
                      <w:r w:rsidRPr="003A7956">
                        <w:rPr>
                          <w:sz w:val="18"/>
                          <w:szCs w:val="18"/>
                          <w:lang w:val="es-ES"/>
                        </w:rPr>
                        <w:t>DE NAVARRA</w:t>
                      </w:r>
                    </w:p>
                    <w:p w14:paraId="6F1F722D" w14:textId="77777777" w:rsidR="003F2998" w:rsidRPr="003A7956" w:rsidRDefault="003F2998" w:rsidP="004C3423">
                      <w:pPr>
                        <w:spacing w:after="0"/>
                        <w:ind w:firstLine="0"/>
                        <w:jc w:val="center"/>
                        <w:rPr>
                          <w:color w:val="808080"/>
                          <w:sz w:val="18"/>
                          <w:szCs w:val="18"/>
                          <w:lang w:val="es-ES"/>
                        </w:rPr>
                      </w:pPr>
                      <w:r w:rsidRPr="003A7956">
                        <w:rPr>
                          <w:color w:val="808080"/>
                          <w:sz w:val="18"/>
                          <w:szCs w:val="18"/>
                          <w:lang w:val="es-ES"/>
                        </w:rPr>
                        <w:t>NAFARROAKO</w:t>
                      </w:r>
                    </w:p>
                    <w:p w14:paraId="246C0C87" w14:textId="77777777" w:rsidR="003F2998" w:rsidRPr="003A7956" w:rsidRDefault="003F2998" w:rsidP="004C3423">
                      <w:pPr>
                        <w:spacing w:after="0"/>
                        <w:ind w:firstLine="0"/>
                        <w:jc w:val="center"/>
                        <w:rPr>
                          <w:color w:val="808080"/>
                          <w:sz w:val="18"/>
                          <w:szCs w:val="18"/>
                          <w:lang w:val="es-ES"/>
                        </w:rPr>
                      </w:pPr>
                      <w:r w:rsidRPr="003A7956">
                        <w:rPr>
                          <w:color w:val="808080"/>
                          <w:sz w:val="18"/>
                          <w:szCs w:val="18"/>
                          <w:lang w:val="es-ES"/>
                        </w:rPr>
                        <w:t>KONTUEN</w:t>
                      </w:r>
                    </w:p>
                    <w:p w14:paraId="60296B56" w14:textId="77777777" w:rsidR="003F2998" w:rsidRPr="003A7956" w:rsidRDefault="003F2998" w:rsidP="004C3423">
                      <w:pPr>
                        <w:spacing w:after="0"/>
                        <w:ind w:firstLine="0"/>
                        <w:jc w:val="center"/>
                        <w:rPr>
                          <w:color w:val="808080"/>
                          <w:sz w:val="18"/>
                          <w:szCs w:val="18"/>
                          <w:lang w:val="es-ES"/>
                        </w:rPr>
                      </w:pPr>
                      <w:r w:rsidRPr="003A7956">
                        <w:rPr>
                          <w:color w:val="808080"/>
                          <w:sz w:val="18"/>
                          <w:szCs w:val="18"/>
                          <w:lang w:val="es-ES"/>
                        </w:rPr>
                        <w:t>GANBERA</w:t>
                      </w:r>
                    </w:p>
                    <w:p w14:paraId="3007A958" w14:textId="77777777" w:rsidR="003F2998" w:rsidRPr="002C7026" w:rsidRDefault="003F2998" w:rsidP="002C7026">
                      <w:pPr>
                        <w:spacing w:after="0"/>
                        <w:ind w:firstLine="0"/>
                        <w:jc w:val="center"/>
                        <w:rPr>
                          <w:rFonts w:ascii="Trajan" w:hAnsi="Trajan"/>
                          <w:color w:val="808080"/>
                          <w:sz w:val="18"/>
                          <w:szCs w:val="18"/>
                          <w:lang w:val="es-ES"/>
                        </w:rPr>
                      </w:pPr>
                    </w:p>
                  </w:txbxContent>
                </v:textbox>
              </v:shape>
            </w:pict>
          </mc:Fallback>
        </mc:AlternateContent>
      </w:r>
    </w:p>
    <w:p w14:paraId="066B0AEE" w14:textId="77777777" w:rsidR="008403D8" w:rsidRDefault="008403D8" w:rsidP="005749C5">
      <w:pPr>
        <w:pStyle w:val="EstiloPortada"/>
        <w:ind w:left="3969"/>
        <w:rPr>
          <w:sz w:val="40"/>
          <w:szCs w:val="40"/>
        </w:rPr>
      </w:pPr>
    </w:p>
    <w:p w14:paraId="538F0E9F" w14:textId="77777777" w:rsidR="009E7B2E" w:rsidRDefault="005749C5" w:rsidP="005749C5">
      <w:pPr>
        <w:pStyle w:val="EstiloPortada"/>
        <w:ind w:left="3969"/>
        <w:rPr>
          <w:sz w:val="40"/>
          <w:szCs w:val="40"/>
        </w:rPr>
      </w:pPr>
      <w:r w:rsidRPr="001F38BA">
        <w:rPr>
          <w:sz w:val="40"/>
          <w:szCs w:val="40"/>
        </w:rPr>
        <w:t>Segui</w:t>
      </w:r>
      <w:r>
        <w:rPr>
          <w:sz w:val="40"/>
          <w:szCs w:val="40"/>
        </w:rPr>
        <w:t xml:space="preserve">miento de recomendaciones del Ayuntamiento de </w:t>
      </w:r>
    </w:p>
    <w:p w14:paraId="3230D283" w14:textId="77777777" w:rsidR="005749C5" w:rsidRPr="001F38BA" w:rsidRDefault="005749C5" w:rsidP="005749C5">
      <w:pPr>
        <w:pStyle w:val="EstiloPortada"/>
        <w:ind w:left="3969"/>
        <w:rPr>
          <w:sz w:val="40"/>
          <w:szCs w:val="40"/>
        </w:rPr>
      </w:pPr>
      <w:proofErr w:type="spellStart"/>
      <w:r>
        <w:rPr>
          <w:sz w:val="40"/>
          <w:szCs w:val="40"/>
        </w:rPr>
        <w:t>Urdazubi</w:t>
      </w:r>
      <w:proofErr w:type="spellEnd"/>
      <w:r>
        <w:rPr>
          <w:sz w:val="40"/>
          <w:szCs w:val="40"/>
        </w:rPr>
        <w:t>-Urdax</w:t>
      </w:r>
    </w:p>
    <w:p w14:paraId="1608C2E2" w14:textId="77777777" w:rsidR="005749C5" w:rsidRDefault="005749C5" w:rsidP="005749C5">
      <w:pPr>
        <w:pStyle w:val="texto"/>
      </w:pPr>
    </w:p>
    <w:p w14:paraId="69292307" w14:textId="77777777" w:rsidR="001C3A32" w:rsidRPr="00204979" w:rsidRDefault="001C3A32" w:rsidP="00891D73">
      <w:pPr>
        <w:pStyle w:val="texto"/>
      </w:pPr>
    </w:p>
    <w:p w14:paraId="6A31B5F5" w14:textId="77777777" w:rsidR="001C3A32" w:rsidRPr="00204979" w:rsidRDefault="001C3A32" w:rsidP="00891D73">
      <w:pPr>
        <w:pStyle w:val="texto"/>
      </w:pPr>
    </w:p>
    <w:p w14:paraId="101E5FDC" w14:textId="77777777" w:rsidR="002F2530" w:rsidRPr="00204979" w:rsidRDefault="002F2530" w:rsidP="00891D73">
      <w:pPr>
        <w:pStyle w:val="texto"/>
      </w:pPr>
    </w:p>
    <w:p w14:paraId="785024F4" w14:textId="77777777" w:rsidR="002F2530" w:rsidRPr="00204979" w:rsidRDefault="002F2530" w:rsidP="00891D73">
      <w:pPr>
        <w:pStyle w:val="texto"/>
      </w:pPr>
    </w:p>
    <w:p w14:paraId="35A6A106" w14:textId="77777777" w:rsidR="001C3A32" w:rsidRPr="00204979" w:rsidRDefault="001C3A32" w:rsidP="00891D73">
      <w:pPr>
        <w:pStyle w:val="texto"/>
      </w:pPr>
    </w:p>
    <w:p w14:paraId="547C2ABC" w14:textId="77777777" w:rsidR="001C3A32" w:rsidRPr="00204979" w:rsidRDefault="001C3A32" w:rsidP="00891D73">
      <w:pPr>
        <w:pStyle w:val="texto"/>
      </w:pPr>
    </w:p>
    <w:p w14:paraId="3A805A0B" w14:textId="77777777" w:rsidR="001C3A32" w:rsidRPr="00204979" w:rsidRDefault="001C3A32" w:rsidP="00891D73">
      <w:pPr>
        <w:pStyle w:val="texto"/>
      </w:pPr>
    </w:p>
    <w:p w14:paraId="690B397A" w14:textId="77777777" w:rsidR="001C3A32" w:rsidRPr="00204979" w:rsidRDefault="001C3A32" w:rsidP="00891D73">
      <w:pPr>
        <w:pStyle w:val="texto"/>
      </w:pPr>
    </w:p>
    <w:p w14:paraId="6EA8E338" w14:textId="77777777" w:rsidR="001C3A32" w:rsidRPr="00204979" w:rsidRDefault="001C3A32" w:rsidP="00891D73">
      <w:pPr>
        <w:pStyle w:val="texto"/>
      </w:pPr>
    </w:p>
    <w:p w14:paraId="6021DCBE" w14:textId="77777777" w:rsidR="001C3A32" w:rsidRPr="00204979" w:rsidRDefault="001C3A32" w:rsidP="00891D73">
      <w:pPr>
        <w:pStyle w:val="texto"/>
      </w:pPr>
    </w:p>
    <w:p w14:paraId="0E1E598A" w14:textId="77777777" w:rsidR="001C3A32" w:rsidRPr="00204979" w:rsidRDefault="001C3A32" w:rsidP="00891D73">
      <w:pPr>
        <w:pStyle w:val="texto"/>
      </w:pPr>
    </w:p>
    <w:p w14:paraId="3D5DC7EB" w14:textId="77777777" w:rsidR="001C3A32" w:rsidRPr="00204979" w:rsidRDefault="001C3A32" w:rsidP="00891D73">
      <w:pPr>
        <w:pStyle w:val="texto"/>
      </w:pPr>
    </w:p>
    <w:p w14:paraId="51CB5278" w14:textId="77777777" w:rsidR="001C3A32" w:rsidRPr="00204979" w:rsidRDefault="001C3A32" w:rsidP="00891D73">
      <w:pPr>
        <w:pStyle w:val="texto"/>
      </w:pPr>
    </w:p>
    <w:p w14:paraId="0027A61B" w14:textId="77777777" w:rsidR="001C3A32" w:rsidRPr="00204979" w:rsidRDefault="001C3A32" w:rsidP="00891D73">
      <w:pPr>
        <w:pStyle w:val="texto"/>
      </w:pPr>
    </w:p>
    <w:p w14:paraId="0C1C0B7D" w14:textId="77777777" w:rsidR="001C3A32" w:rsidRPr="00204979" w:rsidRDefault="001C3A32" w:rsidP="00891D73">
      <w:pPr>
        <w:pStyle w:val="texto"/>
      </w:pPr>
    </w:p>
    <w:p w14:paraId="2AF17E4C" w14:textId="77777777" w:rsidR="001C3A32" w:rsidRPr="00204979" w:rsidRDefault="001C3A32" w:rsidP="00891D73">
      <w:pPr>
        <w:pStyle w:val="texto"/>
      </w:pPr>
    </w:p>
    <w:p w14:paraId="0D870132" w14:textId="77777777" w:rsidR="001C3A32" w:rsidRPr="00204979" w:rsidRDefault="001C3A32" w:rsidP="00891D73">
      <w:pPr>
        <w:pStyle w:val="texto"/>
      </w:pPr>
    </w:p>
    <w:p w14:paraId="0F458C5C" w14:textId="77777777" w:rsidR="001C3A32" w:rsidRPr="00204979" w:rsidRDefault="001C3A32" w:rsidP="00891D73">
      <w:pPr>
        <w:pStyle w:val="texto"/>
      </w:pPr>
    </w:p>
    <w:p w14:paraId="7A264F31" w14:textId="77777777" w:rsidR="001C3A32" w:rsidRPr="00204979" w:rsidRDefault="001C3A32" w:rsidP="00891D73">
      <w:pPr>
        <w:pStyle w:val="texto"/>
      </w:pPr>
    </w:p>
    <w:p w14:paraId="2AB901FA" w14:textId="77777777" w:rsidR="001C3A32" w:rsidRPr="00204979" w:rsidRDefault="001C3A32" w:rsidP="00891D73">
      <w:pPr>
        <w:pStyle w:val="texto"/>
      </w:pPr>
    </w:p>
    <w:p w14:paraId="168D96BC" w14:textId="77777777" w:rsidR="001C3A32" w:rsidRPr="00204979" w:rsidRDefault="001C3A32" w:rsidP="00891D73">
      <w:pPr>
        <w:pStyle w:val="texto"/>
      </w:pPr>
    </w:p>
    <w:p w14:paraId="50DC65A4" w14:textId="77777777" w:rsidR="00716463" w:rsidRPr="001D4F09" w:rsidRDefault="0035627E" w:rsidP="009936FC">
      <w:pPr>
        <w:pStyle w:val="Fechaportada"/>
      </w:pPr>
      <w:r>
        <w:t>Mayo</w:t>
      </w:r>
      <w:r w:rsidR="00253E78" w:rsidRPr="001D4F09">
        <w:t xml:space="preserve"> de 20</w:t>
      </w:r>
      <w:r w:rsidR="005749C5">
        <w:t>22</w:t>
      </w:r>
    </w:p>
    <w:p w14:paraId="32341906"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13B0C9DC" w14:textId="77777777" w:rsidR="00BF3BBF" w:rsidRDefault="00BF3BBF" w:rsidP="00BF3BBF">
      <w:pPr>
        <w:pStyle w:val="ndice"/>
      </w:pPr>
      <w:r w:rsidRPr="00891D73">
        <w:lastRenderedPageBreak/>
        <w:t>Índice</w:t>
      </w:r>
    </w:p>
    <w:p w14:paraId="003CA5C3" w14:textId="77777777" w:rsidR="00A61C49" w:rsidRDefault="00BF3BB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03773735" w:history="1">
        <w:r w:rsidR="00A61C49" w:rsidRPr="00A65E1B">
          <w:rPr>
            <w:rStyle w:val="Hipervnculo"/>
            <w:noProof/>
          </w:rPr>
          <w:t>I. Introducción</w:t>
        </w:r>
        <w:r w:rsidR="00A61C49">
          <w:rPr>
            <w:noProof/>
            <w:webHidden/>
          </w:rPr>
          <w:tab/>
        </w:r>
        <w:r w:rsidR="00A61C49">
          <w:rPr>
            <w:noProof/>
            <w:webHidden/>
          </w:rPr>
          <w:fldChar w:fldCharType="begin"/>
        </w:r>
        <w:r w:rsidR="00A61C49">
          <w:rPr>
            <w:noProof/>
            <w:webHidden/>
          </w:rPr>
          <w:instrText xml:space="preserve"> PAGEREF _Toc103773735 \h </w:instrText>
        </w:r>
        <w:r w:rsidR="00A61C49">
          <w:rPr>
            <w:noProof/>
            <w:webHidden/>
          </w:rPr>
        </w:r>
        <w:r w:rsidR="00A61C49">
          <w:rPr>
            <w:noProof/>
            <w:webHidden/>
          </w:rPr>
          <w:fldChar w:fldCharType="separate"/>
        </w:r>
        <w:r w:rsidR="00A61C49">
          <w:rPr>
            <w:noProof/>
            <w:webHidden/>
          </w:rPr>
          <w:t>3</w:t>
        </w:r>
        <w:r w:rsidR="00A61C49">
          <w:rPr>
            <w:noProof/>
            <w:webHidden/>
          </w:rPr>
          <w:fldChar w:fldCharType="end"/>
        </w:r>
      </w:hyperlink>
    </w:p>
    <w:p w14:paraId="31AFDD18" w14:textId="77777777" w:rsidR="00A61C49" w:rsidRDefault="00B02999">
      <w:pPr>
        <w:pStyle w:val="TDC1"/>
        <w:rPr>
          <w:rFonts w:asciiTheme="minorHAnsi" w:eastAsiaTheme="minorEastAsia" w:hAnsiTheme="minorHAnsi" w:cstheme="minorBidi"/>
          <w:smallCaps w:val="0"/>
          <w:noProof/>
          <w:szCs w:val="22"/>
          <w:lang w:val="es-ES" w:eastAsia="es-ES"/>
        </w:rPr>
      </w:pPr>
      <w:hyperlink w:anchor="_Toc103773736" w:history="1">
        <w:r w:rsidR="00A61C49" w:rsidRPr="00A65E1B">
          <w:rPr>
            <w:rStyle w:val="Hipervnculo"/>
            <w:noProof/>
          </w:rPr>
          <w:t>II. El Ayuntamiento de Urdazubi-Urdax</w:t>
        </w:r>
        <w:r w:rsidR="00A61C49">
          <w:rPr>
            <w:noProof/>
            <w:webHidden/>
          </w:rPr>
          <w:tab/>
        </w:r>
        <w:r w:rsidR="00A61C49">
          <w:rPr>
            <w:noProof/>
            <w:webHidden/>
          </w:rPr>
          <w:fldChar w:fldCharType="begin"/>
        </w:r>
        <w:r w:rsidR="00A61C49">
          <w:rPr>
            <w:noProof/>
            <w:webHidden/>
          </w:rPr>
          <w:instrText xml:space="preserve"> PAGEREF _Toc103773736 \h </w:instrText>
        </w:r>
        <w:r w:rsidR="00A61C49">
          <w:rPr>
            <w:noProof/>
            <w:webHidden/>
          </w:rPr>
        </w:r>
        <w:r w:rsidR="00A61C49">
          <w:rPr>
            <w:noProof/>
            <w:webHidden/>
          </w:rPr>
          <w:fldChar w:fldCharType="separate"/>
        </w:r>
        <w:r w:rsidR="00A61C49">
          <w:rPr>
            <w:noProof/>
            <w:webHidden/>
          </w:rPr>
          <w:t>4</w:t>
        </w:r>
        <w:r w:rsidR="00A61C49">
          <w:rPr>
            <w:noProof/>
            <w:webHidden/>
          </w:rPr>
          <w:fldChar w:fldCharType="end"/>
        </w:r>
      </w:hyperlink>
    </w:p>
    <w:p w14:paraId="42C19E7D" w14:textId="77777777" w:rsidR="00A61C49" w:rsidRDefault="00B02999">
      <w:pPr>
        <w:pStyle w:val="TDC2"/>
        <w:rPr>
          <w:rFonts w:asciiTheme="minorHAnsi" w:eastAsiaTheme="minorEastAsia" w:hAnsiTheme="minorHAnsi" w:cstheme="minorBidi"/>
          <w:noProof/>
          <w:szCs w:val="22"/>
          <w:lang w:val="es-ES" w:eastAsia="es-ES"/>
        </w:rPr>
      </w:pPr>
      <w:hyperlink w:anchor="_Toc103773737" w:history="1">
        <w:r w:rsidR="00A61C49" w:rsidRPr="00A65E1B">
          <w:rPr>
            <w:rStyle w:val="Hipervnculo"/>
            <w:noProof/>
          </w:rPr>
          <w:t>II.1. Aspectos generales del ayuntamiento</w:t>
        </w:r>
        <w:r w:rsidR="00A61C49">
          <w:rPr>
            <w:noProof/>
            <w:webHidden/>
          </w:rPr>
          <w:tab/>
        </w:r>
        <w:r w:rsidR="00A61C49">
          <w:rPr>
            <w:noProof/>
            <w:webHidden/>
          </w:rPr>
          <w:fldChar w:fldCharType="begin"/>
        </w:r>
        <w:r w:rsidR="00A61C49">
          <w:rPr>
            <w:noProof/>
            <w:webHidden/>
          </w:rPr>
          <w:instrText xml:space="preserve"> PAGEREF _Toc103773737 \h </w:instrText>
        </w:r>
        <w:r w:rsidR="00A61C49">
          <w:rPr>
            <w:noProof/>
            <w:webHidden/>
          </w:rPr>
        </w:r>
        <w:r w:rsidR="00A61C49">
          <w:rPr>
            <w:noProof/>
            <w:webHidden/>
          </w:rPr>
          <w:fldChar w:fldCharType="separate"/>
        </w:r>
        <w:r w:rsidR="00A61C49">
          <w:rPr>
            <w:noProof/>
            <w:webHidden/>
          </w:rPr>
          <w:t>4</w:t>
        </w:r>
        <w:r w:rsidR="00A61C49">
          <w:rPr>
            <w:noProof/>
            <w:webHidden/>
          </w:rPr>
          <w:fldChar w:fldCharType="end"/>
        </w:r>
      </w:hyperlink>
    </w:p>
    <w:p w14:paraId="18E9EF30" w14:textId="77777777" w:rsidR="00A61C49" w:rsidRDefault="00B02999">
      <w:pPr>
        <w:pStyle w:val="TDC2"/>
        <w:rPr>
          <w:rFonts w:asciiTheme="minorHAnsi" w:eastAsiaTheme="minorEastAsia" w:hAnsiTheme="minorHAnsi" w:cstheme="minorBidi"/>
          <w:noProof/>
          <w:szCs w:val="22"/>
          <w:lang w:val="es-ES" w:eastAsia="es-ES"/>
        </w:rPr>
      </w:pPr>
      <w:hyperlink w:anchor="_Toc103773738" w:history="1">
        <w:r w:rsidR="00A61C49" w:rsidRPr="00A65E1B">
          <w:rPr>
            <w:rStyle w:val="Hipervnculo"/>
            <w:noProof/>
          </w:rPr>
          <w:t>II.2. El sistema de distribución y comercialización energética en Urdazubi-Urdax</w:t>
        </w:r>
        <w:r w:rsidR="00A61C49">
          <w:rPr>
            <w:noProof/>
            <w:webHidden/>
          </w:rPr>
          <w:tab/>
        </w:r>
        <w:r w:rsidR="00A61C49">
          <w:rPr>
            <w:noProof/>
            <w:webHidden/>
          </w:rPr>
          <w:fldChar w:fldCharType="begin"/>
        </w:r>
        <w:r w:rsidR="00A61C49">
          <w:rPr>
            <w:noProof/>
            <w:webHidden/>
          </w:rPr>
          <w:instrText xml:space="preserve"> PAGEREF _Toc103773738 \h </w:instrText>
        </w:r>
        <w:r w:rsidR="00A61C49">
          <w:rPr>
            <w:noProof/>
            <w:webHidden/>
          </w:rPr>
        </w:r>
        <w:r w:rsidR="00A61C49">
          <w:rPr>
            <w:noProof/>
            <w:webHidden/>
          </w:rPr>
          <w:fldChar w:fldCharType="separate"/>
        </w:r>
        <w:r w:rsidR="00A61C49">
          <w:rPr>
            <w:noProof/>
            <w:webHidden/>
          </w:rPr>
          <w:t>5</w:t>
        </w:r>
        <w:r w:rsidR="00A61C49">
          <w:rPr>
            <w:noProof/>
            <w:webHidden/>
          </w:rPr>
          <w:fldChar w:fldCharType="end"/>
        </w:r>
      </w:hyperlink>
    </w:p>
    <w:p w14:paraId="6189CCBE" w14:textId="77777777" w:rsidR="00A61C49" w:rsidRDefault="00B02999">
      <w:pPr>
        <w:pStyle w:val="TDC1"/>
        <w:rPr>
          <w:rFonts w:asciiTheme="minorHAnsi" w:eastAsiaTheme="minorEastAsia" w:hAnsiTheme="minorHAnsi" w:cstheme="minorBidi"/>
          <w:smallCaps w:val="0"/>
          <w:noProof/>
          <w:szCs w:val="22"/>
          <w:lang w:val="es-ES" w:eastAsia="es-ES"/>
        </w:rPr>
      </w:pPr>
      <w:hyperlink w:anchor="_Toc103773739" w:history="1">
        <w:r w:rsidR="00A61C49" w:rsidRPr="00A65E1B">
          <w:rPr>
            <w:rStyle w:val="Hipervnculo"/>
            <w:noProof/>
          </w:rPr>
          <w:t>III. Objetivos y alcance</w:t>
        </w:r>
        <w:r w:rsidR="00A61C49">
          <w:rPr>
            <w:noProof/>
            <w:webHidden/>
          </w:rPr>
          <w:tab/>
        </w:r>
        <w:r w:rsidR="00A61C49">
          <w:rPr>
            <w:noProof/>
            <w:webHidden/>
          </w:rPr>
          <w:fldChar w:fldCharType="begin"/>
        </w:r>
        <w:r w:rsidR="00A61C49">
          <w:rPr>
            <w:noProof/>
            <w:webHidden/>
          </w:rPr>
          <w:instrText xml:space="preserve"> PAGEREF _Toc103773739 \h </w:instrText>
        </w:r>
        <w:r w:rsidR="00A61C49">
          <w:rPr>
            <w:noProof/>
            <w:webHidden/>
          </w:rPr>
        </w:r>
        <w:r w:rsidR="00A61C49">
          <w:rPr>
            <w:noProof/>
            <w:webHidden/>
          </w:rPr>
          <w:fldChar w:fldCharType="separate"/>
        </w:r>
        <w:r w:rsidR="00A61C49">
          <w:rPr>
            <w:noProof/>
            <w:webHidden/>
          </w:rPr>
          <w:t>7</w:t>
        </w:r>
        <w:r w:rsidR="00A61C49">
          <w:rPr>
            <w:noProof/>
            <w:webHidden/>
          </w:rPr>
          <w:fldChar w:fldCharType="end"/>
        </w:r>
      </w:hyperlink>
    </w:p>
    <w:p w14:paraId="7E8079B9" w14:textId="77777777" w:rsidR="00A61C49" w:rsidRDefault="00B02999">
      <w:pPr>
        <w:pStyle w:val="TDC1"/>
        <w:rPr>
          <w:rFonts w:asciiTheme="minorHAnsi" w:eastAsiaTheme="minorEastAsia" w:hAnsiTheme="minorHAnsi" w:cstheme="minorBidi"/>
          <w:smallCaps w:val="0"/>
          <w:noProof/>
          <w:szCs w:val="22"/>
          <w:lang w:val="es-ES" w:eastAsia="es-ES"/>
        </w:rPr>
      </w:pPr>
      <w:hyperlink w:anchor="_Toc103773740" w:history="1">
        <w:r w:rsidR="00A61C49" w:rsidRPr="00A65E1B">
          <w:rPr>
            <w:rStyle w:val="Hipervnculo"/>
            <w:noProof/>
          </w:rPr>
          <w:t>IV. Conclusiones</w:t>
        </w:r>
        <w:r w:rsidR="00A61C49">
          <w:rPr>
            <w:noProof/>
            <w:webHidden/>
          </w:rPr>
          <w:tab/>
        </w:r>
        <w:r w:rsidR="00A61C49">
          <w:rPr>
            <w:noProof/>
            <w:webHidden/>
          </w:rPr>
          <w:fldChar w:fldCharType="begin"/>
        </w:r>
        <w:r w:rsidR="00A61C49">
          <w:rPr>
            <w:noProof/>
            <w:webHidden/>
          </w:rPr>
          <w:instrText xml:space="preserve"> PAGEREF _Toc103773740 \h </w:instrText>
        </w:r>
        <w:r w:rsidR="00A61C49">
          <w:rPr>
            <w:noProof/>
            <w:webHidden/>
          </w:rPr>
        </w:r>
        <w:r w:rsidR="00A61C49">
          <w:rPr>
            <w:noProof/>
            <w:webHidden/>
          </w:rPr>
          <w:fldChar w:fldCharType="separate"/>
        </w:r>
        <w:r w:rsidR="00A61C49">
          <w:rPr>
            <w:noProof/>
            <w:webHidden/>
          </w:rPr>
          <w:t>8</w:t>
        </w:r>
        <w:r w:rsidR="00A61C49">
          <w:rPr>
            <w:noProof/>
            <w:webHidden/>
          </w:rPr>
          <w:fldChar w:fldCharType="end"/>
        </w:r>
      </w:hyperlink>
    </w:p>
    <w:p w14:paraId="21CAB335" w14:textId="77777777" w:rsidR="00A61C49" w:rsidRDefault="00B02999">
      <w:pPr>
        <w:pStyle w:val="TDC2"/>
        <w:rPr>
          <w:rFonts w:asciiTheme="minorHAnsi" w:eastAsiaTheme="minorEastAsia" w:hAnsiTheme="minorHAnsi" w:cstheme="minorBidi"/>
          <w:noProof/>
          <w:szCs w:val="22"/>
          <w:lang w:val="es-ES" w:eastAsia="es-ES"/>
        </w:rPr>
      </w:pPr>
      <w:hyperlink w:anchor="_Toc103773741" w:history="1">
        <w:r w:rsidR="00A61C49" w:rsidRPr="00A65E1B">
          <w:rPr>
            <w:rStyle w:val="Hipervnculo"/>
            <w:noProof/>
          </w:rPr>
          <w:t>IV.1. Seguimiento de recomendaciones del informe sobre el Ayuntamiento de Urdazubi-Urdax</w:t>
        </w:r>
        <w:r w:rsidR="00A61C49">
          <w:rPr>
            <w:noProof/>
            <w:webHidden/>
          </w:rPr>
          <w:tab/>
        </w:r>
        <w:r w:rsidR="00A61C49">
          <w:rPr>
            <w:noProof/>
            <w:webHidden/>
          </w:rPr>
          <w:fldChar w:fldCharType="begin"/>
        </w:r>
        <w:r w:rsidR="00A61C49">
          <w:rPr>
            <w:noProof/>
            <w:webHidden/>
          </w:rPr>
          <w:instrText xml:space="preserve"> PAGEREF _Toc103773741 \h </w:instrText>
        </w:r>
        <w:r w:rsidR="00A61C49">
          <w:rPr>
            <w:noProof/>
            <w:webHidden/>
          </w:rPr>
        </w:r>
        <w:r w:rsidR="00A61C49">
          <w:rPr>
            <w:noProof/>
            <w:webHidden/>
          </w:rPr>
          <w:fldChar w:fldCharType="separate"/>
        </w:r>
        <w:r w:rsidR="00A61C49">
          <w:rPr>
            <w:noProof/>
            <w:webHidden/>
          </w:rPr>
          <w:t>9</w:t>
        </w:r>
        <w:r w:rsidR="00A61C49">
          <w:rPr>
            <w:noProof/>
            <w:webHidden/>
          </w:rPr>
          <w:fldChar w:fldCharType="end"/>
        </w:r>
      </w:hyperlink>
    </w:p>
    <w:p w14:paraId="7849BB9D" w14:textId="77777777" w:rsidR="00A61C49" w:rsidRDefault="00B02999">
      <w:pPr>
        <w:pStyle w:val="TDC2"/>
        <w:rPr>
          <w:rFonts w:asciiTheme="minorHAnsi" w:eastAsiaTheme="minorEastAsia" w:hAnsiTheme="minorHAnsi" w:cstheme="minorBidi"/>
          <w:noProof/>
          <w:szCs w:val="22"/>
          <w:lang w:val="es-ES" w:eastAsia="es-ES"/>
        </w:rPr>
      </w:pPr>
      <w:hyperlink w:anchor="_Toc103773742" w:history="1">
        <w:r w:rsidR="00A61C49" w:rsidRPr="00A65E1B">
          <w:rPr>
            <w:rStyle w:val="Hipervnculo"/>
            <w:noProof/>
          </w:rPr>
          <w:t>IV.2. Análisis y revisión del sistema de distribución y comercialización energética en Urdazubi-Urdax</w:t>
        </w:r>
        <w:r w:rsidR="00A61C49">
          <w:rPr>
            <w:noProof/>
            <w:webHidden/>
          </w:rPr>
          <w:tab/>
        </w:r>
        <w:r w:rsidR="00A61C49">
          <w:rPr>
            <w:noProof/>
            <w:webHidden/>
          </w:rPr>
          <w:fldChar w:fldCharType="begin"/>
        </w:r>
        <w:r w:rsidR="00A61C49">
          <w:rPr>
            <w:noProof/>
            <w:webHidden/>
          </w:rPr>
          <w:instrText xml:space="preserve"> PAGEREF _Toc103773742 \h </w:instrText>
        </w:r>
        <w:r w:rsidR="00A61C49">
          <w:rPr>
            <w:noProof/>
            <w:webHidden/>
          </w:rPr>
        </w:r>
        <w:r w:rsidR="00A61C49">
          <w:rPr>
            <w:noProof/>
            <w:webHidden/>
          </w:rPr>
          <w:fldChar w:fldCharType="separate"/>
        </w:r>
        <w:r w:rsidR="00A61C49">
          <w:rPr>
            <w:noProof/>
            <w:webHidden/>
          </w:rPr>
          <w:t>25</w:t>
        </w:r>
        <w:r w:rsidR="00A61C49">
          <w:rPr>
            <w:noProof/>
            <w:webHidden/>
          </w:rPr>
          <w:fldChar w:fldCharType="end"/>
        </w:r>
      </w:hyperlink>
    </w:p>
    <w:p w14:paraId="3FAF5B30" w14:textId="77777777" w:rsidR="00A61C49" w:rsidRDefault="00B02999">
      <w:pPr>
        <w:pStyle w:val="TDC2"/>
        <w:rPr>
          <w:rFonts w:asciiTheme="minorHAnsi" w:eastAsiaTheme="minorEastAsia" w:hAnsiTheme="minorHAnsi" w:cstheme="minorBidi"/>
          <w:noProof/>
          <w:szCs w:val="22"/>
          <w:lang w:val="es-ES" w:eastAsia="es-ES"/>
        </w:rPr>
      </w:pPr>
      <w:hyperlink w:anchor="_Toc103773743" w:history="1">
        <w:r w:rsidR="00A61C49" w:rsidRPr="00A65E1B">
          <w:rPr>
            <w:rStyle w:val="Hipervnculo"/>
            <w:noProof/>
          </w:rPr>
          <w:t>IV.3 Conclusión final</w:t>
        </w:r>
        <w:r w:rsidR="00A61C49">
          <w:rPr>
            <w:noProof/>
            <w:webHidden/>
          </w:rPr>
          <w:tab/>
        </w:r>
        <w:r w:rsidR="00A61C49">
          <w:rPr>
            <w:noProof/>
            <w:webHidden/>
          </w:rPr>
          <w:fldChar w:fldCharType="begin"/>
        </w:r>
        <w:r w:rsidR="00A61C49">
          <w:rPr>
            <w:noProof/>
            <w:webHidden/>
          </w:rPr>
          <w:instrText xml:space="preserve"> PAGEREF _Toc103773743 \h </w:instrText>
        </w:r>
        <w:r w:rsidR="00A61C49">
          <w:rPr>
            <w:noProof/>
            <w:webHidden/>
          </w:rPr>
        </w:r>
        <w:r w:rsidR="00A61C49">
          <w:rPr>
            <w:noProof/>
            <w:webHidden/>
          </w:rPr>
          <w:fldChar w:fldCharType="separate"/>
        </w:r>
        <w:r w:rsidR="00A61C49">
          <w:rPr>
            <w:noProof/>
            <w:webHidden/>
          </w:rPr>
          <w:t>28</w:t>
        </w:r>
        <w:r w:rsidR="00A61C49">
          <w:rPr>
            <w:noProof/>
            <w:webHidden/>
          </w:rPr>
          <w:fldChar w:fldCharType="end"/>
        </w:r>
      </w:hyperlink>
    </w:p>
    <w:p w14:paraId="454A22AB" w14:textId="77777777" w:rsidR="00A61C49" w:rsidRDefault="00B02999">
      <w:pPr>
        <w:pStyle w:val="TDC1"/>
        <w:rPr>
          <w:rFonts w:asciiTheme="minorHAnsi" w:eastAsiaTheme="minorEastAsia" w:hAnsiTheme="minorHAnsi" w:cstheme="minorBidi"/>
          <w:smallCaps w:val="0"/>
          <w:noProof/>
          <w:szCs w:val="22"/>
          <w:lang w:val="es-ES" w:eastAsia="es-ES"/>
        </w:rPr>
      </w:pPr>
      <w:hyperlink w:anchor="_Toc103773744" w:history="1">
        <w:r w:rsidR="00A61C49" w:rsidRPr="00A65E1B">
          <w:rPr>
            <w:rStyle w:val="Hipervnculo"/>
            <w:rFonts w:eastAsiaTheme="minorHAnsi"/>
            <w:noProof/>
          </w:rPr>
          <w:t>Alegaciones al informe provisional</w:t>
        </w:r>
        <w:r w:rsidR="00A61C49">
          <w:rPr>
            <w:noProof/>
            <w:webHidden/>
          </w:rPr>
          <w:tab/>
        </w:r>
        <w:r w:rsidR="00A61C49">
          <w:rPr>
            <w:noProof/>
            <w:webHidden/>
          </w:rPr>
          <w:fldChar w:fldCharType="begin"/>
        </w:r>
        <w:r w:rsidR="00A61C49">
          <w:rPr>
            <w:noProof/>
            <w:webHidden/>
          </w:rPr>
          <w:instrText xml:space="preserve"> PAGEREF _Toc103773744 \h </w:instrText>
        </w:r>
        <w:r w:rsidR="00A61C49">
          <w:rPr>
            <w:noProof/>
            <w:webHidden/>
          </w:rPr>
        </w:r>
        <w:r w:rsidR="00A61C49">
          <w:rPr>
            <w:noProof/>
            <w:webHidden/>
          </w:rPr>
          <w:fldChar w:fldCharType="separate"/>
        </w:r>
        <w:r w:rsidR="00A61C49">
          <w:rPr>
            <w:noProof/>
            <w:webHidden/>
          </w:rPr>
          <w:t>29</w:t>
        </w:r>
        <w:r w:rsidR="00A61C49">
          <w:rPr>
            <w:noProof/>
            <w:webHidden/>
          </w:rPr>
          <w:fldChar w:fldCharType="end"/>
        </w:r>
      </w:hyperlink>
    </w:p>
    <w:p w14:paraId="4820D8FB" w14:textId="77777777" w:rsidR="00A61C49" w:rsidRDefault="00B02999">
      <w:pPr>
        <w:pStyle w:val="TDC1"/>
        <w:rPr>
          <w:rFonts w:asciiTheme="minorHAnsi" w:eastAsiaTheme="minorEastAsia" w:hAnsiTheme="minorHAnsi" w:cstheme="minorBidi"/>
          <w:smallCaps w:val="0"/>
          <w:noProof/>
          <w:szCs w:val="22"/>
          <w:lang w:val="es-ES" w:eastAsia="es-ES"/>
        </w:rPr>
      </w:pPr>
      <w:hyperlink w:anchor="_Toc103773745" w:history="1">
        <w:r w:rsidR="00A61C49" w:rsidRPr="00A65E1B">
          <w:rPr>
            <w:rStyle w:val="Hipervnculo"/>
            <w:noProof/>
          </w:rPr>
          <w:t>Contestación de la Cámara de Comptos a las alegaciones presentadas al informe provisional</w:t>
        </w:r>
      </w:hyperlink>
    </w:p>
    <w:p w14:paraId="2F30ED60" w14:textId="77777777" w:rsidR="00BF3BBF" w:rsidRDefault="00BF3BBF" w:rsidP="00BF3BBF">
      <w:pPr>
        <w:pStyle w:val="texto"/>
      </w:pPr>
      <w:r>
        <w:fldChar w:fldCharType="end"/>
      </w:r>
    </w:p>
    <w:p w14:paraId="030F4DB3" w14:textId="77777777" w:rsidR="00BF3BBF" w:rsidRDefault="00BF3BBF" w:rsidP="00BF3BBF">
      <w:pPr>
        <w:pStyle w:val="texto"/>
      </w:pPr>
    </w:p>
    <w:p w14:paraId="7D248CFD" w14:textId="77777777" w:rsidR="00BF3BBF" w:rsidRPr="00E703B6" w:rsidRDefault="00BF3BBF" w:rsidP="00BF3BBF"/>
    <w:p w14:paraId="7E41B241" w14:textId="77777777" w:rsidR="005749C5" w:rsidRPr="005749C5" w:rsidRDefault="005749C5" w:rsidP="005749C5"/>
    <w:p w14:paraId="3960718F" w14:textId="77777777" w:rsidR="005749C5" w:rsidRPr="005749C5" w:rsidRDefault="005749C5" w:rsidP="005749C5"/>
    <w:p w14:paraId="43F13DDC" w14:textId="77777777" w:rsidR="005749C5" w:rsidRPr="005749C5" w:rsidRDefault="005749C5" w:rsidP="005749C5"/>
    <w:p w14:paraId="18DF02A2" w14:textId="77777777" w:rsidR="005749C5" w:rsidRPr="005749C5" w:rsidRDefault="005749C5" w:rsidP="005749C5"/>
    <w:p w14:paraId="3E74AEEF" w14:textId="77777777" w:rsidR="005749C5" w:rsidRPr="005749C5" w:rsidRDefault="005749C5" w:rsidP="005749C5"/>
    <w:p w14:paraId="1D67D580" w14:textId="77777777" w:rsidR="005749C5" w:rsidRPr="005749C5" w:rsidRDefault="005749C5" w:rsidP="005749C5"/>
    <w:p w14:paraId="33765EB3" w14:textId="77777777" w:rsidR="005749C5" w:rsidRPr="005749C5" w:rsidRDefault="005749C5" w:rsidP="005749C5"/>
    <w:p w14:paraId="5F1BD2A4" w14:textId="77777777" w:rsidR="005749C5" w:rsidRPr="005749C5" w:rsidRDefault="005749C5" w:rsidP="005749C5"/>
    <w:p w14:paraId="496CC0B5" w14:textId="77777777" w:rsidR="005749C5" w:rsidRPr="005749C5" w:rsidRDefault="005749C5" w:rsidP="005749C5"/>
    <w:p w14:paraId="6C29C581" w14:textId="77777777" w:rsidR="005749C5" w:rsidRPr="005749C5" w:rsidRDefault="005749C5" w:rsidP="005749C5"/>
    <w:p w14:paraId="198AD955" w14:textId="77777777" w:rsidR="005749C5" w:rsidRPr="005749C5" w:rsidRDefault="005749C5" w:rsidP="005749C5"/>
    <w:p w14:paraId="7EC041E8" w14:textId="77777777" w:rsidR="005749C5" w:rsidRPr="005749C5" w:rsidRDefault="005749C5" w:rsidP="005749C5"/>
    <w:p w14:paraId="30AD4BAE" w14:textId="77777777" w:rsidR="005749C5" w:rsidRPr="005749C5" w:rsidRDefault="005749C5" w:rsidP="005749C5"/>
    <w:p w14:paraId="033D295B" w14:textId="77777777" w:rsidR="005749C5" w:rsidRPr="005749C5" w:rsidRDefault="005749C5" w:rsidP="005749C5"/>
    <w:p w14:paraId="5C68450C" w14:textId="77777777" w:rsidR="005749C5" w:rsidRPr="005749C5" w:rsidRDefault="005749C5" w:rsidP="005749C5"/>
    <w:p w14:paraId="272DD805" w14:textId="77777777" w:rsidR="005749C5" w:rsidRPr="005749C5" w:rsidRDefault="005749C5" w:rsidP="005749C5"/>
    <w:p w14:paraId="24C50F8F" w14:textId="77777777" w:rsidR="005749C5" w:rsidRPr="005749C5" w:rsidRDefault="005749C5" w:rsidP="005749C5"/>
    <w:p w14:paraId="36F2AF53" w14:textId="77777777" w:rsidR="005749C5" w:rsidRPr="005749C5" w:rsidRDefault="005749C5" w:rsidP="005749C5"/>
    <w:p w14:paraId="173CDCD8" w14:textId="77777777" w:rsidR="005749C5" w:rsidRDefault="005749C5" w:rsidP="005749C5">
      <w:pPr>
        <w:tabs>
          <w:tab w:val="left" w:pos="4185"/>
        </w:tabs>
      </w:pPr>
      <w:r>
        <w:tab/>
      </w:r>
    </w:p>
    <w:p w14:paraId="14F10E35" w14:textId="77777777" w:rsidR="008E3FFE" w:rsidRPr="005749C5" w:rsidRDefault="005749C5" w:rsidP="005749C5">
      <w:pPr>
        <w:tabs>
          <w:tab w:val="left" w:pos="4185"/>
        </w:tabs>
        <w:sectPr w:rsidR="008E3FFE" w:rsidRPr="005749C5" w:rsidSect="00160F66">
          <w:type w:val="oddPage"/>
          <w:pgSz w:w="11907" w:h="16840" w:code="9"/>
          <w:pgMar w:top="2109" w:right="1559" w:bottom="1644" w:left="1559" w:header="369" w:footer="402" w:gutter="0"/>
          <w:pgNumType w:start="3"/>
          <w:cols w:space="720"/>
          <w:docGrid w:linePitch="360"/>
        </w:sectPr>
      </w:pPr>
      <w:r>
        <w:tab/>
      </w:r>
    </w:p>
    <w:p w14:paraId="7EBAC285" w14:textId="77777777" w:rsidR="005749C5" w:rsidRPr="008152FA" w:rsidRDefault="005749C5" w:rsidP="008152FA">
      <w:pPr>
        <w:pStyle w:val="atitulo1"/>
      </w:pPr>
      <w:bookmarkStart w:id="0" w:name="_Toc3461799"/>
      <w:bookmarkStart w:id="1" w:name="_Toc97455603"/>
      <w:bookmarkStart w:id="2" w:name="_Toc103773735"/>
      <w:r w:rsidRPr="008152FA">
        <w:lastRenderedPageBreak/>
        <w:t>I. Introducción</w:t>
      </w:r>
      <w:bookmarkEnd w:id="0"/>
      <w:bookmarkEnd w:id="1"/>
      <w:bookmarkEnd w:id="2"/>
    </w:p>
    <w:p w14:paraId="5DC55C27" w14:textId="77777777" w:rsidR="005749C5" w:rsidRDefault="005749C5" w:rsidP="005749C5">
      <w:pPr>
        <w:pStyle w:val="texto"/>
        <w:rPr>
          <w:rFonts w:eastAsia="Calibri"/>
          <w:szCs w:val="26"/>
        </w:rPr>
      </w:pPr>
      <w:r w:rsidRPr="003365E7">
        <w:rPr>
          <w:szCs w:val="26"/>
        </w:rPr>
        <w:t xml:space="preserve">La Cámara de Comptos </w:t>
      </w:r>
      <w:r>
        <w:rPr>
          <w:szCs w:val="26"/>
        </w:rPr>
        <w:t xml:space="preserve">emitió en julio de 2011 un informe de fiscalización del Ayuntamiento de </w:t>
      </w:r>
      <w:proofErr w:type="spellStart"/>
      <w:r>
        <w:rPr>
          <w:szCs w:val="26"/>
        </w:rPr>
        <w:t>Urdazubi</w:t>
      </w:r>
      <w:proofErr w:type="spellEnd"/>
      <w:r>
        <w:rPr>
          <w:szCs w:val="26"/>
        </w:rPr>
        <w:t xml:space="preserve">-Urdax referido al ejercicio 2009 con </w:t>
      </w:r>
      <w:r>
        <w:rPr>
          <w:rFonts w:eastAsia="Calibri"/>
          <w:szCs w:val="26"/>
        </w:rPr>
        <w:t>opinión financiera y de legalidad desfavorable.</w:t>
      </w:r>
    </w:p>
    <w:p w14:paraId="776D3D79" w14:textId="77777777" w:rsidR="005749C5" w:rsidRPr="003410CB" w:rsidRDefault="005749C5" w:rsidP="005749C5">
      <w:pPr>
        <w:pStyle w:val="texto"/>
        <w:rPr>
          <w:szCs w:val="26"/>
        </w:rPr>
      </w:pPr>
      <w:r>
        <w:rPr>
          <w:szCs w:val="26"/>
        </w:rPr>
        <w:t xml:space="preserve">En el ejercicio 2019 se recibió una petición parlamentaria para fiscalizar el citado ayuntamiento que se incluyó en el Programa de Actuación de la Cámara de Comptos para el ejercicio 2020. En el Programa de Actuación aprobado para el ejercicio 2022 se ha incluido en el Anexo II como fiscalización pendiente la realización del citado trabajo, habiendo considerado esta Cámara más apropiada la realización </w:t>
      </w:r>
      <w:r w:rsidRPr="003410CB">
        <w:rPr>
          <w:szCs w:val="26"/>
        </w:rPr>
        <w:t xml:space="preserve">de un informe </w:t>
      </w:r>
      <w:r>
        <w:rPr>
          <w:szCs w:val="26"/>
        </w:rPr>
        <w:t xml:space="preserve">de </w:t>
      </w:r>
      <w:r w:rsidRPr="003410CB">
        <w:rPr>
          <w:szCs w:val="26"/>
        </w:rPr>
        <w:t>se</w:t>
      </w:r>
      <w:r>
        <w:rPr>
          <w:szCs w:val="26"/>
        </w:rPr>
        <w:t>guimiento de las recomendaciones que se emitieron en nuestro anterior informe de julio 2011.</w:t>
      </w:r>
    </w:p>
    <w:p w14:paraId="34DC4E15" w14:textId="77777777" w:rsidR="005749C5" w:rsidRDefault="005749C5" w:rsidP="005749C5">
      <w:pPr>
        <w:pStyle w:val="texto"/>
      </w:pPr>
      <w:r>
        <w:t>Este</w:t>
      </w:r>
      <w:r w:rsidRPr="00496A93">
        <w:t xml:space="preserve"> informe se estructura en </w:t>
      </w:r>
      <w:r>
        <w:t>cuatro</w:t>
      </w:r>
      <w:r w:rsidRPr="00496A93">
        <w:t xml:space="preserve"> epígrafes incluida esta introducción; en el segundo se </w:t>
      </w:r>
      <w:r>
        <w:t>describen aspectos generales relacionados con el ayuntamiento; en el tercero se definen los objetivos y alcance</w:t>
      </w:r>
      <w:r w:rsidRPr="00846172">
        <w:rPr>
          <w:color w:val="FF0000"/>
        </w:rPr>
        <w:t xml:space="preserve"> </w:t>
      </w:r>
      <w:r>
        <w:t xml:space="preserve">del presente informe, y el cuarto contiene las conclusiones del trabajo realizado. </w:t>
      </w:r>
    </w:p>
    <w:p w14:paraId="02AC50AD" w14:textId="77777777" w:rsidR="005749C5" w:rsidRPr="00FE18A4" w:rsidRDefault="005749C5" w:rsidP="005749C5">
      <w:pPr>
        <w:pStyle w:val="texto"/>
      </w:pPr>
      <w:r>
        <w:t xml:space="preserve">El trabajo de campo se realizó entre el mes de diciembre de 2021 y febrero de 2022 por un equipo integrado por dos técnicas de auditoría, y un auditor, con la colaboración de los servicios jurídicos y administrativos de la Cámara de Comptos. </w:t>
      </w:r>
    </w:p>
    <w:p w14:paraId="279FB68B" w14:textId="77777777" w:rsidR="005749C5" w:rsidRDefault="005749C5" w:rsidP="005749C5">
      <w:pPr>
        <w:pStyle w:val="texto"/>
        <w:rPr>
          <w:szCs w:val="26"/>
        </w:rPr>
      </w:pPr>
      <w:r w:rsidRPr="00CA304B">
        <w:rPr>
          <w:szCs w:val="26"/>
        </w:rPr>
        <w:t>Agradecemos al personal d</w:t>
      </w:r>
      <w:r w:rsidRPr="00BD7C19">
        <w:rPr>
          <w:szCs w:val="26"/>
        </w:rPr>
        <w:t>e</w:t>
      </w:r>
      <w:r>
        <w:rPr>
          <w:szCs w:val="26"/>
        </w:rPr>
        <w:t xml:space="preserve">l Ayuntamiento de </w:t>
      </w:r>
      <w:proofErr w:type="spellStart"/>
      <w:r>
        <w:rPr>
          <w:szCs w:val="26"/>
        </w:rPr>
        <w:t>Urdazubi</w:t>
      </w:r>
      <w:proofErr w:type="spellEnd"/>
      <w:r>
        <w:rPr>
          <w:szCs w:val="26"/>
        </w:rPr>
        <w:t xml:space="preserve">-Urdax </w:t>
      </w:r>
      <w:r w:rsidRPr="00CA304B">
        <w:rPr>
          <w:szCs w:val="26"/>
        </w:rPr>
        <w:t xml:space="preserve">la colaboración prestada en la realización del presente trabajo. </w:t>
      </w:r>
    </w:p>
    <w:p w14:paraId="352AC718" w14:textId="77777777" w:rsidR="00FD1236" w:rsidRDefault="00FD1236" w:rsidP="005749C5">
      <w:pPr>
        <w:pStyle w:val="texto"/>
        <w:rPr>
          <w:szCs w:val="26"/>
        </w:rPr>
      </w:pPr>
    </w:p>
    <w:p w14:paraId="4524B0F8" w14:textId="77777777" w:rsidR="005749C5" w:rsidRPr="00FD1236" w:rsidRDefault="005749C5" w:rsidP="005749C5">
      <w:pPr>
        <w:spacing w:after="0"/>
        <w:ind w:firstLine="0"/>
        <w:jc w:val="left"/>
        <w:rPr>
          <w:spacing w:val="6"/>
          <w:sz w:val="26"/>
          <w:szCs w:val="24"/>
        </w:rPr>
      </w:pPr>
      <w:r>
        <w:rPr>
          <w:szCs w:val="26"/>
        </w:rPr>
        <w:br w:type="page"/>
      </w:r>
    </w:p>
    <w:p w14:paraId="2BA5FE59" w14:textId="77777777" w:rsidR="005749C5" w:rsidRPr="00FE7991" w:rsidRDefault="005749C5" w:rsidP="00FE7991">
      <w:pPr>
        <w:pStyle w:val="atitulo1"/>
      </w:pPr>
      <w:bookmarkStart w:id="3" w:name="_Toc97455604"/>
      <w:bookmarkStart w:id="4" w:name="_Toc103773736"/>
      <w:bookmarkStart w:id="5" w:name="_Toc41485556"/>
      <w:bookmarkStart w:id="6" w:name="_Toc11396081"/>
      <w:bookmarkStart w:id="7" w:name="_Toc398207038"/>
      <w:bookmarkStart w:id="8" w:name="_Toc432757087"/>
      <w:bookmarkStart w:id="9" w:name="_Toc447195021"/>
      <w:bookmarkStart w:id="10" w:name="_Toc477171874"/>
      <w:bookmarkStart w:id="11" w:name="_Toc432757082"/>
      <w:bookmarkStart w:id="12" w:name="_Toc447195015"/>
      <w:r w:rsidRPr="00FE7991">
        <w:lastRenderedPageBreak/>
        <w:t xml:space="preserve">II. El Ayuntamiento de </w:t>
      </w:r>
      <w:proofErr w:type="spellStart"/>
      <w:r w:rsidRPr="00FE7991">
        <w:t>Urdazubi</w:t>
      </w:r>
      <w:proofErr w:type="spellEnd"/>
      <w:r w:rsidRPr="00FE7991">
        <w:t>-Urdax</w:t>
      </w:r>
      <w:bookmarkEnd w:id="3"/>
      <w:bookmarkEnd w:id="4"/>
    </w:p>
    <w:p w14:paraId="1A1B7786" w14:textId="77777777" w:rsidR="005749C5" w:rsidRPr="00FE7991" w:rsidRDefault="005749C5" w:rsidP="00FE7991">
      <w:pPr>
        <w:pStyle w:val="atitulo2"/>
      </w:pPr>
      <w:bookmarkStart w:id="13" w:name="_Toc97455605"/>
      <w:bookmarkStart w:id="14" w:name="_Toc103773737"/>
      <w:r w:rsidRPr="00FE7991">
        <w:t>II.1. Aspectos generales del ayuntamiento</w:t>
      </w:r>
      <w:bookmarkEnd w:id="13"/>
      <w:bookmarkEnd w:id="14"/>
    </w:p>
    <w:p w14:paraId="2AC50554" w14:textId="77777777" w:rsidR="005749C5" w:rsidRPr="0014305A" w:rsidRDefault="005749C5" w:rsidP="005749C5">
      <w:pPr>
        <w:pStyle w:val="texto"/>
        <w:tabs>
          <w:tab w:val="clear" w:pos="2835"/>
          <w:tab w:val="clear" w:pos="3969"/>
          <w:tab w:val="clear" w:pos="5103"/>
          <w:tab w:val="clear" w:pos="6237"/>
          <w:tab w:val="clear" w:pos="7371"/>
        </w:tabs>
      </w:pPr>
      <w:r w:rsidRPr="0014305A">
        <w:t xml:space="preserve">El municipio de </w:t>
      </w:r>
      <w:proofErr w:type="spellStart"/>
      <w:r w:rsidRPr="0014305A">
        <w:t>Urdazubi</w:t>
      </w:r>
      <w:proofErr w:type="spellEnd"/>
      <w:r w:rsidRPr="0014305A">
        <w:t xml:space="preserve">-Urdax se encuentra al norte de Navarra, a </w:t>
      </w:r>
      <w:smartTag w:uri="urn:schemas-microsoft-com:office:smarttags" w:element="metricconverter">
        <w:smartTagPr>
          <w:attr w:name="ProductID" w:val="80 kil￳metros"/>
        </w:smartTagPr>
        <w:r w:rsidRPr="0014305A">
          <w:t>80 kilómetros</w:t>
        </w:r>
      </w:smartTag>
      <w:r w:rsidR="004B0907">
        <w:t xml:space="preserve"> de Pamplona</w:t>
      </w:r>
      <w:r w:rsidR="00EE03B1">
        <w:t xml:space="preserve"> y t</w:t>
      </w:r>
      <w:r w:rsidRPr="0014305A">
        <w:t>iene una extensión de 7,54 km</w:t>
      </w:r>
      <w:r w:rsidRPr="009E7B2E">
        <w:rPr>
          <w:vertAlign w:val="superscript"/>
        </w:rPr>
        <w:t>2</w:t>
      </w:r>
      <w:r w:rsidRPr="0014305A">
        <w:t>. Las localidades limítrofes son Zugarramurdi y los municip</w:t>
      </w:r>
      <w:r>
        <w:t>ios franceses de Ainhoa y Sara</w:t>
      </w:r>
      <w:r w:rsidRPr="0014305A">
        <w:t xml:space="preserve">. </w:t>
      </w:r>
    </w:p>
    <w:p w14:paraId="636A4373" w14:textId="77777777" w:rsidR="005749C5" w:rsidRPr="0014305A" w:rsidRDefault="005749C5" w:rsidP="005749C5">
      <w:pPr>
        <w:pStyle w:val="texto"/>
        <w:tabs>
          <w:tab w:val="clear" w:pos="2835"/>
          <w:tab w:val="clear" w:pos="3969"/>
          <w:tab w:val="clear" w:pos="5103"/>
          <w:tab w:val="clear" w:pos="6237"/>
          <w:tab w:val="clear" w:pos="7371"/>
        </w:tabs>
      </w:pPr>
      <w:r w:rsidRPr="0014305A">
        <w:t>Su población a 1 de enero de 20</w:t>
      </w:r>
      <w:r>
        <w:t>21</w:t>
      </w:r>
      <w:r w:rsidRPr="0014305A">
        <w:t xml:space="preserve"> es de </w:t>
      </w:r>
      <w:r w:rsidRPr="00072B0E">
        <w:t>348 habitantes</w:t>
      </w:r>
      <w:r w:rsidRPr="0014305A">
        <w:t xml:space="preserve">, distribuida entre el centro de la villa y los barrios de </w:t>
      </w:r>
      <w:proofErr w:type="spellStart"/>
      <w:r w:rsidRPr="0014305A">
        <w:t>Alkerdi</w:t>
      </w:r>
      <w:proofErr w:type="spellEnd"/>
      <w:r w:rsidRPr="0014305A">
        <w:t xml:space="preserve">, </w:t>
      </w:r>
      <w:proofErr w:type="spellStart"/>
      <w:r w:rsidRPr="0014305A">
        <w:t>Dantxarinea</w:t>
      </w:r>
      <w:proofErr w:type="spellEnd"/>
      <w:r w:rsidRPr="0014305A">
        <w:t xml:space="preserve">, </w:t>
      </w:r>
      <w:proofErr w:type="spellStart"/>
      <w:r w:rsidRPr="0014305A">
        <w:t>Landibar</w:t>
      </w:r>
      <w:proofErr w:type="spellEnd"/>
      <w:r w:rsidRPr="0014305A">
        <w:t xml:space="preserve">, </w:t>
      </w:r>
      <w:proofErr w:type="spellStart"/>
      <w:r>
        <w:t>Leorlaz</w:t>
      </w:r>
      <w:proofErr w:type="spellEnd"/>
      <w:r>
        <w:t>,</w:t>
      </w:r>
      <w:r w:rsidRPr="0014305A">
        <w:t xml:space="preserve"> Te</w:t>
      </w:r>
      <w:r>
        <w:t xml:space="preserve">llería, </w:t>
      </w:r>
      <w:proofErr w:type="spellStart"/>
      <w:r>
        <w:t>Hiribere</w:t>
      </w:r>
      <w:proofErr w:type="spellEnd"/>
      <w:r>
        <w:t xml:space="preserve"> y </w:t>
      </w:r>
      <w:proofErr w:type="spellStart"/>
      <w:r>
        <w:t>Larrainta</w:t>
      </w:r>
      <w:proofErr w:type="spellEnd"/>
      <w:r w:rsidRPr="0014305A">
        <w:t>.</w:t>
      </w:r>
    </w:p>
    <w:p w14:paraId="7EAA8E1B" w14:textId="77777777" w:rsidR="005749C5" w:rsidRPr="0014305A" w:rsidRDefault="005749C5" w:rsidP="005749C5">
      <w:pPr>
        <w:pStyle w:val="texto"/>
        <w:tabs>
          <w:tab w:val="clear" w:pos="2835"/>
          <w:tab w:val="clear" w:pos="3969"/>
          <w:tab w:val="clear" w:pos="5103"/>
          <w:tab w:val="clear" w:pos="6237"/>
          <w:tab w:val="clear" w:pos="7371"/>
        </w:tabs>
      </w:pPr>
      <w:r w:rsidRPr="0014305A">
        <w:t>La economía de la zona ha estado y está marcada por el hecho fronterizo.</w:t>
      </w:r>
    </w:p>
    <w:p w14:paraId="701AA142" w14:textId="77777777" w:rsidR="005749C5" w:rsidRDefault="005749C5" w:rsidP="005749C5">
      <w:pPr>
        <w:pStyle w:val="texto"/>
        <w:tabs>
          <w:tab w:val="clear" w:pos="2835"/>
          <w:tab w:val="clear" w:pos="3969"/>
          <w:tab w:val="clear" w:pos="5103"/>
          <w:tab w:val="clear" w:pos="6237"/>
          <w:tab w:val="clear" w:pos="7371"/>
        </w:tabs>
      </w:pPr>
      <w:r w:rsidRPr="00D46A56">
        <w:t xml:space="preserve">El personal </w:t>
      </w:r>
      <w:r>
        <w:t xml:space="preserve">del </w:t>
      </w:r>
      <w:r w:rsidR="009E7B2E">
        <w:t>a</w:t>
      </w:r>
      <w:r>
        <w:t xml:space="preserve">yuntamiento lo integra un </w:t>
      </w:r>
      <w:r w:rsidR="009E7B2E">
        <w:t>s</w:t>
      </w:r>
      <w:r>
        <w:t>ecretario-</w:t>
      </w:r>
      <w:r w:rsidR="009E7B2E">
        <w:t>i</w:t>
      </w:r>
      <w:r w:rsidRPr="00D46A56">
        <w:t xml:space="preserve">nterventor, compartido con el Ayuntamiento de Zugarramurdi, un </w:t>
      </w:r>
      <w:r w:rsidR="009E7B2E">
        <w:t>e</w:t>
      </w:r>
      <w:r w:rsidRPr="00D46A56">
        <w:t xml:space="preserve">mpleado de </w:t>
      </w:r>
      <w:r w:rsidR="009E7B2E">
        <w:t>s</w:t>
      </w:r>
      <w:r w:rsidRPr="00D46A56">
        <w:t xml:space="preserve">ervicios </w:t>
      </w:r>
      <w:r w:rsidR="009E7B2E">
        <w:t>m</w:t>
      </w:r>
      <w:r w:rsidRPr="00D46A56">
        <w:t>últip</w:t>
      </w:r>
      <w:r>
        <w:t xml:space="preserve">les y un </w:t>
      </w:r>
      <w:r w:rsidR="009E7B2E">
        <w:t>a</w:t>
      </w:r>
      <w:r>
        <w:t xml:space="preserve">uxiliar </w:t>
      </w:r>
      <w:r w:rsidR="009E7B2E">
        <w:t>a</w:t>
      </w:r>
      <w:r>
        <w:t xml:space="preserve">dministrativo. </w:t>
      </w:r>
    </w:p>
    <w:p w14:paraId="48A96021" w14:textId="77777777" w:rsidR="004B0907" w:rsidRDefault="00AF325B" w:rsidP="005749C5">
      <w:pPr>
        <w:pStyle w:val="texto"/>
        <w:tabs>
          <w:tab w:val="clear" w:pos="2835"/>
          <w:tab w:val="clear" w:pos="3969"/>
          <w:tab w:val="clear" w:pos="5103"/>
          <w:tab w:val="clear" w:pos="6237"/>
          <w:tab w:val="clear" w:pos="7371"/>
        </w:tabs>
      </w:pPr>
      <w:r>
        <w:t xml:space="preserve">Los datos de ejecución presupuestaria del ejercicio 2020, último ejercicio liquidado y </w:t>
      </w:r>
      <w:r w:rsidR="002F1A67">
        <w:t xml:space="preserve">con la </w:t>
      </w:r>
      <w:r>
        <w:t>Cuenta General</w:t>
      </w:r>
      <w:r w:rsidR="002F1A67">
        <w:t xml:space="preserve"> aprobada</w:t>
      </w:r>
      <w:r>
        <w:t xml:space="preserve"> a la fecha de emisión de este </w:t>
      </w:r>
      <w:r w:rsidR="004B0907">
        <w:t>informe</w:t>
      </w:r>
      <w:r w:rsidR="003F2998">
        <w:t>,</w:t>
      </w:r>
      <w:r w:rsidR="004B0907">
        <w:t xml:space="preserve"> son los siguientes:</w:t>
      </w:r>
    </w:p>
    <w:tbl>
      <w:tblPr>
        <w:tblW w:w="8505" w:type="dxa"/>
        <w:jc w:val="center"/>
        <w:tblCellMar>
          <w:left w:w="70" w:type="dxa"/>
          <w:right w:w="70" w:type="dxa"/>
        </w:tblCellMar>
        <w:tblLook w:val="04A0" w:firstRow="1" w:lastRow="0" w:firstColumn="1" w:lastColumn="0" w:noHBand="0" w:noVBand="1"/>
      </w:tblPr>
      <w:tblGrid>
        <w:gridCol w:w="5245"/>
        <w:gridCol w:w="3260"/>
      </w:tblGrid>
      <w:tr w:rsidR="004B0907" w:rsidRPr="00FE7991" w14:paraId="166C188E" w14:textId="77777777" w:rsidTr="009E7B2E">
        <w:trPr>
          <w:trHeight w:val="255"/>
          <w:jc w:val="center"/>
        </w:trPr>
        <w:tc>
          <w:tcPr>
            <w:tcW w:w="5245" w:type="dxa"/>
            <w:tcBorders>
              <w:top w:val="single" w:sz="4" w:space="0" w:color="auto"/>
              <w:left w:val="nil"/>
              <w:bottom w:val="single" w:sz="4" w:space="0" w:color="auto"/>
              <w:right w:val="nil"/>
            </w:tcBorders>
            <w:shd w:val="clear" w:color="auto" w:fill="FABF8F" w:themeFill="accent6" w:themeFillTint="99"/>
            <w:noWrap/>
            <w:vAlign w:val="center"/>
          </w:tcPr>
          <w:p w14:paraId="24D9B545" w14:textId="77777777" w:rsidR="004B0907" w:rsidRPr="00FE7991" w:rsidRDefault="004B0907" w:rsidP="00DE1A94">
            <w:pPr>
              <w:spacing w:after="0"/>
              <w:ind w:firstLine="0"/>
              <w:jc w:val="left"/>
              <w:rPr>
                <w:rFonts w:ascii="Arial" w:hAnsi="Arial" w:cs="Arial"/>
                <w:sz w:val="18"/>
                <w:szCs w:val="18"/>
                <w:lang w:val="es-ES" w:eastAsia="es-ES"/>
              </w:rPr>
            </w:pPr>
            <w:r>
              <w:rPr>
                <w:rFonts w:ascii="Arial" w:hAnsi="Arial" w:cs="Arial"/>
                <w:sz w:val="18"/>
                <w:szCs w:val="18"/>
                <w:lang w:val="es-ES" w:eastAsia="es-ES"/>
              </w:rPr>
              <w:t>Ingresos</w:t>
            </w:r>
          </w:p>
        </w:tc>
        <w:tc>
          <w:tcPr>
            <w:tcW w:w="3260" w:type="dxa"/>
            <w:tcBorders>
              <w:top w:val="single" w:sz="4" w:space="0" w:color="auto"/>
              <w:left w:val="nil"/>
              <w:bottom w:val="single" w:sz="4" w:space="0" w:color="auto"/>
              <w:right w:val="nil"/>
            </w:tcBorders>
            <w:shd w:val="clear" w:color="auto" w:fill="FABF8F" w:themeFill="accent6" w:themeFillTint="99"/>
          </w:tcPr>
          <w:p w14:paraId="4F0BE564" w14:textId="77777777" w:rsidR="004B0907" w:rsidRPr="00FE7991" w:rsidRDefault="004B0907" w:rsidP="004B090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Derechos Reconocidos Netos</w:t>
            </w:r>
          </w:p>
        </w:tc>
      </w:tr>
      <w:tr w:rsidR="004B0907" w:rsidRPr="00FE7991" w14:paraId="157CA67C" w14:textId="77777777" w:rsidTr="009E7B2E">
        <w:trPr>
          <w:trHeight w:val="198"/>
          <w:jc w:val="center"/>
        </w:trPr>
        <w:tc>
          <w:tcPr>
            <w:tcW w:w="5245" w:type="dxa"/>
            <w:tcBorders>
              <w:top w:val="single" w:sz="4" w:space="0" w:color="auto"/>
              <w:left w:val="nil"/>
              <w:bottom w:val="single" w:sz="4" w:space="0" w:color="auto"/>
              <w:right w:val="nil"/>
            </w:tcBorders>
            <w:shd w:val="clear" w:color="auto" w:fill="auto"/>
            <w:noWrap/>
            <w:vAlign w:val="center"/>
          </w:tcPr>
          <w:p w14:paraId="4BF6B04A" w14:textId="77777777" w:rsidR="004B0907" w:rsidRDefault="004B0907" w:rsidP="00DE1A94">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Total</w:t>
            </w:r>
          </w:p>
        </w:tc>
        <w:tc>
          <w:tcPr>
            <w:tcW w:w="3260" w:type="dxa"/>
            <w:tcBorders>
              <w:top w:val="single" w:sz="4" w:space="0" w:color="auto"/>
              <w:left w:val="nil"/>
              <w:bottom w:val="single" w:sz="4" w:space="0" w:color="auto"/>
              <w:right w:val="nil"/>
            </w:tcBorders>
          </w:tcPr>
          <w:p w14:paraId="51D5E345" w14:textId="77777777" w:rsidR="004B0907" w:rsidRDefault="004B0907" w:rsidP="00DE1A94">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1.658.705</w:t>
            </w:r>
          </w:p>
        </w:tc>
      </w:tr>
    </w:tbl>
    <w:p w14:paraId="6A0BA368" w14:textId="77777777" w:rsidR="00DE1A94" w:rsidRDefault="00DE1A94" w:rsidP="00CA109B">
      <w:pPr>
        <w:pStyle w:val="texto"/>
        <w:tabs>
          <w:tab w:val="clear" w:pos="2835"/>
          <w:tab w:val="clear" w:pos="3969"/>
          <w:tab w:val="clear" w:pos="5103"/>
          <w:tab w:val="clear" w:pos="6237"/>
          <w:tab w:val="clear" w:pos="7371"/>
        </w:tabs>
        <w:spacing w:after="0"/>
      </w:pPr>
    </w:p>
    <w:tbl>
      <w:tblPr>
        <w:tblW w:w="8505" w:type="dxa"/>
        <w:jc w:val="center"/>
        <w:tblCellMar>
          <w:left w:w="70" w:type="dxa"/>
          <w:right w:w="70" w:type="dxa"/>
        </w:tblCellMar>
        <w:tblLook w:val="04A0" w:firstRow="1" w:lastRow="0" w:firstColumn="1" w:lastColumn="0" w:noHBand="0" w:noVBand="1"/>
      </w:tblPr>
      <w:tblGrid>
        <w:gridCol w:w="5245"/>
        <w:gridCol w:w="3260"/>
      </w:tblGrid>
      <w:tr w:rsidR="004B0907" w:rsidRPr="00FE7991" w14:paraId="05B7BF19" w14:textId="77777777" w:rsidTr="009E7B2E">
        <w:trPr>
          <w:trHeight w:val="255"/>
          <w:jc w:val="center"/>
        </w:trPr>
        <w:tc>
          <w:tcPr>
            <w:tcW w:w="5245" w:type="dxa"/>
            <w:tcBorders>
              <w:top w:val="single" w:sz="4" w:space="0" w:color="auto"/>
              <w:left w:val="nil"/>
              <w:bottom w:val="single" w:sz="4" w:space="0" w:color="auto"/>
              <w:right w:val="nil"/>
            </w:tcBorders>
            <w:shd w:val="clear" w:color="auto" w:fill="FABF8F" w:themeFill="accent6" w:themeFillTint="99"/>
            <w:noWrap/>
            <w:vAlign w:val="center"/>
          </w:tcPr>
          <w:p w14:paraId="5B88CE1B" w14:textId="77777777" w:rsidR="004B0907" w:rsidRPr="00FE7991" w:rsidRDefault="004B0907" w:rsidP="004B0907">
            <w:pPr>
              <w:spacing w:after="0"/>
              <w:ind w:firstLine="0"/>
              <w:jc w:val="left"/>
              <w:rPr>
                <w:rFonts w:ascii="Arial" w:hAnsi="Arial" w:cs="Arial"/>
                <w:sz w:val="18"/>
                <w:szCs w:val="18"/>
                <w:lang w:val="es-ES" w:eastAsia="es-ES"/>
              </w:rPr>
            </w:pPr>
            <w:r>
              <w:rPr>
                <w:rFonts w:ascii="Arial" w:hAnsi="Arial" w:cs="Arial"/>
                <w:sz w:val="18"/>
                <w:szCs w:val="18"/>
                <w:lang w:val="es-ES" w:eastAsia="es-ES"/>
              </w:rPr>
              <w:t>Gastos</w:t>
            </w:r>
          </w:p>
        </w:tc>
        <w:tc>
          <w:tcPr>
            <w:tcW w:w="3260" w:type="dxa"/>
            <w:tcBorders>
              <w:top w:val="single" w:sz="4" w:space="0" w:color="auto"/>
              <w:left w:val="nil"/>
              <w:bottom w:val="single" w:sz="4" w:space="0" w:color="auto"/>
              <w:right w:val="nil"/>
            </w:tcBorders>
            <w:shd w:val="clear" w:color="auto" w:fill="FABF8F" w:themeFill="accent6" w:themeFillTint="99"/>
          </w:tcPr>
          <w:p w14:paraId="2A57CF48" w14:textId="77777777" w:rsidR="004B0907" w:rsidRPr="00FE7991" w:rsidRDefault="004B0907" w:rsidP="004B090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Obligaciones Reconocidas Netas</w:t>
            </w:r>
          </w:p>
        </w:tc>
      </w:tr>
      <w:tr w:rsidR="004B0907" w:rsidRPr="00FE7991" w14:paraId="1ED0B60D" w14:textId="77777777" w:rsidTr="009E7B2E">
        <w:trPr>
          <w:trHeight w:val="198"/>
          <w:jc w:val="center"/>
        </w:trPr>
        <w:tc>
          <w:tcPr>
            <w:tcW w:w="5245" w:type="dxa"/>
            <w:tcBorders>
              <w:top w:val="single" w:sz="4" w:space="0" w:color="auto"/>
              <w:left w:val="nil"/>
              <w:bottom w:val="single" w:sz="4" w:space="0" w:color="auto"/>
              <w:right w:val="nil"/>
            </w:tcBorders>
            <w:shd w:val="clear" w:color="auto" w:fill="auto"/>
            <w:noWrap/>
            <w:vAlign w:val="center"/>
          </w:tcPr>
          <w:p w14:paraId="752ACF90" w14:textId="77777777" w:rsidR="004B0907" w:rsidRDefault="004B0907" w:rsidP="004B0907">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Total</w:t>
            </w:r>
          </w:p>
        </w:tc>
        <w:tc>
          <w:tcPr>
            <w:tcW w:w="3260" w:type="dxa"/>
            <w:tcBorders>
              <w:top w:val="single" w:sz="4" w:space="0" w:color="auto"/>
              <w:left w:val="nil"/>
              <w:bottom w:val="single" w:sz="4" w:space="0" w:color="auto"/>
              <w:right w:val="nil"/>
            </w:tcBorders>
          </w:tcPr>
          <w:p w14:paraId="0669AAF9" w14:textId="77777777" w:rsidR="004B0907" w:rsidRDefault="00287455" w:rsidP="004B0907">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1.669.463</w:t>
            </w:r>
          </w:p>
        </w:tc>
      </w:tr>
    </w:tbl>
    <w:p w14:paraId="47E4CEEA" w14:textId="77777777" w:rsidR="004B0907" w:rsidRDefault="004B0907" w:rsidP="00CA109B">
      <w:pPr>
        <w:pStyle w:val="texto"/>
        <w:tabs>
          <w:tab w:val="clear" w:pos="2835"/>
          <w:tab w:val="clear" w:pos="3969"/>
          <w:tab w:val="clear" w:pos="5103"/>
          <w:tab w:val="clear" w:pos="6237"/>
          <w:tab w:val="clear" w:pos="7371"/>
        </w:tabs>
        <w:spacing w:after="0"/>
      </w:pPr>
    </w:p>
    <w:p w14:paraId="2FE2B7B5" w14:textId="77777777" w:rsidR="004B0907" w:rsidRDefault="004B0907" w:rsidP="004B0907">
      <w:pPr>
        <w:pStyle w:val="texto"/>
      </w:pPr>
      <w:r w:rsidRPr="007A118C">
        <w:t>El marco normativo que resulta aplicable al ayuntamiento está constituido fundamentalmente por</w:t>
      </w:r>
      <w:r>
        <w:t>:</w:t>
      </w:r>
    </w:p>
    <w:p w14:paraId="27AE6649" w14:textId="77777777" w:rsidR="004B0907" w:rsidRPr="00170712"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eastAsia="es-ES"/>
        </w:rPr>
      </w:pPr>
      <w:r w:rsidRPr="00170712">
        <w:rPr>
          <w:szCs w:val="26"/>
          <w:lang w:eastAsia="es-ES"/>
        </w:rPr>
        <w:t xml:space="preserve">• </w:t>
      </w:r>
      <w:r w:rsidRPr="00AF499C">
        <w:rPr>
          <w:rFonts w:cs="Arial"/>
        </w:rPr>
        <w:t>Ley</w:t>
      </w:r>
      <w:r w:rsidRPr="00170712">
        <w:rPr>
          <w:szCs w:val="26"/>
          <w:lang w:eastAsia="es-ES"/>
        </w:rPr>
        <w:t xml:space="preserve"> Foral 6/1990</w:t>
      </w:r>
      <w:r>
        <w:rPr>
          <w:szCs w:val="26"/>
          <w:lang w:eastAsia="es-ES"/>
        </w:rPr>
        <w:t xml:space="preserve">, de 2 de julio, </w:t>
      </w:r>
      <w:r w:rsidRPr="00170712">
        <w:rPr>
          <w:szCs w:val="26"/>
          <w:lang w:eastAsia="es-ES"/>
        </w:rPr>
        <w:t xml:space="preserve">de la Administración Local de Navarra. </w:t>
      </w:r>
    </w:p>
    <w:p w14:paraId="6896B597" w14:textId="77777777" w:rsidR="004B0907" w:rsidRPr="00170712"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eastAsia="es-ES"/>
        </w:rPr>
      </w:pPr>
      <w:r w:rsidRPr="00170712">
        <w:rPr>
          <w:szCs w:val="26"/>
          <w:lang w:eastAsia="es-ES"/>
        </w:rPr>
        <w:t>• Ley Foral 2/1995</w:t>
      </w:r>
      <w:r>
        <w:rPr>
          <w:szCs w:val="26"/>
          <w:lang w:eastAsia="es-ES"/>
        </w:rPr>
        <w:t xml:space="preserve">, de 10 de marzo, </w:t>
      </w:r>
      <w:r w:rsidRPr="00170712">
        <w:rPr>
          <w:szCs w:val="26"/>
          <w:lang w:eastAsia="es-ES"/>
        </w:rPr>
        <w:t xml:space="preserve">de Haciendas Locales de Navarra. </w:t>
      </w:r>
    </w:p>
    <w:p w14:paraId="78C14F19" w14:textId="77777777" w:rsidR="004B0907" w:rsidRPr="00170712"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eastAsia="es-ES"/>
        </w:rPr>
      </w:pPr>
      <w:r w:rsidRPr="00170712">
        <w:rPr>
          <w:szCs w:val="26"/>
          <w:lang w:eastAsia="es-ES"/>
        </w:rPr>
        <w:t>• Ley 7/1985</w:t>
      </w:r>
      <w:r>
        <w:rPr>
          <w:szCs w:val="26"/>
          <w:lang w:eastAsia="es-ES"/>
        </w:rPr>
        <w:t xml:space="preserve">, de 2 de abril, </w:t>
      </w:r>
      <w:r w:rsidRPr="00170712">
        <w:rPr>
          <w:szCs w:val="26"/>
          <w:lang w:eastAsia="es-ES"/>
        </w:rPr>
        <w:t xml:space="preserve">reguladora de las Bases de Régimen Local. </w:t>
      </w:r>
    </w:p>
    <w:p w14:paraId="2B046BD8" w14:textId="77777777" w:rsidR="004B0907"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eastAsia="es-ES"/>
        </w:rPr>
      </w:pPr>
      <w:r w:rsidRPr="00170712">
        <w:rPr>
          <w:szCs w:val="26"/>
          <w:lang w:eastAsia="es-ES"/>
        </w:rPr>
        <w:t xml:space="preserve">• Decreto Foral Legislativo 251/1993, </w:t>
      </w:r>
      <w:r>
        <w:rPr>
          <w:szCs w:val="26"/>
          <w:lang w:eastAsia="es-ES"/>
        </w:rPr>
        <w:t xml:space="preserve">de 30 de agosto, por el que se aprueba el </w:t>
      </w:r>
      <w:r w:rsidRPr="00170712">
        <w:rPr>
          <w:szCs w:val="26"/>
          <w:lang w:eastAsia="es-ES"/>
        </w:rPr>
        <w:t>Texto refundido del Estatuto de Personal al servicio de las Admini</w:t>
      </w:r>
      <w:r>
        <w:rPr>
          <w:szCs w:val="26"/>
          <w:lang w:eastAsia="es-ES"/>
        </w:rPr>
        <w:t xml:space="preserve">straciones Públicas de Navarra y el </w:t>
      </w:r>
      <w:r w:rsidRPr="00DC11A4">
        <w:rPr>
          <w:szCs w:val="26"/>
          <w:lang w:eastAsia="es-ES"/>
        </w:rPr>
        <w:t>Real Decreto Legislativo 2/2015, de 23 de octubre, por el que se aprueba el texto refundido de la Ley del Estatuto de los Trabajadores.</w:t>
      </w:r>
    </w:p>
    <w:p w14:paraId="63A9F763" w14:textId="77777777" w:rsidR="004B0907"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eastAsia="es-ES"/>
        </w:rPr>
      </w:pPr>
      <w:r>
        <w:rPr>
          <w:szCs w:val="26"/>
          <w:lang w:eastAsia="es-ES"/>
        </w:rPr>
        <w:t>• Ley Foral 2</w:t>
      </w:r>
      <w:r w:rsidRPr="00170712">
        <w:rPr>
          <w:szCs w:val="26"/>
          <w:lang w:eastAsia="es-ES"/>
        </w:rPr>
        <w:t>/20</w:t>
      </w:r>
      <w:r>
        <w:rPr>
          <w:szCs w:val="26"/>
          <w:lang w:eastAsia="es-ES"/>
        </w:rPr>
        <w:t>18, de 13 d</w:t>
      </w:r>
      <w:r w:rsidR="00EE03B1">
        <w:rPr>
          <w:szCs w:val="26"/>
          <w:lang w:eastAsia="es-ES"/>
        </w:rPr>
        <w:t>e abril, de Contratos Públicos.</w:t>
      </w:r>
    </w:p>
    <w:p w14:paraId="0A847A78" w14:textId="77777777" w:rsidR="004B0907" w:rsidRPr="00F2040C"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eastAsia="es-ES"/>
        </w:rPr>
      </w:pPr>
      <w:r w:rsidRPr="00F2040C">
        <w:rPr>
          <w:szCs w:val="26"/>
          <w:lang w:eastAsia="es-ES"/>
        </w:rPr>
        <w:t xml:space="preserve">• </w:t>
      </w:r>
      <w:r w:rsidRPr="00AF499C">
        <w:rPr>
          <w:rFonts w:cs="Arial"/>
        </w:rPr>
        <w:t>Decreto</w:t>
      </w:r>
      <w:r>
        <w:rPr>
          <w:szCs w:val="26"/>
          <w:lang w:eastAsia="es-ES"/>
        </w:rPr>
        <w:t xml:space="preserve"> Foral L</w:t>
      </w:r>
      <w:r w:rsidRPr="00F2040C">
        <w:rPr>
          <w:szCs w:val="26"/>
          <w:lang w:eastAsia="es-ES"/>
        </w:rPr>
        <w:t>egislativo 1/2017, de 26 de julio, por el que se ap</w:t>
      </w:r>
      <w:r w:rsidR="00EE03B1">
        <w:rPr>
          <w:szCs w:val="26"/>
          <w:lang w:eastAsia="es-ES"/>
        </w:rPr>
        <w:t>rueba el texto refundido de la Ley Foral de Ordenación del Territorio y U</w:t>
      </w:r>
      <w:r w:rsidRPr="00F2040C">
        <w:rPr>
          <w:szCs w:val="26"/>
          <w:lang w:eastAsia="es-ES"/>
        </w:rPr>
        <w:t>rbanismo</w:t>
      </w:r>
      <w:r w:rsidR="00EE03B1">
        <w:rPr>
          <w:szCs w:val="26"/>
          <w:lang w:eastAsia="es-ES"/>
        </w:rPr>
        <w:t>.</w:t>
      </w:r>
    </w:p>
    <w:p w14:paraId="175AF77B" w14:textId="77777777" w:rsidR="004B0907" w:rsidRPr="00170712"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eastAsia="es-ES"/>
        </w:rPr>
      </w:pPr>
      <w:r w:rsidRPr="00170712">
        <w:rPr>
          <w:szCs w:val="26"/>
          <w:lang w:eastAsia="es-ES"/>
        </w:rPr>
        <w:t xml:space="preserve">• En materia contable-presupuestaria, el régimen jurídico viene establecido en </w:t>
      </w:r>
      <w:r w:rsidR="00FD1236">
        <w:rPr>
          <w:szCs w:val="26"/>
          <w:lang w:eastAsia="es-ES"/>
        </w:rPr>
        <w:t xml:space="preserve">los </w:t>
      </w:r>
      <w:r w:rsidRPr="00211882">
        <w:rPr>
          <w:szCs w:val="26"/>
          <w:lang w:eastAsia="es-ES"/>
        </w:rPr>
        <w:t>Decreto</w:t>
      </w:r>
      <w:r w:rsidR="00FD1236">
        <w:rPr>
          <w:szCs w:val="26"/>
          <w:lang w:eastAsia="es-ES"/>
        </w:rPr>
        <w:t>s</w:t>
      </w:r>
      <w:r w:rsidRPr="00211882">
        <w:rPr>
          <w:szCs w:val="26"/>
          <w:lang w:eastAsia="es-ES"/>
        </w:rPr>
        <w:t xml:space="preserve"> Foral</w:t>
      </w:r>
      <w:r w:rsidR="00FD1236">
        <w:rPr>
          <w:szCs w:val="26"/>
          <w:lang w:eastAsia="es-ES"/>
        </w:rPr>
        <w:t xml:space="preserve">es 270/1998, </w:t>
      </w:r>
      <w:r w:rsidRPr="00211882">
        <w:rPr>
          <w:szCs w:val="26"/>
          <w:lang w:eastAsia="es-ES"/>
        </w:rPr>
        <w:t>273/1998</w:t>
      </w:r>
      <w:r w:rsidR="00FD1236">
        <w:rPr>
          <w:szCs w:val="26"/>
          <w:lang w:eastAsia="es-ES"/>
        </w:rPr>
        <w:t xml:space="preserve"> y</w:t>
      </w:r>
      <w:r>
        <w:rPr>
          <w:szCs w:val="26"/>
          <w:lang w:eastAsia="es-ES"/>
        </w:rPr>
        <w:t xml:space="preserve"> en el </w:t>
      </w:r>
      <w:r w:rsidRPr="00170712">
        <w:rPr>
          <w:szCs w:val="26"/>
          <w:lang w:eastAsia="es-ES"/>
        </w:rPr>
        <w:t xml:space="preserve">Decreto </w:t>
      </w:r>
      <w:r w:rsidR="00FD1236">
        <w:rPr>
          <w:szCs w:val="26"/>
          <w:lang w:eastAsia="es-ES"/>
        </w:rPr>
        <w:t>Foral 234/2015.</w:t>
      </w:r>
      <w:r w:rsidRPr="00170712">
        <w:rPr>
          <w:szCs w:val="26"/>
          <w:lang w:eastAsia="es-ES"/>
        </w:rPr>
        <w:t xml:space="preserve"> </w:t>
      </w:r>
    </w:p>
    <w:p w14:paraId="17D4F1C4" w14:textId="77777777" w:rsidR="004B0907"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pPr>
      <w:r>
        <w:lastRenderedPageBreak/>
        <w:t xml:space="preserve">Además del marco anteriormente citado, indicamos que en la medida que la realización del presente trabajo ha alcanzado un ámbito temporal que se ha extendido en algunos casos hasta el ejercicio 2009, se ha tenido en cuenta  </w:t>
      </w:r>
      <w:r w:rsidR="00F5513F">
        <w:t xml:space="preserve">a </w:t>
      </w:r>
      <w:r>
        <w:t>pesar de ser normas que actualmente están derogadas las siguientes:</w:t>
      </w:r>
    </w:p>
    <w:p w14:paraId="5F4BBC00" w14:textId="77777777" w:rsidR="004B0907"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eastAsia="es-ES"/>
        </w:rPr>
      </w:pPr>
      <w:r>
        <w:rPr>
          <w:szCs w:val="26"/>
          <w:lang w:eastAsia="es-ES"/>
        </w:rPr>
        <w:t>• Ley Foral 10/1998 de 16 de junio de Contratos de las Administraciones Públicas de Navarra.</w:t>
      </w:r>
    </w:p>
    <w:p w14:paraId="777836FF" w14:textId="77777777" w:rsidR="004B0907" w:rsidRPr="009A3909"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eastAsia="es-ES"/>
        </w:rPr>
      </w:pPr>
      <w:r>
        <w:rPr>
          <w:szCs w:val="26"/>
          <w:lang w:eastAsia="es-ES"/>
        </w:rPr>
        <w:t>•</w:t>
      </w:r>
      <w:r w:rsidR="008403D8">
        <w:rPr>
          <w:szCs w:val="26"/>
          <w:lang w:eastAsia="es-ES"/>
        </w:rPr>
        <w:t xml:space="preserve"> </w:t>
      </w:r>
      <w:r w:rsidRPr="009A3909">
        <w:rPr>
          <w:szCs w:val="26"/>
          <w:lang w:eastAsia="es-ES"/>
        </w:rPr>
        <w:t>Ley Foral 6/2006, de 9 de junio, de Contratos Públicos.</w:t>
      </w:r>
    </w:p>
    <w:p w14:paraId="59E2BD29" w14:textId="77777777" w:rsidR="005749C5" w:rsidRPr="00FE7991" w:rsidRDefault="005749C5" w:rsidP="00FE7991">
      <w:pPr>
        <w:pStyle w:val="atitulo2"/>
      </w:pPr>
      <w:bookmarkStart w:id="15" w:name="_Toc97455606"/>
      <w:bookmarkStart w:id="16" w:name="_Toc103773738"/>
      <w:r w:rsidRPr="00FE7991">
        <w:t xml:space="preserve">II.2. El sistema de distribución y comercialización energética en </w:t>
      </w:r>
      <w:proofErr w:type="spellStart"/>
      <w:r w:rsidRPr="00FE7991">
        <w:t>Urdazubi</w:t>
      </w:r>
      <w:proofErr w:type="spellEnd"/>
      <w:r w:rsidRPr="00FE7991">
        <w:t>-Urdax</w:t>
      </w:r>
      <w:bookmarkEnd w:id="15"/>
      <w:bookmarkEnd w:id="16"/>
    </w:p>
    <w:p w14:paraId="6A7FB6B8" w14:textId="77777777" w:rsidR="005749C5" w:rsidRDefault="005749C5" w:rsidP="005749C5">
      <w:pPr>
        <w:pStyle w:val="texto"/>
        <w:tabs>
          <w:tab w:val="clear" w:pos="2835"/>
          <w:tab w:val="clear" w:pos="3969"/>
          <w:tab w:val="clear" w:pos="5103"/>
          <w:tab w:val="clear" w:pos="6237"/>
          <w:tab w:val="clear" w:pos="7371"/>
        </w:tabs>
        <w:rPr>
          <w:szCs w:val="26"/>
          <w:lang w:val="es-ES" w:eastAsia="es-ES"/>
        </w:rPr>
      </w:pPr>
      <w:r w:rsidRPr="00747518">
        <w:rPr>
          <w:szCs w:val="26"/>
          <w:lang w:val="es-ES" w:eastAsia="es-ES"/>
        </w:rPr>
        <w:t xml:space="preserve">La localidad de </w:t>
      </w:r>
      <w:proofErr w:type="spellStart"/>
      <w:r w:rsidRPr="00747518">
        <w:rPr>
          <w:szCs w:val="26"/>
          <w:lang w:val="es-ES" w:eastAsia="es-ES"/>
        </w:rPr>
        <w:t>Urdazubi</w:t>
      </w:r>
      <w:proofErr w:type="spellEnd"/>
      <w:r w:rsidRPr="00747518">
        <w:rPr>
          <w:szCs w:val="26"/>
          <w:lang w:val="es-ES" w:eastAsia="es-ES"/>
        </w:rPr>
        <w:t xml:space="preserve">-Urdax ha suministrado siempre su electricidad gracias a una instalación propia situada en el antiguo molino alimentado a través de un canal que construyeron los monjes del antiguo monasterio. En los años 60, quiso conectarse a la red estatal pero obtuvo la negativa de </w:t>
      </w:r>
      <w:proofErr w:type="spellStart"/>
      <w:r w:rsidRPr="00747518">
        <w:rPr>
          <w:szCs w:val="26"/>
          <w:lang w:val="es-ES" w:eastAsia="es-ES"/>
        </w:rPr>
        <w:t>Iberduero</w:t>
      </w:r>
      <w:proofErr w:type="spellEnd"/>
      <w:r w:rsidRPr="00747518">
        <w:rPr>
          <w:rStyle w:val="Refdenotaalpie"/>
          <w:szCs w:val="26"/>
          <w:lang w:val="es-ES" w:eastAsia="es-ES"/>
        </w:rPr>
        <w:footnoteReference w:id="1"/>
      </w:r>
      <w:r w:rsidRPr="00747518">
        <w:rPr>
          <w:szCs w:val="26"/>
          <w:lang w:val="es-ES" w:eastAsia="es-ES"/>
        </w:rPr>
        <w:t xml:space="preserve">, por lo que se dirigió entonces </w:t>
      </w:r>
      <w:r>
        <w:rPr>
          <w:szCs w:val="26"/>
          <w:lang w:val="es-ES" w:eastAsia="es-ES"/>
        </w:rPr>
        <w:t>al mercado de electricidad francés</w:t>
      </w:r>
      <w:r>
        <w:rPr>
          <w:rStyle w:val="Refdenotaalpie"/>
          <w:szCs w:val="26"/>
          <w:lang w:val="es-ES" w:eastAsia="es-ES"/>
        </w:rPr>
        <w:footnoteReference w:id="2"/>
      </w:r>
      <w:r>
        <w:rPr>
          <w:szCs w:val="26"/>
          <w:lang w:val="es-ES" w:eastAsia="es-ES"/>
        </w:rPr>
        <w:t xml:space="preserve">, </w:t>
      </w:r>
      <w:r w:rsidRPr="00747518">
        <w:rPr>
          <w:szCs w:val="26"/>
          <w:lang w:val="es-ES" w:eastAsia="es-ES"/>
        </w:rPr>
        <w:t>con permi</w:t>
      </w:r>
      <w:r>
        <w:rPr>
          <w:szCs w:val="26"/>
          <w:lang w:val="es-ES" w:eastAsia="es-ES"/>
        </w:rPr>
        <w:t xml:space="preserve">so del Ministerio de Industria, tratándose por tanto de una conexión internacional. </w:t>
      </w:r>
      <w:r w:rsidRPr="002E71C9">
        <w:rPr>
          <w:szCs w:val="26"/>
          <w:lang w:val="es-ES" w:eastAsia="es-ES"/>
        </w:rPr>
        <w:t>Dicha energía se distribuye por medio de una red de distribución propia que fue renovada y modernizada durante la década</w:t>
      </w:r>
      <w:r w:rsidRPr="006A0DDE">
        <w:rPr>
          <w:szCs w:val="26"/>
          <w:lang w:val="es-ES" w:eastAsia="es-ES"/>
        </w:rPr>
        <w:t xml:space="preserve"> de los noventa. </w:t>
      </w:r>
    </w:p>
    <w:p w14:paraId="40918F1B" w14:textId="77777777" w:rsidR="00287455" w:rsidRDefault="00287455" w:rsidP="00287455">
      <w:pPr>
        <w:pStyle w:val="texto"/>
        <w:tabs>
          <w:tab w:val="left" w:pos="708"/>
        </w:tabs>
        <w:rPr>
          <w:szCs w:val="26"/>
          <w:lang w:val="es-ES" w:eastAsia="es-ES"/>
        </w:rPr>
      </w:pPr>
      <w:r>
        <w:rPr>
          <w:szCs w:val="26"/>
          <w:lang w:val="es-ES" w:eastAsia="es-ES"/>
        </w:rPr>
        <w:t xml:space="preserve">Si bien el marco regulador </w:t>
      </w:r>
      <w:r w:rsidR="006F1FA3">
        <w:rPr>
          <w:szCs w:val="26"/>
          <w:lang w:val="es-ES" w:eastAsia="es-ES"/>
        </w:rPr>
        <w:t xml:space="preserve">energético </w:t>
      </w:r>
      <w:r>
        <w:rPr>
          <w:szCs w:val="26"/>
          <w:lang w:val="es-ES" w:eastAsia="es-ES"/>
        </w:rPr>
        <w:t>vigente es la Ley 24/2013, de 26 de diciembre, del Sector Eléctrico, el inicio del proceso de liberalización progresiva de</w:t>
      </w:r>
      <w:r w:rsidR="006F1FA3">
        <w:rPr>
          <w:szCs w:val="26"/>
          <w:lang w:val="es-ES" w:eastAsia="es-ES"/>
        </w:rPr>
        <w:t>l sector eléctrico que se inició</w:t>
      </w:r>
      <w:r>
        <w:rPr>
          <w:szCs w:val="26"/>
          <w:lang w:val="es-ES" w:eastAsia="es-ES"/>
        </w:rPr>
        <w:t xml:space="preserve"> en 1997 supuso, entre otros aspectos, en relación a las actividades y los sujetos que operan:</w:t>
      </w:r>
    </w:p>
    <w:p w14:paraId="2B2BC59E" w14:textId="77777777" w:rsidR="004B0907" w:rsidRDefault="004B0907" w:rsidP="004B0907">
      <w:pPr>
        <w:pStyle w:val="texto"/>
        <w:tabs>
          <w:tab w:val="clear" w:pos="2835"/>
          <w:tab w:val="clear" w:pos="3969"/>
          <w:tab w:val="clear" w:pos="5103"/>
          <w:tab w:val="clear" w:pos="6237"/>
          <w:tab w:val="clear" w:pos="7371"/>
        </w:tabs>
      </w:pPr>
      <w:r>
        <w:t>a) La desintegración vertical de las distintas actividades, segregando:</w:t>
      </w:r>
    </w:p>
    <w:p w14:paraId="49490AD3" w14:textId="77777777" w:rsidR="004B0907" w:rsidRDefault="004B0907" w:rsidP="004B0907">
      <w:pPr>
        <w:pStyle w:val="texto"/>
        <w:tabs>
          <w:tab w:val="clear" w:pos="2835"/>
          <w:tab w:val="clear" w:pos="3969"/>
          <w:tab w:val="clear" w:pos="5103"/>
          <w:tab w:val="clear" w:pos="6237"/>
          <w:tab w:val="clear" w:pos="7371"/>
        </w:tabs>
      </w:pPr>
      <w:r w:rsidRPr="00170712">
        <w:rPr>
          <w:szCs w:val="26"/>
          <w:lang w:eastAsia="es-ES"/>
        </w:rPr>
        <w:t xml:space="preserve">• </w:t>
      </w:r>
      <w:r>
        <w:t>Las actividades en régimen de monopolio natural correspondiente a la actividad de transporte y distribución (C</w:t>
      </w:r>
      <w:r w:rsidRPr="00B021F0">
        <w:t>onstrucción, operación y mantenimiento de las instalaciones de distribución, destinadas a situar la energía en los puntos de co</w:t>
      </w:r>
      <w:r>
        <w:t xml:space="preserve">nsumo) teniendo el carácter de actividades reguladas. </w:t>
      </w:r>
    </w:p>
    <w:p w14:paraId="123124FC" w14:textId="77777777" w:rsidR="004B0907" w:rsidRDefault="004B0907" w:rsidP="004B0907">
      <w:pPr>
        <w:pStyle w:val="texto"/>
        <w:tabs>
          <w:tab w:val="clear" w:pos="2835"/>
          <w:tab w:val="clear" w:pos="3969"/>
          <w:tab w:val="clear" w:pos="5103"/>
          <w:tab w:val="clear" w:pos="6237"/>
          <w:tab w:val="clear" w:pos="7371"/>
        </w:tabs>
      </w:pPr>
      <w:r w:rsidRPr="00170712">
        <w:rPr>
          <w:szCs w:val="26"/>
          <w:lang w:eastAsia="es-ES"/>
        </w:rPr>
        <w:t xml:space="preserve">• </w:t>
      </w:r>
      <w:r>
        <w:t xml:space="preserve">Las actividades que se desarrollan en régimen de libre competencia, </w:t>
      </w:r>
      <w:r w:rsidR="003B0756">
        <w:t xml:space="preserve">entre ellas la comercialización como una actividad independiente del resto de actividades. La comercialización comprende la </w:t>
      </w:r>
      <w:r>
        <w:t>adqu</w:t>
      </w:r>
      <w:r w:rsidRPr="00B021F0">
        <w:t xml:space="preserve">isición de energía para su </w:t>
      </w:r>
      <w:r>
        <w:t xml:space="preserve">posterior </w:t>
      </w:r>
      <w:r w:rsidRPr="00B021F0">
        <w:t>venta a l</w:t>
      </w:r>
      <w:r>
        <w:t xml:space="preserve">os consumidores o a otros sujetos del sistema, y </w:t>
      </w:r>
      <w:r w:rsidRPr="00B021F0">
        <w:t xml:space="preserve">para lo que resulta preciso acceder a las </w:t>
      </w:r>
      <w:r>
        <w:t xml:space="preserve">redes de </w:t>
      </w:r>
      <w:r w:rsidRPr="00B021F0">
        <w:t>instalaciones de terceros de transporte y distribución</w:t>
      </w:r>
    </w:p>
    <w:p w14:paraId="02649358" w14:textId="77777777" w:rsidR="004B0907" w:rsidRDefault="004B0907" w:rsidP="004B0907">
      <w:pPr>
        <w:pStyle w:val="texto"/>
        <w:tabs>
          <w:tab w:val="clear" w:pos="2835"/>
          <w:tab w:val="clear" w:pos="3969"/>
          <w:tab w:val="clear" w:pos="5103"/>
          <w:tab w:val="clear" w:pos="6237"/>
          <w:tab w:val="clear" w:pos="7371"/>
        </w:tabs>
      </w:pPr>
      <w:r>
        <w:lastRenderedPageBreak/>
        <w:t>b) La atribución a las sociedades mercantiles, entre otras, de las funciones de transporte, distribución y comercialización.</w:t>
      </w:r>
    </w:p>
    <w:p w14:paraId="6775487F" w14:textId="77777777" w:rsidR="004B0907" w:rsidRDefault="004B0907" w:rsidP="004B0907">
      <w:pPr>
        <w:pStyle w:val="texto"/>
        <w:tabs>
          <w:tab w:val="clear" w:pos="2835"/>
          <w:tab w:val="clear" w:pos="3969"/>
          <w:tab w:val="clear" w:pos="5103"/>
          <w:tab w:val="clear" w:pos="6237"/>
          <w:tab w:val="clear" w:pos="7371"/>
        </w:tabs>
      </w:pPr>
      <w:r>
        <w:t>c) La imposición de la obligación de separación jurídica en el mercado liberalizado de las actividades de transporte y distribución, por una parte, y las actividades de producción o suministro (venta</w:t>
      </w:r>
      <w:r w:rsidR="006F1FA3">
        <w:t xml:space="preserve"> al consumidor) por otra.</w:t>
      </w:r>
    </w:p>
    <w:p w14:paraId="196B0C74" w14:textId="77777777" w:rsidR="004B0907" w:rsidRPr="00287455" w:rsidRDefault="00287455" w:rsidP="00287455">
      <w:pPr>
        <w:pStyle w:val="texto"/>
        <w:tabs>
          <w:tab w:val="left" w:pos="708"/>
        </w:tabs>
        <w:rPr>
          <w:szCs w:val="26"/>
          <w:lang w:val="es-ES" w:eastAsia="es-ES"/>
        </w:rPr>
      </w:pPr>
      <w:r>
        <w:rPr>
          <w:szCs w:val="26"/>
          <w:lang w:val="es-ES" w:eastAsia="es-ES"/>
        </w:rPr>
        <w:t>El marco regulatorio energético ha sido objeto de c</w:t>
      </w:r>
      <w:r w:rsidRPr="00287455">
        <w:rPr>
          <w:szCs w:val="26"/>
          <w:lang w:val="es-ES" w:eastAsia="es-ES"/>
        </w:rPr>
        <w:t>ambios fundamentales que han provocado su continua modificación y actualización; modificaciones enmarcadas en l</w:t>
      </w:r>
      <w:r w:rsidRPr="00035DB8">
        <w:rPr>
          <w:szCs w:val="26"/>
          <w:lang w:val="es-ES" w:eastAsia="es-ES"/>
        </w:rPr>
        <w:t xml:space="preserve">as </w:t>
      </w:r>
      <w:r w:rsidR="006F1FA3">
        <w:rPr>
          <w:szCs w:val="26"/>
          <w:lang w:val="es-ES" w:eastAsia="es-ES"/>
        </w:rPr>
        <w:t xml:space="preserve">sucesivas </w:t>
      </w:r>
      <w:r w:rsidRPr="00035DB8">
        <w:rPr>
          <w:szCs w:val="26"/>
          <w:lang w:val="es-ES" w:eastAsia="es-ES"/>
        </w:rPr>
        <w:t xml:space="preserve">Directivas </w:t>
      </w:r>
      <w:r>
        <w:rPr>
          <w:szCs w:val="26"/>
          <w:lang w:val="es-ES" w:eastAsia="es-ES"/>
        </w:rPr>
        <w:t xml:space="preserve">y Reglamentos comunitarios </w:t>
      </w:r>
      <w:r w:rsidRPr="00035DB8">
        <w:rPr>
          <w:szCs w:val="26"/>
          <w:lang w:val="es-ES" w:eastAsia="es-ES"/>
        </w:rPr>
        <w:t>sobre normas comunes para el mercado interior de la electricidad</w:t>
      </w:r>
      <w:r>
        <w:rPr>
          <w:szCs w:val="26"/>
          <w:lang w:val="es-ES" w:eastAsia="es-ES"/>
        </w:rPr>
        <w:t xml:space="preserve">. </w:t>
      </w:r>
      <w:r w:rsidR="004B0907" w:rsidRPr="00287455">
        <w:rPr>
          <w:szCs w:val="26"/>
          <w:lang w:val="es-ES" w:eastAsia="es-ES"/>
        </w:rPr>
        <w:t>La adaptación del ayuntamiento a la evolución del marco regulatorio energético ha consistido en:</w:t>
      </w:r>
    </w:p>
    <w:p w14:paraId="3AC9803A" w14:textId="77777777" w:rsidR="004B0907" w:rsidRPr="00556BA0" w:rsidRDefault="004B0907" w:rsidP="004B0907">
      <w:pPr>
        <w:pStyle w:val="texto"/>
        <w:tabs>
          <w:tab w:val="clear" w:pos="2835"/>
          <w:tab w:val="clear" w:pos="3969"/>
          <w:tab w:val="clear" w:pos="5103"/>
          <w:tab w:val="clear" w:pos="6237"/>
          <w:tab w:val="clear" w:pos="7371"/>
        </w:tabs>
        <w:rPr>
          <w:i/>
          <w:szCs w:val="26"/>
          <w:lang w:val="es-ES" w:eastAsia="es-ES"/>
        </w:rPr>
      </w:pPr>
      <w:r>
        <w:rPr>
          <w:szCs w:val="26"/>
          <w:lang w:val="es-ES" w:eastAsia="es-ES"/>
        </w:rPr>
        <w:t xml:space="preserve">a) En abril de </w:t>
      </w:r>
      <w:r w:rsidRPr="00C32778">
        <w:rPr>
          <w:szCs w:val="26"/>
          <w:lang w:val="es-ES" w:eastAsia="es-ES"/>
        </w:rPr>
        <w:t>2001</w:t>
      </w:r>
      <w:r>
        <w:rPr>
          <w:szCs w:val="26"/>
          <w:lang w:val="es-ES" w:eastAsia="es-ES"/>
        </w:rPr>
        <w:t xml:space="preserve"> </w:t>
      </w:r>
      <w:r w:rsidRPr="006A0DDE">
        <w:rPr>
          <w:szCs w:val="26"/>
          <w:lang w:val="es-ES" w:eastAsia="es-ES"/>
        </w:rPr>
        <w:t>creó</w:t>
      </w:r>
      <w:r w:rsidRPr="002E71C9">
        <w:rPr>
          <w:szCs w:val="26"/>
          <w:lang w:val="es-ES" w:eastAsia="es-ES"/>
        </w:rPr>
        <w:t xml:space="preserve"> la </w:t>
      </w:r>
      <w:r w:rsidRPr="006A0DDE">
        <w:rPr>
          <w:szCs w:val="26"/>
          <w:lang w:val="es-ES" w:eastAsia="es-ES"/>
        </w:rPr>
        <w:t>sociedad “</w:t>
      </w:r>
      <w:r w:rsidRPr="002E71C9">
        <w:rPr>
          <w:szCs w:val="26"/>
          <w:lang w:val="es-ES" w:eastAsia="es-ES"/>
        </w:rPr>
        <w:t xml:space="preserve">Elektra </w:t>
      </w:r>
      <w:proofErr w:type="spellStart"/>
      <w:r w:rsidRPr="002E71C9">
        <w:rPr>
          <w:szCs w:val="26"/>
          <w:lang w:val="es-ES" w:eastAsia="es-ES"/>
        </w:rPr>
        <w:t>Urdazubi</w:t>
      </w:r>
      <w:proofErr w:type="spellEnd"/>
      <w:r w:rsidRPr="002E71C9">
        <w:rPr>
          <w:szCs w:val="26"/>
          <w:lang w:val="es-ES" w:eastAsia="es-ES"/>
        </w:rPr>
        <w:t xml:space="preserve"> S.L</w:t>
      </w:r>
      <w:r w:rsidRPr="006A0DDE">
        <w:rPr>
          <w:szCs w:val="26"/>
          <w:lang w:val="es-ES" w:eastAsia="es-ES"/>
        </w:rPr>
        <w:t>”</w:t>
      </w:r>
      <w:r w:rsidRPr="002E71C9">
        <w:rPr>
          <w:szCs w:val="26"/>
          <w:lang w:val="es-ES" w:eastAsia="es-ES"/>
        </w:rPr>
        <w:t xml:space="preserve">, con </w:t>
      </w:r>
      <w:r w:rsidRPr="006A0DDE">
        <w:rPr>
          <w:szCs w:val="26"/>
          <w:lang w:val="es-ES" w:eastAsia="es-ES"/>
        </w:rPr>
        <w:t xml:space="preserve">un </w:t>
      </w:r>
      <w:r w:rsidRPr="002E71C9">
        <w:rPr>
          <w:szCs w:val="26"/>
          <w:lang w:val="es-ES" w:eastAsia="es-ES"/>
        </w:rPr>
        <w:t xml:space="preserve">capital </w:t>
      </w:r>
      <w:r w:rsidRPr="006A0DDE">
        <w:rPr>
          <w:szCs w:val="26"/>
          <w:lang w:val="es-ES" w:eastAsia="es-ES"/>
        </w:rPr>
        <w:t>social</w:t>
      </w:r>
      <w:r w:rsidRPr="00D64B5B">
        <w:rPr>
          <w:szCs w:val="26"/>
          <w:lang w:val="es-ES" w:eastAsia="es-ES"/>
        </w:rPr>
        <w:t xml:space="preserve"> </w:t>
      </w:r>
      <w:r w:rsidRPr="00C32778">
        <w:rPr>
          <w:szCs w:val="26"/>
          <w:lang w:val="es-ES" w:eastAsia="es-ES"/>
        </w:rPr>
        <w:t>de 3.010 euros íntegramente municipal</w:t>
      </w:r>
      <w:r>
        <w:rPr>
          <w:szCs w:val="26"/>
          <w:lang w:val="es-ES" w:eastAsia="es-ES"/>
        </w:rPr>
        <w:t xml:space="preserve">. </w:t>
      </w:r>
      <w:r w:rsidRPr="00556BA0">
        <w:rPr>
          <w:szCs w:val="26"/>
          <w:lang w:val="es-ES" w:eastAsia="es-ES"/>
        </w:rPr>
        <w:t xml:space="preserve">En 2007, modificó </w:t>
      </w:r>
      <w:r>
        <w:rPr>
          <w:szCs w:val="26"/>
          <w:lang w:val="es-ES" w:eastAsia="es-ES"/>
        </w:rPr>
        <w:t xml:space="preserve">su </w:t>
      </w:r>
      <w:r w:rsidRPr="00556BA0">
        <w:rPr>
          <w:szCs w:val="26"/>
          <w:lang w:val="es-ES" w:eastAsia="es-ES"/>
        </w:rPr>
        <w:t>objeto social</w:t>
      </w:r>
      <w:r>
        <w:rPr>
          <w:szCs w:val="26"/>
          <w:lang w:val="es-ES" w:eastAsia="es-ES"/>
        </w:rPr>
        <w:t xml:space="preserve"> </w:t>
      </w:r>
      <w:r w:rsidRPr="00556BA0">
        <w:rPr>
          <w:szCs w:val="26"/>
          <w:lang w:val="es-ES" w:eastAsia="es-ES"/>
        </w:rPr>
        <w:t>quedando configurado como “</w:t>
      </w:r>
      <w:r w:rsidRPr="00556BA0">
        <w:rPr>
          <w:i/>
          <w:szCs w:val="26"/>
          <w:lang w:val="es-ES" w:eastAsia="es-ES"/>
        </w:rPr>
        <w:t>Distribución de energía eléctrica con la función de construir, mantener y operar las instalaciones de distribución de energía eléctrica, situarla en los puntos de consumo, previa póliza o contrato de venta energética”.</w:t>
      </w:r>
      <w:r w:rsidRPr="002001DF">
        <w:rPr>
          <w:szCs w:val="26"/>
          <w:lang w:val="es-ES" w:eastAsia="es-ES"/>
        </w:rPr>
        <w:t xml:space="preserve"> </w:t>
      </w:r>
      <w:r>
        <w:rPr>
          <w:szCs w:val="26"/>
          <w:lang w:val="es-ES" w:eastAsia="es-ES"/>
        </w:rPr>
        <w:t>Esta sociedad dispone de centros de transformación y tendido eléctrico tanto de alta como de baja densidad.</w:t>
      </w:r>
    </w:p>
    <w:p w14:paraId="5F4912DA" w14:textId="77777777" w:rsidR="004B0907" w:rsidRPr="0042703A" w:rsidRDefault="004B0907" w:rsidP="004B0907">
      <w:pPr>
        <w:pStyle w:val="texto"/>
        <w:tabs>
          <w:tab w:val="clear" w:pos="2835"/>
          <w:tab w:val="clear" w:pos="3969"/>
          <w:tab w:val="clear" w:pos="5103"/>
          <w:tab w:val="clear" w:pos="6237"/>
          <w:tab w:val="clear" w:pos="7371"/>
        </w:tabs>
        <w:rPr>
          <w:szCs w:val="26"/>
          <w:lang w:val="es-ES" w:eastAsia="es-ES"/>
        </w:rPr>
      </w:pPr>
      <w:r>
        <w:rPr>
          <w:szCs w:val="26"/>
          <w:lang w:val="es-ES" w:eastAsia="es-ES"/>
        </w:rPr>
        <w:t xml:space="preserve">b) </w:t>
      </w:r>
      <w:r w:rsidRPr="0042703A">
        <w:rPr>
          <w:szCs w:val="26"/>
          <w:lang w:val="es-ES" w:eastAsia="es-ES"/>
        </w:rPr>
        <w:t xml:space="preserve">En 2013 creó la sociedad “Comercializadora </w:t>
      </w:r>
      <w:proofErr w:type="spellStart"/>
      <w:r w:rsidRPr="0042703A">
        <w:rPr>
          <w:szCs w:val="26"/>
          <w:lang w:val="es-ES" w:eastAsia="es-ES"/>
        </w:rPr>
        <w:t>Urdazubi</w:t>
      </w:r>
      <w:proofErr w:type="spellEnd"/>
      <w:r w:rsidRPr="0042703A">
        <w:rPr>
          <w:szCs w:val="26"/>
          <w:lang w:val="es-ES" w:eastAsia="es-ES"/>
        </w:rPr>
        <w:t xml:space="preserve"> S.L.” </w:t>
      </w:r>
      <w:r w:rsidRPr="0042703A">
        <w:rPr>
          <w:szCs w:val="26"/>
        </w:rPr>
        <w:t>con un capital social</w:t>
      </w:r>
      <w:r w:rsidRPr="0042703A">
        <w:rPr>
          <w:szCs w:val="26"/>
          <w:lang w:val="es-ES" w:eastAsia="es-ES"/>
        </w:rPr>
        <w:t xml:space="preserve"> de 3.010 euros íntegramente municipal y con el siguiente objeto social: “</w:t>
      </w:r>
      <w:r w:rsidRPr="0042703A">
        <w:rPr>
          <w:rStyle w:val="category"/>
          <w:i/>
          <w:szCs w:val="26"/>
        </w:rPr>
        <w:t>La realización de toda clase de actividades, obras y servicios propios o relacionados con los negocios de comercialización e importación de energía eléctrica o derivados de la electricidad y de sus aplicaciones</w:t>
      </w:r>
      <w:r w:rsidRPr="0042703A">
        <w:rPr>
          <w:rStyle w:val="category"/>
          <w:szCs w:val="26"/>
        </w:rPr>
        <w:t>”</w:t>
      </w:r>
    </w:p>
    <w:p w14:paraId="1165109C" w14:textId="77777777" w:rsidR="005749C5" w:rsidRDefault="005749C5" w:rsidP="005749C5">
      <w:pPr>
        <w:pStyle w:val="texto"/>
        <w:tabs>
          <w:tab w:val="clear" w:pos="2835"/>
          <w:tab w:val="clear" w:pos="3969"/>
          <w:tab w:val="clear" w:pos="5103"/>
          <w:tab w:val="clear" w:pos="6237"/>
          <w:tab w:val="clear" w:pos="7371"/>
        </w:tabs>
      </w:pPr>
      <w:r>
        <w:t xml:space="preserve">Actualmente las actividades de gestión del suministro eléctrico en el municipio de </w:t>
      </w:r>
      <w:proofErr w:type="spellStart"/>
      <w:r>
        <w:t>Urdazubi</w:t>
      </w:r>
      <w:proofErr w:type="spellEnd"/>
      <w:r>
        <w:t>-Urdax se está</w:t>
      </w:r>
      <w:r w:rsidR="002F1A67">
        <w:t>n</w:t>
      </w:r>
      <w:r>
        <w:t xml:space="preserve"> realizando de la siguiente forma:</w:t>
      </w:r>
    </w:p>
    <w:p w14:paraId="6D3AFB39" w14:textId="77777777" w:rsidR="005749C5" w:rsidRDefault="00E70CD4" w:rsidP="00F50A0F">
      <w:pPr>
        <w:pStyle w:val="texto"/>
        <w:tabs>
          <w:tab w:val="clear" w:pos="2835"/>
          <w:tab w:val="clear" w:pos="3969"/>
          <w:tab w:val="clear" w:pos="5103"/>
          <w:tab w:val="clear" w:pos="6237"/>
          <w:tab w:val="clear" w:pos="7371"/>
        </w:tabs>
        <w:spacing w:after="80"/>
      </w:pPr>
      <w:r>
        <w:t xml:space="preserve">a) </w:t>
      </w:r>
      <w:r w:rsidR="005749C5">
        <w:t>L</w:t>
      </w:r>
      <w:r w:rsidR="005749C5" w:rsidRPr="00C14021">
        <w:t xml:space="preserve">a distribución </w:t>
      </w:r>
      <w:r w:rsidR="005749C5">
        <w:t xml:space="preserve">y transporte </w:t>
      </w:r>
      <w:r w:rsidR="005749C5" w:rsidRPr="00C14021">
        <w:t xml:space="preserve">en red la realiza </w:t>
      </w:r>
      <w:r w:rsidR="005749C5">
        <w:t>“</w:t>
      </w:r>
      <w:r w:rsidR="005749C5" w:rsidRPr="00C14021">
        <w:t xml:space="preserve">Elektra </w:t>
      </w:r>
      <w:proofErr w:type="spellStart"/>
      <w:r w:rsidR="005749C5" w:rsidRPr="00C14021">
        <w:t>Urdazubi</w:t>
      </w:r>
      <w:proofErr w:type="spellEnd"/>
      <w:r w:rsidR="005749C5" w:rsidRPr="00C14021">
        <w:t xml:space="preserve"> S.L.</w:t>
      </w:r>
      <w:r w:rsidR="005749C5">
        <w:t>”</w:t>
      </w:r>
      <w:r w:rsidR="005749C5" w:rsidRPr="00C14021">
        <w:t xml:space="preserve"> </w:t>
      </w:r>
      <w:r w:rsidR="005749C5">
        <w:t>de conformidad con su objeto social.</w:t>
      </w:r>
    </w:p>
    <w:p w14:paraId="0AC4AFA6" w14:textId="77777777" w:rsidR="007B38A3" w:rsidRDefault="00E70CD4" w:rsidP="007B38A3">
      <w:pPr>
        <w:pStyle w:val="texto"/>
        <w:tabs>
          <w:tab w:val="clear" w:pos="2835"/>
          <w:tab w:val="clear" w:pos="3969"/>
          <w:tab w:val="clear" w:pos="5103"/>
          <w:tab w:val="clear" w:pos="6237"/>
          <w:tab w:val="clear" w:pos="7371"/>
        </w:tabs>
        <w:spacing w:after="80"/>
      </w:pPr>
      <w:r>
        <w:rPr>
          <w:szCs w:val="26"/>
          <w:lang w:eastAsia="es-ES"/>
        </w:rPr>
        <w:t xml:space="preserve">b) </w:t>
      </w:r>
      <w:r w:rsidR="005749C5" w:rsidRPr="00E70CD4">
        <w:rPr>
          <w:szCs w:val="26"/>
          <w:lang w:eastAsia="es-ES"/>
        </w:rPr>
        <w:t>La</w:t>
      </w:r>
      <w:r w:rsidR="005749C5">
        <w:t xml:space="preserve"> </w:t>
      </w:r>
      <w:r w:rsidR="005749C5" w:rsidRPr="00C14021">
        <w:t xml:space="preserve">compra y </w:t>
      </w:r>
      <w:r w:rsidR="005749C5">
        <w:t xml:space="preserve">suministro (venta) </w:t>
      </w:r>
      <w:r w:rsidR="005749C5" w:rsidRPr="00C14021">
        <w:t xml:space="preserve">de electricidad </w:t>
      </w:r>
      <w:r w:rsidR="005749C5">
        <w:t xml:space="preserve">al consumidor final, </w:t>
      </w:r>
      <w:r w:rsidR="005749C5" w:rsidRPr="00C14021">
        <w:t>la lleva a cabo el propio ayuntamiento</w:t>
      </w:r>
      <w:r w:rsidR="005749C5">
        <w:t>, siendo a estos efectos de “facto” el comercializador de energía;</w:t>
      </w:r>
      <w:r w:rsidR="005749C5" w:rsidRPr="00C14021">
        <w:t xml:space="preserve"> operaciones que forman parte del</w:t>
      </w:r>
      <w:r w:rsidR="005749C5">
        <w:t xml:space="preserve"> estado de gastos e ingresos de su</w:t>
      </w:r>
      <w:r w:rsidR="005749C5" w:rsidRPr="00C14021">
        <w:t xml:space="preserve"> </w:t>
      </w:r>
      <w:r w:rsidR="005749C5">
        <w:t xml:space="preserve">presupuesto. </w:t>
      </w:r>
    </w:p>
    <w:p w14:paraId="3693232F" w14:textId="77777777" w:rsidR="005749C5" w:rsidRDefault="00E70CD4" w:rsidP="007B38A3">
      <w:pPr>
        <w:pStyle w:val="texto"/>
        <w:tabs>
          <w:tab w:val="clear" w:pos="2835"/>
          <w:tab w:val="clear" w:pos="3969"/>
          <w:tab w:val="clear" w:pos="5103"/>
          <w:tab w:val="clear" w:pos="6237"/>
          <w:tab w:val="clear" w:pos="7371"/>
        </w:tabs>
        <w:spacing w:after="80"/>
      </w:pPr>
      <w:r>
        <w:t xml:space="preserve">c) </w:t>
      </w:r>
      <w:r w:rsidR="005749C5">
        <w:t>La sociedad municipal “</w:t>
      </w:r>
      <w:r w:rsidR="005749C5" w:rsidRPr="005D5BDE">
        <w:t xml:space="preserve">Comercializadora </w:t>
      </w:r>
      <w:proofErr w:type="spellStart"/>
      <w:r w:rsidR="005749C5" w:rsidRPr="005D5BDE">
        <w:t>Urdazub</w:t>
      </w:r>
      <w:r w:rsidR="005749C5">
        <w:t>i</w:t>
      </w:r>
      <w:proofErr w:type="spellEnd"/>
      <w:r w:rsidR="005749C5">
        <w:t xml:space="preserve"> S.L.” no tiene actividad. </w:t>
      </w:r>
    </w:p>
    <w:p w14:paraId="45B99E89" w14:textId="77777777" w:rsidR="00CA6ED6" w:rsidRDefault="00CA6ED6">
      <w:pPr>
        <w:spacing w:after="0"/>
        <w:ind w:firstLine="0"/>
        <w:jc w:val="left"/>
        <w:rPr>
          <w:spacing w:val="6"/>
          <w:sz w:val="26"/>
          <w:szCs w:val="26"/>
          <w:lang w:eastAsia="es-ES"/>
        </w:rPr>
      </w:pPr>
      <w:r>
        <w:rPr>
          <w:szCs w:val="26"/>
          <w:lang w:eastAsia="es-ES"/>
        </w:rPr>
        <w:br w:type="page"/>
      </w:r>
    </w:p>
    <w:p w14:paraId="7D03CD26" w14:textId="77777777" w:rsidR="005749C5" w:rsidRPr="00FE45A5" w:rsidRDefault="00FE45A5" w:rsidP="00FE45A5">
      <w:pPr>
        <w:pStyle w:val="atitulo1"/>
      </w:pPr>
      <w:bookmarkStart w:id="17" w:name="_Toc97455608"/>
      <w:bookmarkStart w:id="18" w:name="_Toc103773739"/>
      <w:r w:rsidRPr="00FE45A5">
        <w:lastRenderedPageBreak/>
        <w:t>II</w:t>
      </w:r>
      <w:r w:rsidR="005749C5" w:rsidRPr="00FE45A5">
        <w:t>I. Objetivos y alcance</w:t>
      </w:r>
      <w:bookmarkEnd w:id="5"/>
      <w:bookmarkEnd w:id="6"/>
      <w:bookmarkEnd w:id="17"/>
      <w:bookmarkEnd w:id="18"/>
    </w:p>
    <w:p w14:paraId="15E233C7" w14:textId="77777777" w:rsidR="005749C5" w:rsidRDefault="005749C5" w:rsidP="005749C5">
      <w:pPr>
        <w:pStyle w:val="texto"/>
        <w:tabs>
          <w:tab w:val="clear" w:pos="2835"/>
          <w:tab w:val="clear" w:pos="3969"/>
          <w:tab w:val="clear" w:pos="5103"/>
          <w:tab w:val="clear" w:pos="6237"/>
          <w:tab w:val="clear" w:pos="7371"/>
        </w:tabs>
        <w:spacing w:after="100"/>
        <w:rPr>
          <w:szCs w:val="26"/>
        </w:rPr>
      </w:pPr>
      <w:r>
        <w:rPr>
          <w:szCs w:val="26"/>
        </w:rPr>
        <w:t>El objetivo de este trabajo ha sido realizar un seguimiento sobre el grado de cumplimiento de las recomendaciones del informe de la Cámara de Comptos emitido en julio de 2011</w:t>
      </w:r>
      <w:r w:rsidR="00E70CD4">
        <w:rPr>
          <w:szCs w:val="26"/>
        </w:rPr>
        <w:t>.</w:t>
      </w:r>
      <w:r w:rsidR="00FD1236">
        <w:rPr>
          <w:szCs w:val="26"/>
        </w:rPr>
        <w:t xml:space="preserve"> No obstante</w:t>
      </w:r>
      <w:r w:rsidR="00127B28">
        <w:rPr>
          <w:szCs w:val="26"/>
        </w:rPr>
        <w:t>,</w:t>
      </w:r>
      <w:r w:rsidR="00FD1236">
        <w:rPr>
          <w:szCs w:val="26"/>
        </w:rPr>
        <w:t xml:space="preserve"> indicamos que además del citado objetivo,</w:t>
      </w:r>
      <w:r w:rsidR="005E1F7C">
        <w:rPr>
          <w:szCs w:val="26"/>
        </w:rPr>
        <w:t xml:space="preserve"> </w:t>
      </w:r>
      <w:r w:rsidR="00FD1236">
        <w:rPr>
          <w:szCs w:val="26"/>
        </w:rPr>
        <w:t>hemos ampliado nuestra revisión a cuestiones o aspectos que h</w:t>
      </w:r>
      <w:r w:rsidR="005E1F7C">
        <w:rPr>
          <w:szCs w:val="26"/>
        </w:rPr>
        <w:t xml:space="preserve">emos </w:t>
      </w:r>
      <w:r w:rsidR="006118E5">
        <w:rPr>
          <w:szCs w:val="26"/>
        </w:rPr>
        <w:t xml:space="preserve">observado </w:t>
      </w:r>
      <w:r w:rsidR="00E90DB8">
        <w:rPr>
          <w:szCs w:val="26"/>
        </w:rPr>
        <w:t xml:space="preserve">durante la ejecución del trabajo, y que hemos </w:t>
      </w:r>
      <w:r w:rsidR="005E1F7C">
        <w:rPr>
          <w:szCs w:val="26"/>
        </w:rPr>
        <w:t xml:space="preserve">considerado </w:t>
      </w:r>
      <w:r w:rsidR="00E90DB8">
        <w:rPr>
          <w:szCs w:val="26"/>
        </w:rPr>
        <w:t xml:space="preserve">que son lo </w:t>
      </w:r>
      <w:r w:rsidR="005E1F7C">
        <w:rPr>
          <w:szCs w:val="26"/>
        </w:rPr>
        <w:t>suficientement</w:t>
      </w:r>
      <w:r w:rsidR="00E90DB8">
        <w:rPr>
          <w:szCs w:val="26"/>
        </w:rPr>
        <w:t xml:space="preserve">e significativos, como para incluirlos en el alcance objetivo de nuestra fiscalización. </w:t>
      </w:r>
    </w:p>
    <w:p w14:paraId="21E90E45" w14:textId="77777777" w:rsidR="00E90DB8" w:rsidRDefault="005749C5" w:rsidP="005749C5">
      <w:pPr>
        <w:pStyle w:val="texto"/>
        <w:spacing w:before="120" w:after="100"/>
        <w:rPr>
          <w:szCs w:val="26"/>
        </w:rPr>
      </w:pPr>
      <w:r w:rsidRPr="00722A9A">
        <w:rPr>
          <w:szCs w:val="26"/>
        </w:rPr>
        <w:t xml:space="preserve">El alcance temporal de nuestro trabajo se ha realizado sobre el ejercicio 2020, </w:t>
      </w:r>
      <w:r>
        <w:rPr>
          <w:szCs w:val="26"/>
        </w:rPr>
        <w:t xml:space="preserve">último ejercicio con la Cuenta General aprobada por el Ayuntamiento, si bien </w:t>
      </w:r>
      <w:r w:rsidR="00E90DB8">
        <w:rPr>
          <w:szCs w:val="26"/>
        </w:rPr>
        <w:t>se han efectuado aquellas comprobaciones necesarias sobre otros ejercicios para una mejor consecución de los objetivos establecidos.</w:t>
      </w:r>
    </w:p>
    <w:p w14:paraId="04D530A8" w14:textId="77777777" w:rsidR="00E90DB8" w:rsidRDefault="00E90DB8" w:rsidP="005749C5">
      <w:pPr>
        <w:pStyle w:val="texto"/>
        <w:spacing w:before="120" w:after="100"/>
        <w:rPr>
          <w:szCs w:val="26"/>
        </w:rPr>
      </w:pPr>
    </w:p>
    <w:p w14:paraId="01B84A5E" w14:textId="77777777" w:rsidR="00E90DB8" w:rsidRPr="00722A9A" w:rsidRDefault="00E90DB8" w:rsidP="005749C5">
      <w:pPr>
        <w:pStyle w:val="texto"/>
        <w:spacing w:before="120" w:after="100"/>
        <w:rPr>
          <w:szCs w:val="26"/>
        </w:rPr>
      </w:pPr>
    </w:p>
    <w:p w14:paraId="1609A782" w14:textId="77777777" w:rsidR="005749C5" w:rsidRDefault="005749C5" w:rsidP="005749C5">
      <w:pPr>
        <w:pStyle w:val="texto"/>
        <w:spacing w:before="120" w:after="100"/>
        <w:rPr>
          <w:szCs w:val="26"/>
        </w:rPr>
      </w:pPr>
    </w:p>
    <w:p w14:paraId="0B6BD1EA" w14:textId="77777777" w:rsidR="005749C5" w:rsidRPr="00A62883" w:rsidRDefault="005749C5" w:rsidP="005749C5">
      <w:pPr>
        <w:pStyle w:val="texto"/>
        <w:rPr>
          <w:rFonts w:ascii="Arial" w:hAnsi="Arial"/>
          <w:b/>
          <w:color w:val="FF0000"/>
          <w:kern w:val="28"/>
          <w:sz w:val="25"/>
          <w:szCs w:val="26"/>
        </w:rPr>
      </w:pPr>
      <w:bookmarkStart w:id="19" w:name="_Toc41485557"/>
      <w:r w:rsidRPr="00A62883">
        <w:rPr>
          <w:color w:val="FF0000"/>
        </w:rPr>
        <w:br w:type="page"/>
      </w:r>
    </w:p>
    <w:p w14:paraId="4260C484" w14:textId="77777777" w:rsidR="005749C5" w:rsidRPr="00AF499C" w:rsidRDefault="00FE45A5" w:rsidP="00AF499C">
      <w:pPr>
        <w:pStyle w:val="atitulo1"/>
      </w:pPr>
      <w:bookmarkStart w:id="20" w:name="_Toc97455609"/>
      <w:bookmarkStart w:id="21" w:name="_Toc103773740"/>
      <w:r>
        <w:lastRenderedPageBreak/>
        <w:t>I</w:t>
      </w:r>
      <w:r w:rsidR="005749C5" w:rsidRPr="00AF499C">
        <w:t>V. Conclusiones</w:t>
      </w:r>
      <w:bookmarkEnd w:id="19"/>
      <w:bookmarkEnd w:id="20"/>
      <w:bookmarkEnd w:id="21"/>
      <w:r w:rsidR="005749C5" w:rsidRPr="00AF499C">
        <w:t xml:space="preserve"> </w:t>
      </w:r>
    </w:p>
    <w:p w14:paraId="155FD2DF" w14:textId="77777777" w:rsidR="005749C5" w:rsidRPr="00F377C9" w:rsidRDefault="005749C5" w:rsidP="005749C5">
      <w:pPr>
        <w:keepNext/>
        <w:spacing w:before="240" w:after="12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Responsabilidad </w:t>
      </w:r>
      <w:r>
        <w:rPr>
          <w:rFonts w:ascii="Arial" w:hAnsi="Arial"/>
          <w:i/>
          <w:iCs/>
          <w:color w:val="000000"/>
          <w:spacing w:val="10"/>
          <w:kern w:val="28"/>
          <w:sz w:val="25"/>
          <w:szCs w:val="26"/>
        </w:rPr>
        <w:t xml:space="preserve">del Ayuntamiento de </w:t>
      </w:r>
      <w:proofErr w:type="spellStart"/>
      <w:r>
        <w:rPr>
          <w:rFonts w:ascii="Arial" w:hAnsi="Arial"/>
          <w:i/>
          <w:iCs/>
          <w:color w:val="000000"/>
          <w:spacing w:val="10"/>
          <w:kern w:val="28"/>
          <w:sz w:val="25"/>
          <w:szCs w:val="26"/>
        </w:rPr>
        <w:t>Urdazubi</w:t>
      </w:r>
      <w:proofErr w:type="spellEnd"/>
      <w:r>
        <w:rPr>
          <w:rFonts w:ascii="Arial" w:hAnsi="Arial"/>
          <w:i/>
          <w:iCs/>
          <w:color w:val="000000"/>
          <w:spacing w:val="10"/>
          <w:kern w:val="28"/>
          <w:sz w:val="25"/>
          <w:szCs w:val="26"/>
        </w:rPr>
        <w:t>-Urdax</w:t>
      </w:r>
    </w:p>
    <w:p w14:paraId="18298377" w14:textId="77777777" w:rsidR="005749C5" w:rsidRPr="00667DFF" w:rsidRDefault="00E90DB8" w:rsidP="005749C5">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La Intervención </w:t>
      </w:r>
      <w:r w:rsidR="005749C5">
        <w:rPr>
          <w:spacing w:val="6"/>
          <w:sz w:val="26"/>
          <w:szCs w:val="24"/>
        </w:rPr>
        <w:t xml:space="preserve">del ayuntamiento es </w:t>
      </w:r>
      <w:r>
        <w:rPr>
          <w:spacing w:val="6"/>
          <w:sz w:val="26"/>
          <w:szCs w:val="24"/>
        </w:rPr>
        <w:t xml:space="preserve">la </w:t>
      </w:r>
      <w:r w:rsidR="005749C5" w:rsidRPr="00666054">
        <w:rPr>
          <w:spacing w:val="6"/>
          <w:sz w:val="26"/>
          <w:szCs w:val="24"/>
        </w:rPr>
        <w:t xml:space="preserve">responsable de formar la Cuenta General, de forma que </w:t>
      </w:r>
      <w:r w:rsidR="005749C5" w:rsidRPr="00667DFF">
        <w:rPr>
          <w:spacing w:val="6"/>
          <w:sz w:val="26"/>
          <w:szCs w:val="24"/>
        </w:rPr>
        <w:t>exprese la imagen fiel de la liquidación presupuestaria, del patrimonio, de los resultados y de la situación financiera del ayuntamiento de conformidad con el marco normativo de información financiera pública aplicable; esta responsabilidad abarca la concepción, implantación y el mantenimiento del control interno pertinente para la elaboración y presentación de la Cuenta General libre de incorrecciones materiales debidas a fraude o error.</w:t>
      </w:r>
    </w:p>
    <w:p w14:paraId="0BA52687" w14:textId="77777777" w:rsidR="005749C5" w:rsidRPr="00667DFF" w:rsidRDefault="005749C5" w:rsidP="005749C5">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El ayuntamiento debe garantizar que las actividades, operaciones presupuestarias y financieras y la información reflejadas en las cuentas anuales resultan conformes con las normas aplicables, y establecer los sistemas de control interno que consideren necesarios para esa finalidad.</w:t>
      </w:r>
    </w:p>
    <w:p w14:paraId="59C3C8A8" w14:textId="77777777" w:rsidR="005749C5" w:rsidRPr="00F377C9" w:rsidRDefault="005749C5" w:rsidP="005749C5">
      <w:pPr>
        <w:keepNext/>
        <w:spacing w:before="240" w:after="12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 la Cámara de Comptos de Navarra</w:t>
      </w:r>
    </w:p>
    <w:p w14:paraId="46F5B70A" w14:textId="77777777" w:rsidR="005749C5" w:rsidRPr="00F377C9" w:rsidRDefault="005749C5" w:rsidP="005749C5">
      <w:pPr>
        <w:pStyle w:val="texto"/>
      </w:pPr>
      <w:r w:rsidRPr="00F377C9">
        <w:t xml:space="preserve">Nuestra responsabilidad es expresar una </w:t>
      </w:r>
      <w:r>
        <w:t>conclusión sobre el grado de cumplimiento de las recomendaciones realizadas por esta Cámara en su informe de julio de 2011.</w:t>
      </w:r>
      <w:r w:rsidRPr="00F377C9">
        <w:t xml:space="preserve"> </w:t>
      </w:r>
    </w:p>
    <w:p w14:paraId="5B7BC496" w14:textId="77777777" w:rsidR="005749C5" w:rsidRDefault="005749C5" w:rsidP="005749C5">
      <w:pPr>
        <w:pStyle w:val="texto"/>
      </w:pPr>
      <w:r w:rsidRPr="00C378B9">
        <w:t xml:space="preserve">Para ello, hemos llevado a cabo la misma de conformidad con los principios fundamentales de fiscalización de las Instituciones Públicas de Control Externo. </w:t>
      </w:r>
      <w:r w:rsidRPr="00F377C9">
        <w:t xml:space="preserve">Dichos principios exigen que cumplamos los requerimientos de ética, así como que planifiquemos y ejecutemos la </w:t>
      </w:r>
      <w:r>
        <w:t>auditoría de forma que obtengamos tanto un conocimiento adecuado de los procedimientos empleados en su caso para cumplir con las recomendaciones, como una seguridad razonable de que la información</w:t>
      </w:r>
      <w:r w:rsidRPr="00F377C9">
        <w:t xml:space="preserve"> est</w:t>
      </w:r>
      <w:r>
        <w:t>é</w:t>
      </w:r>
      <w:r w:rsidRPr="00F377C9">
        <w:t xml:space="preserve"> libre de incorrecciones materiales </w:t>
      </w:r>
      <w:r>
        <w:t>y que resulte</w:t>
      </w:r>
      <w:r w:rsidRPr="00F377C9">
        <w:t xml:space="preserve">, en todos los aspectos significativos, conforme con la normativa vigente. </w:t>
      </w:r>
    </w:p>
    <w:p w14:paraId="3631930C" w14:textId="77777777" w:rsidR="005749C5" w:rsidRDefault="005749C5" w:rsidP="005749C5">
      <w:pPr>
        <w:pStyle w:val="texto"/>
        <w:spacing w:after="240"/>
      </w:pPr>
      <w:r>
        <w:t>Consideramos que la evidencia de auditoría que hemos obtenido proporciona una base suficiente y adecuada para las conclusiones alcanzadas.</w:t>
      </w:r>
    </w:p>
    <w:p w14:paraId="26E3040F" w14:textId="77777777" w:rsidR="005749C5" w:rsidRDefault="005749C5" w:rsidP="005749C5">
      <w:pPr>
        <w:spacing w:after="0"/>
        <w:ind w:firstLine="0"/>
        <w:jc w:val="left"/>
        <w:rPr>
          <w:rFonts w:ascii="Arial" w:hAnsi="Arial"/>
          <w:color w:val="000000"/>
          <w:spacing w:val="10"/>
          <w:kern w:val="28"/>
          <w:sz w:val="25"/>
          <w:szCs w:val="26"/>
        </w:rPr>
      </w:pPr>
      <w:bookmarkStart w:id="22" w:name="#10007318"/>
      <w:bookmarkStart w:id="23" w:name="_Toc41485559"/>
      <w:bookmarkEnd w:id="22"/>
      <w:r>
        <w:rPr>
          <w:bCs/>
          <w:iCs/>
        </w:rPr>
        <w:br w:type="page"/>
      </w:r>
    </w:p>
    <w:p w14:paraId="6E1F7EF9" w14:textId="77777777" w:rsidR="005749C5" w:rsidRPr="00AF499C" w:rsidRDefault="005749C5" w:rsidP="00AF499C">
      <w:pPr>
        <w:pStyle w:val="atitulo2"/>
      </w:pPr>
      <w:bookmarkStart w:id="24" w:name="_Toc97455610"/>
      <w:bookmarkStart w:id="25" w:name="_Toc103773741"/>
      <w:r w:rsidRPr="00AF499C">
        <w:lastRenderedPageBreak/>
        <w:t xml:space="preserve">IV.1. </w:t>
      </w:r>
      <w:bookmarkEnd w:id="23"/>
      <w:r w:rsidRPr="00AF499C">
        <w:t xml:space="preserve">Seguimiento de recomendaciones del informe sobre el Ayuntamiento de </w:t>
      </w:r>
      <w:proofErr w:type="spellStart"/>
      <w:r w:rsidRPr="00AF499C">
        <w:t>Urdazubi</w:t>
      </w:r>
      <w:proofErr w:type="spellEnd"/>
      <w:r w:rsidRPr="00AF499C">
        <w:t>-Urdax</w:t>
      </w:r>
      <w:bookmarkEnd w:id="24"/>
      <w:bookmarkEnd w:id="25"/>
    </w:p>
    <w:p w14:paraId="49571A41"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rPr>
      </w:pPr>
      <w:r>
        <w:rPr>
          <w:szCs w:val="26"/>
        </w:rPr>
        <w:t xml:space="preserve">Hemos calificado el grado de cumplimiento de una recomendación según los siguientes criterios: </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84"/>
        <w:gridCol w:w="6805"/>
      </w:tblGrid>
      <w:tr w:rsidR="005749C5" w14:paraId="74752886" w14:textId="77777777" w:rsidTr="00F80BBF">
        <w:trPr>
          <w:trHeight w:hRule="exact" w:val="255"/>
          <w:jc w:val="center"/>
        </w:trPr>
        <w:tc>
          <w:tcPr>
            <w:tcW w:w="1984" w:type="dxa"/>
            <w:shd w:val="clear" w:color="auto" w:fill="FABF8F" w:themeFill="accent6" w:themeFillTint="99"/>
            <w:vAlign w:val="center"/>
          </w:tcPr>
          <w:p w14:paraId="2D971CEF" w14:textId="77777777" w:rsidR="005749C5" w:rsidRPr="00D55FC9" w:rsidRDefault="005749C5" w:rsidP="00FE7991">
            <w:pPr>
              <w:pStyle w:val="cuadroCabe"/>
              <w:rPr>
                <w:lang w:eastAsia="es-ES"/>
              </w:rPr>
            </w:pPr>
            <w:r w:rsidRPr="00D55FC9">
              <w:rPr>
                <w:lang w:eastAsia="es-ES"/>
              </w:rPr>
              <w:t>Categoría</w:t>
            </w:r>
          </w:p>
        </w:tc>
        <w:tc>
          <w:tcPr>
            <w:tcW w:w="6805" w:type="dxa"/>
            <w:shd w:val="clear" w:color="auto" w:fill="FABF8F" w:themeFill="accent6" w:themeFillTint="99"/>
            <w:vAlign w:val="center"/>
          </w:tcPr>
          <w:p w14:paraId="193DD731" w14:textId="77777777" w:rsidR="005749C5" w:rsidRPr="00D55FC9" w:rsidRDefault="005749C5" w:rsidP="00F80BBF">
            <w:pPr>
              <w:pStyle w:val="cuadroCabe"/>
              <w:jc w:val="left"/>
              <w:rPr>
                <w:lang w:eastAsia="es-ES"/>
              </w:rPr>
            </w:pPr>
            <w:r w:rsidRPr="00D55FC9">
              <w:rPr>
                <w:lang w:eastAsia="es-ES"/>
              </w:rPr>
              <w:t>Descripción</w:t>
            </w:r>
          </w:p>
        </w:tc>
      </w:tr>
      <w:tr w:rsidR="005749C5" w14:paraId="65D4D911" w14:textId="77777777" w:rsidTr="00F80BBF">
        <w:trPr>
          <w:trHeight w:val="198"/>
          <w:jc w:val="center"/>
        </w:trPr>
        <w:tc>
          <w:tcPr>
            <w:tcW w:w="1984" w:type="dxa"/>
            <w:tcBorders>
              <w:bottom w:val="single" w:sz="2" w:space="0" w:color="auto"/>
            </w:tcBorders>
            <w:vAlign w:val="center"/>
          </w:tcPr>
          <w:p w14:paraId="4DA07F96" w14:textId="77777777" w:rsidR="005749C5" w:rsidRPr="00AF499C" w:rsidRDefault="005749C5" w:rsidP="00157557">
            <w:pPr>
              <w:pStyle w:val="cuatexto"/>
              <w:jc w:val="left"/>
              <w:rPr>
                <w:sz w:val="18"/>
                <w:szCs w:val="18"/>
                <w:lang w:eastAsia="es-ES"/>
              </w:rPr>
            </w:pPr>
            <w:r w:rsidRPr="00AF499C">
              <w:rPr>
                <w:sz w:val="18"/>
                <w:szCs w:val="18"/>
                <w:lang w:eastAsia="es-ES"/>
              </w:rPr>
              <w:t>Total o sustancialmente aplicada</w:t>
            </w:r>
          </w:p>
        </w:tc>
        <w:tc>
          <w:tcPr>
            <w:tcW w:w="6805" w:type="dxa"/>
            <w:tcBorders>
              <w:bottom w:val="single" w:sz="2" w:space="0" w:color="auto"/>
            </w:tcBorders>
            <w:vAlign w:val="center"/>
          </w:tcPr>
          <w:p w14:paraId="214B6E58" w14:textId="77777777" w:rsidR="005749C5" w:rsidRPr="00AF499C" w:rsidRDefault="005749C5" w:rsidP="00157557">
            <w:pPr>
              <w:pStyle w:val="cuatexto"/>
              <w:rPr>
                <w:sz w:val="18"/>
                <w:szCs w:val="18"/>
                <w:lang w:eastAsia="es-ES"/>
              </w:rPr>
            </w:pPr>
            <w:r w:rsidRPr="00AF499C">
              <w:rPr>
                <w:sz w:val="18"/>
                <w:szCs w:val="18"/>
                <w:lang w:eastAsia="es-ES"/>
              </w:rPr>
              <w:t xml:space="preserve">Si se han adoptado las medidas correctoras, razonables y proporcionadas, habiendo obtenido evidencia suficiente de ello, que permitan considerar que la recomendación ha surtido sus efectos y no ha quedado </w:t>
            </w:r>
            <w:proofErr w:type="spellStart"/>
            <w:r w:rsidRPr="00AF499C">
              <w:rPr>
                <w:sz w:val="18"/>
                <w:szCs w:val="18"/>
                <w:lang w:eastAsia="es-ES"/>
              </w:rPr>
              <w:t>pe</w:t>
            </w:r>
            <w:r w:rsidR="00AF499C">
              <w:rPr>
                <w:sz w:val="18"/>
                <w:szCs w:val="18"/>
                <w:lang w:eastAsia="es-ES"/>
              </w:rPr>
              <w:t>dte.</w:t>
            </w:r>
            <w:r w:rsidRPr="00AF499C">
              <w:rPr>
                <w:sz w:val="18"/>
                <w:szCs w:val="18"/>
                <w:lang w:eastAsia="es-ES"/>
              </w:rPr>
              <w:t>de</w:t>
            </w:r>
            <w:proofErr w:type="spellEnd"/>
            <w:r w:rsidRPr="00AF499C">
              <w:rPr>
                <w:sz w:val="18"/>
                <w:szCs w:val="18"/>
                <w:lang w:eastAsia="es-ES"/>
              </w:rPr>
              <w:t xml:space="preserve"> resolución ninguna cuestión de importancia significativa.</w:t>
            </w:r>
          </w:p>
        </w:tc>
      </w:tr>
      <w:tr w:rsidR="005749C5" w14:paraId="5CB27DEC" w14:textId="77777777" w:rsidTr="00F80BBF">
        <w:trPr>
          <w:trHeight w:val="198"/>
          <w:jc w:val="center"/>
        </w:trPr>
        <w:tc>
          <w:tcPr>
            <w:tcW w:w="1984" w:type="dxa"/>
            <w:tcBorders>
              <w:top w:val="single" w:sz="2" w:space="0" w:color="auto"/>
              <w:bottom w:val="single" w:sz="2" w:space="0" w:color="auto"/>
            </w:tcBorders>
            <w:vAlign w:val="center"/>
          </w:tcPr>
          <w:p w14:paraId="31985CBC" w14:textId="77777777" w:rsidR="005749C5" w:rsidRPr="00AF499C" w:rsidRDefault="005749C5" w:rsidP="00157557">
            <w:pPr>
              <w:pStyle w:val="cuatexto"/>
              <w:jc w:val="left"/>
              <w:rPr>
                <w:sz w:val="18"/>
                <w:szCs w:val="18"/>
                <w:lang w:eastAsia="es-ES"/>
              </w:rPr>
            </w:pPr>
            <w:r w:rsidRPr="00AF499C">
              <w:rPr>
                <w:sz w:val="18"/>
                <w:szCs w:val="18"/>
                <w:lang w:eastAsia="es-ES"/>
              </w:rPr>
              <w:t xml:space="preserve">Aplicada </w:t>
            </w:r>
          </w:p>
          <w:p w14:paraId="3D2A5FEE" w14:textId="77777777" w:rsidR="005749C5" w:rsidRPr="00AF499C" w:rsidRDefault="005749C5" w:rsidP="00157557">
            <w:pPr>
              <w:pStyle w:val="cuatexto"/>
              <w:jc w:val="left"/>
              <w:rPr>
                <w:sz w:val="18"/>
                <w:szCs w:val="18"/>
                <w:lang w:eastAsia="es-ES"/>
              </w:rPr>
            </w:pPr>
            <w:r w:rsidRPr="00AF499C">
              <w:rPr>
                <w:sz w:val="18"/>
                <w:szCs w:val="18"/>
                <w:lang w:eastAsia="es-ES"/>
              </w:rPr>
              <w:t>parcialmente</w:t>
            </w:r>
          </w:p>
        </w:tc>
        <w:tc>
          <w:tcPr>
            <w:tcW w:w="6805" w:type="dxa"/>
            <w:tcBorders>
              <w:top w:val="single" w:sz="2" w:space="0" w:color="auto"/>
              <w:bottom w:val="single" w:sz="2" w:space="0" w:color="auto"/>
            </w:tcBorders>
            <w:vAlign w:val="center"/>
          </w:tcPr>
          <w:p w14:paraId="1DAEF9D1" w14:textId="77777777" w:rsidR="005749C5" w:rsidRPr="00AF499C" w:rsidRDefault="005749C5" w:rsidP="00157557">
            <w:pPr>
              <w:pStyle w:val="cuatexto"/>
              <w:rPr>
                <w:sz w:val="18"/>
                <w:szCs w:val="18"/>
                <w:lang w:eastAsia="es-ES"/>
              </w:rPr>
            </w:pPr>
            <w:r w:rsidRPr="00AF499C">
              <w:rPr>
                <w:sz w:val="18"/>
                <w:szCs w:val="18"/>
                <w:lang w:eastAsia="es-ES"/>
              </w:rPr>
              <w:t>Si se ha tomado en consideración la recomendación, si se han realizado actuaciones encaminadas a corregir las deficiencias, debilidades o insuficiencias, pero solamente en un estado incipiente, en una parte de ellas o en algún aspecto, lo que no permite considerar que la recomendación se haya cumplido razonablemente.</w:t>
            </w:r>
          </w:p>
        </w:tc>
      </w:tr>
      <w:tr w:rsidR="005749C5" w14:paraId="6731D124" w14:textId="77777777" w:rsidTr="00F80BBF">
        <w:trPr>
          <w:trHeight w:val="198"/>
          <w:jc w:val="center"/>
        </w:trPr>
        <w:tc>
          <w:tcPr>
            <w:tcW w:w="1984" w:type="dxa"/>
            <w:tcBorders>
              <w:top w:val="single" w:sz="2" w:space="0" w:color="auto"/>
              <w:bottom w:val="single" w:sz="2" w:space="0" w:color="auto"/>
            </w:tcBorders>
            <w:vAlign w:val="center"/>
          </w:tcPr>
          <w:p w14:paraId="4695AD03" w14:textId="77777777" w:rsidR="005749C5" w:rsidRPr="00AF499C" w:rsidRDefault="005749C5" w:rsidP="00157557">
            <w:pPr>
              <w:pStyle w:val="cuatexto"/>
              <w:jc w:val="left"/>
              <w:rPr>
                <w:sz w:val="18"/>
                <w:szCs w:val="18"/>
                <w:lang w:eastAsia="es-ES"/>
              </w:rPr>
            </w:pPr>
            <w:r w:rsidRPr="00AF499C">
              <w:rPr>
                <w:sz w:val="18"/>
                <w:szCs w:val="18"/>
                <w:lang w:eastAsia="es-ES"/>
              </w:rPr>
              <w:t>No aplicada</w:t>
            </w:r>
          </w:p>
        </w:tc>
        <w:tc>
          <w:tcPr>
            <w:tcW w:w="6805" w:type="dxa"/>
            <w:tcBorders>
              <w:top w:val="single" w:sz="2" w:space="0" w:color="auto"/>
              <w:bottom w:val="single" w:sz="2" w:space="0" w:color="auto"/>
            </w:tcBorders>
            <w:vAlign w:val="center"/>
          </w:tcPr>
          <w:p w14:paraId="771B239A" w14:textId="77777777" w:rsidR="005749C5" w:rsidRPr="00AF499C" w:rsidRDefault="005749C5" w:rsidP="00157557">
            <w:pPr>
              <w:pStyle w:val="cuatexto"/>
              <w:rPr>
                <w:sz w:val="18"/>
                <w:szCs w:val="18"/>
                <w:lang w:eastAsia="es-ES"/>
              </w:rPr>
            </w:pPr>
            <w:r w:rsidRPr="00AF499C">
              <w:rPr>
                <w:sz w:val="18"/>
                <w:szCs w:val="18"/>
                <w:lang w:eastAsia="es-ES"/>
              </w:rPr>
              <w:t>Si no se han realizado las actuaciones encaminadas a corregir las deficiencias, debilidades o insuficiencias o bien se han hecho insuficientemente o inadecuadamente de forma que la recomendación sigue sin aplicarse.</w:t>
            </w:r>
          </w:p>
        </w:tc>
      </w:tr>
      <w:tr w:rsidR="005749C5" w14:paraId="060CD030" w14:textId="77777777" w:rsidTr="00F80BBF">
        <w:trPr>
          <w:trHeight w:val="198"/>
          <w:jc w:val="center"/>
        </w:trPr>
        <w:tc>
          <w:tcPr>
            <w:tcW w:w="1984" w:type="dxa"/>
            <w:tcBorders>
              <w:top w:val="single" w:sz="2" w:space="0" w:color="auto"/>
              <w:bottom w:val="single" w:sz="2" w:space="0" w:color="auto"/>
            </w:tcBorders>
            <w:vAlign w:val="center"/>
          </w:tcPr>
          <w:p w14:paraId="7D313834" w14:textId="77777777" w:rsidR="005749C5" w:rsidRPr="00AF499C" w:rsidRDefault="005749C5" w:rsidP="00157557">
            <w:pPr>
              <w:pStyle w:val="cuatexto"/>
              <w:jc w:val="left"/>
              <w:rPr>
                <w:sz w:val="18"/>
                <w:szCs w:val="18"/>
                <w:lang w:eastAsia="es-ES"/>
              </w:rPr>
            </w:pPr>
            <w:r w:rsidRPr="00AF499C">
              <w:rPr>
                <w:sz w:val="18"/>
                <w:szCs w:val="18"/>
                <w:lang w:eastAsia="es-ES"/>
              </w:rPr>
              <w:t xml:space="preserve">Sin validez en el </w:t>
            </w:r>
          </w:p>
          <w:p w14:paraId="644612D5" w14:textId="77777777" w:rsidR="005749C5" w:rsidRPr="00AF499C" w:rsidRDefault="005749C5" w:rsidP="00157557">
            <w:pPr>
              <w:pStyle w:val="cuatexto"/>
              <w:jc w:val="left"/>
              <w:rPr>
                <w:sz w:val="18"/>
                <w:szCs w:val="18"/>
                <w:lang w:eastAsia="es-ES"/>
              </w:rPr>
            </w:pPr>
            <w:r w:rsidRPr="00AF499C">
              <w:rPr>
                <w:sz w:val="18"/>
                <w:szCs w:val="18"/>
                <w:lang w:eastAsia="es-ES"/>
              </w:rPr>
              <w:t>marco actual</w:t>
            </w:r>
          </w:p>
        </w:tc>
        <w:tc>
          <w:tcPr>
            <w:tcW w:w="6805" w:type="dxa"/>
            <w:tcBorders>
              <w:top w:val="single" w:sz="2" w:space="0" w:color="auto"/>
              <w:bottom w:val="single" w:sz="2" w:space="0" w:color="auto"/>
            </w:tcBorders>
            <w:vAlign w:val="center"/>
          </w:tcPr>
          <w:p w14:paraId="6F4D5D9A" w14:textId="77777777" w:rsidR="005749C5" w:rsidRPr="00AF499C" w:rsidRDefault="005749C5" w:rsidP="00157557">
            <w:pPr>
              <w:pStyle w:val="cuatexto"/>
              <w:rPr>
                <w:sz w:val="18"/>
                <w:szCs w:val="18"/>
                <w:lang w:eastAsia="es-ES"/>
              </w:rPr>
            </w:pPr>
            <w:r w:rsidRPr="00AF499C">
              <w:rPr>
                <w:sz w:val="18"/>
                <w:szCs w:val="18"/>
                <w:lang w:eastAsia="es-ES"/>
              </w:rPr>
              <w:t>Aquella recomendación que era válida y pertinente cuando se emitió el informe pero no puede aplicarse en el contexto actual al no darse las circunstancias que lo permitan o la misma casuística del momento de emisión del informe.</w:t>
            </w:r>
          </w:p>
        </w:tc>
      </w:tr>
      <w:tr w:rsidR="005749C5" w:rsidRPr="00381B6A" w14:paraId="317FDE0C" w14:textId="77777777" w:rsidTr="00F80BBF">
        <w:trPr>
          <w:trHeight w:val="198"/>
          <w:jc w:val="center"/>
        </w:trPr>
        <w:tc>
          <w:tcPr>
            <w:tcW w:w="1984" w:type="dxa"/>
            <w:tcBorders>
              <w:top w:val="single" w:sz="2" w:space="0" w:color="auto"/>
            </w:tcBorders>
            <w:vAlign w:val="center"/>
          </w:tcPr>
          <w:p w14:paraId="349B8300" w14:textId="77777777" w:rsidR="005749C5" w:rsidRPr="00AF499C" w:rsidRDefault="005749C5" w:rsidP="00157557">
            <w:pPr>
              <w:pStyle w:val="cuatexto"/>
              <w:jc w:val="left"/>
              <w:rPr>
                <w:sz w:val="18"/>
                <w:szCs w:val="18"/>
              </w:rPr>
            </w:pPr>
            <w:r w:rsidRPr="00AF499C">
              <w:rPr>
                <w:sz w:val="18"/>
                <w:szCs w:val="18"/>
              </w:rPr>
              <w:t>No verificada</w:t>
            </w:r>
          </w:p>
        </w:tc>
        <w:tc>
          <w:tcPr>
            <w:tcW w:w="6805" w:type="dxa"/>
            <w:tcBorders>
              <w:top w:val="single" w:sz="2" w:space="0" w:color="auto"/>
            </w:tcBorders>
            <w:vAlign w:val="center"/>
          </w:tcPr>
          <w:p w14:paraId="4CFD6E5E" w14:textId="77777777" w:rsidR="005749C5" w:rsidRPr="00AF499C" w:rsidRDefault="005749C5" w:rsidP="00157557">
            <w:pPr>
              <w:pStyle w:val="cuatexto"/>
              <w:rPr>
                <w:sz w:val="18"/>
                <w:szCs w:val="18"/>
              </w:rPr>
            </w:pPr>
            <w:r w:rsidRPr="00AF499C">
              <w:rPr>
                <w:sz w:val="18"/>
                <w:szCs w:val="18"/>
                <w:lang w:eastAsia="es-ES"/>
              </w:rPr>
              <w:t>Aquella recomendación que, aunque hayan sido aceptadas o incluso aplicadas y corregidas  por el ente, necesitaría de pruebas adicionales para contrastar lo expuesto, lo que excede del alcance previsto en el trabajo.</w:t>
            </w:r>
          </w:p>
        </w:tc>
      </w:tr>
    </w:tbl>
    <w:p w14:paraId="11763A4B" w14:textId="77777777" w:rsidR="005749C5" w:rsidRDefault="005749C5" w:rsidP="005749C5">
      <w:pPr>
        <w:pStyle w:val="texto"/>
        <w:tabs>
          <w:tab w:val="left" w:pos="284"/>
        </w:tabs>
        <w:spacing w:before="240" w:after="240"/>
        <w:jc w:val="left"/>
        <w:rPr>
          <w:szCs w:val="26"/>
        </w:rPr>
      </w:pPr>
      <w:r>
        <w:rPr>
          <w:szCs w:val="26"/>
        </w:rPr>
        <w:t>A continuación, mostramos los resultados obtenidos para cada una de las recomendaciones formuladas y que se han agrupado en las siguientes áreas:</w:t>
      </w:r>
    </w:p>
    <w:p w14:paraId="7FA7111B" w14:textId="77777777" w:rsidR="005749C5" w:rsidRPr="00197EB1" w:rsidRDefault="005749C5" w:rsidP="005749C5">
      <w:pPr>
        <w:ind w:firstLine="0"/>
        <w:rPr>
          <w:rFonts w:eastAsia="Calibri"/>
          <w:b/>
          <w:sz w:val="26"/>
          <w:szCs w:val="26"/>
        </w:rPr>
      </w:pPr>
      <w:r w:rsidRPr="00197EB1">
        <w:rPr>
          <w:rFonts w:eastAsia="Calibri"/>
          <w:b/>
          <w:sz w:val="26"/>
          <w:szCs w:val="26"/>
        </w:rPr>
        <w:t>Control interno</w:t>
      </w:r>
    </w:p>
    <w:p w14:paraId="47482C0C" w14:textId="77777777" w:rsidR="005749C5" w:rsidRPr="00180C17" w:rsidRDefault="00AF499C" w:rsidP="00AF499C">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eastAsia="es-ES"/>
        </w:rPr>
      </w:pPr>
      <w:r w:rsidRPr="00180C17">
        <w:rPr>
          <w:szCs w:val="26"/>
          <w:lang w:eastAsia="es-ES"/>
        </w:rPr>
        <w:t xml:space="preserve">• </w:t>
      </w:r>
      <w:r w:rsidR="005749C5" w:rsidRPr="00E90DB8">
        <w:rPr>
          <w:i/>
          <w:szCs w:val="26"/>
          <w:lang w:eastAsia="es-ES"/>
        </w:rPr>
        <w:t>Diseñar</w:t>
      </w:r>
      <w:r w:rsidR="005749C5" w:rsidRPr="00180C17">
        <w:rPr>
          <w:rFonts w:eastAsia="Calibri"/>
          <w:i/>
          <w:szCs w:val="26"/>
          <w:lang w:eastAsia="es-ES"/>
        </w:rPr>
        <w:t xml:space="preserve"> un sistema de control interno que asegure la veracidad de la información contable y permita detectar errores.</w:t>
      </w:r>
    </w:p>
    <w:p w14:paraId="36CEB049" w14:textId="77777777" w:rsidR="00180C17" w:rsidRPr="00180C17" w:rsidRDefault="00180C17" w:rsidP="00CA109B">
      <w:pPr>
        <w:pStyle w:val="texto"/>
        <w:tabs>
          <w:tab w:val="left" w:pos="284"/>
        </w:tabs>
        <w:spacing w:before="240" w:after="120"/>
        <w:rPr>
          <w:szCs w:val="26"/>
        </w:rPr>
      </w:pPr>
      <w:r w:rsidRPr="00180C17">
        <w:rPr>
          <w:szCs w:val="26"/>
        </w:rPr>
        <w:t>Esta recomendació</w:t>
      </w:r>
      <w:r w:rsidR="006F1FA3">
        <w:rPr>
          <w:szCs w:val="26"/>
        </w:rPr>
        <w:t>n ha sido aplicada parcialmente, ya que si bien se puede asegurar la veracidad de la información contable, hemos comprobado que sigue pendiente de mejorar det</w:t>
      </w:r>
      <w:r w:rsidR="00F5513F">
        <w:rPr>
          <w:szCs w:val="26"/>
        </w:rPr>
        <w:t xml:space="preserve">erminados aspectos de revisión </w:t>
      </w:r>
      <w:r w:rsidR="006F1FA3">
        <w:rPr>
          <w:szCs w:val="26"/>
        </w:rPr>
        <w:t xml:space="preserve">y control que den más seguridad en la detección de errores. </w:t>
      </w:r>
    </w:p>
    <w:p w14:paraId="324DB7E3" w14:textId="77777777" w:rsidR="005749C5" w:rsidRPr="00DB454A" w:rsidRDefault="00AF499C" w:rsidP="00AF499C">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eastAsia="es-ES"/>
        </w:rPr>
      </w:pPr>
      <w:r w:rsidRPr="00F2040C">
        <w:rPr>
          <w:szCs w:val="26"/>
          <w:lang w:eastAsia="es-ES"/>
        </w:rPr>
        <w:t>•</w:t>
      </w:r>
      <w:r w:rsidR="008E3244">
        <w:rPr>
          <w:szCs w:val="26"/>
          <w:lang w:eastAsia="es-ES"/>
        </w:rPr>
        <w:t xml:space="preserve"> </w:t>
      </w:r>
      <w:r w:rsidR="005749C5" w:rsidRPr="00DB454A">
        <w:rPr>
          <w:i/>
          <w:szCs w:val="26"/>
          <w:lang w:eastAsia="es-ES"/>
        </w:rPr>
        <w:t>Cumplir los principios contables de devengo y registro de las operaciones eco</w:t>
      </w:r>
      <w:r w:rsidR="005749C5" w:rsidRPr="00DB454A">
        <w:rPr>
          <w:rFonts w:eastAsia="Calibri"/>
          <w:i/>
          <w:szCs w:val="26"/>
          <w:lang w:eastAsia="es-ES"/>
        </w:rPr>
        <w:t>nómicas así como calcular correctamente las desviaciones de financiación en los gastos con financiación afectada.</w:t>
      </w:r>
    </w:p>
    <w:p w14:paraId="6A94515C" w14:textId="77777777" w:rsidR="005749C5" w:rsidRPr="009029B9" w:rsidRDefault="005749C5" w:rsidP="00AF499C">
      <w:pPr>
        <w:pStyle w:val="texto"/>
      </w:pPr>
      <w:r w:rsidRPr="009029B9">
        <w:t>En relación al cumplimiento de los p</w:t>
      </w:r>
      <w:r w:rsidR="006E7CBF">
        <w:t>rincipios contables de devengo y registro de las operaciones económicas, esta recomendación ha sido total o sustancialmente aplicada.</w:t>
      </w:r>
      <w:r w:rsidR="00DB454A">
        <w:t xml:space="preserve"> </w:t>
      </w:r>
    </w:p>
    <w:p w14:paraId="570224B7" w14:textId="77777777" w:rsidR="003D03D8" w:rsidRDefault="005749C5" w:rsidP="005749C5">
      <w:pPr>
        <w:pStyle w:val="texto"/>
        <w:spacing w:after="240"/>
      </w:pPr>
      <w:r w:rsidRPr="009029B9">
        <w:t xml:space="preserve">En relación al cumplimiento del cálculo correcto de las desviaciones de financiación, </w:t>
      </w:r>
      <w:r w:rsidR="00A22403">
        <w:t xml:space="preserve">esta recomendación no ha sido aplicada, ya que </w:t>
      </w:r>
      <w:r w:rsidR="00180C17">
        <w:t xml:space="preserve">hemos </w:t>
      </w:r>
      <w:r w:rsidR="003D03D8">
        <w:t xml:space="preserve">comprobado </w:t>
      </w:r>
      <w:r w:rsidR="003D03D8">
        <w:lastRenderedPageBreak/>
        <w:t xml:space="preserve">este aspecto </w:t>
      </w:r>
      <w:r w:rsidR="00180C17">
        <w:t>en un contrato de obra</w:t>
      </w:r>
      <w:r>
        <w:rPr>
          <w:rStyle w:val="Refdenotaalpie"/>
        </w:rPr>
        <w:footnoteReference w:id="3"/>
      </w:r>
      <w:r>
        <w:t xml:space="preserve"> </w:t>
      </w:r>
      <w:r w:rsidR="00180C17">
        <w:t xml:space="preserve">que ha formado parte de la muestra realizada en el apartado de inversiones. Esta obra </w:t>
      </w:r>
      <w:r>
        <w:t>se licita en 2017 pero se ejecuta en 2018, y ha sido cofinanciada en parte con fondos de la Unión Europea y por otra, con el Plan de Inversiones Locales para el periodo 2017-2019</w:t>
      </w:r>
      <w:r>
        <w:rPr>
          <w:rStyle w:val="Refdenotaalpie"/>
        </w:rPr>
        <w:footnoteReference w:id="4"/>
      </w:r>
      <w:r>
        <w:t>.</w:t>
      </w:r>
    </w:p>
    <w:p w14:paraId="084768B6" w14:textId="77777777" w:rsidR="003D03D8" w:rsidRPr="002C3373" w:rsidRDefault="003D03D8" w:rsidP="005749C5">
      <w:pPr>
        <w:pStyle w:val="texto"/>
        <w:spacing w:after="240"/>
      </w:pPr>
      <w:r w:rsidRPr="002C3373">
        <w:t>Hemos constatado que en el ejercicio 2018 se han calculado desviaciones negativas de financiación sin que se den los requisitos para su cálculo. La inclusión de desviaciones negativas de financiación que no proceden</w:t>
      </w:r>
      <w:r w:rsidR="00D66AAB" w:rsidRPr="002C3373">
        <w:t xml:space="preserve"> </w:t>
      </w:r>
      <w:r w:rsidRPr="002C3373">
        <w:t>en los estados Resultado Presupuestario y Remanente de Tesorería, supone automáticamente una sobrevaloración de los mismos y por lo tanto</w:t>
      </w:r>
      <w:r w:rsidR="00F5513F">
        <w:t xml:space="preserve"> su incorrección. Por otro lado </w:t>
      </w:r>
      <w:r w:rsidRPr="002C3373">
        <w:t>se han incluido en los citados estados otras desviaciones que no hemos podido verificar y comprobar su origen y adec</w:t>
      </w:r>
      <w:r w:rsidR="00860B95" w:rsidRPr="002C3373">
        <w:t xml:space="preserve">uación, por lo que entendemos </w:t>
      </w:r>
      <w:r w:rsidRPr="002C3373">
        <w:t xml:space="preserve">necesario que se </w:t>
      </w:r>
      <w:r w:rsidR="00A22403" w:rsidRPr="002C3373">
        <w:t xml:space="preserve">debe realizar </w:t>
      </w:r>
      <w:r w:rsidRPr="002C3373">
        <w:t xml:space="preserve">un mayor seguimiento, control y verificación de las desviaciones de financiación. </w:t>
      </w:r>
    </w:p>
    <w:p w14:paraId="3688B4A2" w14:textId="77777777" w:rsidR="005749C5" w:rsidRDefault="00AF499C" w:rsidP="00AF499C">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eastAsia="es-ES"/>
        </w:rPr>
      </w:pPr>
      <w:bookmarkStart w:id="26" w:name="TMB99031461"/>
      <w:bookmarkEnd w:id="26"/>
      <w:r w:rsidRPr="00F2040C">
        <w:rPr>
          <w:szCs w:val="26"/>
          <w:lang w:eastAsia="es-ES"/>
        </w:rPr>
        <w:t xml:space="preserve">• </w:t>
      </w:r>
      <w:r w:rsidR="005749C5" w:rsidRPr="00197EB1">
        <w:rPr>
          <w:rFonts w:eastAsia="Calibri"/>
          <w:i/>
          <w:szCs w:val="26"/>
          <w:lang w:eastAsia="es-ES"/>
        </w:rPr>
        <w:t>Evitar el retraso en la contabilización de las operaciones económicas.</w:t>
      </w:r>
    </w:p>
    <w:p w14:paraId="35866C44" w14:textId="77777777" w:rsidR="005749C5" w:rsidRDefault="005749C5" w:rsidP="00CA043D">
      <w:pPr>
        <w:pStyle w:val="texto"/>
        <w:tabs>
          <w:tab w:val="clear" w:pos="2835"/>
          <w:tab w:val="clear" w:pos="3969"/>
          <w:tab w:val="clear" w:pos="5103"/>
          <w:tab w:val="clear" w:pos="6237"/>
          <w:tab w:val="clear" w:pos="7371"/>
          <w:tab w:val="left" w:pos="480"/>
          <w:tab w:val="num" w:pos="720"/>
          <w:tab w:val="num" w:pos="1080"/>
          <w:tab w:val="num" w:pos="2760"/>
        </w:tabs>
        <w:ind w:firstLine="289"/>
        <w:rPr>
          <w:szCs w:val="26"/>
        </w:rPr>
      </w:pPr>
      <w:r w:rsidRPr="000E52A9">
        <w:rPr>
          <w:szCs w:val="26"/>
        </w:rPr>
        <w:t xml:space="preserve">Esta recomendación </w:t>
      </w:r>
      <w:r>
        <w:rPr>
          <w:szCs w:val="26"/>
        </w:rPr>
        <w:t xml:space="preserve">ha sido total o sustancialmente aplicada, ya que no hemos detectado retrasos que sean relevantes en la contabilización de las operaciones económicas, que puedan tener un efecto significativo en los estados financieros. </w:t>
      </w:r>
    </w:p>
    <w:p w14:paraId="00F43623" w14:textId="77777777" w:rsidR="005749C5" w:rsidRPr="00180C17" w:rsidRDefault="00AF499C" w:rsidP="00AF499C">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eastAsia="es-ES"/>
        </w:rPr>
      </w:pPr>
      <w:r w:rsidRPr="00180C17">
        <w:rPr>
          <w:szCs w:val="26"/>
          <w:lang w:eastAsia="es-ES"/>
        </w:rPr>
        <w:t xml:space="preserve">• </w:t>
      </w:r>
      <w:r w:rsidR="005749C5" w:rsidRPr="00180C17">
        <w:rPr>
          <w:rFonts w:eastAsia="Calibri"/>
          <w:i/>
          <w:szCs w:val="26"/>
          <w:lang w:eastAsia="es-ES"/>
        </w:rPr>
        <w:t>Contrastar los datos contables con la información de las distintas bases de datos existentes en el Ayuntamiento, tales como recaudación tributaria, o de otras fuentes, como declaraciones de impuestos presentadas.</w:t>
      </w:r>
    </w:p>
    <w:p w14:paraId="33CD907E" w14:textId="77777777" w:rsidR="00180C17" w:rsidRPr="00180C17" w:rsidRDefault="00180C17" w:rsidP="00180C17">
      <w:pPr>
        <w:pStyle w:val="texto"/>
        <w:tabs>
          <w:tab w:val="clear" w:pos="2835"/>
          <w:tab w:val="clear" w:pos="3969"/>
          <w:tab w:val="clear" w:pos="5103"/>
          <w:tab w:val="clear" w:pos="6237"/>
          <w:tab w:val="clear" w:pos="7371"/>
          <w:tab w:val="left" w:pos="480"/>
          <w:tab w:val="num" w:pos="720"/>
          <w:tab w:val="num" w:pos="1080"/>
          <w:tab w:val="num" w:pos="2760"/>
        </w:tabs>
        <w:ind w:firstLine="289"/>
        <w:rPr>
          <w:szCs w:val="26"/>
        </w:rPr>
      </w:pPr>
      <w:r w:rsidRPr="00180C17">
        <w:rPr>
          <w:szCs w:val="26"/>
        </w:rPr>
        <w:t xml:space="preserve">Esta recomendación ha sido aplicada parcialmente ya que, si bien no hemos podido comprobar la existencia de un procedimiento formal de </w:t>
      </w:r>
      <w:r w:rsidR="003D03D8">
        <w:rPr>
          <w:szCs w:val="26"/>
        </w:rPr>
        <w:t xml:space="preserve">contrastación </w:t>
      </w:r>
      <w:r>
        <w:rPr>
          <w:szCs w:val="26"/>
        </w:rPr>
        <w:t>o conciliación</w:t>
      </w:r>
      <w:r w:rsidRPr="00180C17">
        <w:rPr>
          <w:szCs w:val="26"/>
        </w:rPr>
        <w:t xml:space="preserve">, hemos podido verificar que las desviaciones entre las distintas bases de datos, así como de declaraciones tributarias, no son significativas. </w:t>
      </w:r>
    </w:p>
    <w:p w14:paraId="702CF8F4" w14:textId="77777777" w:rsidR="005749C5" w:rsidRDefault="00AF499C" w:rsidP="00AF499C">
      <w:pPr>
        <w:ind w:left="360" w:firstLine="0"/>
        <w:contextualSpacing/>
        <w:rPr>
          <w:rFonts w:eastAsia="Calibri"/>
          <w:i/>
          <w:sz w:val="26"/>
          <w:szCs w:val="26"/>
          <w:lang w:eastAsia="es-ES"/>
        </w:rPr>
      </w:pPr>
      <w:r w:rsidRPr="00F2040C">
        <w:rPr>
          <w:sz w:val="26"/>
          <w:szCs w:val="26"/>
          <w:lang w:eastAsia="es-ES"/>
        </w:rPr>
        <w:t xml:space="preserve">• </w:t>
      </w:r>
      <w:r w:rsidR="005749C5" w:rsidRPr="00197EB1">
        <w:rPr>
          <w:rFonts w:eastAsia="Calibri"/>
          <w:i/>
          <w:sz w:val="26"/>
          <w:szCs w:val="26"/>
          <w:lang w:eastAsia="es-ES"/>
        </w:rPr>
        <w:t>Implantar el registro de facturas recibidas.</w:t>
      </w:r>
    </w:p>
    <w:p w14:paraId="0857A36A" w14:textId="77777777" w:rsidR="006E7CBF"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E52A9">
        <w:rPr>
          <w:szCs w:val="26"/>
        </w:rPr>
        <w:t xml:space="preserve">Esta recomendación </w:t>
      </w:r>
      <w:r>
        <w:rPr>
          <w:szCs w:val="26"/>
        </w:rPr>
        <w:t xml:space="preserve">ha sido total o sustancialmente aplicada ya que hemos verificado que tienen implantado tanto un registro de facturas recibidas, como el registro de facturas electrónicas de conformidad con la </w:t>
      </w:r>
      <w:r w:rsidR="006E7CBF">
        <w:rPr>
          <w:szCs w:val="26"/>
        </w:rPr>
        <w:t>normativa aplicable.</w:t>
      </w:r>
    </w:p>
    <w:p w14:paraId="2524D1A2" w14:textId="77777777" w:rsidR="005749C5" w:rsidRPr="00197EB1"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eastAsia="es-ES"/>
        </w:rPr>
      </w:pPr>
      <w:r w:rsidRPr="00F2040C">
        <w:rPr>
          <w:szCs w:val="26"/>
          <w:lang w:eastAsia="es-ES"/>
        </w:rPr>
        <w:t xml:space="preserve">• </w:t>
      </w:r>
      <w:r w:rsidR="005749C5" w:rsidRPr="00197EB1">
        <w:rPr>
          <w:rFonts w:eastAsia="Calibri"/>
          <w:i/>
          <w:szCs w:val="26"/>
          <w:lang w:eastAsia="es-ES"/>
        </w:rPr>
        <w:t>Organizar la documentación, completar los expedientes administrativos y mejorar su sistema de archivo.</w:t>
      </w:r>
    </w:p>
    <w:p w14:paraId="108AE934"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E52A9">
        <w:rPr>
          <w:szCs w:val="26"/>
        </w:rPr>
        <w:t xml:space="preserve">Esta recomendación </w:t>
      </w:r>
      <w:r>
        <w:rPr>
          <w:szCs w:val="26"/>
        </w:rPr>
        <w:t xml:space="preserve">ha sido aplicada parcialmente ya que si bien hemos podido acceder sin limitaciones a la documentación e información que soporte </w:t>
      </w:r>
      <w:r>
        <w:rPr>
          <w:szCs w:val="26"/>
        </w:rPr>
        <w:lastRenderedPageBreak/>
        <w:t>nuestras conclusiones, sigue existiendo determinada documentación y/o documentos que requiere de una mejora en la integración y conexión de los archivos revisados.</w:t>
      </w:r>
    </w:p>
    <w:p w14:paraId="3C212FF4" w14:textId="77777777" w:rsidR="005749C5" w:rsidRDefault="005749C5" w:rsidP="00BF3BBF">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Asimismo indicamos que en el ejercicio 2018 se empezó a implantar el expediente electrónico para la gestión de múltiples áreas del ayuntamiento, estando actualmente en un estado bastante avanzado en su implantación y gestión, lo que supone un gran avance en relación a las deficiencias detectadas en nuestro anterior informe de fiscalización. </w:t>
      </w:r>
    </w:p>
    <w:p w14:paraId="60398918" w14:textId="77777777" w:rsidR="005749C5" w:rsidRPr="00197EB1" w:rsidRDefault="005749C5" w:rsidP="005749C5">
      <w:pPr>
        <w:ind w:firstLine="0"/>
        <w:rPr>
          <w:rFonts w:eastAsia="Calibri"/>
          <w:b/>
          <w:sz w:val="26"/>
          <w:szCs w:val="26"/>
        </w:rPr>
      </w:pPr>
      <w:r w:rsidRPr="00197EB1">
        <w:rPr>
          <w:rFonts w:eastAsia="Calibri"/>
          <w:b/>
          <w:sz w:val="26"/>
          <w:szCs w:val="26"/>
        </w:rPr>
        <w:t xml:space="preserve">Presupuesto y Cuenta General </w:t>
      </w:r>
    </w:p>
    <w:p w14:paraId="1A4D3550" w14:textId="77777777" w:rsidR="005749C5"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eastAsia="es-ES"/>
        </w:rPr>
      </w:pPr>
      <w:r w:rsidRPr="00F2040C">
        <w:rPr>
          <w:szCs w:val="26"/>
          <w:lang w:eastAsia="es-ES"/>
        </w:rPr>
        <w:t>•</w:t>
      </w:r>
      <w:r w:rsidR="00D37889">
        <w:rPr>
          <w:szCs w:val="26"/>
          <w:lang w:eastAsia="es-ES"/>
        </w:rPr>
        <w:t xml:space="preserve"> </w:t>
      </w:r>
      <w:r w:rsidR="005749C5" w:rsidRPr="00197EB1">
        <w:rPr>
          <w:rFonts w:eastAsia="Calibri"/>
          <w:i/>
          <w:szCs w:val="26"/>
          <w:lang w:eastAsia="es-ES"/>
        </w:rPr>
        <w:t>Aprobar el presupuesto con anterioridad al inicio del ejercicio económico al que se refiera.</w:t>
      </w:r>
    </w:p>
    <w:p w14:paraId="1F02FE81"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27522">
        <w:rPr>
          <w:szCs w:val="26"/>
        </w:rPr>
        <w:t>Esta recomendación</w:t>
      </w:r>
      <w:r>
        <w:rPr>
          <w:szCs w:val="26"/>
        </w:rPr>
        <w:t xml:space="preserve"> no ha sido aplicada ya que hemos verificado que los presupuestos de los ejercicios 2017 a 2021 se han aprobado y publicado con varios meses de retraso respecto al 31</w:t>
      </w:r>
      <w:r w:rsidR="006E7CBF">
        <w:rPr>
          <w:szCs w:val="26"/>
        </w:rPr>
        <w:t xml:space="preserve"> de diciembre del año anterior, contrariamente a lo establecido en la normativa aplicable.</w:t>
      </w:r>
    </w:p>
    <w:p w14:paraId="50EA566E" w14:textId="77777777" w:rsidR="005749C5"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eastAsia="es-ES"/>
        </w:rPr>
      </w:pPr>
      <w:r w:rsidRPr="00F2040C">
        <w:rPr>
          <w:szCs w:val="26"/>
          <w:lang w:eastAsia="es-ES"/>
        </w:rPr>
        <w:t xml:space="preserve">• </w:t>
      </w:r>
      <w:r w:rsidR="005749C5" w:rsidRPr="00197EB1">
        <w:rPr>
          <w:rFonts w:eastAsia="Calibri"/>
          <w:i/>
          <w:szCs w:val="26"/>
          <w:lang w:eastAsia="es-ES"/>
        </w:rPr>
        <w:t>Formar y aprobar la cuenta general dentro de los plazos y conforme al procedimiento establecido en la legislación vigente.</w:t>
      </w:r>
    </w:p>
    <w:p w14:paraId="4902A34F" w14:textId="77777777" w:rsidR="00035DB8"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27522">
        <w:rPr>
          <w:szCs w:val="26"/>
        </w:rPr>
        <w:t>Esta recomendación</w:t>
      </w:r>
      <w:r>
        <w:rPr>
          <w:szCs w:val="26"/>
        </w:rPr>
        <w:t xml:space="preserve"> ha sido aplicada parcialmente, ya que si bien la Cuenta General </w:t>
      </w:r>
      <w:r w:rsidR="00035DB8">
        <w:rPr>
          <w:szCs w:val="26"/>
        </w:rPr>
        <w:t>de 2018 fue aprobada en plazo, las correspondientes a los ejercicios 2019 y 2020 no se aprobaron en el plazo exigido por la normativa aplicable.</w:t>
      </w:r>
    </w:p>
    <w:p w14:paraId="053FF661" w14:textId="77777777" w:rsidR="005749C5"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eastAsia="es-ES"/>
        </w:rPr>
      </w:pPr>
      <w:r w:rsidRPr="00F2040C">
        <w:rPr>
          <w:szCs w:val="26"/>
          <w:lang w:eastAsia="es-ES"/>
        </w:rPr>
        <w:t xml:space="preserve">• </w:t>
      </w:r>
      <w:r w:rsidR="005749C5" w:rsidRPr="00197EB1">
        <w:rPr>
          <w:rFonts w:eastAsia="Calibri"/>
          <w:i/>
          <w:szCs w:val="26"/>
          <w:lang w:eastAsia="es-ES"/>
        </w:rPr>
        <w:t xml:space="preserve">Formular las cuentas de la empresa pública municipal “Elektra </w:t>
      </w:r>
      <w:proofErr w:type="spellStart"/>
      <w:r w:rsidR="005749C5" w:rsidRPr="00197EB1">
        <w:rPr>
          <w:rFonts w:eastAsia="Calibri"/>
          <w:i/>
          <w:szCs w:val="26"/>
          <w:lang w:eastAsia="es-ES"/>
        </w:rPr>
        <w:t>Urdazubi</w:t>
      </w:r>
      <w:proofErr w:type="spellEnd"/>
      <w:r w:rsidR="005749C5" w:rsidRPr="00197EB1">
        <w:rPr>
          <w:rFonts w:eastAsia="Calibri"/>
          <w:i/>
          <w:szCs w:val="26"/>
          <w:lang w:eastAsia="es-ES"/>
        </w:rPr>
        <w:t xml:space="preserve"> S.L”.</w:t>
      </w:r>
    </w:p>
    <w:p w14:paraId="01DB9134"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E52A9">
        <w:rPr>
          <w:szCs w:val="26"/>
        </w:rPr>
        <w:t xml:space="preserve">Esta recomendación </w:t>
      </w:r>
      <w:r>
        <w:rPr>
          <w:szCs w:val="26"/>
        </w:rPr>
        <w:t xml:space="preserve">ha sido total o sustancialmente aplicada ya que hemos verificado que en el periodo 2018 a 2020 consta formulación y posterior aprobación de las cuentas de la citada sociedad municipal. En el caso de la sociedad “Comercializadora </w:t>
      </w:r>
      <w:proofErr w:type="spellStart"/>
      <w:r>
        <w:rPr>
          <w:szCs w:val="26"/>
        </w:rPr>
        <w:t>Urdazubi</w:t>
      </w:r>
      <w:proofErr w:type="spellEnd"/>
      <w:r>
        <w:rPr>
          <w:szCs w:val="26"/>
        </w:rPr>
        <w:t xml:space="preserve"> S.L.” a pesar de no tener actividad, sus cuentas también son formuladas y aprobadas.</w:t>
      </w:r>
    </w:p>
    <w:p w14:paraId="5F5E2093" w14:textId="77777777" w:rsidR="005749C5"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szCs w:val="26"/>
          <w:lang w:eastAsia="es-ES"/>
        </w:rPr>
      </w:pPr>
      <w:r w:rsidRPr="00F2040C">
        <w:rPr>
          <w:szCs w:val="26"/>
          <w:lang w:eastAsia="es-ES"/>
        </w:rPr>
        <w:t xml:space="preserve">• </w:t>
      </w:r>
      <w:r w:rsidR="005749C5" w:rsidRPr="00197EB1">
        <w:rPr>
          <w:rFonts w:eastAsia="Calibri"/>
          <w:i/>
          <w:szCs w:val="26"/>
          <w:lang w:eastAsia="es-ES"/>
        </w:rPr>
        <w:t>Respetar el carácter limitativo de los gastos y tramitar y aprobar las modificaciones de crédito con anterioridad a la realización de los gastos que no tengan consignación presupuestaria suficiente</w:t>
      </w:r>
      <w:r w:rsidR="005749C5" w:rsidRPr="00197EB1">
        <w:rPr>
          <w:rFonts w:eastAsia="Calibri"/>
          <w:szCs w:val="26"/>
          <w:lang w:eastAsia="es-ES"/>
        </w:rPr>
        <w:t>.</w:t>
      </w:r>
    </w:p>
    <w:p w14:paraId="39149972"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Esta recomendación no ha sido aplicada </w:t>
      </w:r>
      <w:r w:rsidR="00035DB8">
        <w:rPr>
          <w:szCs w:val="26"/>
        </w:rPr>
        <w:t>ya que hemos constatado los siguientes hechos:</w:t>
      </w:r>
    </w:p>
    <w:p w14:paraId="664F866D" w14:textId="77777777" w:rsidR="005749C5"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rPr>
      </w:pPr>
      <w:r>
        <w:rPr>
          <w:szCs w:val="26"/>
        </w:rPr>
        <w:t xml:space="preserve">a) </w:t>
      </w:r>
      <w:r w:rsidR="005749C5">
        <w:rPr>
          <w:szCs w:val="26"/>
        </w:rPr>
        <w:t>En el ejercicio 2018, la liquidación del contrato de obra “</w:t>
      </w:r>
      <w:r w:rsidR="005749C5">
        <w:rPr>
          <w:rFonts w:eastAsia="Calibri"/>
          <w:szCs w:val="26"/>
          <w:lang w:eastAsia="es-ES"/>
        </w:rPr>
        <w:t>Modificación integral del abastecimiento de a</w:t>
      </w:r>
      <w:r w:rsidR="00DB454A">
        <w:rPr>
          <w:rFonts w:eastAsia="Calibri"/>
          <w:szCs w:val="26"/>
          <w:lang w:eastAsia="es-ES"/>
        </w:rPr>
        <w:t xml:space="preserve">gua potable del Municipio de </w:t>
      </w:r>
      <w:proofErr w:type="spellStart"/>
      <w:r w:rsidR="00DB454A">
        <w:rPr>
          <w:rFonts w:eastAsia="Calibri"/>
          <w:szCs w:val="26"/>
          <w:lang w:eastAsia="es-ES"/>
        </w:rPr>
        <w:t>Urd</w:t>
      </w:r>
      <w:r w:rsidR="005749C5">
        <w:rPr>
          <w:rFonts w:eastAsia="Calibri"/>
          <w:szCs w:val="26"/>
          <w:lang w:eastAsia="es-ES"/>
        </w:rPr>
        <w:t>azubi</w:t>
      </w:r>
      <w:proofErr w:type="spellEnd"/>
      <w:r w:rsidR="005749C5">
        <w:rPr>
          <w:rFonts w:eastAsia="Calibri"/>
          <w:szCs w:val="26"/>
          <w:lang w:eastAsia="es-ES"/>
        </w:rPr>
        <w:t xml:space="preserve">-Urdax” supuso un incremento de gasto </w:t>
      </w:r>
      <w:r w:rsidR="005749C5" w:rsidRPr="00A451DB">
        <w:rPr>
          <w:rFonts w:eastAsia="Calibri"/>
          <w:szCs w:val="26"/>
          <w:lang w:eastAsia="es-ES"/>
        </w:rPr>
        <w:t xml:space="preserve">del 9,12 por ciento </w:t>
      </w:r>
      <w:r w:rsidR="005749C5">
        <w:rPr>
          <w:rFonts w:eastAsia="Calibri"/>
          <w:szCs w:val="26"/>
          <w:lang w:eastAsia="es-ES"/>
        </w:rPr>
        <w:t xml:space="preserve">sobre </w:t>
      </w:r>
      <w:r w:rsidR="005749C5" w:rsidRPr="00A451DB">
        <w:rPr>
          <w:rFonts w:eastAsia="Calibri"/>
          <w:szCs w:val="26"/>
          <w:lang w:eastAsia="es-ES"/>
        </w:rPr>
        <w:t xml:space="preserve">el importe adjudicado, habiéndose superado el límite de la bolsa de vinculación sin haber sido ajustado el crédito a través de la oportuna </w:t>
      </w:r>
      <w:r w:rsidR="005749C5">
        <w:rPr>
          <w:rFonts w:eastAsia="Calibri"/>
          <w:szCs w:val="26"/>
          <w:lang w:eastAsia="es-ES"/>
        </w:rPr>
        <w:t xml:space="preserve">y previa </w:t>
      </w:r>
      <w:r w:rsidR="005749C5" w:rsidRPr="00A451DB">
        <w:rPr>
          <w:rFonts w:eastAsia="Calibri"/>
          <w:szCs w:val="26"/>
          <w:lang w:eastAsia="es-ES"/>
        </w:rPr>
        <w:t>modificació</w:t>
      </w:r>
      <w:r w:rsidR="005749C5">
        <w:rPr>
          <w:rFonts w:eastAsia="Calibri"/>
          <w:szCs w:val="26"/>
          <w:lang w:eastAsia="es-ES"/>
        </w:rPr>
        <w:t>n presupuestaria.</w:t>
      </w:r>
    </w:p>
    <w:p w14:paraId="13E4DF8A" w14:textId="77777777" w:rsidR="005749C5"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rPr>
      </w:pPr>
      <w:r>
        <w:rPr>
          <w:szCs w:val="26"/>
        </w:rPr>
        <w:lastRenderedPageBreak/>
        <w:t xml:space="preserve">b) </w:t>
      </w:r>
      <w:r w:rsidR="005749C5" w:rsidRPr="00BB2CF9">
        <w:rPr>
          <w:szCs w:val="26"/>
        </w:rPr>
        <w:t xml:space="preserve">En el ejercicio 2020, la única modificación presupuestaria realizada se corresponde con la aprobación simultánea de un suplemento de crédito y un crédito extraordinario, que se </w:t>
      </w:r>
      <w:r w:rsidR="005749C5">
        <w:rPr>
          <w:szCs w:val="26"/>
        </w:rPr>
        <w:t xml:space="preserve">aprobó </w:t>
      </w:r>
      <w:r w:rsidR="005749C5" w:rsidRPr="00BB2CF9">
        <w:rPr>
          <w:szCs w:val="26"/>
        </w:rPr>
        <w:t xml:space="preserve">con posterioridad al reconocimiento de obligaciones </w:t>
      </w:r>
      <w:r w:rsidR="005749C5">
        <w:rPr>
          <w:szCs w:val="26"/>
        </w:rPr>
        <w:t xml:space="preserve">sobre créditos insuficientes o inexistentes. </w:t>
      </w:r>
      <w:r w:rsidR="005749C5" w:rsidRPr="00CA043D">
        <w:rPr>
          <w:rFonts w:eastAsia="Calibri"/>
          <w:szCs w:val="26"/>
          <w:lang w:eastAsia="es-ES"/>
        </w:rPr>
        <w:t>Por</w:t>
      </w:r>
      <w:r w:rsidR="005749C5" w:rsidRPr="00CA043D">
        <w:rPr>
          <w:szCs w:val="26"/>
        </w:rPr>
        <w:t xml:space="preserve"> </w:t>
      </w:r>
      <w:r w:rsidR="005749C5" w:rsidRPr="00BB2CF9">
        <w:rPr>
          <w:szCs w:val="26"/>
        </w:rPr>
        <w:t xml:space="preserve">otro lado, en relación a esta modificación hemos </w:t>
      </w:r>
      <w:r w:rsidR="005749C5">
        <w:rPr>
          <w:szCs w:val="26"/>
        </w:rPr>
        <w:t xml:space="preserve">comprobado que </w:t>
      </w:r>
      <w:r w:rsidR="00DB454A">
        <w:rPr>
          <w:szCs w:val="26"/>
        </w:rPr>
        <w:t xml:space="preserve">no consta la publicación de su aprobación </w:t>
      </w:r>
      <w:r w:rsidR="005749C5">
        <w:rPr>
          <w:szCs w:val="26"/>
        </w:rPr>
        <w:t xml:space="preserve">definitiva; requisito exigible para su entrada en vigor, según establece </w:t>
      </w:r>
      <w:r w:rsidR="005749C5" w:rsidRPr="0089700B">
        <w:rPr>
          <w:szCs w:val="26"/>
        </w:rPr>
        <w:t>el artículo 214 de la Ley Foral 2/1995</w:t>
      </w:r>
      <w:r w:rsidR="006118E5">
        <w:rPr>
          <w:rStyle w:val="Refdenotaalpie"/>
          <w:szCs w:val="26"/>
        </w:rPr>
        <w:footnoteReference w:id="5"/>
      </w:r>
      <w:r w:rsidR="005749C5">
        <w:rPr>
          <w:szCs w:val="26"/>
        </w:rPr>
        <w:t>.</w:t>
      </w:r>
    </w:p>
    <w:p w14:paraId="4E605FBD" w14:textId="77777777" w:rsidR="005749C5" w:rsidRPr="00197EB1" w:rsidRDefault="005749C5" w:rsidP="005749C5">
      <w:pPr>
        <w:ind w:firstLine="0"/>
        <w:rPr>
          <w:rFonts w:eastAsia="Calibri"/>
          <w:b/>
          <w:sz w:val="26"/>
          <w:szCs w:val="26"/>
        </w:rPr>
      </w:pPr>
      <w:r w:rsidRPr="00197EB1">
        <w:rPr>
          <w:rFonts w:eastAsia="Calibri"/>
          <w:b/>
          <w:sz w:val="26"/>
          <w:szCs w:val="26"/>
        </w:rPr>
        <w:t xml:space="preserve">Personal </w:t>
      </w:r>
    </w:p>
    <w:p w14:paraId="6245AEC0" w14:textId="77777777" w:rsidR="005749C5"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eastAsia="es-ES"/>
        </w:rPr>
      </w:pPr>
      <w:r w:rsidRPr="00F2040C">
        <w:rPr>
          <w:szCs w:val="26"/>
          <w:lang w:eastAsia="es-ES"/>
        </w:rPr>
        <w:t xml:space="preserve">• </w:t>
      </w:r>
      <w:r w:rsidR="005749C5" w:rsidRPr="00197EB1">
        <w:rPr>
          <w:rFonts w:eastAsia="Calibri"/>
          <w:i/>
          <w:szCs w:val="26"/>
          <w:lang w:eastAsia="es-ES"/>
        </w:rPr>
        <w:t>Aprobar la plantilla orgánica y retribuir a los empleados conforme a las retribuciones aprobadas e indicadas en la misma.</w:t>
      </w:r>
    </w:p>
    <w:p w14:paraId="264DD478"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3D1209">
        <w:rPr>
          <w:szCs w:val="26"/>
        </w:rPr>
        <w:t xml:space="preserve">Esta recomendación </w:t>
      </w:r>
      <w:r>
        <w:rPr>
          <w:szCs w:val="26"/>
        </w:rPr>
        <w:t>ha sido parcialmente aplicada en relación a la aprobación de las plantillas orgánicas, ya que hemos verificado que si bien l</w:t>
      </w:r>
      <w:r w:rsidRPr="008222BC">
        <w:rPr>
          <w:szCs w:val="26"/>
        </w:rPr>
        <w:t>as plantillas orgánicas de los ejercicios 2018, 2019 y 20</w:t>
      </w:r>
      <w:r w:rsidR="002F1A67">
        <w:rPr>
          <w:szCs w:val="26"/>
        </w:rPr>
        <w:t>20 se han aprobado y publicado (</w:t>
      </w:r>
      <w:r w:rsidRPr="008222BC">
        <w:rPr>
          <w:szCs w:val="26"/>
        </w:rPr>
        <w:t>a excepción de la plantilla del ejercicio 2019 que no fue publicada</w:t>
      </w:r>
      <w:r w:rsidR="002F1A67">
        <w:rPr>
          <w:szCs w:val="26"/>
        </w:rPr>
        <w:t xml:space="preserve">) </w:t>
      </w:r>
      <w:r w:rsidRPr="008222BC">
        <w:rPr>
          <w:szCs w:val="26"/>
        </w:rPr>
        <w:t>en todos los ejercicios</w:t>
      </w:r>
      <w:r w:rsidR="002F1A67">
        <w:rPr>
          <w:szCs w:val="26"/>
        </w:rPr>
        <w:t>,</w:t>
      </w:r>
      <w:r w:rsidRPr="008222BC">
        <w:rPr>
          <w:szCs w:val="26"/>
        </w:rPr>
        <w:t xml:space="preserve"> ha sido con posterioridad al 31 de diciembre de cada ejercicio, </w:t>
      </w:r>
      <w:r w:rsidR="00DB454A">
        <w:rPr>
          <w:szCs w:val="26"/>
        </w:rPr>
        <w:t>superando los plazos e</w:t>
      </w:r>
      <w:r w:rsidRPr="008222BC">
        <w:rPr>
          <w:szCs w:val="26"/>
        </w:rPr>
        <w:t>stablecido</w:t>
      </w:r>
      <w:r w:rsidR="00DB454A">
        <w:rPr>
          <w:szCs w:val="26"/>
        </w:rPr>
        <w:t>s</w:t>
      </w:r>
      <w:r w:rsidRPr="008222BC">
        <w:rPr>
          <w:szCs w:val="26"/>
        </w:rPr>
        <w:t xml:space="preserve"> en la normativa local. </w:t>
      </w:r>
    </w:p>
    <w:p w14:paraId="12DCB578" w14:textId="77777777" w:rsidR="005749C5" w:rsidRPr="008222BC"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8222BC">
        <w:rPr>
          <w:szCs w:val="26"/>
        </w:rPr>
        <w:t>En relación a la</w:t>
      </w:r>
      <w:r>
        <w:rPr>
          <w:szCs w:val="26"/>
        </w:rPr>
        <w:t xml:space="preserve"> recomendación de retribuir a los empleados conforme a las retribuciones aprobadas e indicadas en la plantilla orgánica, no ha sido aplicada, ya que hemos </w:t>
      </w:r>
      <w:r w:rsidRPr="008222BC">
        <w:rPr>
          <w:szCs w:val="26"/>
        </w:rPr>
        <w:t>comprobado que:</w:t>
      </w:r>
    </w:p>
    <w:p w14:paraId="382A8713" w14:textId="77777777" w:rsidR="005749C5" w:rsidRPr="008222BC"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a) </w:t>
      </w:r>
      <w:r w:rsidR="005749C5" w:rsidRPr="008222BC">
        <w:rPr>
          <w:szCs w:val="26"/>
        </w:rPr>
        <w:t>El Secretario</w:t>
      </w:r>
      <w:r w:rsidR="005749C5">
        <w:rPr>
          <w:szCs w:val="26"/>
        </w:rPr>
        <w:t>-Interventor</w:t>
      </w:r>
      <w:r w:rsidR="005749C5" w:rsidRPr="008222BC">
        <w:rPr>
          <w:szCs w:val="26"/>
        </w:rPr>
        <w:t xml:space="preserve"> lleva ejerciendo sus funciones desde 2002</w:t>
      </w:r>
      <w:r w:rsidR="003F2998">
        <w:rPr>
          <w:szCs w:val="26"/>
        </w:rPr>
        <w:t>,</w:t>
      </w:r>
      <w:r w:rsidR="005749C5">
        <w:rPr>
          <w:szCs w:val="26"/>
        </w:rPr>
        <w:t xml:space="preserve"> año en que fue</w:t>
      </w:r>
      <w:r w:rsidR="005749C5" w:rsidRPr="008222BC">
        <w:rPr>
          <w:szCs w:val="26"/>
        </w:rPr>
        <w:t xml:space="preserve"> contratado en régimen administrativo</w:t>
      </w:r>
      <w:r w:rsidR="003F2998">
        <w:rPr>
          <w:szCs w:val="26"/>
        </w:rPr>
        <w:t>.</w:t>
      </w:r>
      <w:r w:rsidR="005749C5" w:rsidRPr="008222BC">
        <w:rPr>
          <w:szCs w:val="26"/>
        </w:rPr>
        <w:t xml:space="preserve"> </w:t>
      </w:r>
      <w:r w:rsidR="003F2998">
        <w:rPr>
          <w:szCs w:val="26"/>
        </w:rPr>
        <w:t>E</w:t>
      </w:r>
      <w:r w:rsidR="005749C5" w:rsidRPr="008222BC">
        <w:rPr>
          <w:szCs w:val="26"/>
        </w:rPr>
        <w:t>n ejecución de la Sentencia del Tribunal de Justicia de la Unión Europea de 20 de junio de 2019</w:t>
      </w:r>
      <w:r w:rsidR="005749C5" w:rsidRPr="008222BC">
        <w:rPr>
          <w:rStyle w:val="Refdenotaalpie"/>
          <w:szCs w:val="26"/>
        </w:rPr>
        <w:footnoteReference w:id="6"/>
      </w:r>
      <w:r w:rsidR="005749C5" w:rsidRPr="008222BC">
        <w:rPr>
          <w:szCs w:val="26"/>
        </w:rPr>
        <w:t xml:space="preserve">, la Comunidad Foral de Navarra aprobó el </w:t>
      </w:r>
      <w:r w:rsidR="005749C5" w:rsidRPr="008222BC">
        <w:t>Decreto-Ley Foral 4/2019, de 23 de octubre</w:t>
      </w:r>
      <w:r w:rsidR="003F2998">
        <w:t xml:space="preserve"> </w:t>
      </w:r>
      <w:r w:rsidR="005749C5" w:rsidRPr="008222BC">
        <w:t>por el que se aprueban medidas urgentes en materia de personal al servicio de las Administraciones Públicas de Navarra</w:t>
      </w:r>
      <w:r w:rsidR="003F2998">
        <w:t>.</w:t>
      </w:r>
      <w:r w:rsidR="005749C5" w:rsidRPr="008222BC">
        <w:t xml:space="preserve"> </w:t>
      </w:r>
      <w:r w:rsidR="003F2998">
        <w:t>E</w:t>
      </w:r>
      <w:r w:rsidR="005749C5" w:rsidRPr="008222BC">
        <w:t xml:space="preserve">ntre otras medidas, reconoce el grado como concepto retributivo </w:t>
      </w:r>
      <w:r w:rsidR="005749C5">
        <w:t>al pers</w:t>
      </w:r>
      <w:r w:rsidR="005749C5" w:rsidRPr="008222BC">
        <w:t>onal contratado en régimen administrativo en las Administraciones Públ</w:t>
      </w:r>
      <w:r w:rsidR="00035DB8">
        <w:t xml:space="preserve">icas de Navarra. </w:t>
      </w:r>
      <w:r w:rsidR="005749C5" w:rsidRPr="008222BC">
        <w:t>De la revisión realizada, observamos que el c</w:t>
      </w:r>
      <w:r w:rsidR="005749C5" w:rsidRPr="008222BC">
        <w:rPr>
          <w:szCs w:val="26"/>
        </w:rPr>
        <w:t>obro del grado no ha sido percibido, por lo que habría que regularizar sus retribuciones.</w:t>
      </w:r>
    </w:p>
    <w:p w14:paraId="528CAC82" w14:textId="77777777" w:rsidR="005749C5" w:rsidRPr="008222BC"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b) </w:t>
      </w:r>
      <w:r w:rsidR="005749C5" w:rsidRPr="008222BC">
        <w:rPr>
          <w:szCs w:val="26"/>
        </w:rPr>
        <w:t xml:space="preserve">El régimen jurídico del puesto de Auxiliar Administrativo en las plantillas orgánicas anteriores a 2020 era de funcionario. En la plantilla del ejercicio 2020, el régimen jurídico de la plantilla del citado puesto se modifica y </w:t>
      </w:r>
      <w:r w:rsidR="005749C5">
        <w:rPr>
          <w:szCs w:val="26"/>
        </w:rPr>
        <w:t>figura c</w:t>
      </w:r>
      <w:r w:rsidR="005749C5" w:rsidRPr="008222BC">
        <w:rPr>
          <w:szCs w:val="26"/>
        </w:rPr>
        <w:t xml:space="preserve">omo personal laboral. </w:t>
      </w:r>
    </w:p>
    <w:p w14:paraId="79C2D170" w14:textId="77777777" w:rsidR="005749C5" w:rsidRPr="008222BC" w:rsidRDefault="005749C5"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CA043D">
        <w:lastRenderedPageBreak/>
        <w:t>No</w:t>
      </w:r>
      <w:r w:rsidRPr="008222BC">
        <w:rPr>
          <w:szCs w:val="26"/>
        </w:rPr>
        <w:t xml:space="preserve"> obstante, la </w:t>
      </w:r>
      <w:r>
        <w:rPr>
          <w:szCs w:val="26"/>
        </w:rPr>
        <w:t xml:space="preserve">trabajadora </w:t>
      </w:r>
      <w:r w:rsidRPr="008222BC">
        <w:rPr>
          <w:szCs w:val="26"/>
        </w:rPr>
        <w:t>adscrita al citado puesto de trabajo lo ha estado ocupando de forma temporal y recurrente desde el ejercicio 2004, de acuerdo a distintos y sucesivos tipos de contratos laborales. Con fecha uno de enero de 2020</w:t>
      </w:r>
      <w:r w:rsidR="003F2998">
        <w:rPr>
          <w:szCs w:val="26"/>
        </w:rPr>
        <w:t>,</w:t>
      </w:r>
      <w:r w:rsidRPr="008222BC">
        <w:rPr>
          <w:szCs w:val="26"/>
        </w:rPr>
        <w:t xml:space="preserve"> se </w:t>
      </w:r>
      <w:r>
        <w:rPr>
          <w:szCs w:val="26"/>
        </w:rPr>
        <w:t>modificó</w:t>
      </w:r>
      <w:r w:rsidRPr="008222BC">
        <w:rPr>
          <w:szCs w:val="26"/>
        </w:rPr>
        <w:t xml:space="preserve"> el código de contrato a efectos de Seguridad Social</w:t>
      </w:r>
      <w:r>
        <w:rPr>
          <w:szCs w:val="26"/>
        </w:rPr>
        <w:t>,</w:t>
      </w:r>
      <w:r w:rsidRPr="008222BC">
        <w:rPr>
          <w:szCs w:val="26"/>
        </w:rPr>
        <w:t xml:space="preserve"> pasando a estar catalogado como indefinido no fijo, siguiendo el reciente criterio jurisprudencial en esta materia.</w:t>
      </w:r>
    </w:p>
    <w:p w14:paraId="41E9AA34" w14:textId="77777777" w:rsidR="005749C5"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c) </w:t>
      </w:r>
      <w:r w:rsidR="005749C5" w:rsidRPr="006A5FED">
        <w:rPr>
          <w:szCs w:val="26"/>
        </w:rPr>
        <w:t xml:space="preserve">El régimen jurídico del puesto de Empleado de Servicios Múltiples en la plantilla orgánica, es de funcionario de nivel D y está vacante por jubilación desde el ejercicio 2019. Por otro lado, </w:t>
      </w:r>
      <w:r w:rsidR="00C42002">
        <w:rPr>
          <w:szCs w:val="26"/>
        </w:rPr>
        <w:t>des</w:t>
      </w:r>
      <w:r w:rsidR="005749C5" w:rsidRPr="006A5FED">
        <w:rPr>
          <w:szCs w:val="26"/>
        </w:rPr>
        <w:t xml:space="preserve">de abril de 2016 se contrató a un trabajador en régimen laboral como empleado de servicios múltiples </w:t>
      </w:r>
      <w:r w:rsidR="005749C5">
        <w:rPr>
          <w:szCs w:val="26"/>
        </w:rPr>
        <w:t xml:space="preserve">con una retribución de nivel E </w:t>
      </w:r>
      <w:r w:rsidR="005749C5" w:rsidRPr="006A5FED">
        <w:rPr>
          <w:szCs w:val="26"/>
        </w:rPr>
        <w:t xml:space="preserve">y con carácter temporal con duración hasta fin de obra. </w:t>
      </w:r>
    </w:p>
    <w:p w14:paraId="3C3351C0" w14:textId="77777777" w:rsidR="005749C5" w:rsidRDefault="005749C5"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El citado empleado continúa trabajando en el ayuntamiento a pesar de haber superado el plazo máximo que el Estatuto de los Trabajadores contempla para est</w:t>
      </w:r>
      <w:r w:rsidR="00573FAD">
        <w:rPr>
          <w:szCs w:val="26"/>
        </w:rPr>
        <w:t>e tipo de contratos temporales. En la relación nominal de trabajadores de la plantilla orgánica de 2020 figura adscrit</w:t>
      </w:r>
      <w:r w:rsidR="00477EC1">
        <w:rPr>
          <w:szCs w:val="26"/>
        </w:rPr>
        <w:t>a</w:t>
      </w:r>
      <w:r w:rsidR="00573FAD">
        <w:rPr>
          <w:szCs w:val="26"/>
        </w:rPr>
        <w:t xml:space="preserve"> a la va</w:t>
      </w:r>
      <w:r w:rsidR="00184528">
        <w:rPr>
          <w:szCs w:val="26"/>
        </w:rPr>
        <w:t xml:space="preserve">cante del anterior funcionario </w:t>
      </w:r>
      <w:r w:rsidR="00573FAD">
        <w:rPr>
          <w:szCs w:val="26"/>
        </w:rPr>
        <w:t xml:space="preserve">siendo errónea esta adscripción, </w:t>
      </w:r>
      <w:r w:rsidR="00184528">
        <w:rPr>
          <w:szCs w:val="26"/>
        </w:rPr>
        <w:t xml:space="preserve">ya </w:t>
      </w:r>
      <w:r>
        <w:rPr>
          <w:szCs w:val="26"/>
        </w:rPr>
        <w:t>que la cobertura temporal de un puesto vacante de una plantilla orgánica únicame</w:t>
      </w:r>
      <w:r w:rsidR="00184528">
        <w:rPr>
          <w:szCs w:val="26"/>
        </w:rPr>
        <w:t xml:space="preserve">nte puede realizarse mediante </w:t>
      </w:r>
      <w:r w:rsidR="00653712">
        <w:rPr>
          <w:szCs w:val="26"/>
        </w:rPr>
        <w:t xml:space="preserve">el correspondiente y </w:t>
      </w:r>
      <w:r>
        <w:rPr>
          <w:szCs w:val="26"/>
        </w:rPr>
        <w:t>preceptivo proceso selectivo de mérito y capacidad y ser contratado en régimen administrativo, por lo que debe regularizarse esta situación.</w:t>
      </w:r>
    </w:p>
    <w:p w14:paraId="17D409D2" w14:textId="77777777" w:rsidR="00887D03" w:rsidRDefault="00035DB8" w:rsidP="00887D0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613E8E">
        <w:rPr>
          <w:szCs w:val="26"/>
        </w:rPr>
        <w:t>E</w:t>
      </w:r>
      <w:r w:rsidR="00887D03" w:rsidRPr="00613E8E">
        <w:rPr>
          <w:szCs w:val="26"/>
        </w:rPr>
        <w:t xml:space="preserve">n cualquier caso, indicamos la posibilidad de realizar la correspondiente convocatoria de oferta pública de empleo de conformidad con la Ley 22/2021, de 28 de diciembre, de Presupuestos Generales del Estado para el año 2022, dotando de esta forma de seguridad jurídica y estabilidad de la plantilla municipal. </w:t>
      </w:r>
    </w:p>
    <w:p w14:paraId="3C897350" w14:textId="77777777" w:rsidR="005749C5"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197EB1">
        <w:rPr>
          <w:rFonts w:eastAsia="Calibri"/>
          <w:i/>
          <w:szCs w:val="26"/>
          <w:lang w:eastAsia="es-ES"/>
        </w:rPr>
        <w:t>Practicar las retenciones correspondientes a las retribuciones percibidas, así como liquidar a Hacienda todas las retenciones de IRPF practicadas.</w:t>
      </w:r>
    </w:p>
    <w:p w14:paraId="00199C7B" w14:textId="77777777" w:rsidR="005749C5" w:rsidRDefault="005749C5" w:rsidP="00CA043D">
      <w:pPr>
        <w:pStyle w:val="texto"/>
        <w:tabs>
          <w:tab w:val="clear" w:pos="2835"/>
          <w:tab w:val="clear" w:pos="3969"/>
          <w:tab w:val="clear" w:pos="5103"/>
          <w:tab w:val="clear" w:pos="6237"/>
          <w:tab w:val="clear" w:pos="7371"/>
          <w:tab w:val="left" w:pos="480"/>
          <w:tab w:val="num" w:pos="720"/>
          <w:tab w:val="num" w:pos="1080"/>
          <w:tab w:val="num" w:pos="2760"/>
        </w:tabs>
        <w:ind w:firstLine="289"/>
        <w:rPr>
          <w:szCs w:val="26"/>
        </w:rPr>
      </w:pPr>
      <w:r w:rsidRPr="00027522">
        <w:rPr>
          <w:szCs w:val="26"/>
        </w:rPr>
        <w:t>Esta recomendación</w:t>
      </w:r>
      <w:r>
        <w:rPr>
          <w:szCs w:val="26"/>
        </w:rPr>
        <w:t xml:space="preserve"> ha sido aplicada </w:t>
      </w:r>
      <w:r w:rsidR="00887D03">
        <w:rPr>
          <w:szCs w:val="26"/>
        </w:rPr>
        <w:t xml:space="preserve">parcialmente, </w:t>
      </w:r>
      <w:r>
        <w:rPr>
          <w:szCs w:val="26"/>
        </w:rPr>
        <w:t xml:space="preserve">ya que </w:t>
      </w:r>
      <w:r w:rsidR="00887D03">
        <w:rPr>
          <w:szCs w:val="26"/>
        </w:rPr>
        <w:t xml:space="preserve">si bien las retenciones de IRPF practicadas han sido liquidadas e ingresadas en la Hacienda Foral, </w:t>
      </w:r>
      <w:r>
        <w:rPr>
          <w:szCs w:val="26"/>
        </w:rPr>
        <w:t xml:space="preserve">hemos verificado que las retenciones no se </w:t>
      </w:r>
      <w:r w:rsidR="006F1FA3">
        <w:rPr>
          <w:szCs w:val="26"/>
        </w:rPr>
        <w:t xml:space="preserve">practican </w:t>
      </w:r>
      <w:r>
        <w:rPr>
          <w:szCs w:val="26"/>
        </w:rPr>
        <w:t xml:space="preserve">de forma correcta a los empleados en tres de los cuatro trabajadores, </w:t>
      </w:r>
      <w:r w:rsidR="00887D03">
        <w:rPr>
          <w:szCs w:val="26"/>
        </w:rPr>
        <w:t xml:space="preserve">dado que se ha </w:t>
      </w:r>
      <w:r>
        <w:rPr>
          <w:szCs w:val="26"/>
        </w:rPr>
        <w:t>aplicado un tipo inferior al establecido en las tablas fiscales.</w:t>
      </w:r>
    </w:p>
    <w:p w14:paraId="7194DB0B" w14:textId="77777777" w:rsidR="005749C5"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89"/>
        <w:rPr>
          <w:rFonts w:eastAsia="Calibri"/>
          <w:szCs w:val="26"/>
          <w:lang w:eastAsia="es-ES"/>
        </w:rPr>
      </w:pPr>
      <w:r w:rsidRPr="00F2040C">
        <w:rPr>
          <w:szCs w:val="26"/>
          <w:lang w:eastAsia="es-ES"/>
        </w:rPr>
        <w:t xml:space="preserve">• </w:t>
      </w:r>
      <w:r w:rsidR="005749C5" w:rsidRPr="00197EB1">
        <w:rPr>
          <w:rFonts w:eastAsia="Calibri"/>
          <w:i/>
          <w:szCs w:val="26"/>
          <w:lang w:eastAsia="es-ES"/>
        </w:rPr>
        <w:t>Recoger en el expediente personal las circunstancias personales y los actos administrativos dictados en relación con los empleados</w:t>
      </w:r>
      <w:r w:rsidR="005749C5" w:rsidRPr="00197EB1">
        <w:rPr>
          <w:rFonts w:eastAsia="Calibri"/>
          <w:szCs w:val="26"/>
          <w:lang w:eastAsia="es-ES"/>
        </w:rPr>
        <w:t>.</w:t>
      </w:r>
    </w:p>
    <w:p w14:paraId="76A43652" w14:textId="77777777" w:rsidR="00B07FEB" w:rsidRPr="00B07FEB"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B07FEB">
        <w:rPr>
          <w:szCs w:val="26"/>
        </w:rPr>
        <w:t xml:space="preserve">Esta recomendación ha sido </w:t>
      </w:r>
      <w:r w:rsidR="00613E8E">
        <w:rPr>
          <w:szCs w:val="26"/>
        </w:rPr>
        <w:t xml:space="preserve">total o sustancialmente </w:t>
      </w:r>
      <w:r w:rsidRPr="00B07FEB">
        <w:rPr>
          <w:szCs w:val="26"/>
        </w:rPr>
        <w:t>aplicada</w:t>
      </w:r>
      <w:r w:rsidR="00613E8E">
        <w:rPr>
          <w:szCs w:val="26"/>
        </w:rPr>
        <w:t>.</w:t>
      </w:r>
      <w:r w:rsidR="00B07FEB" w:rsidRPr="00B07FEB">
        <w:rPr>
          <w:szCs w:val="26"/>
        </w:rPr>
        <w:t xml:space="preserve"> </w:t>
      </w:r>
    </w:p>
    <w:p w14:paraId="14C4E30D" w14:textId="77777777" w:rsidR="005749C5" w:rsidRPr="00197EB1"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197EB1">
        <w:rPr>
          <w:rFonts w:eastAsia="Calibri"/>
          <w:i/>
          <w:szCs w:val="26"/>
          <w:lang w:eastAsia="es-ES"/>
        </w:rPr>
        <w:t>Girar al Ayuntamiento de Zugarramurdi la aportación pendiente de los años 2007 y 2008 correspondiente al gasto del secretario compartido</w:t>
      </w:r>
      <w:r w:rsidR="00477EC1">
        <w:rPr>
          <w:rFonts w:eastAsia="Calibri"/>
          <w:i/>
          <w:szCs w:val="26"/>
          <w:lang w:eastAsia="es-ES"/>
        </w:rPr>
        <w:t>.</w:t>
      </w:r>
      <w:r w:rsidR="005749C5" w:rsidRPr="00197EB1">
        <w:rPr>
          <w:rFonts w:eastAsia="Calibri"/>
          <w:i/>
          <w:szCs w:val="26"/>
          <w:lang w:eastAsia="es-ES"/>
        </w:rPr>
        <w:t xml:space="preserve"> </w:t>
      </w:r>
    </w:p>
    <w:p w14:paraId="6047158E" w14:textId="77777777" w:rsidR="005749C5" w:rsidRDefault="005749C5"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sidRPr="00CA043D">
        <w:rPr>
          <w:szCs w:val="26"/>
        </w:rPr>
        <w:t>La</w:t>
      </w:r>
      <w:r w:rsidRPr="00722A9A">
        <w:rPr>
          <w:rFonts w:eastAsia="Calibri"/>
          <w:szCs w:val="26"/>
          <w:lang w:eastAsia="es-ES"/>
        </w:rPr>
        <w:t xml:space="preserve"> participación del Ayuntamiento de Zugarramurdi en el gasto del secretario compartido es del 38 por ciento. En la fiscalización del ejercicio 2011, se observó principalmente que la liquidación de los ejercicios 2007 y 2008 no se </w:t>
      </w:r>
      <w:r w:rsidRPr="00722A9A">
        <w:rPr>
          <w:rFonts w:eastAsia="Calibri"/>
          <w:szCs w:val="26"/>
          <w:lang w:eastAsia="es-ES"/>
        </w:rPr>
        <w:lastRenderedPageBreak/>
        <w:t>realizaba sobre el salario bruto sino sobre el salario neto, por lo que la liquidación era inferior a la que realmente correspondía</w:t>
      </w:r>
      <w:r>
        <w:rPr>
          <w:rFonts w:eastAsia="Calibri"/>
          <w:szCs w:val="26"/>
          <w:lang w:eastAsia="es-ES"/>
        </w:rPr>
        <w:t>.</w:t>
      </w:r>
    </w:p>
    <w:p w14:paraId="2212CC64" w14:textId="77777777" w:rsidR="005749C5" w:rsidRDefault="005749C5"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Pr>
          <w:rFonts w:eastAsia="Calibri"/>
          <w:szCs w:val="26"/>
          <w:lang w:eastAsia="es-ES"/>
        </w:rPr>
        <w:t xml:space="preserve">Esta recomendación no ha sido aplicada, ya que hemos comprobado que </w:t>
      </w:r>
      <w:r w:rsidRPr="00722A9A">
        <w:rPr>
          <w:rFonts w:eastAsia="Calibri"/>
          <w:szCs w:val="26"/>
          <w:lang w:eastAsia="es-ES"/>
        </w:rPr>
        <w:t>sigu</w:t>
      </w:r>
      <w:r w:rsidR="00B07FEB">
        <w:rPr>
          <w:rFonts w:eastAsia="Calibri"/>
          <w:szCs w:val="26"/>
          <w:lang w:eastAsia="es-ES"/>
        </w:rPr>
        <w:t xml:space="preserve">e sin girarse de forma correcta. Así, en </w:t>
      </w:r>
      <w:r>
        <w:rPr>
          <w:rFonts w:eastAsia="Calibri"/>
          <w:szCs w:val="26"/>
          <w:lang w:eastAsia="es-ES"/>
        </w:rPr>
        <w:t xml:space="preserve">2020 </w:t>
      </w:r>
      <w:r w:rsidR="00B07FEB">
        <w:rPr>
          <w:rFonts w:eastAsia="Calibri"/>
          <w:szCs w:val="26"/>
          <w:lang w:eastAsia="es-ES"/>
        </w:rPr>
        <w:t xml:space="preserve">detectamos un </w:t>
      </w:r>
      <w:r w:rsidRPr="00722A9A">
        <w:rPr>
          <w:rFonts w:eastAsia="Calibri"/>
          <w:szCs w:val="26"/>
          <w:lang w:eastAsia="es-ES"/>
        </w:rPr>
        <w:t xml:space="preserve">menor ingreso </w:t>
      </w:r>
      <w:r w:rsidR="00B07FEB">
        <w:rPr>
          <w:rFonts w:eastAsia="Calibri"/>
          <w:szCs w:val="26"/>
          <w:lang w:eastAsia="es-ES"/>
        </w:rPr>
        <w:t xml:space="preserve">reconocido </w:t>
      </w:r>
      <w:r w:rsidRPr="00722A9A">
        <w:rPr>
          <w:rFonts w:eastAsia="Calibri"/>
          <w:szCs w:val="26"/>
          <w:lang w:eastAsia="es-ES"/>
        </w:rPr>
        <w:t>de 13.684 euros</w:t>
      </w:r>
      <w:r>
        <w:rPr>
          <w:rFonts w:eastAsia="Calibri"/>
          <w:szCs w:val="26"/>
          <w:lang w:eastAsia="es-ES"/>
        </w:rPr>
        <w:t>.</w:t>
      </w:r>
    </w:p>
    <w:p w14:paraId="4637F012" w14:textId="77777777" w:rsidR="005749C5" w:rsidRPr="00197EB1" w:rsidRDefault="005749C5" w:rsidP="005749C5">
      <w:pPr>
        <w:ind w:firstLine="0"/>
        <w:rPr>
          <w:rFonts w:eastAsia="Calibri"/>
          <w:b/>
          <w:sz w:val="26"/>
          <w:szCs w:val="26"/>
        </w:rPr>
      </w:pPr>
      <w:r w:rsidRPr="00197EB1">
        <w:rPr>
          <w:rFonts w:eastAsia="Calibri"/>
          <w:b/>
          <w:sz w:val="26"/>
          <w:szCs w:val="26"/>
        </w:rPr>
        <w:t xml:space="preserve">Gastos </w:t>
      </w:r>
      <w:r w:rsidR="00AF325B">
        <w:rPr>
          <w:rFonts w:eastAsia="Calibri"/>
          <w:b/>
          <w:sz w:val="26"/>
          <w:szCs w:val="26"/>
        </w:rPr>
        <w:t xml:space="preserve">corrientes </w:t>
      </w:r>
      <w:r w:rsidRPr="00197EB1">
        <w:rPr>
          <w:rFonts w:eastAsia="Calibri"/>
          <w:b/>
          <w:sz w:val="26"/>
          <w:szCs w:val="26"/>
        </w:rPr>
        <w:t>en bienes y servicios</w:t>
      </w:r>
    </w:p>
    <w:p w14:paraId="6B01B0E9" w14:textId="77777777" w:rsidR="005749C5"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2F1A67">
        <w:rPr>
          <w:rFonts w:eastAsia="Calibri"/>
          <w:i/>
          <w:szCs w:val="26"/>
          <w:lang w:eastAsia="es-ES"/>
        </w:rPr>
        <w:t>Cumplir</w:t>
      </w:r>
      <w:r w:rsidR="005749C5" w:rsidRPr="00197EB1">
        <w:rPr>
          <w:rFonts w:eastAsia="Calibri"/>
          <w:i/>
          <w:szCs w:val="26"/>
          <w:lang w:eastAsia="es-ES"/>
        </w:rPr>
        <w:t xml:space="preserve"> las condiciones establecidas en los pliegos reguladores de los contratos, entre otras, formalizar contrato con los adjudicatarios y exigirles las fianzas establecidas.</w:t>
      </w:r>
    </w:p>
    <w:p w14:paraId="3AECDAB3" w14:textId="77777777" w:rsidR="005749C5" w:rsidRDefault="008F75E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La </w:t>
      </w:r>
      <w:r w:rsidR="005749C5" w:rsidRPr="00E1051E">
        <w:rPr>
          <w:szCs w:val="26"/>
        </w:rPr>
        <w:t xml:space="preserve">recomendación </w:t>
      </w:r>
      <w:r w:rsidR="005749C5">
        <w:rPr>
          <w:szCs w:val="26"/>
        </w:rPr>
        <w:t>que realizó la Cámara en su informe de 2011 se refería principalmente a los contratos de:</w:t>
      </w:r>
    </w:p>
    <w:p w14:paraId="2B8EC8D7"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a) Servicio de vigilancia, acceso y visita a las Grutas de </w:t>
      </w:r>
      <w:proofErr w:type="spellStart"/>
      <w:r>
        <w:rPr>
          <w:szCs w:val="26"/>
        </w:rPr>
        <w:t>Ikaburua</w:t>
      </w:r>
      <w:proofErr w:type="spellEnd"/>
      <w:r>
        <w:rPr>
          <w:szCs w:val="26"/>
        </w:rPr>
        <w:t>, explotación del bar, visita guiada al Molino y al Monasterio de San Salvador, que estaban adjudicados a un único adjudicatario.</w:t>
      </w:r>
    </w:p>
    <w:p w14:paraId="1FBBA258" w14:textId="77777777" w:rsidR="005749C5" w:rsidRDefault="005749C5" w:rsidP="00CA043D">
      <w:pPr>
        <w:pStyle w:val="texto"/>
        <w:tabs>
          <w:tab w:val="clear" w:pos="2835"/>
          <w:tab w:val="clear" w:pos="3969"/>
          <w:tab w:val="clear" w:pos="5103"/>
          <w:tab w:val="clear" w:pos="6237"/>
          <w:tab w:val="clear" w:pos="7371"/>
          <w:tab w:val="left" w:pos="480"/>
          <w:tab w:val="num" w:pos="720"/>
          <w:tab w:val="num" w:pos="1080"/>
          <w:tab w:val="num" w:pos="2760"/>
        </w:tabs>
        <w:ind w:firstLine="289"/>
        <w:rPr>
          <w:szCs w:val="26"/>
        </w:rPr>
      </w:pPr>
      <w:r>
        <w:rPr>
          <w:szCs w:val="26"/>
        </w:rPr>
        <w:t>b) Asesoramiento contable.</w:t>
      </w:r>
    </w:p>
    <w:p w14:paraId="7C4FD352" w14:textId="77777777" w:rsidR="008F75EA" w:rsidRDefault="008F75E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Esta recomendación no ha sido aplicada, ya que e</w:t>
      </w:r>
      <w:r w:rsidR="005749C5">
        <w:rPr>
          <w:szCs w:val="26"/>
        </w:rPr>
        <w:t xml:space="preserve">n nuestro trabajo hemos revisado, además de los contratos indicados anteriormente, una muestra de los servicios </w:t>
      </w:r>
      <w:r w:rsidR="005749C5" w:rsidRPr="00E1051E">
        <w:rPr>
          <w:szCs w:val="26"/>
        </w:rPr>
        <w:t>m</w:t>
      </w:r>
      <w:r>
        <w:rPr>
          <w:szCs w:val="26"/>
        </w:rPr>
        <w:t>ás significativos.</w:t>
      </w:r>
    </w:p>
    <w:p w14:paraId="1D6AEA53" w14:textId="77777777" w:rsidR="008F75EA" w:rsidRDefault="008F75EA" w:rsidP="00477EC1">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rPr>
      </w:pPr>
      <w:r>
        <w:rPr>
          <w:szCs w:val="26"/>
        </w:rPr>
        <w:t>La muestra realizada y el gasto que ha supuesto en el periodo 2018-2020 ha sido la siguiente:</w:t>
      </w:r>
    </w:p>
    <w:tbl>
      <w:tblPr>
        <w:tblW w:w="9781"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529"/>
        <w:gridCol w:w="850"/>
        <w:gridCol w:w="1134"/>
        <w:gridCol w:w="1134"/>
        <w:gridCol w:w="1134"/>
      </w:tblGrid>
      <w:tr w:rsidR="005749C5" w:rsidRPr="00CA043D" w14:paraId="519EA91E" w14:textId="77777777" w:rsidTr="00477EC1">
        <w:trPr>
          <w:trHeight w:val="227"/>
          <w:jc w:val="center"/>
        </w:trPr>
        <w:tc>
          <w:tcPr>
            <w:tcW w:w="5529" w:type="dxa"/>
            <w:tcBorders>
              <w:bottom w:val="single" w:sz="4" w:space="0" w:color="auto"/>
            </w:tcBorders>
            <w:shd w:val="clear" w:color="000000" w:fill="F8CBAD"/>
            <w:noWrap/>
            <w:vAlign w:val="bottom"/>
            <w:hideMark/>
          </w:tcPr>
          <w:p w14:paraId="29AC3D9B" w14:textId="77777777" w:rsidR="005749C5" w:rsidRPr="00CA043D" w:rsidRDefault="005749C5" w:rsidP="00FE7991">
            <w:pPr>
              <w:spacing w:after="0"/>
              <w:ind w:firstLine="0"/>
              <w:jc w:val="left"/>
              <w:rPr>
                <w:rFonts w:ascii="Arial" w:hAnsi="Arial" w:cs="Arial"/>
                <w:color w:val="000000"/>
                <w:sz w:val="18"/>
                <w:szCs w:val="18"/>
                <w:lang w:val="es-ES" w:eastAsia="es-ES"/>
              </w:rPr>
            </w:pPr>
            <w:r w:rsidRPr="00CA043D">
              <w:rPr>
                <w:rFonts w:ascii="Arial" w:hAnsi="Arial" w:cs="Arial"/>
                <w:color w:val="000000"/>
                <w:sz w:val="18"/>
                <w:szCs w:val="18"/>
                <w:lang w:val="es-ES" w:eastAsia="es-ES"/>
              </w:rPr>
              <w:t> </w:t>
            </w:r>
          </w:p>
        </w:tc>
        <w:tc>
          <w:tcPr>
            <w:tcW w:w="850" w:type="dxa"/>
            <w:tcBorders>
              <w:bottom w:val="single" w:sz="4" w:space="0" w:color="auto"/>
            </w:tcBorders>
            <w:shd w:val="clear" w:color="000000" w:fill="F8CBAD"/>
            <w:noWrap/>
            <w:vAlign w:val="bottom"/>
            <w:hideMark/>
          </w:tcPr>
          <w:p w14:paraId="4FC439C6" w14:textId="77777777" w:rsidR="005749C5" w:rsidRPr="00CA043D" w:rsidRDefault="005749C5" w:rsidP="00020C75">
            <w:pPr>
              <w:spacing w:after="0"/>
              <w:ind w:firstLine="0"/>
              <w:jc w:val="right"/>
              <w:rPr>
                <w:rFonts w:ascii="Arial" w:hAnsi="Arial" w:cs="Arial"/>
                <w:color w:val="000000"/>
                <w:sz w:val="18"/>
                <w:szCs w:val="18"/>
                <w:lang w:val="es-ES" w:eastAsia="es-ES"/>
              </w:rPr>
            </w:pPr>
            <w:r w:rsidRPr="00CA043D">
              <w:rPr>
                <w:rFonts w:ascii="Arial" w:hAnsi="Arial" w:cs="Arial"/>
                <w:color w:val="000000"/>
                <w:sz w:val="18"/>
                <w:szCs w:val="18"/>
                <w:lang w:val="es-ES" w:eastAsia="es-ES"/>
              </w:rPr>
              <w:t>2018</w:t>
            </w:r>
          </w:p>
        </w:tc>
        <w:tc>
          <w:tcPr>
            <w:tcW w:w="1134" w:type="dxa"/>
            <w:tcBorders>
              <w:bottom w:val="single" w:sz="4" w:space="0" w:color="auto"/>
            </w:tcBorders>
            <w:shd w:val="clear" w:color="000000" w:fill="F8CBAD"/>
            <w:noWrap/>
            <w:vAlign w:val="bottom"/>
            <w:hideMark/>
          </w:tcPr>
          <w:p w14:paraId="35E9524C" w14:textId="77777777" w:rsidR="005749C5" w:rsidRPr="00CA043D" w:rsidRDefault="005749C5" w:rsidP="00020C75">
            <w:pPr>
              <w:spacing w:after="0"/>
              <w:ind w:firstLine="0"/>
              <w:jc w:val="right"/>
              <w:rPr>
                <w:rFonts w:ascii="Arial" w:hAnsi="Arial" w:cs="Arial"/>
                <w:color w:val="000000"/>
                <w:sz w:val="18"/>
                <w:szCs w:val="18"/>
                <w:lang w:val="es-ES" w:eastAsia="es-ES"/>
              </w:rPr>
            </w:pPr>
            <w:r w:rsidRPr="00CA043D">
              <w:rPr>
                <w:rFonts w:ascii="Arial" w:hAnsi="Arial" w:cs="Arial"/>
                <w:color w:val="000000"/>
                <w:sz w:val="18"/>
                <w:szCs w:val="18"/>
                <w:lang w:val="es-ES" w:eastAsia="es-ES"/>
              </w:rPr>
              <w:t>2019</w:t>
            </w:r>
          </w:p>
        </w:tc>
        <w:tc>
          <w:tcPr>
            <w:tcW w:w="1134" w:type="dxa"/>
            <w:tcBorders>
              <w:bottom w:val="single" w:sz="4" w:space="0" w:color="auto"/>
            </w:tcBorders>
            <w:shd w:val="clear" w:color="000000" w:fill="F8CBAD"/>
            <w:noWrap/>
            <w:vAlign w:val="bottom"/>
            <w:hideMark/>
          </w:tcPr>
          <w:p w14:paraId="530700A1" w14:textId="77777777" w:rsidR="005749C5" w:rsidRPr="00CA043D" w:rsidRDefault="005749C5" w:rsidP="00020C75">
            <w:pPr>
              <w:spacing w:after="0"/>
              <w:ind w:firstLine="0"/>
              <w:jc w:val="right"/>
              <w:rPr>
                <w:rFonts w:ascii="Arial" w:hAnsi="Arial" w:cs="Arial"/>
                <w:color w:val="000000"/>
                <w:sz w:val="18"/>
                <w:szCs w:val="18"/>
                <w:lang w:val="es-ES" w:eastAsia="es-ES"/>
              </w:rPr>
            </w:pPr>
            <w:r w:rsidRPr="00CA043D">
              <w:rPr>
                <w:rFonts w:ascii="Arial" w:hAnsi="Arial" w:cs="Arial"/>
                <w:color w:val="000000"/>
                <w:sz w:val="18"/>
                <w:szCs w:val="18"/>
                <w:lang w:val="es-ES" w:eastAsia="es-ES"/>
              </w:rPr>
              <w:t>2020</w:t>
            </w:r>
          </w:p>
        </w:tc>
        <w:tc>
          <w:tcPr>
            <w:tcW w:w="1134" w:type="dxa"/>
            <w:tcBorders>
              <w:bottom w:val="single" w:sz="4" w:space="0" w:color="auto"/>
            </w:tcBorders>
            <w:shd w:val="clear" w:color="000000" w:fill="F8CBAD"/>
            <w:noWrap/>
            <w:vAlign w:val="bottom"/>
            <w:hideMark/>
          </w:tcPr>
          <w:p w14:paraId="4EB00438" w14:textId="77777777" w:rsidR="005749C5" w:rsidRPr="00CA043D" w:rsidRDefault="005749C5" w:rsidP="00020C75">
            <w:pPr>
              <w:spacing w:after="0"/>
              <w:ind w:firstLine="0"/>
              <w:jc w:val="right"/>
              <w:rPr>
                <w:rFonts w:ascii="Arial" w:hAnsi="Arial" w:cs="Arial"/>
                <w:color w:val="000000"/>
                <w:sz w:val="18"/>
                <w:szCs w:val="18"/>
                <w:lang w:val="es-ES" w:eastAsia="es-ES"/>
              </w:rPr>
            </w:pPr>
            <w:r w:rsidRPr="00CA043D">
              <w:rPr>
                <w:rFonts w:ascii="Arial" w:hAnsi="Arial" w:cs="Arial"/>
                <w:color w:val="000000"/>
                <w:sz w:val="18"/>
                <w:szCs w:val="18"/>
                <w:lang w:val="es-ES" w:eastAsia="es-ES"/>
              </w:rPr>
              <w:t>Total</w:t>
            </w:r>
          </w:p>
        </w:tc>
      </w:tr>
      <w:tr w:rsidR="005749C5" w:rsidRPr="00F44A1A" w14:paraId="6EBA8BE3" w14:textId="77777777" w:rsidTr="006120D5">
        <w:trPr>
          <w:trHeight w:val="198"/>
          <w:jc w:val="center"/>
        </w:trPr>
        <w:tc>
          <w:tcPr>
            <w:tcW w:w="5529" w:type="dxa"/>
            <w:tcBorders>
              <w:bottom w:val="single" w:sz="2" w:space="0" w:color="auto"/>
            </w:tcBorders>
            <w:shd w:val="clear" w:color="auto" w:fill="auto"/>
            <w:noWrap/>
            <w:vAlign w:val="bottom"/>
          </w:tcPr>
          <w:p w14:paraId="4ECAB665"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 xml:space="preserve">Vigilancia, acceso y visita a las Grutas de </w:t>
            </w:r>
            <w:proofErr w:type="spellStart"/>
            <w:r w:rsidRPr="00020C75">
              <w:rPr>
                <w:rFonts w:ascii="Arial Narrow" w:hAnsi="Arial Narrow" w:cstheme="minorHAnsi"/>
                <w:lang w:val="es-ES" w:eastAsia="es-ES"/>
              </w:rPr>
              <w:t>Ikaburua</w:t>
            </w:r>
            <w:proofErr w:type="spellEnd"/>
            <w:r w:rsidRPr="00020C75">
              <w:rPr>
                <w:rFonts w:ascii="Arial Narrow" w:hAnsi="Arial Narrow" w:cstheme="minorHAnsi"/>
                <w:lang w:val="es-ES" w:eastAsia="es-ES"/>
              </w:rPr>
              <w:t xml:space="preserve">, explotación del bar, </w:t>
            </w:r>
            <w:r w:rsidRPr="00020C75">
              <w:rPr>
                <w:rFonts w:ascii="Arial Narrow" w:hAnsi="Arial Narrow" w:cstheme="minorHAnsi"/>
              </w:rPr>
              <w:t>visita guiada al Molino y al Monasterio de San Salvador</w:t>
            </w:r>
          </w:p>
        </w:tc>
        <w:tc>
          <w:tcPr>
            <w:tcW w:w="850" w:type="dxa"/>
            <w:tcBorders>
              <w:bottom w:val="single" w:sz="2" w:space="0" w:color="auto"/>
            </w:tcBorders>
            <w:shd w:val="clear" w:color="auto" w:fill="auto"/>
            <w:noWrap/>
            <w:vAlign w:val="bottom"/>
          </w:tcPr>
          <w:p w14:paraId="51C41A01"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110.649</w:t>
            </w:r>
          </w:p>
        </w:tc>
        <w:tc>
          <w:tcPr>
            <w:tcW w:w="1134" w:type="dxa"/>
            <w:tcBorders>
              <w:bottom w:val="single" w:sz="2" w:space="0" w:color="auto"/>
            </w:tcBorders>
            <w:shd w:val="clear" w:color="auto" w:fill="auto"/>
            <w:noWrap/>
            <w:vAlign w:val="bottom"/>
          </w:tcPr>
          <w:p w14:paraId="6B2685FB"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113.029</w:t>
            </w:r>
          </w:p>
        </w:tc>
        <w:tc>
          <w:tcPr>
            <w:tcW w:w="1134" w:type="dxa"/>
            <w:tcBorders>
              <w:bottom w:val="single" w:sz="2" w:space="0" w:color="auto"/>
            </w:tcBorders>
            <w:shd w:val="clear" w:color="auto" w:fill="auto"/>
            <w:noWrap/>
            <w:vAlign w:val="bottom"/>
          </w:tcPr>
          <w:p w14:paraId="3FEEE46C"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62.645</w:t>
            </w:r>
          </w:p>
        </w:tc>
        <w:tc>
          <w:tcPr>
            <w:tcW w:w="1134" w:type="dxa"/>
            <w:tcBorders>
              <w:bottom w:val="single" w:sz="2" w:space="0" w:color="auto"/>
            </w:tcBorders>
            <w:shd w:val="clear" w:color="auto" w:fill="auto"/>
            <w:noWrap/>
            <w:vAlign w:val="bottom"/>
          </w:tcPr>
          <w:p w14:paraId="4ABDCEFD"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286.322</w:t>
            </w:r>
          </w:p>
        </w:tc>
      </w:tr>
      <w:tr w:rsidR="005749C5" w:rsidRPr="00F44A1A" w14:paraId="0E5A06CB"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0595645A"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Asesoramiento contable</w:t>
            </w:r>
          </w:p>
        </w:tc>
        <w:tc>
          <w:tcPr>
            <w:tcW w:w="850" w:type="dxa"/>
            <w:tcBorders>
              <w:top w:val="single" w:sz="2" w:space="0" w:color="auto"/>
              <w:bottom w:val="single" w:sz="2" w:space="0" w:color="auto"/>
            </w:tcBorders>
            <w:shd w:val="clear" w:color="auto" w:fill="auto"/>
            <w:noWrap/>
            <w:vAlign w:val="bottom"/>
            <w:hideMark/>
          </w:tcPr>
          <w:p w14:paraId="4F377EED"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20.250</w:t>
            </w:r>
          </w:p>
        </w:tc>
        <w:tc>
          <w:tcPr>
            <w:tcW w:w="1134" w:type="dxa"/>
            <w:tcBorders>
              <w:top w:val="single" w:sz="2" w:space="0" w:color="auto"/>
              <w:bottom w:val="single" w:sz="2" w:space="0" w:color="auto"/>
            </w:tcBorders>
            <w:shd w:val="clear" w:color="auto" w:fill="auto"/>
            <w:noWrap/>
            <w:vAlign w:val="bottom"/>
            <w:hideMark/>
          </w:tcPr>
          <w:p w14:paraId="1F0D26B6"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40.320</w:t>
            </w:r>
          </w:p>
        </w:tc>
        <w:tc>
          <w:tcPr>
            <w:tcW w:w="1134" w:type="dxa"/>
            <w:tcBorders>
              <w:top w:val="single" w:sz="2" w:space="0" w:color="auto"/>
              <w:bottom w:val="single" w:sz="2" w:space="0" w:color="auto"/>
            </w:tcBorders>
            <w:shd w:val="clear" w:color="auto" w:fill="auto"/>
            <w:noWrap/>
            <w:vAlign w:val="bottom"/>
            <w:hideMark/>
          </w:tcPr>
          <w:p w14:paraId="5692DB13"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29.321</w:t>
            </w:r>
          </w:p>
        </w:tc>
        <w:tc>
          <w:tcPr>
            <w:tcW w:w="1134" w:type="dxa"/>
            <w:tcBorders>
              <w:top w:val="single" w:sz="2" w:space="0" w:color="auto"/>
              <w:bottom w:val="single" w:sz="2" w:space="0" w:color="auto"/>
            </w:tcBorders>
            <w:shd w:val="clear" w:color="auto" w:fill="auto"/>
            <w:noWrap/>
            <w:vAlign w:val="bottom"/>
            <w:hideMark/>
          </w:tcPr>
          <w:p w14:paraId="5AEB4244"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89.891</w:t>
            </w:r>
          </w:p>
        </w:tc>
      </w:tr>
      <w:tr w:rsidR="005749C5" w:rsidRPr="00F44A1A" w14:paraId="42F3EE74"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tcPr>
          <w:p w14:paraId="2EC3564A"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Compra de energía eléctrica</w:t>
            </w:r>
          </w:p>
        </w:tc>
        <w:tc>
          <w:tcPr>
            <w:tcW w:w="850" w:type="dxa"/>
            <w:tcBorders>
              <w:top w:val="single" w:sz="2" w:space="0" w:color="auto"/>
              <w:bottom w:val="single" w:sz="2" w:space="0" w:color="auto"/>
            </w:tcBorders>
            <w:shd w:val="clear" w:color="auto" w:fill="auto"/>
            <w:noWrap/>
            <w:vAlign w:val="bottom"/>
          </w:tcPr>
          <w:p w14:paraId="16D225BC"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447.911</w:t>
            </w:r>
          </w:p>
        </w:tc>
        <w:tc>
          <w:tcPr>
            <w:tcW w:w="1134" w:type="dxa"/>
            <w:tcBorders>
              <w:top w:val="single" w:sz="2" w:space="0" w:color="auto"/>
              <w:bottom w:val="single" w:sz="2" w:space="0" w:color="auto"/>
            </w:tcBorders>
            <w:shd w:val="clear" w:color="auto" w:fill="auto"/>
            <w:noWrap/>
            <w:vAlign w:val="bottom"/>
          </w:tcPr>
          <w:p w14:paraId="16FE5067"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613.768</w:t>
            </w:r>
          </w:p>
        </w:tc>
        <w:tc>
          <w:tcPr>
            <w:tcW w:w="1134" w:type="dxa"/>
            <w:tcBorders>
              <w:top w:val="single" w:sz="2" w:space="0" w:color="auto"/>
              <w:bottom w:val="single" w:sz="2" w:space="0" w:color="auto"/>
            </w:tcBorders>
            <w:shd w:val="clear" w:color="auto" w:fill="auto"/>
            <w:noWrap/>
            <w:vAlign w:val="bottom"/>
          </w:tcPr>
          <w:p w14:paraId="355F2E40"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562.457</w:t>
            </w:r>
          </w:p>
        </w:tc>
        <w:tc>
          <w:tcPr>
            <w:tcW w:w="1134" w:type="dxa"/>
            <w:tcBorders>
              <w:top w:val="single" w:sz="2" w:space="0" w:color="auto"/>
              <w:bottom w:val="single" w:sz="2" w:space="0" w:color="auto"/>
            </w:tcBorders>
            <w:shd w:val="clear" w:color="auto" w:fill="auto"/>
            <w:noWrap/>
            <w:vAlign w:val="bottom"/>
          </w:tcPr>
          <w:p w14:paraId="1F7E14E2" w14:textId="77777777" w:rsidR="005749C5" w:rsidRPr="00020C75" w:rsidRDefault="005749C5" w:rsidP="00860B95">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1.624.13</w:t>
            </w:r>
            <w:r w:rsidR="00860B95">
              <w:rPr>
                <w:rFonts w:ascii="Arial Narrow" w:hAnsi="Arial Narrow" w:cs="Calibri"/>
                <w:color w:val="000000"/>
                <w:lang w:val="es-ES" w:eastAsia="es-ES"/>
              </w:rPr>
              <w:t>6</w:t>
            </w:r>
          </w:p>
        </w:tc>
      </w:tr>
      <w:tr w:rsidR="005749C5" w:rsidRPr="00F44A1A" w14:paraId="57F856FA"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tcPr>
          <w:p w14:paraId="230FB581"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Recogida de basuras</w:t>
            </w:r>
          </w:p>
        </w:tc>
        <w:tc>
          <w:tcPr>
            <w:tcW w:w="850" w:type="dxa"/>
            <w:tcBorders>
              <w:top w:val="single" w:sz="2" w:space="0" w:color="auto"/>
              <w:bottom w:val="single" w:sz="2" w:space="0" w:color="auto"/>
            </w:tcBorders>
            <w:shd w:val="clear" w:color="auto" w:fill="auto"/>
            <w:noWrap/>
            <w:vAlign w:val="bottom"/>
          </w:tcPr>
          <w:p w14:paraId="2CB2D5C7"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135.242</w:t>
            </w:r>
          </w:p>
        </w:tc>
        <w:tc>
          <w:tcPr>
            <w:tcW w:w="1134" w:type="dxa"/>
            <w:tcBorders>
              <w:top w:val="single" w:sz="2" w:space="0" w:color="auto"/>
              <w:bottom w:val="single" w:sz="2" w:space="0" w:color="auto"/>
            </w:tcBorders>
            <w:shd w:val="clear" w:color="auto" w:fill="auto"/>
            <w:noWrap/>
            <w:vAlign w:val="bottom"/>
          </w:tcPr>
          <w:p w14:paraId="63C00ACF"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109.786</w:t>
            </w:r>
          </w:p>
        </w:tc>
        <w:tc>
          <w:tcPr>
            <w:tcW w:w="1134" w:type="dxa"/>
            <w:tcBorders>
              <w:top w:val="single" w:sz="2" w:space="0" w:color="auto"/>
              <w:bottom w:val="single" w:sz="2" w:space="0" w:color="auto"/>
            </w:tcBorders>
            <w:shd w:val="clear" w:color="auto" w:fill="auto"/>
            <w:noWrap/>
            <w:vAlign w:val="bottom"/>
          </w:tcPr>
          <w:p w14:paraId="596B8708"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105.732</w:t>
            </w:r>
          </w:p>
        </w:tc>
        <w:tc>
          <w:tcPr>
            <w:tcW w:w="1134" w:type="dxa"/>
            <w:tcBorders>
              <w:top w:val="single" w:sz="2" w:space="0" w:color="auto"/>
              <w:bottom w:val="single" w:sz="2" w:space="0" w:color="auto"/>
            </w:tcBorders>
            <w:shd w:val="clear" w:color="auto" w:fill="auto"/>
            <w:noWrap/>
            <w:vAlign w:val="bottom"/>
          </w:tcPr>
          <w:p w14:paraId="0D2823F6"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350.760</w:t>
            </w:r>
          </w:p>
        </w:tc>
      </w:tr>
      <w:tr w:rsidR="005749C5" w:rsidRPr="00F44A1A" w14:paraId="125B3B7D"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6D2DA104"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 xml:space="preserve">Gestión de la sociedad municipal Elektra </w:t>
            </w:r>
            <w:proofErr w:type="spellStart"/>
            <w:r w:rsidRPr="00020C75">
              <w:rPr>
                <w:rFonts w:ascii="Arial Narrow" w:hAnsi="Arial Narrow" w:cstheme="minorHAnsi"/>
                <w:lang w:val="es-ES" w:eastAsia="es-ES"/>
              </w:rPr>
              <w:t>Urdazubi</w:t>
            </w:r>
            <w:proofErr w:type="spellEnd"/>
            <w:r w:rsidRPr="00020C75">
              <w:rPr>
                <w:rFonts w:ascii="Arial Narrow" w:hAnsi="Arial Narrow" w:cstheme="minorHAnsi"/>
                <w:lang w:val="es-ES" w:eastAsia="es-ES"/>
              </w:rPr>
              <w:t xml:space="preserve"> S.L.</w:t>
            </w:r>
          </w:p>
        </w:tc>
        <w:tc>
          <w:tcPr>
            <w:tcW w:w="850" w:type="dxa"/>
            <w:tcBorders>
              <w:top w:val="single" w:sz="2" w:space="0" w:color="auto"/>
              <w:bottom w:val="single" w:sz="2" w:space="0" w:color="auto"/>
            </w:tcBorders>
            <w:shd w:val="clear" w:color="auto" w:fill="auto"/>
            <w:noWrap/>
            <w:vAlign w:val="bottom"/>
            <w:hideMark/>
          </w:tcPr>
          <w:p w14:paraId="0A86FB63"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32.227</w:t>
            </w:r>
          </w:p>
        </w:tc>
        <w:tc>
          <w:tcPr>
            <w:tcW w:w="1134" w:type="dxa"/>
            <w:tcBorders>
              <w:top w:val="single" w:sz="2" w:space="0" w:color="auto"/>
              <w:bottom w:val="single" w:sz="2" w:space="0" w:color="auto"/>
            </w:tcBorders>
            <w:shd w:val="clear" w:color="auto" w:fill="auto"/>
            <w:noWrap/>
            <w:vAlign w:val="bottom"/>
            <w:hideMark/>
          </w:tcPr>
          <w:p w14:paraId="7766ABD9"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44.408</w:t>
            </w:r>
          </w:p>
        </w:tc>
        <w:tc>
          <w:tcPr>
            <w:tcW w:w="1134" w:type="dxa"/>
            <w:tcBorders>
              <w:top w:val="single" w:sz="2" w:space="0" w:color="auto"/>
              <w:bottom w:val="single" w:sz="2" w:space="0" w:color="auto"/>
            </w:tcBorders>
            <w:shd w:val="clear" w:color="auto" w:fill="auto"/>
            <w:noWrap/>
            <w:vAlign w:val="bottom"/>
            <w:hideMark/>
          </w:tcPr>
          <w:p w14:paraId="38DBAE73"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38.258</w:t>
            </w:r>
          </w:p>
        </w:tc>
        <w:tc>
          <w:tcPr>
            <w:tcW w:w="1134" w:type="dxa"/>
            <w:tcBorders>
              <w:top w:val="single" w:sz="2" w:space="0" w:color="auto"/>
              <w:bottom w:val="single" w:sz="2" w:space="0" w:color="auto"/>
            </w:tcBorders>
            <w:shd w:val="clear" w:color="auto" w:fill="auto"/>
            <w:noWrap/>
            <w:vAlign w:val="bottom"/>
            <w:hideMark/>
          </w:tcPr>
          <w:p w14:paraId="5EC04D1D"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114.893</w:t>
            </w:r>
          </w:p>
        </w:tc>
      </w:tr>
      <w:tr w:rsidR="005749C5" w:rsidRPr="00F44A1A" w14:paraId="714B65A4"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5105D7BE"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Asesoramiento urbanístico</w:t>
            </w:r>
          </w:p>
        </w:tc>
        <w:tc>
          <w:tcPr>
            <w:tcW w:w="850" w:type="dxa"/>
            <w:tcBorders>
              <w:top w:val="single" w:sz="2" w:space="0" w:color="auto"/>
              <w:bottom w:val="single" w:sz="2" w:space="0" w:color="auto"/>
            </w:tcBorders>
            <w:shd w:val="clear" w:color="auto" w:fill="auto"/>
            <w:noWrap/>
            <w:vAlign w:val="bottom"/>
            <w:hideMark/>
          </w:tcPr>
          <w:p w14:paraId="683269BD"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40.704</w:t>
            </w:r>
          </w:p>
        </w:tc>
        <w:tc>
          <w:tcPr>
            <w:tcW w:w="1134" w:type="dxa"/>
            <w:tcBorders>
              <w:top w:val="single" w:sz="2" w:space="0" w:color="auto"/>
              <w:bottom w:val="single" w:sz="2" w:space="0" w:color="auto"/>
            </w:tcBorders>
            <w:shd w:val="clear" w:color="auto" w:fill="auto"/>
            <w:noWrap/>
            <w:vAlign w:val="bottom"/>
            <w:hideMark/>
          </w:tcPr>
          <w:p w14:paraId="710F7011"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37.229</w:t>
            </w:r>
          </w:p>
        </w:tc>
        <w:tc>
          <w:tcPr>
            <w:tcW w:w="1134" w:type="dxa"/>
            <w:tcBorders>
              <w:top w:val="single" w:sz="2" w:space="0" w:color="auto"/>
              <w:bottom w:val="single" w:sz="2" w:space="0" w:color="auto"/>
            </w:tcBorders>
            <w:shd w:val="clear" w:color="auto" w:fill="auto"/>
            <w:noWrap/>
            <w:vAlign w:val="bottom"/>
            <w:hideMark/>
          </w:tcPr>
          <w:p w14:paraId="784B3867"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27.987</w:t>
            </w:r>
          </w:p>
        </w:tc>
        <w:tc>
          <w:tcPr>
            <w:tcW w:w="1134" w:type="dxa"/>
            <w:tcBorders>
              <w:top w:val="single" w:sz="2" w:space="0" w:color="auto"/>
              <w:bottom w:val="single" w:sz="2" w:space="0" w:color="auto"/>
            </w:tcBorders>
            <w:shd w:val="clear" w:color="auto" w:fill="auto"/>
            <w:noWrap/>
            <w:vAlign w:val="bottom"/>
            <w:hideMark/>
          </w:tcPr>
          <w:p w14:paraId="78BFCDE9"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105.920</w:t>
            </w:r>
          </w:p>
        </w:tc>
      </w:tr>
      <w:tr w:rsidR="005749C5" w:rsidRPr="00F44A1A" w14:paraId="255286A0"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74874A79"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Limpieza Ayuntamiento</w:t>
            </w:r>
          </w:p>
        </w:tc>
        <w:tc>
          <w:tcPr>
            <w:tcW w:w="850" w:type="dxa"/>
            <w:tcBorders>
              <w:top w:val="single" w:sz="2" w:space="0" w:color="auto"/>
              <w:bottom w:val="single" w:sz="2" w:space="0" w:color="auto"/>
            </w:tcBorders>
            <w:shd w:val="clear" w:color="auto" w:fill="auto"/>
            <w:noWrap/>
            <w:vAlign w:val="bottom"/>
            <w:hideMark/>
          </w:tcPr>
          <w:p w14:paraId="0540F494"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18.121</w:t>
            </w:r>
          </w:p>
        </w:tc>
        <w:tc>
          <w:tcPr>
            <w:tcW w:w="1134" w:type="dxa"/>
            <w:tcBorders>
              <w:top w:val="single" w:sz="2" w:space="0" w:color="auto"/>
              <w:bottom w:val="single" w:sz="2" w:space="0" w:color="auto"/>
            </w:tcBorders>
            <w:shd w:val="clear" w:color="auto" w:fill="auto"/>
            <w:noWrap/>
            <w:vAlign w:val="bottom"/>
            <w:hideMark/>
          </w:tcPr>
          <w:p w14:paraId="27F3858B" w14:textId="77777777" w:rsidR="005749C5" w:rsidRPr="00020C75" w:rsidRDefault="005749C5" w:rsidP="002C3373">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18.</w:t>
            </w:r>
            <w:r w:rsidR="002C3373">
              <w:rPr>
                <w:rFonts w:ascii="Arial Narrow" w:hAnsi="Arial Narrow" w:cs="Calibri"/>
                <w:color w:val="000000"/>
                <w:lang w:val="es-ES" w:eastAsia="es-ES"/>
              </w:rPr>
              <w:t>7</w:t>
            </w:r>
            <w:r w:rsidRPr="00020C75">
              <w:rPr>
                <w:rFonts w:ascii="Arial Narrow" w:hAnsi="Arial Narrow" w:cs="Calibri"/>
                <w:color w:val="000000"/>
                <w:lang w:val="es-ES" w:eastAsia="es-ES"/>
              </w:rPr>
              <w:t>52</w:t>
            </w:r>
          </w:p>
        </w:tc>
        <w:tc>
          <w:tcPr>
            <w:tcW w:w="1134" w:type="dxa"/>
            <w:tcBorders>
              <w:top w:val="single" w:sz="2" w:space="0" w:color="auto"/>
              <w:bottom w:val="single" w:sz="2" w:space="0" w:color="auto"/>
            </w:tcBorders>
            <w:shd w:val="clear" w:color="auto" w:fill="auto"/>
            <w:noWrap/>
            <w:vAlign w:val="bottom"/>
            <w:hideMark/>
          </w:tcPr>
          <w:p w14:paraId="4456ECAE"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27.067</w:t>
            </w:r>
          </w:p>
        </w:tc>
        <w:tc>
          <w:tcPr>
            <w:tcW w:w="1134" w:type="dxa"/>
            <w:tcBorders>
              <w:top w:val="single" w:sz="2" w:space="0" w:color="auto"/>
              <w:bottom w:val="single" w:sz="2" w:space="0" w:color="auto"/>
            </w:tcBorders>
            <w:shd w:val="clear" w:color="auto" w:fill="auto"/>
            <w:noWrap/>
            <w:vAlign w:val="bottom"/>
            <w:hideMark/>
          </w:tcPr>
          <w:p w14:paraId="55C2981D"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63.840</w:t>
            </w:r>
          </w:p>
        </w:tc>
      </w:tr>
      <w:tr w:rsidR="005749C5" w:rsidRPr="00F44A1A" w14:paraId="4CBC65DA"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6A0365CA"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 xml:space="preserve">Publicidad </w:t>
            </w:r>
          </w:p>
        </w:tc>
        <w:tc>
          <w:tcPr>
            <w:tcW w:w="850" w:type="dxa"/>
            <w:tcBorders>
              <w:top w:val="single" w:sz="2" w:space="0" w:color="auto"/>
              <w:bottom w:val="single" w:sz="2" w:space="0" w:color="auto"/>
            </w:tcBorders>
            <w:shd w:val="clear" w:color="auto" w:fill="auto"/>
            <w:noWrap/>
            <w:vAlign w:val="bottom"/>
            <w:hideMark/>
          </w:tcPr>
          <w:p w14:paraId="1F64E308"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13.540</w:t>
            </w:r>
          </w:p>
        </w:tc>
        <w:tc>
          <w:tcPr>
            <w:tcW w:w="1134" w:type="dxa"/>
            <w:tcBorders>
              <w:top w:val="single" w:sz="2" w:space="0" w:color="auto"/>
              <w:bottom w:val="single" w:sz="2" w:space="0" w:color="auto"/>
            </w:tcBorders>
            <w:shd w:val="clear" w:color="auto" w:fill="auto"/>
            <w:noWrap/>
            <w:vAlign w:val="bottom"/>
            <w:hideMark/>
          </w:tcPr>
          <w:p w14:paraId="7C666BEA"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10.266</w:t>
            </w:r>
          </w:p>
        </w:tc>
        <w:tc>
          <w:tcPr>
            <w:tcW w:w="1134" w:type="dxa"/>
            <w:tcBorders>
              <w:top w:val="single" w:sz="2" w:space="0" w:color="auto"/>
              <w:bottom w:val="single" w:sz="2" w:space="0" w:color="auto"/>
            </w:tcBorders>
            <w:shd w:val="clear" w:color="auto" w:fill="auto"/>
            <w:noWrap/>
            <w:vAlign w:val="bottom"/>
            <w:hideMark/>
          </w:tcPr>
          <w:p w14:paraId="0046F130"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15.020</w:t>
            </w:r>
          </w:p>
        </w:tc>
        <w:tc>
          <w:tcPr>
            <w:tcW w:w="1134" w:type="dxa"/>
            <w:tcBorders>
              <w:top w:val="single" w:sz="2" w:space="0" w:color="auto"/>
              <w:bottom w:val="single" w:sz="2" w:space="0" w:color="auto"/>
            </w:tcBorders>
            <w:shd w:val="clear" w:color="auto" w:fill="auto"/>
            <w:noWrap/>
            <w:vAlign w:val="bottom"/>
            <w:hideMark/>
          </w:tcPr>
          <w:p w14:paraId="3C9F779C"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38.826</w:t>
            </w:r>
          </w:p>
        </w:tc>
      </w:tr>
      <w:tr w:rsidR="005749C5" w:rsidRPr="00F44A1A" w14:paraId="79CBA9AE"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729C3DAD"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Actividades culturales</w:t>
            </w:r>
          </w:p>
        </w:tc>
        <w:tc>
          <w:tcPr>
            <w:tcW w:w="850" w:type="dxa"/>
            <w:tcBorders>
              <w:top w:val="single" w:sz="2" w:space="0" w:color="auto"/>
              <w:bottom w:val="single" w:sz="2" w:space="0" w:color="auto"/>
            </w:tcBorders>
            <w:shd w:val="clear" w:color="auto" w:fill="auto"/>
            <w:noWrap/>
            <w:vAlign w:val="bottom"/>
            <w:hideMark/>
          </w:tcPr>
          <w:p w14:paraId="6EF6FBBF"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18.023</w:t>
            </w:r>
          </w:p>
        </w:tc>
        <w:tc>
          <w:tcPr>
            <w:tcW w:w="1134" w:type="dxa"/>
            <w:tcBorders>
              <w:top w:val="single" w:sz="2" w:space="0" w:color="auto"/>
              <w:bottom w:val="single" w:sz="2" w:space="0" w:color="auto"/>
            </w:tcBorders>
            <w:shd w:val="clear" w:color="auto" w:fill="auto"/>
            <w:noWrap/>
            <w:vAlign w:val="bottom"/>
            <w:hideMark/>
          </w:tcPr>
          <w:p w14:paraId="1424CFCA"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19.849</w:t>
            </w:r>
          </w:p>
        </w:tc>
        <w:tc>
          <w:tcPr>
            <w:tcW w:w="1134" w:type="dxa"/>
            <w:tcBorders>
              <w:top w:val="single" w:sz="2" w:space="0" w:color="auto"/>
              <w:bottom w:val="single" w:sz="2" w:space="0" w:color="auto"/>
            </w:tcBorders>
            <w:shd w:val="clear" w:color="auto" w:fill="auto"/>
            <w:noWrap/>
            <w:vAlign w:val="bottom"/>
            <w:hideMark/>
          </w:tcPr>
          <w:p w14:paraId="63444688"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8.052</w:t>
            </w:r>
          </w:p>
        </w:tc>
        <w:tc>
          <w:tcPr>
            <w:tcW w:w="1134" w:type="dxa"/>
            <w:tcBorders>
              <w:top w:val="single" w:sz="2" w:space="0" w:color="auto"/>
              <w:bottom w:val="single" w:sz="2" w:space="0" w:color="auto"/>
            </w:tcBorders>
            <w:shd w:val="clear" w:color="auto" w:fill="auto"/>
            <w:noWrap/>
            <w:vAlign w:val="bottom"/>
            <w:hideMark/>
          </w:tcPr>
          <w:p w14:paraId="4D52BA8E" w14:textId="77777777" w:rsidR="005749C5" w:rsidRPr="00020C75" w:rsidRDefault="005749C5" w:rsidP="00FE7991">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45.924</w:t>
            </w:r>
          </w:p>
        </w:tc>
      </w:tr>
      <w:tr w:rsidR="005749C5" w:rsidRPr="00F44A1A" w14:paraId="259789D1"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15397F16"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Servicios fontanería</w:t>
            </w:r>
          </w:p>
        </w:tc>
        <w:tc>
          <w:tcPr>
            <w:tcW w:w="850" w:type="dxa"/>
            <w:tcBorders>
              <w:top w:val="single" w:sz="2" w:space="0" w:color="auto"/>
              <w:bottom w:val="single" w:sz="2" w:space="0" w:color="auto"/>
            </w:tcBorders>
            <w:shd w:val="clear" w:color="auto" w:fill="auto"/>
            <w:noWrap/>
            <w:vAlign w:val="bottom"/>
          </w:tcPr>
          <w:p w14:paraId="59CD20AB"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6.466</w:t>
            </w:r>
          </w:p>
        </w:tc>
        <w:tc>
          <w:tcPr>
            <w:tcW w:w="1134" w:type="dxa"/>
            <w:tcBorders>
              <w:top w:val="single" w:sz="2" w:space="0" w:color="auto"/>
              <w:bottom w:val="single" w:sz="2" w:space="0" w:color="auto"/>
            </w:tcBorders>
            <w:shd w:val="clear" w:color="auto" w:fill="auto"/>
            <w:noWrap/>
            <w:vAlign w:val="bottom"/>
          </w:tcPr>
          <w:p w14:paraId="2D6B2A5F"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23.092</w:t>
            </w:r>
          </w:p>
        </w:tc>
        <w:tc>
          <w:tcPr>
            <w:tcW w:w="1134" w:type="dxa"/>
            <w:tcBorders>
              <w:top w:val="single" w:sz="2" w:space="0" w:color="auto"/>
              <w:bottom w:val="single" w:sz="2" w:space="0" w:color="auto"/>
            </w:tcBorders>
            <w:shd w:val="clear" w:color="auto" w:fill="auto"/>
            <w:noWrap/>
            <w:vAlign w:val="bottom"/>
          </w:tcPr>
          <w:p w14:paraId="034547B8"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21.714</w:t>
            </w:r>
          </w:p>
        </w:tc>
        <w:tc>
          <w:tcPr>
            <w:tcW w:w="1134" w:type="dxa"/>
            <w:tcBorders>
              <w:top w:val="single" w:sz="2" w:space="0" w:color="auto"/>
              <w:bottom w:val="single" w:sz="2" w:space="0" w:color="auto"/>
            </w:tcBorders>
            <w:shd w:val="clear" w:color="auto" w:fill="auto"/>
            <w:noWrap/>
            <w:vAlign w:val="bottom"/>
          </w:tcPr>
          <w:p w14:paraId="13DD2315"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51.272</w:t>
            </w:r>
          </w:p>
        </w:tc>
      </w:tr>
      <w:tr w:rsidR="005749C5" w:rsidRPr="00F44A1A" w14:paraId="4E903A2F" w14:textId="77777777" w:rsidTr="006120D5">
        <w:trPr>
          <w:trHeight w:val="198"/>
          <w:jc w:val="center"/>
        </w:trPr>
        <w:tc>
          <w:tcPr>
            <w:tcW w:w="5529" w:type="dxa"/>
            <w:tcBorders>
              <w:top w:val="single" w:sz="2" w:space="0" w:color="auto"/>
            </w:tcBorders>
            <w:shd w:val="clear" w:color="auto" w:fill="auto"/>
            <w:noWrap/>
            <w:vAlign w:val="bottom"/>
            <w:hideMark/>
          </w:tcPr>
          <w:p w14:paraId="418ECF59"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Servicios profesionales abogados</w:t>
            </w:r>
          </w:p>
        </w:tc>
        <w:tc>
          <w:tcPr>
            <w:tcW w:w="850" w:type="dxa"/>
            <w:tcBorders>
              <w:top w:val="single" w:sz="2" w:space="0" w:color="auto"/>
            </w:tcBorders>
            <w:shd w:val="clear" w:color="auto" w:fill="auto"/>
            <w:noWrap/>
            <w:vAlign w:val="bottom"/>
          </w:tcPr>
          <w:p w14:paraId="1EB55A8F"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69.644</w:t>
            </w:r>
          </w:p>
        </w:tc>
        <w:tc>
          <w:tcPr>
            <w:tcW w:w="1134" w:type="dxa"/>
            <w:tcBorders>
              <w:top w:val="single" w:sz="2" w:space="0" w:color="auto"/>
            </w:tcBorders>
            <w:shd w:val="clear" w:color="auto" w:fill="auto"/>
            <w:noWrap/>
            <w:vAlign w:val="bottom"/>
          </w:tcPr>
          <w:p w14:paraId="2E5FCF88"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89.398</w:t>
            </w:r>
          </w:p>
        </w:tc>
        <w:tc>
          <w:tcPr>
            <w:tcW w:w="1134" w:type="dxa"/>
            <w:tcBorders>
              <w:top w:val="single" w:sz="2" w:space="0" w:color="auto"/>
            </w:tcBorders>
            <w:shd w:val="clear" w:color="auto" w:fill="auto"/>
            <w:noWrap/>
            <w:vAlign w:val="bottom"/>
          </w:tcPr>
          <w:p w14:paraId="2CA954FF"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20.518</w:t>
            </w:r>
          </w:p>
        </w:tc>
        <w:tc>
          <w:tcPr>
            <w:tcW w:w="1134" w:type="dxa"/>
            <w:tcBorders>
              <w:top w:val="single" w:sz="2" w:space="0" w:color="auto"/>
            </w:tcBorders>
            <w:shd w:val="clear" w:color="auto" w:fill="auto"/>
            <w:noWrap/>
            <w:vAlign w:val="bottom"/>
          </w:tcPr>
          <w:p w14:paraId="772E8423"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179.560</w:t>
            </w:r>
          </w:p>
        </w:tc>
      </w:tr>
      <w:tr w:rsidR="005749C5" w:rsidRPr="00F44A1A" w14:paraId="5C3AC02D" w14:textId="77777777" w:rsidTr="006120D5">
        <w:trPr>
          <w:trHeight w:val="198"/>
          <w:jc w:val="center"/>
        </w:trPr>
        <w:tc>
          <w:tcPr>
            <w:tcW w:w="5529" w:type="dxa"/>
            <w:tcBorders>
              <w:bottom w:val="single" w:sz="4" w:space="0" w:color="auto"/>
            </w:tcBorders>
            <w:shd w:val="clear" w:color="auto" w:fill="auto"/>
            <w:noWrap/>
            <w:vAlign w:val="bottom"/>
            <w:hideMark/>
          </w:tcPr>
          <w:p w14:paraId="0E150680" w14:textId="77777777" w:rsidR="005749C5" w:rsidRPr="00020C75" w:rsidRDefault="005749C5" w:rsidP="00FE7991">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Seguros</w:t>
            </w:r>
          </w:p>
        </w:tc>
        <w:tc>
          <w:tcPr>
            <w:tcW w:w="850" w:type="dxa"/>
            <w:tcBorders>
              <w:bottom w:val="single" w:sz="4" w:space="0" w:color="auto"/>
            </w:tcBorders>
            <w:shd w:val="clear" w:color="auto" w:fill="auto"/>
            <w:noWrap/>
            <w:vAlign w:val="bottom"/>
          </w:tcPr>
          <w:p w14:paraId="57A725C7"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14.711</w:t>
            </w:r>
          </w:p>
        </w:tc>
        <w:tc>
          <w:tcPr>
            <w:tcW w:w="1134" w:type="dxa"/>
            <w:tcBorders>
              <w:bottom w:val="single" w:sz="4" w:space="0" w:color="auto"/>
            </w:tcBorders>
            <w:shd w:val="clear" w:color="auto" w:fill="auto"/>
            <w:noWrap/>
            <w:vAlign w:val="bottom"/>
          </w:tcPr>
          <w:p w14:paraId="426135DC"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15.041</w:t>
            </w:r>
          </w:p>
        </w:tc>
        <w:tc>
          <w:tcPr>
            <w:tcW w:w="1134" w:type="dxa"/>
            <w:tcBorders>
              <w:bottom w:val="single" w:sz="4" w:space="0" w:color="auto"/>
            </w:tcBorders>
            <w:shd w:val="clear" w:color="auto" w:fill="auto"/>
            <w:noWrap/>
            <w:vAlign w:val="bottom"/>
          </w:tcPr>
          <w:p w14:paraId="265C0859"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14.404</w:t>
            </w:r>
          </w:p>
        </w:tc>
        <w:tc>
          <w:tcPr>
            <w:tcW w:w="1134" w:type="dxa"/>
            <w:tcBorders>
              <w:bottom w:val="single" w:sz="4" w:space="0" w:color="auto"/>
            </w:tcBorders>
            <w:shd w:val="clear" w:color="auto" w:fill="auto"/>
            <w:noWrap/>
            <w:vAlign w:val="bottom"/>
          </w:tcPr>
          <w:p w14:paraId="33B9067D" w14:textId="77777777" w:rsidR="005749C5" w:rsidRPr="00020C75" w:rsidRDefault="00860B9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44.156</w:t>
            </w:r>
          </w:p>
        </w:tc>
      </w:tr>
      <w:tr w:rsidR="005749C5" w:rsidRPr="00CA043D" w14:paraId="262712E8" w14:textId="77777777" w:rsidTr="006120D5">
        <w:trPr>
          <w:trHeight w:val="227"/>
          <w:jc w:val="center"/>
        </w:trPr>
        <w:tc>
          <w:tcPr>
            <w:tcW w:w="5529" w:type="dxa"/>
            <w:shd w:val="clear" w:color="000000" w:fill="F8CBAD"/>
            <w:noWrap/>
            <w:vAlign w:val="bottom"/>
            <w:hideMark/>
          </w:tcPr>
          <w:p w14:paraId="54EB6539" w14:textId="77777777" w:rsidR="005749C5" w:rsidRPr="00CA043D" w:rsidRDefault="005749C5" w:rsidP="00FE7991">
            <w:pPr>
              <w:spacing w:after="0"/>
              <w:ind w:firstLine="0"/>
              <w:jc w:val="left"/>
              <w:rPr>
                <w:rFonts w:ascii="Arial" w:hAnsi="Arial" w:cs="Arial"/>
                <w:color w:val="000000"/>
                <w:sz w:val="18"/>
                <w:szCs w:val="18"/>
                <w:lang w:val="es-ES" w:eastAsia="es-ES"/>
              </w:rPr>
            </w:pPr>
            <w:r w:rsidRPr="00CA043D">
              <w:rPr>
                <w:rFonts w:ascii="Arial" w:hAnsi="Arial" w:cs="Arial"/>
                <w:color w:val="000000"/>
                <w:sz w:val="18"/>
                <w:szCs w:val="18"/>
                <w:lang w:val="es-ES" w:eastAsia="es-ES"/>
              </w:rPr>
              <w:t>Total</w:t>
            </w:r>
          </w:p>
        </w:tc>
        <w:tc>
          <w:tcPr>
            <w:tcW w:w="850" w:type="dxa"/>
            <w:shd w:val="clear" w:color="000000" w:fill="F8CBAD"/>
            <w:noWrap/>
            <w:vAlign w:val="bottom"/>
          </w:tcPr>
          <w:p w14:paraId="6597249B" w14:textId="77777777" w:rsidR="005749C5" w:rsidRPr="00CA043D" w:rsidRDefault="00860B95" w:rsidP="00FE799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927.488</w:t>
            </w:r>
          </w:p>
        </w:tc>
        <w:tc>
          <w:tcPr>
            <w:tcW w:w="1134" w:type="dxa"/>
            <w:shd w:val="clear" w:color="000000" w:fill="F8CBAD"/>
            <w:noWrap/>
            <w:vAlign w:val="bottom"/>
          </w:tcPr>
          <w:p w14:paraId="72643389" w14:textId="77777777" w:rsidR="005749C5" w:rsidRPr="00CA043D" w:rsidRDefault="00860B95" w:rsidP="00FE799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1.134.937</w:t>
            </w:r>
          </w:p>
        </w:tc>
        <w:tc>
          <w:tcPr>
            <w:tcW w:w="1134" w:type="dxa"/>
            <w:shd w:val="clear" w:color="000000" w:fill="F8CBAD"/>
            <w:noWrap/>
            <w:vAlign w:val="bottom"/>
          </w:tcPr>
          <w:p w14:paraId="0919F7D3" w14:textId="77777777" w:rsidR="005749C5" w:rsidRPr="00CA043D" w:rsidRDefault="00860B95" w:rsidP="00FE799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933.175</w:t>
            </w:r>
          </w:p>
        </w:tc>
        <w:tc>
          <w:tcPr>
            <w:tcW w:w="1134" w:type="dxa"/>
            <w:shd w:val="clear" w:color="000000" w:fill="F8CBAD"/>
            <w:noWrap/>
            <w:vAlign w:val="bottom"/>
          </w:tcPr>
          <w:p w14:paraId="4445003E" w14:textId="77777777" w:rsidR="005749C5" w:rsidRPr="00CA043D" w:rsidRDefault="00860B95" w:rsidP="00FE799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2.995.600</w:t>
            </w:r>
          </w:p>
        </w:tc>
      </w:tr>
    </w:tbl>
    <w:p w14:paraId="440D1397" w14:textId="77777777" w:rsidR="005749C5" w:rsidRDefault="005749C5" w:rsidP="001A4D38">
      <w:pPr>
        <w:pStyle w:val="texto"/>
        <w:tabs>
          <w:tab w:val="clear" w:pos="2835"/>
          <w:tab w:val="clear" w:pos="3969"/>
          <w:tab w:val="clear" w:pos="5103"/>
          <w:tab w:val="clear" w:pos="6237"/>
          <w:tab w:val="clear" w:pos="7371"/>
          <w:tab w:val="left" w:pos="480"/>
        </w:tabs>
        <w:spacing w:before="120"/>
        <w:ind w:left="289" w:firstLine="0"/>
        <w:rPr>
          <w:szCs w:val="26"/>
        </w:rPr>
      </w:pPr>
      <w:r>
        <w:rPr>
          <w:szCs w:val="26"/>
        </w:rPr>
        <w:t xml:space="preserve">De la información reflejada en el cuadro, </w:t>
      </w:r>
      <w:r w:rsidR="00613E8E">
        <w:rPr>
          <w:szCs w:val="26"/>
        </w:rPr>
        <w:t xml:space="preserve">destacamos </w:t>
      </w:r>
      <w:r>
        <w:rPr>
          <w:szCs w:val="26"/>
        </w:rPr>
        <w:t>lo siguiente:</w:t>
      </w:r>
    </w:p>
    <w:p w14:paraId="44B5625E" w14:textId="77777777" w:rsidR="005749C5" w:rsidRPr="00594FAB" w:rsidRDefault="00020C75" w:rsidP="00020C75">
      <w:pPr>
        <w:pStyle w:val="texto"/>
        <w:tabs>
          <w:tab w:val="clear" w:pos="2835"/>
          <w:tab w:val="clear" w:pos="3969"/>
          <w:tab w:val="clear" w:pos="5103"/>
          <w:tab w:val="clear" w:pos="6237"/>
          <w:tab w:val="clear" w:pos="7371"/>
          <w:tab w:val="left" w:pos="480"/>
          <w:tab w:val="num" w:pos="720"/>
          <w:tab w:val="num" w:pos="1080"/>
          <w:tab w:val="num" w:pos="2760"/>
        </w:tabs>
        <w:ind w:firstLine="290"/>
      </w:pPr>
      <w:r w:rsidRPr="00F2040C">
        <w:rPr>
          <w:szCs w:val="26"/>
          <w:lang w:eastAsia="es-ES"/>
        </w:rPr>
        <w:t xml:space="preserve">• </w:t>
      </w:r>
      <w:r w:rsidRPr="00020C75">
        <w:rPr>
          <w:szCs w:val="26"/>
        </w:rPr>
        <w:t>S</w:t>
      </w:r>
      <w:r w:rsidR="005749C5" w:rsidRPr="00020C75">
        <w:rPr>
          <w:szCs w:val="26"/>
        </w:rPr>
        <w:t>ervicio</w:t>
      </w:r>
      <w:r w:rsidR="005749C5" w:rsidRPr="00594FAB">
        <w:rPr>
          <w:i/>
          <w:szCs w:val="26"/>
        </w:rPr>
        <w:t xml:space="preserve"> de vigilancia, acceso y visita a las Grutas de </w:t>
      </w:r>
      <w:proofErr w:type="spellStart"/>
      <w:r w:rsidR="005749C5" w:rsidRPr="00594FAB">
        <w:rPr>
          <w:i/>
          <w:szCs w:val="26"/>
        </w:rPr>
        <w:t>Ikaburua</w:t>
      </w:r>
      <w:proofErr w:type="spellEnd"/>
      <w:r w:rsidR="005749C5" w:rsidRPr="00594FAB">
        <w:rPr>
          <w:i/>
          <w:szCs w:val="26"/>
        </w:rPr>
        <w:t xml:space="preserve">, explotación del bar, visita guiada al Molino y al Monasterio de San Salvador. </w:t>
      </w:r>
      <w:r w:rsidR="005749C5" w:rsidRPr="00594FAB">
        <w:rPr>
          <w:szCs w:val="26"/>
        </w:rPr>
        <w:t xml:space="preserve">Este contrato fue adjudicado el 23 de diciembre de 2008 bajo la fórmula de “Gestión Interesada” prevista en el artículo 201 de la Ley Foral </w:t>
      </w:r>
      <w:r w:rsidR="005749C5" w:rsidRPr="00594FAB">
        <w:t xml:space="preserve">6/1990, de 2 de julio, de </w:t>
      </w:r>
      <w:r w:rsidR="005749C5" w:rsidRPr="00594FAB">
        <w:lastRenderedPageBreak/>
        <w:t>la Administración Local de Navarra, con una duración de cinco años, prorrogable por otro p</w:t>
      </w:r>
      <w:r w:rsidR="005749C5">
        <w:t xml:space="preserve">eriodo de 5 años, </w:t>
      </w:r>
      <w:r w:rsidR="005749C5" w:rsidRPr="00594FAB">
        <w:t xml:space="preserve">habiendo finalizado </w:t>
      </w:r>
      <w:r w:rsidR="005749C5">
        <w:t xml:space="preserve">por lo tanto </w:t>
      </w:r>
      <w:r w:rsidR="005749C5" w:rsidRPr="00594FAB">
        <w:t>su</w:t>
      </w:r>
      <w:r w:rsidR="005749C5">
        <w:t xml:space="preserve"> vigencia en diciembre de 2018. El servicio lo continúa prestando </w:t>
      </w:r>
      <w:r w:rsidR="005749C5" w:rsidRPr="00594FAB">
        <w:t xml:space="preserve">el anterior adjudicatario. </w:t>
      </w:r>
    </w:p>
    <w:p w14:paraId="7D8B9A2B" w14:textId="77777777" w:rsidR="005749C5" w:rsidRDefault="00020C75" w:rsidP="00020C7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F2040C">
        <w:rPr>
          <w:szCs w:val="26"/>
          <w:lang w:eastAsia="es-ES"/>
        </w:rPr>
        <w:t xml:space="preserve">• </w:t>
      </w:r>
      <w:r w:rsidR="005749C5" w:rsidRPr="00C03859">
        <w:rPr>
          <w:i/>
          <w:szCs w:val="26"/>
        </w:rPr>
        <w:t xml:space="preserve">Recogida de basuras. </w:t>
      </w:r>
      <w:r w:rsidR="005749C5" w:rsidRPr="00C03859">
        <w:rPr>
          <w:szCs w:val="26"/>
        </w:rPr>
        <w:t xml:space="preserve">Este servicio </w:t>
      </w:r>
      <w:r w:rsidR="00F85028">
        <w:rPr>
          <w:szCs w:val="26"/>
        </w:rPr>
        <w:t>lo</w:t>
      </w:r>
      <w:r w:rsidR="005749C5" w:rsidRPr="00C03859">
        <w:rPr>
          <w:szCs w:val="26"/>
        </w:rPr>
        <w:t xml:space="preserve"> presta una </w:t>
      </w:r>
      <w:r w:rsidR="00F85028">
        <w:rPr>
          <w:szCs w:val="26"/>
        </w:rPr>
        <w:t>m</w:t>
      </w:r>
      <w:r w:rsidR="005749C5" w:rsidRPr="00C03859">
        <w:rPr>
          <w:szCs w:val="26"/>
        </w:rPr>
        <w:t>ancomunidad de Francia y está soportado en un convenio firm</w:t>
      </w:r>
      <w:r w:rsidR="005749C5">
        <w:rPr>
          <w:szCs w:val="26"/>
        </w:rPr>
        <w:t>ado de forma conjunta entre los A</w:t>
      </w:r>
      <w:r w:rsidR="005749C5" w:rsidRPr="00C03859">
        <w:rPr>
          <w:szCs w:val="26"/>
        </w:rPr>
        <w:t xml:space="preserve">yuntamientos de </w:t>
      </w:r>
      <w:proofErr w:type="spellStart"/>
      <w:r w:rsidR="005749C5" w:rsidRPr="00C03859">
        <w:rPr>
          <w:szCs w:val="26"/>
        </w:rPr>
        <w:t>Ur</w:t>
      </w:r>
      <w:r w:rsidR="00115795">
        <w:rPr>
          <w:szCs w:val="26"/>
        </w:rPr>
        <w:t>dazubi</w:t>
      </w:r>
      <w:proofErr w:type="spellEnd"/>
      <w:r w:rsidR="00115795">
        <w:rPr>
          <w:szCs w:val="26"/>
        </w:rPr>
        <w:t>-Urdax y Zugarramurdi.</w:t>
      </w:r>
    </w:p>
    <w:p w14:paraId="6FA664A5"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217548">
        <w:rPr>
          <w:szCs w:val="26"/>
        </w:rPr>
        <w:t>En r</w:t>
      </w:r>
      <w:r>
        <w:rPr>
          <w:szCs w:val="26"/>
        </w:rPr>
        <w:t xml:space="preserve">elación a </w:t>
      </w:r>
      <w:r w:rsidR="00F85028">
        <w:rPr>
          <w:szCs w:val="26"/>
        </w:rPr>
        <w:t>e</w:t>
      </w:r>
      <w:r>
        <w:rPr>
          <w:szCs w:val="26"/>
        </w:rPr>
        <w:t xml:space="preserve">ste área de gastos </w:t>
      </w:r>
      <w:r w:rsidR="008F75EA">
        <w:rPr>
          <w:szCs w:val="26"/>
        </w:rPr>
        <w:t xml:space="preserve">corrientes </w:t>
      </w:r>
      <w:r>
        <w:rPr>
          <w:szCs w:val="26"/>
        </w:rPr>
        <w:t xml:space="preserve">en bienes y servicios, </w:t>
      </w:r>
      <w:r w:rsidR="00613E8E">
        <w:rPr>
          <w:szCs w:val="26"/>
        </w:rPr>
        <w:t xml:space="preserve">indicamos </w:t>
      </w:r>
      <w:r w:rsidRPr="008F75EA">
        <w:rPr>
          <w:szCs w:val="26"/>
        </w:rPr>
        <w:t>que todos los servicios revisados son gastos recurrentes de</w:t>
      </w:r>
      <w:r w:rsidRPr="003846E5">
        <w:rPr>
          <w:szCs w:val="26"/>
        </w:rPr>
        <w:t xml:space="preserve"> carácter anual</w:t>
      </w:r>
      <w:r>
        <w:rPr>
          <w:szCs w:val="26"/>
        </w:rPr>
        <w:t>,</w:t>
      </w:r>
      <w:r w:rsidRPr="003846E5">
        <w:rPr>
          <w:szCs w:val="26"/>
        </w:rPr>
        <w:t xml:space="preserve"> </w:t>
      </w:r>
      <w:r>
        <w:rPr>
          <w:szCs w:val="26"/>
        </w:rPr>
        <w:t>a pesar de que algunos de ellos</w:t>
      </w:r>
      <w:r>
        <w:rPr>
          <w:rStyle w:val="Refdenotaalpie"/>
          <w:szCs w:val="26"/>
        </w:rPr>
        <w:footnoteReference w:id="7"/>
      </w:r>
      <w:r>
        <w:rPr>
          <w:szCs w:val="26"/>
        </w:rPr>
        <w:t xml:space="preserve"> son servicios cuyos gastos fluctúan por necesidades puntuales dadas sus características. </w:t>
      </w:r>
      <w:r w:rsidR="00DC1465">
        <w:rPr>
          <w:szCs w:val="26"/>
        </w:rPr>
        <w:t>A excepción del servicio de recogida de basuras, que está soportado en un convenio de cola</w:t>
      </w:r>
      <w:r w:rsidR="002F1A67">
        <w:rPr>
          <w:szCs w:val="26"/>
        </w:rPr>
        <w:t>boración</w:t>
      </w:r>
      <w:r w:rsidR="00DC1465">
        <w:rPr>
          <w:szCs w:val="26"/>
        </w:rPr>
        <w:t>, en el rest</w:t>
      </w:r>
      <w:r w:rsidR="009049DF">
        <w:rPr>
          <w:szCs w:val="26"/>
        </w:rPr>
        <w:t xml:space="preserve">o de servicios facturados </w:t>
      </w:r>
      <w:r w:rsidR="00DC1465">
        <w:rPr>
          <w:szCs w:val="26"/>
        </w:rPr>
        <w:t xml:space="preserve">no consta la existencia de ningún </w:t>
      </w:r>
      <w:r>
        <w:rPr>
          <w:szCs w:val="26"/>
        </w:rPr>
        <w:t xml:space="preserve">expediente de contratación y su posterior licitación pública de conformidad con los procedimientos de adjudicación previstos en la </w:t>
      </w:r>
      <w:r w:rsidR="00287455">
        <w:rPr>
          <w:szCs w:val="26"/>
        </w:rPr>
        <w:t xml:space="preserve">normativa contractual aplicable, </w:t>
      </w:r>
      <w:r w:rsidR="00DC1465">
        <w:rPr>
          <w:szCs w:val="26"/>
        </w:rPr>
        <w:t xml:space="preserve">por lo que debe regularizarse esta situación. </w:t>
      </w:r>
    </w:p>
    <w:p w14:paraId="5D70060D" w14:textId="77777777" w:rsidR="005749C5" w:rsidRDefault="002F0492" w:rsidP="002F0492">
      <w:pPr>
        <w:ind w:left="360" w:firstLine="0"/>
        <w:contextualSpacing/>
        <w:rPr>
          <w:rFonts w:eastAsia="Calibri"/>
          <w:i/>
          <w:sz w:val="26"/>
          <w:szCs w:val="26"/>
          <w:lang w:eastAsia="es-ES"/>
        </w:rPr>
      </w:pPr>
      <w:r w:rsidRPr="00F2040C">
        <w:rPr>
          <w:sz w:val="26"/>
          <w:szCs w:val="26"/>
          <w:lang w:eastAsia="es-ES"/>
        </w:rPr>
        <w:t xml:space="preserve">• </w:t>
      </w:r>
      <w:r w:rsidR="005749C5" w:rsidRPr="00197EB1">
        <w:rPr>
          <w:rFonts w:eastAsia="Calibri"/>
          <w:i/>
          <w:sz w:val="26"/>
          <w:szCs w:val="26"/>
          <w:lang w:eastAsia="es-ES"/>
        </w:rPr>
        <w:t>Contabilizar los gastos conforme al criterio de devengo.</w:t>
      </w:r>
    </w:p>
    <w:p w14:paraId="2DA50128" w14:textId="77777777" w:rsidR="00557EFA" w:rsidRDefault="00557EFA" w:rsidP="00557EFA">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Esta recomendación ha sido total o sustancialmente aplicada. </w:t>
      </w:r>
    </w:p>
    <w:p w14:paraId="2E2A2C9B" w14:textId="77777777" w:rsidR="005749C5" w:rsidRDefault="002F0492" w:rsidP="002F0492">
      <w:pPr>
        <w:ind w:left="360" w:firstLine="0"/>
        <w:contextualSpacing/>
        <w:rPr>
          <w:rFonts w:eastAsia="Calibri"/>
          <w:sz w:val="26"/>
          <w:szCs w:val="26"/>
          <w:lang w:eastAsia="es-ES"/>
        </w:rPr>
      </w:pPr>
      <w:r w:rsidRPr="00F2040C">
        <w:rPr>
          <w:sz w:val="26"/>
          <w:szCs w:val="26"/>
          <w:lang w:eastAsia="es-ES"/>
        </w:rPr>
        <w:t xml:space="preserve">• </w:t>
      </w:r>
      <w:r w:rsidR="005749C5" w:rsidRPr="00197EB1">
        <w:rPr>
          <w:rFonts w:eastAsia="Calibri"/>
          <w:i/>
          <w:sz w:val="26"/>
          <w:szCs w:val="26"/>
          <w:lang w:eastAsia="es-ES"/>
        </w:rPr>
        <w:t>Justificar todos los gastos realizados</w:t>
      </w:r>
      <w:r w:rsidR="005749C5" w:rsidRPr="00197EB1">
        <w:rPr>
          <w:rFonts w:eastAsia="Calibri"/>
          <w:sz w:val="26"/>
          <w:szCs w:val="26"/>
          <w:lang w:eastAsia="es-ES"/>
        </w:rPr>
        <w:t>.</w:t>
      </w:r>
    </w:p>
    <w:p w14:paraId="22FDFE51" w14:textId="77777777" w:rsidR="005749C5" w:rsidRDefault="005749C5" w:rsidP="002F0492">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rPr>
      </w:pPr>
      <w:r>
        <w:rPr>
          <w:rFonts w:eastAsia="Calibri"/>
          <w:szCs w:val="26"/>
          <w:lang w:eastAsia="es-ES"/>
        </w:rPr>
        <w:t xml:space="preserve">En el informe de la Cámara de 2011, esta recomendación se refería a los gastos por atenciones protocolarias. </w:t>
      </w:r>
      <w:r w:rsidRPr="000E52A9">
        <w:rPr>
          <w:szCs w:val="26"/>
        </w:rPr>
        <w:t xml:space="preserve">Esta recomendación </w:t>
      </w:r>
      <w:r>
        <w:rPr>
          <w:szCs w:val="26"/>
        </w:rPr>
        <w:t xml:space="preserve">ha sido total o sustancialmente aplicada según la revisión realizada, ya que hemos verificado que este tipo de gastos están debida y razonablemente soportados y justificados. </w:t>
      </w:r>
    </w:p>
    <w:p w14:paraId="05123243" w14:textId="77777777" w:rsidR="005749C5" w:rsidRPr="00197EB1" w:rsidRDefault="005749C5" w:rsidP="005749C5">
      <w:pPr>
        <w:ind w:firstLine="0"/>
        <w:rPr>
          <w:rFonts w:eastAsia="Calibri"/>
          <w:b/>
          <w:sz w:val="26"/>
          <w:szCs w:val="26"/>
        </w:rPr>
      </w:pPr>
      <w:r w:rsidRPr="00197EB1">
        <w:rPr>
          <w:rFonts w:eastAsia="Calibri"/>
          <w:b/>
          <w:sz w:val="26"/>
          <w:szCs w:val="26"/>
        </w:rPr>
        <w:t>Inversiones</w:t>
      </w:r>
    </w:p>
    <w:p w14:paraId="261ED6BC" w14:textId="77777777" w:rsidR="005749C5" w:rsidRDefault="002F0492" w:rsidP="002F0492">
      <w:pPr>
        <w:ind w:left="357" w:firstLine="0"/>
        <w:contextualSpacing/>
        <w:rPr>
          <w:rFonts w:eastAsia="Calibri"/>
          <w:i/>
          <w:sz w:val="26"/>
          <w:szCs w:val="26"/>
          <w:lang w:eastAsia="es-ES"/>
        </w:rPr>
      </w:pPr>
      <w:r w:rsidRPr="00F2040C">
        <w:rPr>
          <w:sz w:val="26"/>
          <w:szCs w:val="26"/>
          <w:lang w:eastAsia="es-ES"/>
        </w:rPr>
        <w:t xml:space="preserve">• </w:t>
      </w:r>
      <w:r w:rsidR="005749C5" w:rsidRPr="00197EB1">
        <w:rPr>
          <w:rFonts w:eastAsia="Calibri"/>
          <w:i/>
          <w:sz w:val="26"/>
          <w:szCs w:val="26"/>
          <w:lang w:eastAsia="es-ES"/>
        </w:rPr>
        <w:t>Garantizar la concurrencia en la contratación de las obras</w:t>
      </w:r>
      <w:r>
        <w:rPr>
          <w:rFonts w:eastAsia="Calibri"/>
          <w:i/>
          <w:sz w:val="26"/>
          <w:szCs w:val="26"/>
          <w:lang w:eastAsia="es-ES"/>
        </w:rPr>
        <w:t>.</w:t>
      </w:r>
    </w:p>
    <w:p w14:paraId="0820AC16" w14:textId="77777777" w:rsidR="00F5513F" w:rsidRDefault="005749C5" w:rsidP="002F0492">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sidRPr="00D4530B">
        <w:rPr>
          <w:rFonts w:eastAsia="Calibri"/>
          <w:szCs w:val="26"/>
          <w:lang w:eastAsia="es-ES"/>
        </w:rPr>
        <w:t>Esta recomendación ha sido total o sustancialmente aplicada ya que</w:t>
      </w:r>
      <w:r>
        <w:rPr>
          <w:rFonts w:eastAsia="Calibri"/>
          <w:szCs w:val="26"/>
          <w:lang w:eastAsia="es-ES"/>
        </w:rPr>
        <w:t xml:space="preserve"> de las verificaciones realizadas de las obras realizadas en el periodo 201</w:t>
      </w:r>
      <w:r w:rsidR="00144866">
        <w:rPr>
          <w:rFonts w:eastAsia="Calibri"/>
          <w:szCs w:val="26"/>
          <w:lang w:eastAsia="es-ES"/>
        </w:rPr>
        <w:t>8</w:t>
      </w:r>
      <w:r>
        <w:rPr>
          <w:rFonts w:eastAsia="Calibri"/>
          <w:szCs w:val="26"/>
          <w:lang w:eastAsia="es-ES"/>
        </w:rPr>
        <w:t xml:space="preserve"> a 2020, entendemos que se está garantizando la concurrencia e</w:t>
      </w:r>
      <w:r w:rsidR="00287455">
        <w:rPr>
          <w:rFonts w:eastAsia="Calibri"/>
          <w:szCs w:val="26"/>
          <w:lang w:eastAsia="es-ES"/>
        </w:rPr>
        <w:t>n su contratación</w:t>
      </w:r>
      <w:r w:rsidR="00144866">
        <w:rPr>
          <w:rFonts w:eastAsia="Calibri"/>
          <w:szCs w:val="26"/>
          <w:lang w:eastAsia="es-ES"/>
        </w:rPr>
        <w:t xml:space="preserve"> de conformidad con los procedimientos de adjudicación previstos en la normativa contractual aplicable.</w:t>
      </w:r>
      <w:r w:rsidR="00557EFA">
        <w:rPr>
          <w:rFonts w:eastAsia="Calibri"/>
          <w:szCs w:val="26"/>
          <w:lang w:eastAsia="es-ES"/>
        </w:rPr>
        <w:t xml:space="preserve"> </w:t>
      </w:r>
    </w:p>
    <w:p w14:paraId="68768DE6" w14:textId="77777777" w:rsidR="00F5513F" w:rsidRDefault="00F5513F" w:rsidP="002F0492">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p>
    <w:p w14:paraId="272E9C74" w14:textId="77777777" w:rsidR="00F85028" w:rsidRDefault="00F85028" w:rsidP="002F0492">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p>
    <w:p w14:paraId="4234D732" w14:textId="77777777" w:rsidR="00F5513F" w:rsidRDefault="00F5513F" w:rsidP="002F0492">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p>
    <w:p w14:paraId="003076D4" w14:textId="77777777" w:rsidR="005749C5" w:rsidRDefault="00144866" w:rsidP="002F0492">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rFonts w:eastAsia="Calibri"/>
          <w:szCs w:val="26"/>
          <w:lang w:eastAsia="es-ES"/>
        </w:rPr>
        <w:lastRenderedPageBreak/>
        <w:t xml:space="preserve">La muestra realizada ha sido la </w:t>
      </w:r>
      <w:r w:rsidR="005749C5">
        <w:rPr>
          <w:rFonts w:eastAsia="Calibri"/>
          <w:szCs w:val="26"/>
          <w:lang w:eastAsia="es-ES"/>
        </w:rPr>
        <w:t xml:space="preserve">siguiente: </w:t>
      </w:r>
    </w:p>
    <w:tbl>
      <w:tblPr>
        <w:tblW w:w="9923"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603"/>
        <w:gridCol w:w="4359"/>
        <w:gridCol w:w="1134"/>
        <w:gridCol w:w="2268"/>
        <w:gridCol w:w="1559"/>
      </w:tblGrid>
      <w:tr w:rsidR="005749C5" w:rsidRPr="002F0492" w14:paraId="6933EE10" w14:textId="77777777" w:rsidTr="00477EC1">
        <w:trPr>
          <w:trHeight w:val="227"/>
          <w:jc w:val="center"/>
        </w:trPr>
        <w:tc>
          <w:tcPr>
            <w:tcW w:w="603" w:type="dxa"/>
            <w:tcBorders>
              <w:top w:val="single" w:sz="4" w:space="0" w:color="auto"/>
              <w:bottom w:val="single" w:sz="4" w:space="0" w:color="auto"/>
            </w:tcBorders>
            <w:shd w:val="clear" w:color="000000" w:fill="F4B084"/>
            <w:noWrap/>
            <w:vAlign w:val="center"/>
            <w:hideMark/>
          </w:tcPr>
          <w:p w14:paraId="5E4B5870" w14:textId="77777777" w:rsidR="005749C5" w:rsidRPr="002F0492" w:rsidRDefault="005749C5" w:rsidP="00FE7991">
            <w:pPr>
              <w:spacing w:after="0"/>
              <w:ind w:firstLine="0"/>
              <w:jc w:val="left"/>
              <w:rPr>
                <w:rFonts w:ascii="Arial" w:hAnsi="Arial" w:cs="Arial"/>
                <w:color w:val="000000"/>
                <w:sz w:val="18"/>
                <w:szCs w:val="18"/>
                <w:lang w:val="es-ES" w:eastAsia="es-ES"/>
              </w:rPr>
            </w:pPr>
            <w:r w:rsidRPr="002F0492">
              <w:rPr>
                <w:rFonts w:ascii="Arial" w:hAnsi="Arial" w:cs="Arial"/>
                <w:color w:val="000000"/>
                <w:sz w:val="18"/>
                <w:szCs w:val="18"/>
                <w:lang w:val="es-ES" w:eastAsia="es-ES"/>
              </w:rPr>
              <w:t> </w:t>
            </w:r>
          </w:p>
          <w:p w14:paraId="0B8CAE16" w14:textId="77777777" w:rsidR="002F0492" w:rsidRPr="002F0492" w:rsidRDefault="002F0492" w:rsidP="00FE7991">
            <w:pPr>
              <w:spacing w:after="0"/>
              <w:ind w:firstLine="0"/>
              <w:jc w:val="left"/>
              <w:rPr>
                <w:rFonts w:ascii="Arial" w:hAnsi="Arial" w:cs="Arial"/>
                <w:color w:val="000000"/>
                <w:sz w:val="18"/>
                <w:szCs w:val="18"/>
                <w:lang w:val="es-ES" w:eastAsia="es-ES"/>
              </w:rPr>
            </w:pPr>
          </w:p>
        </w:tc>
        <w:tc>
          <w:tcPr>
            <w:tcW w:w="4359" w:type="dxa"/>
            <w:tcBorders>
              <w:top w:val="single" w:sz="4" w:space="0" w:color="auto"/>
              <w:bottom w:val="single" w:sz="4" w:space="0" w:color="auto"/>
            </w:tcBorders>
            <w:shd w:val="clear" w:color="000000" w:fill="F4B084"/>
            <w:noWrap/>
            <w:vAlign w:val="center"/>
            <w:hideMark/>
          </w:tcPr>
          <w:p w14:paraId="2EFF4B59" w14:textId="77777777" w:rsidR="005749C5" w:rsidRPr="002F0492" w:rsidRDefault="005749C5" w:rsidP="00477EC1">
            <w:pPr>
              <w:spacing w:after="0"/>
              <w:ind w:firstLine="0"/>
              <w:rPr>
                <w:rFonts w:ascii="Arial" w:hAnsi="Arial" w:cs="Arial"/>
                <w:color w:val="000000"/>
                <w:sz w:val="18"/>
                <w:szCs w:val="18"/>
                <w:lang w:val="es-ES" w:eastAsia="es-ES"/>
              </w:rPr>
            </w:pPr>
            <w:r w:rsidRPr="002F0492">
              <w:rPr>
                <w:rFonts w:ascii="Arial" w:hAnsi="Arial" w:cs="Arial"/>
                <w:color w:val="000000"/>
                <w:sz w:val="18"/>
                <w:szCs w:val="18"/>
                <w:lang w:val="es-ES" w:eastAsia="es-ES"/>
              </w:rPr>
              <w:t>Expedientes revisados</w:t>
            </w:r>
          </w:p>
        </w:tc>
        <w:tc>
          <w:tcPr>
            <w:tcW w:w="1134" w:type="dxa"/>
            <w:tcBorders>
              <w:top w:val="single" w:sz="4" w:space="0" w:color="auto"/>
              <w:bottom w:val="single" w:sz="4" w:space="0" w:color="auto"/>
            </w:tcBorders>
            <w:shd w:val="clear" w:color="000000" w:fill="F4B084"/>
            <w:noWrap/>
            <w:vAlign w:val="center"/>
            <w:hideMark/>
          </w:tcPr>
          <w:p w14:paraId="12FA6881" w14:textId="77777777" w:rsidR="005749C5" w:rsidRPr="002F0492" w:rsidRDefault="00477EC1" w:rsidP="00477EC1">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 xml:space="preserve">     </w:t>
            </w:r>
            <w:r w:rsidR="005749C5" w:rsidRPr="002F0492">
              <w:rPr>
                <w:rFonts w:ascii="Arial" w:hAnsi="Arial" w:cs="Arial"/>
                <w:color w:val="000000"/>
                <w:sz w:val="18"/>
                <w:szCs w:val="18"/>
                <w:lang w:val="es-ES" w:eastAsia="es-ES"/>
              </w:rPr>
              <w:t xml:space="preserve">ORN </w:t>
            </w:r>
          </w:p>
        </w:tc>
        <w:tc>
          <w:tcPr>
            <w:tcW w:w="2268" w:type="dxa"/>
            <w:tcBorders>
              <w:top w:val="single" w:sz="4" w:space="0" w:color="auto"/>
              <w:bottom w:val="single" w:sz="4" w:space="0" w:color="auto"/>
            </w:tcBorders>
            <w:shd w:val="clear" w:color="000000" w:fill="F4B084"/>
            <w:noWrap/>
            <w:vAlign w:val="center"/>
            <w:hideMark/>
          </w:tcPr>
          <w:p w14:paraId="2B87E82B" w14:textId="77777777" w:rsidR="002F0492" w:rsidRPr="002F0492" w:rsidRDefault="005749C5" w:rsidP="008403D8">
            <w:pPr>
              <w:spacing w:after="0"/>
              <w:ind w:firstLine="0"/>
              <w:jc w:val="center"/>
              <w:rPr>
                <w:rFonts w:ascii="Arial" w:hAnsi="Arial" w:cs="Arial"/>
                <w:color w:val="000000"/>
                <w:sz w:val="18"/>
                <w:szCs w:val="18"/>
                <w:lang w:val="es-ES" w:eastAsia="es-ES"/>
              </w:rPr>
            </w:pPr>
            <w:r w:rsidRPr="002F0492">
              <w:rPr>
                <w:rFonts w:ascii="Arial" w:hAnsi="Arial" w:cs="Arial"/>
                <w:color w:val="000000"/>
                <w:sz w:val="18"/>
                <w:szCs w:val="18"/>
                <w:lang w:val="es-ES" w:eastAsia="es-ES"/>
              </w:rPr>
              <w:t>Procedimiento</w:t>
            </w:r>
          </w:p>
          <w:p w14:paraId="17E28228" w14:textId="77777777" w:rsidR="005749C5" w:rsidRPr="002F0492" w:rsidRDefault="005749C5" w:rsidP="008403D8">
            <w:pPr>
              <w:spacing w:after="0"/>
              <w:ind w:firstLine="0"/>
              <w:jc w:val="center"/>
              <w:rPr>
                <w:rFonts w:ascii="Arial" w:hAnsi="Arial" w:cs="Arial"/>
                <w:color w:val="000000"/>
                <w:sz w:val="18"/>
                <w:szCs w:val="18"/>
                <w:lang w:val="es-ES" w:eastAsia="es-ES"/>
              </w:rPr>
            </w:pPr>
            <w:r w:rsidRPr="002F0492">
              <w:rPr>
                <w:rFonts w:ascii="Arial" w:hAnsi="Arial" w:cs="Arial"/>
                <w:color w:val="000000"/>
                <w:sz w:val="18"/>
                <w:szCs w:val="18"/>
                <w:lang w:val="es-ES" w:eastAsia="es-ES"/>
              </w:rPr>
              <w:t>adjudicación</w:t>
            </w:r>
          </w:p>
        </w:tc>
        <w:tc>
          <w:tcPr>
            <w:tcW w:w="1559" w:type="dxa"/>
            <w:tcBorders>
              <w:top w:val="single" w:sz="4" w:space="0" w:color="auto"/>
              <w:bottom w:val="single" w:sz="4" w:space="0" w:color="auto"/>
            </w:tcBorders>
            <w:shd w:val="clear" w:color="000000" w:fill="F4B084"/>
            <w:noWrap/>
            <w:vAlign w:val="center"/>
            <w:hideMark/>
          </w:tcPr>
          <w:p w14:paraId="67A7E569" w14:textId="77777777" w:rsidR="00CA109B" w:rsidRDefault="005749C5" w:rsidP="008403D8">
            <w:pPr>
              <w:spacing w:after="0"/>
              <w:ind w:firstLine="0"/>
              <w:jc w:val="right"/>
              <w:rPr>
                <w:rFonts w:ascii="Arial" w:hAnsi="Arial" w:cs="Arial"/>
                <w:color w:val="000000"/>
                <w:sz w:val="18"/>
                <w:szCs w:val="18"/>
                <w:lang w:val="es-ES" w:eastAsia="es-ES"/>
              </w:rPr>
            </w:pPr>
            <w:r w:rsidRPr="002F0492">
              <w:rPr>
                <w:rFonts w:ascii="Arial" w:hAnsi="Arial" w:cs="Arial"/>
                <w:color w:val="000000"/>
                <w:sz w:val="18"/>
                <w:szCs w:val="18"/>
                <w:lang w:val="es-ES" w:eastAsia="es-ES"/>
              </w:rPr>
              <w:t xml:space="preserve">Total ORN </w:t>
            </w:r>
          </w:p>
          <w:p w14:paraId="2F18E5C8" w14:textId="77777777" w:rsidR="005749C5" w:rsidRPr="002F0492" w:rsidRDefault="00CA109B" w:rsidP="008403D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Cap.</w:t>
            </w:r>
            <w:r w:rsidR="005749C5" w:rsidRPr="002F0492">
              <w:rPr>
                <w:rFonts w:ascii="Arial" w:hAnsi="Arial" w:cs="Arial"/>
                <w:color w:val="000000"/>
                <w:sz w:val="18"/>
                <w:szCs w:val="18"/>
                <w:lang w:val="es-ES" w:eastAsia="es-ES"/>
              </w:rPr>
              <w:t xml:space="preserve"> Inversiones</w:t>
            </w:r>
          </w:p>
        </w:tc>
      </w:tr>
      <w:tr w:rsidR="005749C5" w:rsidRPr="005168B5" w14:paraId="434577D1" w14:textId="77777777" w:rsidTr="00477EC1">
        <w:trPr>
          <w:trHeight w:val="198"/>
          <w:jc w:val="center"/>
        </w:trPr>
        <w:tc>
          <w:tcPr>
            <w:tcW w:w="603" w:type="dxa"/>
            <w:vMerge w:val="restart"/>
            <w:tcBorders>
              <w:top w:val="single" w:sz="4" w:space="0" w:color="auto"/>
            </w:tcBorders>
            <w:shd w:val="clear" w:color="auto" w:fill="auto"/>
            <w:vAlign w:val="center"/>
            <w:hideMark/>
          </w:tcPr>
          <w:p w14:paraId="0840D5CD" w14:textId="77777777" w:rsidR="005749C5" w:rsidRPr="005168B5" w:rsidRDefault="005749C5" w:rsidP="00FE7991">
            <w:pPr>
              <w:spacing w:after="0"/>
              <w:ind w:firstLine="0"/>
              <w:jc w:val="center"/>
              <w:rPr>
                <w:rFonts w:ascii="Calibri" w:hAnsi="Calibri" w:cs="Calibri"/>
                <w:color w:val="000000"/>
                <w:lang w:val="es-ES" w:eastAsia="es-ES"/>
              </w:rPr>
            </w:pPr>
            <w:r w:rsidRPr="005168B5">
              <w:rPr>
                <w:rFonts w:ascii="Calibri" w:hAnsi="Calibri" w:cs="Calibri"/>
                <w:color w:val="000000"/>
                <w:lang w:val="es-ES" w:eastAsia="es-ES"/>
              </w:rPr>
              <w:t>2018</w:t>
            </w:r>
          </w:p>
        </w:tc>
        <w:tc>
          <w:tcPr>
            <w:tcW w:w="4359" w:type="dxa"/>
            <w:tcBorders>
              <w:top w:val="single" w:sz="4" w:space="0" w:color="auto"/>
            </w:tcBorders>
            <w:shd w:val="clear" w:color="auto" w:fill="auto"/>
            <w:noWrap/>
            <w:vAlign w:val="center"/>
            <w:hideMark/>
          </w:tcPr>
          <w:p w14:paraId="3A56C1DC" w14:textId="77777777" w:rsidR="005749C5" w:rsidRPr="002F0492" w:rsidRDefault="005749C5" w:rsidP="00FE7991">
            <w:pPr>
              <w:spacing w:after="0"/>
              <w:ind w:firstLine="0"/>
              <w:jc w:val="left"/>
              <w:rPr>
                <w:rFonts w:ascii="Arial Narrow" w:hAnsi="Arial Narrow" w:cs="Calibri"/>
                <w:color w:val="000000"/>
                <w:lang w:val="es-ES" w:eastAsia="es-ES"/>
              </w:rPr>
            </w:pPr>
            <w:r w:rsidRPr="002F0492">
              <w:rPr>
                <w:rFonts w:ascii="Arial Narrow" w:hAnsi="Arial Narrow" w:cs="Calibri"/>
                <w:color w:val="000000"/>
                <w:lang w:eastAsia="es-ES"/>
              </w:rPr>
              <w:t xml:space="preserve">Modificación integral del abastecimiento de agua potable del Municipio de </w:t>
            </w:r>
            <w:proofErr w:type="spellStart"/>
            <w:r w:rsidR="002C3373">
              <w:rPr>
                <w:rFonts w:ascii="Arial Narrow" w:hAnsi="Arial Narrow" w:cs="Calibri"/>
                <w:color w:val="000000"/>
                <w:lang w:eastAsia="es-ES"/>
              </w:rPr>
              <w:t>Urdazubi</w:t>
            </w:r>
            <w:proofErr w:type="spellEnd"/>
            <w:r w:rsidR="002C3373">
              <w:rPr>
                <w:rFonts w:ascii="Arial Narrow" w:hAnsi="Arial Narrow" w:cs="Calibri"/>
                <w:color w:val="000000"/>
                <w:lang w:eastAsia="es-ES"/>
              </w:rPr>
              <w:t>-Urdax</w:t>
            </w:r>
            <w:r w:rsidR="00144866">
              <w:rPr>
                <w:rStyle w:val="Refdenotaalpie"/>
                <w:rFonts w:ascii="Arial Narrow" w:hAnsi="Arial Narrow" w:cs="Calibri"/>
                <w:color w:val="000000"/>
                <w:lang w:eastAsia="es-ES"/>
              </w:rPr>
              <w:footnoteReference w:id="8"/>
            </w:r>
          </w:p>
        </w:tc>
        <w:tc>
          <w:tcPr>
            <w:tcW w:w="1134" w:type="dxa"/>
            <w:tcBorders>
              <w:top w:val="single" w:sz="4" w:space="0" w:color="auto"/>
            </w:tcBorders>
            <w:shd w:val="clear" w:color="000000" w:fill="FFFFFF"/>
            <w:noWrap/>
            <w:vAlign w:val="center"/>
            <w:hideMark/>
          </w:tcPr>
          <w:p w14:paraId="2D57EB17" w14:textId="77777777" w:rsidR="005749C5" w:rsidRPr="002F0492" w:rsidRDefault="005749C5" w:rsidP="00FE7991">
            <w:pPr>
              <w:spacing w:after="0"/>
              <w:ind w:firstLine="0"/>
              <w:jc w:val="right"/>
              <w:rPr>
                <w:rFonts w:ascii="Arial Narrow" w:hAnsi="Arial Narrow" w:cs="Calibri"/>
                <w:color w:val="000000"/>
                <w:lang w:val="es-ES" w:eastAsia="es-ES"/>
              </w:rPr>
            </w:pPr>
            <w:r w:rsidRPr="002F0492">
              <w:rPr>
                <w:rFonts w:ascii="Arial Narrow" w:hAnsi="Arial Narrow" w:cs="Calibri"/>
                <w:color w:val="000000"/>
                <w:lang w:val="es-ES" w:eastAsia="es-ES"/>
              </w:rPr>
              <w:t>1.569.599</w:t>
            </w:r>
          </w:p>
        </w:tc>
        <w:tc>
          <w:tcPr>
            <w:tcW w:w="2268" w:type="dxa"/>
            <w:tcBorders>
              <w:top w:val="single" w:sz="4" w:space="0" w:color="auto"/>
            </w:tcBorders>
            <w:shd w:val="clear" w:color="auto" w:fill="auto"/>
            <w:noWrap/>
            <w:vAlign w:val="center"/>
            <w:hideMark/>
          </w:tcPr>
          <w:p w14:paraId="20E2A6DA" w14:textId="77777777" w:rsidR="00F16EB7" w:rsidRDefault="005749C5" w:rsidP="00FB4D00">
            <w:pPr>
              <w:spacing w:after="0"/>
              <w:ind w:firstLine="0"/>
              <w:jc w:val="center"/>
              <w:rPr>
                <w:rFonts w:ascii="Arial Narrow" w:hAnsi="Arial Narrow" w:cs="Calibri"/>
                <w:color w:val="000000"/>
                <w:lang w:val="es-ES" w:eastAsia="es-ES"/>
              </w:rPr>
            </w:pPr>
            <w:r w:rsidRPr="002F0492">
              <w:rPr>
                <w:rFonts w:ascii="Arial Narrow" w:hAnsi="Arial Narrow" w:cs="Calibri"/>
                <w:color w:val="000000"/>
                <w:lang w:val="es-ES" w:eastAsia="es-ES"/>
              </w:rPr>
              <w:t xml:space="preserve">Abierto sin publicidad </w:t>
            </w:r>
          </w:p>
          <w:p w14:paraId="3227B657" w14:textId="77777777" w:rsidR="005749C5" w:rsidRPr="002F0492" w:rsidRDefault="005749C5" w:rsidP="00FB4D00">
            <w:pPr>
              <w:spacing w:after="0"/>
              <w:ind w:firstLine="0"/>
              <w:jc w:val="center"/>
              <w:rPr>
                <w:rFonts w:ascii="Arial Narrow" w:hAnsi="Arial Narrow" w:cs="Calibri"/>
                <w:color w:val="000000"/>
                <w:lang w:val="es-ES" w:eastAsia="es-ES"/>
              </w:rPr>
            </w:pPr>
            <w:r w:rsidRPr="002F0492">
              <w:rPr>
                <w:rFonts w:ascii="Arial Narrow" w:hAnsi="Arial Narrow" w:cs="Calibri"/>
                <w:color w:val="000000"/>
                <w:lang w:val="es-ES" w:eastAsia="es-ES"/>
              </w:rPr>
              <w:t>comunitaria</w:t>
            </w:r>
          </w:p>
        </w:tc>
        <w:tc>
          <w:tcPr>
            <w:tcW w:w="1559" w:type="dxa"/>
            <w:vMerge w:val="restart"/>
            <w:tcBorders>
              <w:top w:val="single" w:sz="4" w:space="0" w:color="auto"/>
            </w:tcBorders>
            <w:shd w:val="clear" w:color="auto" w:fill="auto"/>
            <w:vAlign w:val="center"/>
            <w:hideMark/>
          </w:tcPr>
          <w:p w14:paraId="388AE379" w14:textId="77777777" w:rsidR="005749C5" w:rsidRPr="005168B5" w:rsidRDefault="005749C5" w:rsidP="00FE7991">
            <w:pPr>
              <w:spacing w:after="0"/>
              <w:ind w:firstLine="0"/>
              <w:jc w:val="center"/>
              <w:rPr>
                <w:rFonts w:ascii="Calibri" w:hAnsi="Calibri" w:cs="Calibri"/>
                <w:color w:val="000000"/>
                <w:lang w:val="es-ES" w:eastAsia="es-ES"/>
              </w:rPr>
            </w:pPr>
          </w:p>
        </w:tc>
      </w:tr>
      <w:tr w:rsidR="005749C5" w:rsidRPr="005168B5" w14:paraId="03949248" w14:textId="77777777" w:rsidTr="001A4D38">
        <w:trPr>
          <w:trHeight w:val="198"/>
          <w:jc w:val="center"/>
        </w:trPr>
        <w:tc>
          <w:tcPr>
            <w:tcW w:w="603" w:type="dxa"/>
            <w:vMerge/>
            <w:vAlign w:val="center"/>
            <w:hideMark/>
          </w:tcPr>
          <w:p w14:paraId="5B12651D" w14:textId="77777777" w:rsidR="005749C5" w:rsidRPr="005168B5" w:rsidRDefault="005749C5" w:rsidP="00FE7991">
            <w:pPr>
              <w:spacing w:after="0"/>
              <w:ind w:firstLine="0"/>
              <w:jc w:val="left"/>
              <w:rPr>
                <w:rFonts w:ascii="Calibri" w:hAnsi="Calibri" w:cs="Calibri"/>
                <w:color w:val="000000"/>
                <w:lang w:val="es-ES" w:eastAsia="es-ES"/>
              </w:rPr>
            </w:pPr>
          </w:p>
        </w:tc>
        <w:tc>
          <w:tcPr>
            <w:tcW w:w="4359" w:type="dxa"/>
            <w:shd w:val="clear" w:color="auto" w:fill="auto"/>
            <w:noWrap/>
            <w:vAlign w:val="center"/>
            <w:hideMark/>
          </w:tcPr>
          <w:p w14:paraId="6BBE01B8" w14:textId="77777777" w:rsidR="005749C5" w:rsidRPr="002F0492" w:rsidRDefault="005749C5" w:rsidP="00FE7991">
            <w:pPr>
              <w:spacing w:after="0"/>
              <w:ind w:firstLine="0"/>
              <w:jc w:val="left"/>
              <w:rPr>
                <w:rFonts w:ascii="Arial Narrow" w:hAnsi="Arial Narrow" w:cs="Calibri"/>
                <w:color w:val="000000"/>
                <w:lang w:val="es-ES" w:eastAsia="es-ES"/>
              </w:rPr>
            </w:pPr>
            <w:r w:rsidRPr="002F0492">
              <w:rPr>
                <w:rFonts w:ascii="Arial Narrow" w:hAnsi="Arial Narrow" w:cs="Calibri"/>
                <w:color w:val="000000"/>
                <w:lang w:val="es-ES" w:eastAsia="es-ES"/>
              </w:rPr>
              <w:t>Fibra óptica</w:t>
            </w:r>
          </w:p>
        </w:tc>
        <w:tc>
          <w:tcPr>
            <w:tcW w:w="1134" w:type="dxa"/>
            <w:shd w:val="clear" w:color="auto" w:fill="auto"/>
            <w:noWrap/>
            <w:vAlign w:val="center"/>
            <w:hideMark/>
          </w:tcPr>
          <w:p w14:paraId="7354D72B" w14:textId="77777777" w:rsidR="005749C5" w:rsidRPr="002F0492" w:rsidRDefault="005749C5" w:rsidP="00FE7991">
            <w:pPr>
              <w:spacing w:after="0"/>
              <w:ind w:firstLine="0"/>
              <w:jc w:val="right"/>
              <w:rPr>
                <w:rFonts w:ascii="Arial Narrow" w:hAnsi="Arial Narrow" w:cs="Calibri"/>
                <w:color w:val="000000"/>
                <w:lang w:val="es-ES" w:eastAsia="es-ES"/>
              </w:rPr>
            </w:pPr>
            <w:r w:rsidRPr="002F0492">
              <w:rPr>
                <w:rFonts w:ascii="Arial Narrow" w:hAnsi="Arial Narrow" w:cs="Calibri"/>
                <w:color w:val="000000"/>
                <w:lang w:val="es-ES" w:eastAsia="es-ES"/>
              </w:rPr>
              <w:t>58.955</w:t>
            </w:r>
          </w:p>
        </w:tc>
        <w:tc>
          <w:tcPr>
            <w:tcW w:w="2268" w:type="dxa"/>
            <w:shd w:val="clear" w:color="auto" w:fill="auto"/>
            <w:noWrap/>
            <w:vAlign w:val="center"/>
            <w:hideMark/>
          </w:tcPr>
          <w:p w14:paraId="18CF790C" w14:textId="77777777" w:rsidR="005749C5" w:rsidRPr="002F0492" w:rsidRDefault="005749C5" w:rsidP="00FB4D00">
            <w:pPr>
              <w:spacing w:after="0"/>
              <w:ind w:firstLine="0"/>
              <w:jc w:val="center"/>
              <w:rPr>
                <w:rFonts w:ascii="Arial Narrow" w:hAnsi="Arial Narrow" w:cs="Calibri"/>
                <w:color w:val="000000"/>
                <w:lang w:val="es-ES" w:eastAsia="es-ES"/>
              </w:rPr>
            </w:pPr>
            <w:r w:rsidRPr="002F0492">
              <w:rPr>
                <w:rFonts w:ascii="Arial Narrow" w:hAnsi="Arial Narrow" w:cs="Calibri"/>
                <w:color w:val="000000"/>
                <w:lang w:val="es-ES" w:eastAsia="es-ES"/>
              </w:rPr>
              <w:t>Negociado sin publicidad</w:t>
            </w:r>
          </w:p>
        </w:tc>
        <w:tc>
          <w:tcPr>
            <w:tcW w:w="1559" w:type="dxa"/>
            <w:vMerge/>
            <w:vAlign w:val="center"/>
            <w:hideMark/>
          </w:tcPr>
          <w:p w14:paraId="6A636E8A" w14:textId="77777777" w:rsidR="005749C5" w:rsidRPr="005168B5" w:rsidRDefault="005749C5" w:rsidP="00FE7991">
            <w:pPr>
              <w:spacing w:after="0"/>
              <w:ind w:firstLine="0"/>
              <w:jc w:val="left"/>
              <w:rPr>
                <w:rFonts w:ascii="Calibri" w:hAnsi="Calibri" w:cs="Calibri"/>
                <w:color w:val="000000"/>
                <w:lang w:val="es-ES" w:eastAsia="es-ES"/>
              </w:rPr>
            </w:pPr>
          </w:p>
        </w:tc>
      </w:tr>
      <w:tr w:rsidR="005749C5" w:rsidRPr="005168B5" w14:paraId="55020F6B" w14:textId="77777777" w:rsidTr="00477EC1">
        <w:trPr>
          <w:trHeight w:val="198"/>
          <w:jc w:val="center"/>
        </w:trPr>
        <w:tc>
          <w:tcPr>
            <w:tcW w:w="603" w:type="dxa"/>
            <w:vMerge/>
            <w:tcBorders>
              <w:bottom w:val="single" w:sz="4" w:space="0" w:color="auto"/>
            </w:tcBorders>
            <w:vAlign w:val="center"/>
            <w:hideMark/>
          </w:tcPr>
          <w:p w14:paraId="75BC8814" w14:textId="77777777" w:rsidR="005749C5" w:rsidRPr="005168B5" w:rsidRDefault="005749C5" w:rsidP="00FE7991">
            <w:pPr>
              <w:spacing w:after="0"/>
              <w:ind w:firstLine="0"/>
              <w:jc w:val="left"/>
              <w:rPr>
                <w:rFonts w:ascii="Calibri" w:hAnsi="Calibri" w:cs="Calibri"/>
                <w:color w:val="000000"/>
                <w:lang w:val="es-ES" w:eastAsia="es-ES"/>
              </w:rPr>
            </w:pPr>
          </w:p>
        </w:tc>
        <w:tc>
          <w:tcPr>
            <w:tcW w:w="4359" w:type="dxa"/>
            <w:tcBorders>
              <w:bottom w:val="single" w:sz="4" w:space="0" w:color="auto"/>
            </w:tcBorders>
            <w:shd w:val="clear" w:color="auto" w:fill="auto"/>
            <w:noWrap/>
            <w:vAlign w:val="center"/>
            <w:hideMark/>
          </w:tcPr>
          <w:p w14:paraId="5CBD62BF" w14:textId="77777777" w:rsidR="005749C5" w:rsidRPr="002F0492" w:rsidRDefault="005749C5" w:rsidP="00FE7991">
            <w:pPr>
              <w:spacing w:after="0"/>
              <w:ind w:firstLine="0"/>
              <w:jc w:val="left"/>
              <w:rPr>
                <w:rFonts w:ascii="Arial Narrow" w:hAnsi="Arial Narrow" w:cs="Calibri"/>
                <w:color w:val="000000"/>
                <w:lang w:val="es-ES" w:eastAsia="es-ES"/>
              </w:rPr>
            </w:pPr>
            <w:r w:rsidRPr="002F0492">
              <w:rPr>
                <w:rFonts w:ascii="Arial Narrow" w:hAnsi="Arial Narrow" w:cs="Calibri"/>
                <w:color w:val="000000"/>
                <w:lang w:val="es-ES" w:eastAsia="es-ES"/>
              </w:rPr>
              <w:t xml:space="preserve">Obra camino </w:t>
            </w:r>
            <w:proofErr w:type="spellStart"/>
            <w:r w:rsidRPr="002F0492">
              <w:rPr>
                <w:rFonts w:ascii="Arial Narrow" w:hAnsi="Arial Narrow" w:cs="Calibri"/>
                <w:color w:val="000000"/>
                <w:lang w:val="es-ES" w:eastAsia="es-ES"/>
              </w:rPr>
              <w:t>Maskonekoborda</w:t>
            </w:r>
            <w:proofErr w:type="spellEnd"/>
          </w:p>
        </w:tc>
        <w:tc>
          <w:tcPr>
            <w:tcW w:w="1134" w:type="dxa"/>
            <w:tcBorders>
              <w:bottom w:val="single" w:sz="4" w:space="0" w:color="auto"/>
            </w:tcBorders>
            <w:shd w:val="clear" w:color="auto" w:fill="auto"/>
            <w:noWrap/>
            <w:vAlign w:val="center"/>
            <w:hideMark/>
          </w:tcPr>
          <w:p w14:paraId="68822069" w14:textId="77777777" w:rsidR="005749C5" w:rsidRPr="002F0492" w:rsidRDefault="00933265" w:rsidP="00FE799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49.758</w:t>
            </w:r>
          </w:p>
        </w:tc>
        <w:tc>
          <w:tcPr>
            <w:tcW w:w="2268" w:type="dxa"/>
            <w:tcBorders>
              <w:bottom w:val="single" w:sz="4" w:space="0" w:color="auto"/>
            </w:tcBorders>
            <w:shd w:val="clear" w:color="auto" w:fill="auto"/>
            <w:noWrap/>
            <w:vAlign w:val="center"/>
            <w:hideMark/>
          </w:tcPr>
          <w:p w14:paraId="632252FB" w14:textId="77777777" w:rsidR="005749C5" w:rsidRPr="002F0492" w:rsidRDefault="005749C5" w:rsidP="00FB4D00">
            <w:pPr>
              <w:spacing w:after="0"/>
              <w:ind w:firstLine="0"/>
              <w:jc w:val="center"/>
              <w:rPr>
                <w:rFonts w:ascii="Arial Narrow" w:hAnsi="Arial Narrow" w:cs="Calibri"/>
                <w:color w:val="000000"/>
                <w:lang w:val="es-ES" w:eastAsia="es-ES"/>
              </w:rPr>
            </w:pPr>
            <w:r w:rsidRPr="002F0492">
              <w:rPr>
                <w:rFonts w:ascii="Arial Narrow" w:hAnsi="Arial Narrow" w:cs="Calibri"/>
                <w:color w:val="000000"/>
                <w:lang w:val="es-ES" w:eastAsia="es-ES"/>
              </w:rPr>
              <w:t>Simplificado</w:t>
            </w:r>
          </w:p>
        </w:tc>
        <w:tc>
          <w:tcPr>
            <w:tcW w:w="1559" w:type="dxa"/>
            <w:vMerge/>
            <w:tcBorders>
              <w:bottom w:val="single" w:sz="4" w:space="0" w:color="auto"/>
            </w:tcBorders>
            <w:vAlign w:val="center"/>
            <w:hideMark/>
          </w:tcPr>
          <w:p w14:paraId="36D6442C" w14:textId="77777777" w:rsidR="005749C5" w:rsidRPr="005168B5" w:rsidRDefault="005749C5" w:rsidP="00FE7991">
            <w:pPr>
              <w:spacing w:after="0"/>
              <w:ind w:firstLine="0"/>
              <w:jc w:val="left"/>
              <w:rPr>
                <w:rFonts w:ascii="Calibri" w:hAnsi="Calibri" w:cs="Calibri"/>
                <w:color w:val="000000"/>
                <w:lang w:val="es-ES" w:eastAsia="es-ES"/>
              </w:rPr>
            </w:pPr>
          </w:p>
        </w:tc>
      </w:tr>
      <w:tr w:rsidR="005749C5" w:rsidRPr="002F0492" w14:paraId="4126BBAB" w14:textId="77777777" w:rsidTr="00477EC1">
        <w:trPr>
          <w:trHeight w:val="198"/>
          <w:jc w:val="center"/>
        </w:trPr>
        <w:tc>
          <w:tcPr>
            <w:tcW w:w="603" w:type="dxa"/>
            <w:tcBorders>
              <w:top w:val="single" w:sz="4" w:space="0" w:color="auto"/>
              <w:bottom w:val="single" w:sz="4" w:space="0" w:color="auto"/>
            </w:tcBorders>
            <w:shd w:val="clear" w:color="000000" w:fill="F4B084"/>
            <w:vAlign w:val="center"/>
            <w:hideMark/>
          </w:tcPr>
          <w:p w14:paraId="4B1667FE" w14:textId="77777777" w:rsidR="005749C5" w:rsidRPr="002F0492" w:rsidRDefault="005749C5" w:rsidP="00FE7991">
            <w:pPr>
              <w:spacing w:after="0"/>
              <w:ind w:firstLine="0"/>
              <w:jc w:val="center"/>
              <w:rPr>
                <w:rFonts w:ascii="Arial" w:hAnsi="Arial" w:cs="Arial"/>
                <w:color w:val="000000"/>
                <w:sz w:val="18"/>
                <w:szCs w:val="18"/>
                <w:lang w:val="es-ES" w:eastAsia="es-ES"/>
              </w:rPr>
            </w:pPr>
            <w:r w:rsidRPr="002F0492">
              <w:rPr>
                <w:rFonts w:ascii="Arial" w:hAnsi="Arial" w:cs="Arial"/>
                <w:color w:val="000000"/>
                <w:sz w:val="18"/>
                <w:szCs w:val="18"/>
                <w:lang w:val="es-ES" w:eastAsia="es-ES"/>
              </w:rPr>
              <w:t>Total</w:t>
            </w:r>
          </w:p>
        </w:tc>
        <w:tc>
          <w:tcPr>
            <w:tcW w:w="4359" w:type="dxa"/>
            <w:tcBorders>
              <w:top w:val="single" w:sz="4" w:space="0" w:color="auto"/>
              <w:bottom w:val="single" w:sz="4" w:space="0" w:color="auto"/>
            </w:tcBorders>
            <w:shd w:val="clear" w:color="000000" w:fill="F4B084"/>
            <w:noWrap/>
            <w:vAlign w:val="center"/>
            <w:hideMark/>
          </w:tcPr>
          <w:p w14:paraId="35A0593C" w14:textId="77777777" w:rsidR="005749C5" w:rsidRPr="002F0492" w:rsidRDefault="005749C5" w:rsidP="00FE7991">
            <w:pPr>
              <w:spacing w:after="0"/>
              <w:ind w:firstLine="0"/>
              <w:jc w:val="left"/>
              <w:rPr>
                <w:rFonts w:ascii="Arial" w:hAnsi="Arial" w:cs="Arial"/>
                <w:color w:val="000000"/>
                <w:sz w:val="18"/>
                <w:szCs w:val="18"/>
                <w:lang w:val="es-ES" w:eastAsia="es-ES"/>
              </w:rPr>
            </w:pPr>
            <w:r w:rsidRPr="002F0492">
              <w:rPr>
                <w:rFonts w:ascii="Arial" w:hAnsi="Arial" w:cs="Arial"/>
                <w:color w:val="000000"/>
                <w:sz w:val="18"/>
                <w:szCs w:val="18"/>
                <w:lang w:val="es-ES" w:eastAsia="es-ES"/>
              </w:rPr>
              <w:t> </w:t>
            </w:r>
          </w:p>
        </w:tc>
        <w:tc>
          <w:tcPr>
            <w:tcW w:w="1134" w:type="dxa"/>
            <w:tcBorders>
              <w:top w:val="single" w:sz="4" w:space="0" w:color="auto"/>
              <w:bottom w:val="single" w:sz="4" w:space="0" w:color="auto"/>
            </w:tcBorders>
            <w:shd w:val="clear" w:color="000000" w:fill="F4B084"/>
            <w:noWrap/>
            <w:vAlign w:val="center"/>
            <w:hideMark/>
          </w:tcPr>
          <w:p w14:paraId="638C2418" w14:textId="77777777" w:rsidR="005749C5" w:rsidRPr="002F0492" w:rsidRDefault="00933265" w:rsidP="0093326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1.678.312</w:t>
            </w:r>
          </w:p>
        </w:tc>
        <w:tc>
          <w:tcPr>
            <w:tcW w:w="2268" w:type="dxa"/>
            <w:tcBorders>
              <w:top w:val="single" w:sz="4" w:space="0" w:color="auto"/>
              <w:bottom w:val="single" w:sz="4" w:space="0" w:color="auto"/>
            </w:tcBorders>
            <w:shd w:val="clear" w:color="000000" w:fill="F4B084"/>
            <w:noWrap/>
            <w:vAlign w:val="center"/>
            <w:hideMark/>
          </w:tcPr>
          <w:p w14:paraId="125189A2" w14:textId="77777777" w:rsidR="005749C5" w:rsidRPr="002F0492" w:rsidRDefault="005749C5" w:rsidP="00FB4D00">
            <w:pPr>
              <w:spacing w:after="0"/>
              <w:ind w:firstLine="0"/>
              <w:jc w:val="center"/>
              <w:rPr>
                <w:rFonts w:ascii="Arial" w:hAnsi="Arial" w:cs="Arial"/>
                <w:color w:val="000000"/>
                <w:sz w:val="18"/>
                <w:szCs w:val="18"/>
                <w:lang w:val="es-ES" w:eastAsia="es-ES"/>
              </w:rPr>
            </w:pPr>
          </w:p>
        </w:tc>
        <w:tc>
          <w:tcPr>
            <w:tcW w:w="1559" w:type="dxa"/>
            <w:tcBorders>
              <w:top w:val="single" w:sz="4" w:space="0" w:color="auto"/>
              <w:bottom w:val="single" w:sz="4" w:space="0" w:color="auto"/>
            </w:tcBorders>
            <w:shd w:val="clear" w:color="000000" w:fill="F4B084"/>
            <w:vAlign w:val="center"/>
            <w:hideMark/>
          </w:tcPr>
          <w:p w14:paraId="5D19C851" w14:textId="77777777" w:rsidR="005749C5" w:rsidRPr="002F0492" w:rsidRDefault="005749C5" w:rsidP="00FE7991">
            <w:pPr>
              <w:spacing w:after="0"/>
              <w:ind w:firstLine="0"/>
              <w:jc w:val="center"/>
              <w:rPr>
                <w:rFonts w:ascii="Arial" w:hAnsi="Arial" w:cs="Arial"/>
                <w:color w:val="000000"/>
                <w:sz w:val="18"/>
                <w:szCs w:val="18"/>
                <w:lang w:val="es-ES" w:eastAsia="es-ES"/>
              </w:rPr>
            </w:pPr>
            <w:r w:rsidRPr="002F0492">
              <w:rPr>
                <w:rFonts w:ascii="Arial" w:hAnsi="Arial" w:cs="Arial"/>
                <w:color w:val="000000"/>
                <w:sz w:val="18"/>
                <w:szCs w:val="18"/>
                <w:lang w:val="es-ES" w:eastAsia="es-ES"/>
              </w:rPr>
              <w:t> 1.736.126</w:t>
            </w:r>
          </w:p>
        </w:tc>
      </w:tr>
      <w:tr w:rsidR="005749C5" w:rsidRPr="005168B5" w14:paraId="2AB743F6" w14:textId="77777777" w:rsidTr="00477EC1">
        <w:trPr>
          <w:trHeight w:val="198"/>
          <w:jc w:val="center"/>
        </w:trPr>
        <w:tc>
          <w:tcPr>
            <w:tcW w:w="603" w:type="dxa"/>
            <w:vMerge w:val="restart"/>
            <w:tcBorders>
              <w:top w:val="single" w:sz="4" w:space="0" w:color="auto"/>
            </w:tcBorders>
            <w:shd w:val="clear" w:color="auto" w:fill="auto"/>
            <w:vAlign w:val="center"/>
            <w:hideMark/>
          </w:tcPr>
          <w:p w14:paraId="05FA6CB6" w14:textId="77777777" w:rsidR="005749C5" w:rsidRPr="002F0492" w:rsidRDefault="005749C5" w:rsidP="00FE7991">
            <w:pPr>
              <w:spacing w:after="0"/>
              <w:ind w:firstLine="0"/>
              <w:jc w:val="center"/>
              <w:rPr>
                <w:rFonts w:ascii="Arial Narrow" w:hAnsi="Arial Narrow" w:cs="Calibri"/>
                <w:color w:val="000000"/>
                <w:lang w:val="es-ES" w:eastAsia="es-ES"/>
              </w:rPr>
            </w:pPr>
            <w:r w:rsidRPr="002F0492">
              <w:rPr>
                <w:rFonts w:ascii="Arial Narrow" w:hAnsi="Arial Narrow" w:cs="Calibri"/>
                <w:color w:val="000000"/>
                <w:lang w:val="es-ES" w:eastAsia="es-ES"/>
              </w:rPr>
              <w:t>2019</w:t>
            </w:r>
          </w:p>
        </w:tc>
        <w:tc>
          <w:tcPr>
            <w:tcW w:w="4359" w:type="dxa"/>
            <w:tcBorders>
              <w:top w:val="single" w:sz="4" w:space="0" w:color="auto"/>
            </w:tcBorders>
            <w:shd w:val="clear" w:color="auto" w:fill="auto"/>
            <w:noWrap/>
            <w:vAlign w:val="center"/>
            <w:hideMark/>
          </w:tcPr>
          <w:p w14:paraId="73293092" w14:textId="77777777" w:rsidR="005749C5" w:rsidRPr="002F0492" w:rsidRDefault="005749C5" w:rsidP="00FE7991">
            <w:pPr>
              <w:spacing w:after="0"/>
              <w:ind w:firstLine="0"/>
              <w:jc w:val="left"/>
              <w:rPr>
                <w:rFonts w:ascii="Arial Narrow" w:hAnsi="Arial Narrow" w:cs="Calibri"/>
                <w:color w:val="000000"/>
                <w:lang w:val="es-ES" w:eastAsia="es-ES"/>
              </w:rPr>
            </w:pPr>
            <w:r w:rsidRPr="002F0492">
              <w:rPr>
                <w:rFonts w:ascii="Arial Narrow" w:hAnsi="Arial Narrow" w:cs="Calibri"/>
                <w:color w:val="000000"/>
                <w:lang w:val="es-ES" w:eastAsia="es-ES"/>
              </w:rPr>
              <w:t xml:space="preserve">Cambio contadores Barrio </w:t>
            </w:r>
            <w:proofErr w:type="spellStart"/>
            <w:r w:rsidRPr="002F0492">
              <w:rPr>
                <w:rFonts w:ascii="Arial Narrow" w:hAnsi="Arial Narrow" w:cs="Calibri"/>
                <w:color w:val="000000"/>
                <w:lang w:val="es-ES" w:eastAsia="es-ES"/>
              </w:rPr>
              <w:t>Landibar</w:t>
            </w:r>
            <w:proofErr w:type="spellEnd"/>
          </w:p>
        </w:tc>
        <w:tc>
          <w:tcPr>
            <w:tcW w:w="1134" w:type="dxa"/>
            <w:tcBorders>
              <w:top w:val="single" w:sz="4" w:space="0" w:color="auto"/>
            </w:tcBorders>
            <w:shd w:val="clear" w:color="auto" w:fill="auto"/>
            <w:noWrap/>
            <w:vAlign w:val="center"/>
            <w:hideMark/>
          </w:tcPr>
          <w:p w14:paraId="0E39428F" w14:textId="77777777" w:rsidR="005749C5" w:rsidRPr="002F0492" w:rsidRDefault="005749C5" w:rsidP="00FE7991">
            <w:pPr>
              <w:spacing w:after="0"/>
              <w:ind w:firstLine="0"/>
              <w:jc w:val="right"/>
              <w:rPr>
                <w:rFonts w:ascii="Arial Narrow" w:hAnsi="Arial Narrow" w:cs="Calibri"/>
                <w:color w:val="000000"/>
                <w:lang w:val="es-ES" w:eastAsia="es-ES"/>
              </w:rPr>
            </w:pPr>
            <w:r w:rsidRPr="002F0492">
              <w:rPr>
                <w:rFonts w:ascii="Arial Narrow" w:hAnsi="Arial Narrow" w:cs="Calibri"/>
                <w:color w:val="000000"/>
                <w:lang w:val="es-ES" w:eastAsia="es-ES"/>
              </w:rPr>
              <w:t>15.814</w:t>
            </w:r>
          </w:p>
        </w:tc>
        <w:tc>
          <w:tcPr>
            <w:tcW w:w="2268" w:type="dxa"/>
            <w:tcBorders>
              <w:top w:val="single" w:sz="4" w:space="0" w:color="auto"/>
            </w:tcBorders>
            <w:shd w:val="clear" w:color="auto" w:fill="auto"/>
            <w:noWrap/>
            <w:vAlign w:val="center"/>
            <w:hideMark/>
          </w:tcPr>
          <w:p w14:paraId="45BB229E" w14:textId="77777777" w:rsidR="005749C5" w:rsidRPr="002F0492" w:rsidRDefault="00460959" w:rsidP="00460959">
            <w:pPr>
              <w:spacing w:after="0"/>
              <w:ind w:firstLine="0"/>
              <w:jc w:val="center"/>
              <w:rPr>
                <w:rFonts w:ascii="Arial Narrow" w:hAnsi="Arial Narrow" w:cs="Calibri"/>
                <w:color w:val="000000"/>
                <w:lang w:val="es-ES" w:eastAsia="es-ES"/>
              </w:rPr>
            </w:pPr>
            <w:r>
              <w:rPr>
                <w:rFonts w:ascii="Arial Narrow" w:hAnsi="Arial Narrow" w:cs="Calibri"/>
                <w:color w:val="000000"/>
                <w:lang w:val="es-ES" w:eastAsia="es-ES"/>
              </w:rPr>
              <w:t xml:space="preserve"> Se corresponden con tres c</w:t>
            </w:r>
            <w:r w:rsidR="005749C5" w:rsidRPr="002F0492">
              <w:rPr>
                <w:rFonts w:ascii="Arial Narrow" w:hAnsi="Arial Narrow" w:cs="Calibri"/>
                <w:color w:val="000000"/>
                <w:lang w:val="es-ES" w:eastAsia="es-ES"/>
              </w:rPr>
              <w:t>ontrato</w:t>
            </w:r>
            <w:r>
              <w:rPr>
                <w:rFonts w:ascii="Arial Narrow" w:hAnsi="Arial Narrow" w:cs="Calibri"/>
                <w:color w:val="000000"/>
                <w:lang w:val="es-ES" w:eastAsia="es-ES"/>
              </w:rPr>
              <w:t>s</w:t>
            </w:r>
            <w:r w:rsidR="005749C5" w:rsidRPr="002F0492">
              <w:rPr>
                <w:rFonts w:ascii="Arial Narrow" w:hAnsi="Arial Narrow" w:cs="Calibri"/>
                <w:color w:val="000000"/>
                <w:lang w:val="es-ES" w:eastAsia="es-ES"/>
              </w:rPr>
              <w:t xml:space="preserve"> de menor cuantía</w:t>
            </w:r>
            <w:r>
              <w:rPr>
                <w:rFonts w:ascii="Arial Narrow" w:hAnsi="Arial Narrow" w:cs="Calibri"/>
                <w:color w:val="000000"/>
                <w:lang w:val="es-ES" w:eastAsia="es-ES"/>
              </w:rPr>
              <w:t xml:space="preserve"> y adjudicatarios distintos.</w:t>
            </w:r>
          </w:p>
        </w:tc>
        <w:tc>
          <w:tcPr>
            <w:tcW w:w="1559" w:type="dxa"/>
            <w:vMerge w:val="restart"/>
            <w:tcBorders>
              <w:top w:val="single" w:sz="4" w:space="0" w:color="auto"/>
            </w:tcBorders>
            <w:shd w:val="clear" w:color="auto" w:fill="auto"/>
            <w:vAlign w:val="center"/>
            <w:hideMark/>
          </w:tcPr>
          <w:p w14:paraId="372BE9DB" w14:textId="77777777" w:rsidR="005749C5" w:rsidRPr="005168B5" w:rsidRDefault="005749C5" w:rsidP="00FE7991">
            <w:pPr>
              <w:spacing w:after="0"/>
              <w:ind w:firstLine="0"/>
              <w:jc w:val="center"/>
              <w:rPr>
                <w:rFonts w:ascii="Calibri" w:hAnsi="Calibri" w:cs="Calibri"/>
                <w:color w:val="000000"/>
                <w:lang w:val="es-ES" w:eastAsia="es-ES"/>
              </w:rPr>
            </w:pPr>
          </w:p>
        </w:tc>
      </w:tr>
      <w:tr w:rsidR="005749C5" w:rsidRPr="005168B5" w14:paraId="499F1E8A" w14:textId="77777777" w:rsidTr="001A4D38">
        <w:trPr>
          <w:trHeight w:val="198"/>
          <w:jc w:val="center"/>
        </w:trPr>
        <w:tc>
          <w:tcPr>
            <w:tcW w:w="603" w:type="dxa"/>
            <w:vMerge/>
            <w:vAlign w:val="center"/>
            <w:hideMark/>
          </w:tcPr>
          <w:p w14:paraId="53B70032" w14:textId="77777777" w:rsidR="005749C5" w:rsidRPr="002F0492" w:rsidRDefault="005749C5" w:rsidP="00FE7991">
            <w:pPr>
              <w:spacing w:after="0"/>
              <w:ind w:firstLine="0"/>
              <w:jc w:val="left"/>
              <w:rPr>
                <w:rFonts w:ascii="Arial Narrow" w:hAnsi="Arial Narrow" w:cs="Calibri"/>
                <w:color w:val="000000"/>
                <w:lang w:val="es-ES" w:eastAsia="es-ES"/>
              </w:rPr>
            </w:pPr>
          </w:p>
        </w:tc>
        <w:tc>
          <w:tcPr>
            <w:tcW w:w="4359" w:type="dxa"/>
            <w:shd w:val="clear" w:color="auto" w:fill="auto"/>
            <w:noWrap/>
            <w:vAlign w:val="center"/>
            <w:hideMark/>
          </w:tcPr>
          <w:p w14:paraId="2E8F511C" w14:textId="77777777" w:rsidR="005749C5" w:rsidRPr="002F0492" w:rsidRDefault="005749C5" w:rsidP="00FE7991">
            <w:pPr>
              <w:spacing w:after="0"/>
              <w:ind w:firstLine="0"/>
              <w:jc w:val="left"/>
              <w:rPr>
                <w:rFonts w:ascii="Arial Narrow" w:hAnsi="Arial Narrow" w:cs="Calibri"/>
                <w:color w:val="000000"/>
                <w:lang w:val="es-ES" w:eastAsia="es-ES"/>
              </w:rPr>
            </w:pPr>
            <w:r w:rsidRPr="002F0492">
              <w:rPr>
                <w:rFonts w:ascii="Arial Narrow" w:hAnsi="Arial Narrow" w:cs="Calibri"/>
                <w:color w:val="000000"/>
                <w:lang w:val="es-ES" w:eastAsia="es-ES"/>
              </w:rPr>
              <w:t>Obra alumbrado público centro urbano</w:t>
            </w:r>
          </w:p>
        </w:tc>
        <w:tc>
          <w:tcPr>
            <w:tcW w:w="1134" w:type="dxa"/>
            <w:shd w:val="clear" w:color="auto" w:fill="auto"/>
            <w:noWrap/>
            <w:vAlign w:val="center"/>
            <w:hideMark/>
          </w:tcPr>
          <w:p w14:paraId="4B277BEF" w14:textId="77777777" w:rsidR="005749C5" w:rsidRPr="002F0492" w:rsidRDefault="005749C5" w:rsidP="00FE7991">
            <w:pPr>
              <w:spacing w:after="0"/>
              <w:ind w:firstLine="0"/>
              <w:jc w:val="right"/>
              <w:rPr>
                <w:rFonts w:ascii="Arial Narrow" w:hAnsi="Arial Narrow" w:cs="Calibri"/>
                <w:color w:val="000000"/>
                <w:lang w:val="es-ES" w:eastAsia="es-ES"/>
              </w:rPr>
            </w:pPr>
            <w:r w:rsidRPr="002F0492">
              <w:rPr>
                <w:rFonts w:ascii="Arial Narrow" w:hAnsi="Arial Narrow" w:cs="Calibri"/>
                <w:color w:val="000000"/>
                <w:lang w:val="es-ES" w:eastAsia="es-ES"/>
              </w:rPr>
              <w:t>49.372</w:t>
            </w:r>
            <w:r w:rsidR="00460959">
              <w:rPr>
                <w:rStyle w:val="Refdenotaalpie"/>
                <w:rFonts w:ascii="Arial Narrow" w:hAnsi="Arial Narrow" w:cs="Calibri"/>
                <w:color w:val="000000"/>
                <w:lang w:val="es-ES" w:eastAsia="es-ES"/>
              </w:rPr>
              <w:footnoteReference w:id="9"/>
            </w:r>
          </w:p>
        </w:tc>
        <w:tc>
          <w:tcPr>
            <w:tcW w:w="2268" w:type="dxa"/>
            <w:shd w:val="clear" w:color="auto" w:fill="auto"/>
            <w:noWrap/>
            <w:vAlign w:val="center"/>
            <w:hideMark/>
          </w:tcPr>
          <w:p w14:paraId="44CA54B8" w14:textId="77777777" w:rsidR="00F16EB7" w:rsidRDefault="005749C5" w:rsidP="00FB4D00">
            <w:pPr>
              <w:spacing w:after="0"/>
              <w:ind w:firstLine="0"/>
              <w:jc w:val="center"/>
              <w:rPr>
                <w:rFonts w:ascii="Arial Narrow" w:hAnsi="Arial Narrow" w:cs="Calibri"/>
                <w:color w:val="000000"/>
                <w:lang w:val="es-ES" w:eastAsia="es-ES"/>
              </w:rPr>
            </w:pPr>
            <w:r w:rsidRPr="002F0492">
              <w:rPr>
                <w:rFonts w:ascii="Arial Narrow" w:hAnsi="Arial Narrow" w:cs="Calibri"/>
                <w:color w:val="000000"/>
                <w:lang w:val="es-ES" w:eastAsia="es-ES"/>
              </w:rPr>
              <w:t>Contrato de menor</w:t>
            </w:r>
          </w:p>
          <w:p w14:paraId="2120E8F8" w14:textId="77777777" w:rsidR="005749C5" w:rsidRPr="002F0492" w:rsidRDefault="005749C5" w:rsidP="00FB4D00">
            <w:pPr>
              <w:spacing w:after="0"/>
              <w:ind w:firstLine="0"/>
              <w:jc w:val="center"/>
              <w:rPr>
                <w:rFonts w:ascii="Arial Narrow" w:hAnsi="Arial Narrow" w:cs="Calibri"/>
                <w:color w:val="000000"/>
                <w:lang w:val="es-ES" w:eastAsia="es-ES"/>
              </w:rPr>
            </w:pPr>
            <w:r w:rsidRPr="002F0492">
              <w:rPr>
                <w:rFonts w:ascii="Arial Narrow" w:hAnsi="Arial Narrow" w:cs="Calibri"/>
                <w:color w:val="000000"/>
                <w:lang w:val="es-ES" w:eastAsia="es-ES"/>
              </w:rPr>
              <w:t xml:space="preserve"> cuantía</w:t>
            </w:r>
          </w:p>
        </w:tc>
        <w:tc>
          <w:tcPr>
            <w:tcW w:w="1559" w:type="dxa"/>
            <w:vMerge/>
            <w:vAlign w:val="center"/>
            <w:hideMark/>
          </w:tcPr>
          <w:p w14:paraId="06962892" w14:textId="77777777" w:rsidR="005749C5" w:rsidRPr="005168B5" w:rsidRDefault="005749C5" w:rsidP="00FE7991">
            <w:pPr>
              <w:spacing w:after="0"/>
              <w:ind w:firstLine="0"/>
              <w:jc w:val="left"/>
              <w:rPr>
                <w:rFonts w:ascii="Calibri" w:hAnsi="Calibri" w:cs="Calibri"/>
                <w:color w:val="000000"/>
                <w:lang w:val="es-ES" w:eastAsia="es-ES"/>
              </w:rPr>
            </w:pPr>
          </w:p>
        </w:tc>
      </w:tr>
      <w:tr w:rsidR="005749C5" w:rsidRPr="005168B5" w14:paraId="4E717D28" w14:textId="77777777" w:rsidTr="001A4D38">
        <w:trPr>
          <w:trHeight w:val="198"/>
          <w:jc w:val="center"/>
        </w:trPr>
        <w:tc>
          <w:tcPr>
            <w:tcW w:w="603" w:type="dxa"/>
            <w:vMerge/>
            <w:vAlign w:val="center"/>
            <w:hideMark/>
          </w:tcPr>
          <w:p w14:paraId="78636221" w14:textId="77777777" w:rsidR="005749C5" w:rsidRPr="005168B5" w:rsidRDefault="005749C5" w:rsidP="00FE7991">
            <w:pPr>
              <w:spacing w:after="0"/>
              <w:ind w:firstLine="0"/>
              <w:jc w:val="left"/>
              <w:rPr>
                <w:rFonts w:ascii="Calibri" w:hAnsi="Calibri" w:cs="Calibri"/>
                <w:color w:val="000000"/>
                <w:lang w:val="es-ES" w:eastAsia="es-ES"/>
              </w:rPr>
            </w:pPr>
          </w:p>
        </w:tc>
        <w:tc>
          <w:tcPr>
            <w:tcW w:w="4359" w:type="dxa"/>
            <w:shd w:val="clear" w:color="auto" w:fill="auto"/>
            <w:noWrap/>
            <w:vAlign w:val="center"/>
            <w:hideMark/>
          </w:tcPr>
          <w:p w14:paraId="17B88F91" w14:textId="77777777" w:rsidR="005749C5" w:rsidRPr="002F0492" w:rsidRDefault="005749C5" w:rsidP="00FE7991">
            <w:pPr>
              <w:spacing w:after="0"/>
              <w:ind w:firstLine="0"/>
              <w:jc w:val="left"/>
              <w:rPr>
                <w:rFonts w:ascii="Arial Narrow" w:hAnsi="Arial Narrow" w:cs="Calibri"/>
                <w:color w:val="000000"/>
                <w:lang w:val="es-ES" w:eastAsia="es-ES"/>
              </w:rPr>
            </w:pPr>
            <w:r w:rsidRPr="002F0492">
              <w:rPr>
                <w:rFonts w:ascii="Arial Narrow" w:hAnsi="Arial Narrow" w:cs="Calibri"/>
                <w:color w:val="000000"/>
                <w:lang w:val="es-ES" w:eastAsia="es-ES"/>
              </w:rPr>
              <w:t xml:space="preserve">Obra alumbrado público Barrio </w:t>
            </w:r>
            <w:proofErr w:type="spellStart"/>
            <w:r w:rsidRPr="002F0492">
              <w:rPr>
                <w:rFonts w:ascii="Arial Narrow" w:hAnsi="Arial Narrow" w:cs="Calibri"/>
                <w:color w:val="000000"/>
                <w:lang w:val="es-ES" w:eastAsia="es-ES"/>
              </w:rPr>
              <w:t>Leorlas</w:t>
            </w:r>
            <w:proofErr w:type="spellEnd"/>
          </w:p>
        </w:tc>
        <w:tc>
          <w:tcPr>
            <w:tcW w:w="1134" w:type="dxa"/>
            <w:shd w:val="clear" w:color="000000" w:fill="FFFFFF"/>
            <w:noWrap/>
            <w:vAlign w:val="center"/>
            <w:hideMark/>
          </w:tcPr>
          <w:p w14:paraId="1E685FA8" w14:textId="77777777" w:rsidR="005749C5" w:rsidRPr="002F0492" w:rsidRDefault="005749C5" w:rsidP="00FE7991">
            <w:pPr>
              <w:spacing w:after="0"/>
              <w:ind w:firstLine="0"/>
              <w:jc w:val="right"/>
              <w:rPr>
                <w:rFonts w:ascii="Arial Narrow" w:hAnsi="Arial Narrow" w:cs="Calibri"/>
                <w:color w:val="000000"/>
                <w:lang w:val="es-ES" w:eastAsia="es-ES"/>
              </w:rPr>
            </w:pPr>
            <w:r w:rsidRPr="002F0492">
              <w:rPr>
                <w:rFonts w:ascii="Arial Narrow" w:hAnsi="Arial Narrow" w:cs="Calibri"/>
                <w:color w:val="000000"/>
                <w:lang w:val="es-ES" w:eastAsia="es-ES"/>
              </w:rPr>
              <w:t>37.473</w:t>
            </w:r>
          </w:p>
        </w:tc>
        <w:tc>
          <w:tcPr>
            <w:tcW w:w="2268" w:type="dxa"/>
            <w:shd w:val="clear" w:color="auto" w:fill="auto"/>
            <w:noWrap/>
            <w:vAlign w:val="center"/>
            <w:hideMark/>
          </w:tcPr>
          <w:p w14:paraId="252A696E" w14:textId="77777777" w:rsidR="00F16EB7" w:rsidRDefault="005749C5" w:rsidP="00FB4D00">
            <w:pPr>
              <w:spacing w:after="0"/>
              <w:ind w:firstLine="0"/>
              <w:jc w:val="center"/>
              <w:rPr>
                <w:rFonts w:ascii="Arial Narrow" w:hAnsi="Arial Narrow" w:cs="Calibri"/>
                <w:color w:val="000000"/>
                <w:lang w:val="es-ES" w:eastAsia="es-ES"/>
              </w:rPr>
            </w:pPr>
            <w:r w:rsidRPr="002F0492">
              <w:rPr>
                <w:rFonts w:ascii="Arial Narrow" w:hAnsi="Arial Narrow" w:cs="Calibri"/>
                <w:color w:val="000000"/>
                <w:lang w:val="es-ES" w:eastAsia="es-ES"/>
              </w:rPr>
              <w:t xml:space="preserve">Contrato de menor </w:t>
            </w:r>
          </w:p>
          <w:p w14:paraId="671B59AE" w14:textId="77777777" w:rsidR="005749C5" w:rsidRPr="002F0492" w:rsidRDefault="005749C5" w:rsidP="00FB4D00">
            <w:pPr>
              <w:spacing w:after="0"/>
              <w:ind w:firstLine="0"/>
              <w:jc w:val="center"/>
              <w:rPr>
                <w:rFonts w:ascii="Arial Narrow" w:hAnsi="Arial Narrow" w:cs="Calibri"/>
                <w:color w:val="000000"/>
                <w:lang w:val="es-ES" w:eastAsia="es-ES"/>
              </w:rPr>
            </w:pPr>
            <w:r w:rsidRPr="002F0492">
              <w:rPr>
                <w:rFonts w:ascii="Arial Narrow" w:hAnsi="Arial Narrow" w:cs="Calibri"/>
                <w:color w:val="000000"/>
                <w:lang w:val="es-ES" w:eastAsia="es-ES"/>
              </w:rPr>
              <w:t>cuantía</w:t>
            </w:r>
          </w:p>
        </w:tc>
        <w:tc>
          <w:tcPr>
            <w:tcW w:w="1559" w:type="dxa"/>
            <w:vMerge/>
            <w:vAlign w:val="center"/>
            <w:hideMark/>
          </w:tcPr>
          <w:p w14:paraId="1F4C554F" w14:textId="77777777" w:rsidR="005749C5" w:rsidRPr="005168B5" w:rsidRDefault="005749C5" w:rsidP="00FE7991">
            <w:pPr>
              <w:spacing w:after="0"/>
              <w:ind w:firstLine="0"/>
              <w:jc w:val="left"/>
              <w:rPr>
                <w:rFonts w:ascii="Calibri" w:hAnsi="Calibri" w:cs="Calibri"/>
                <w:color w:val="000000"/>
                <w:lang w:val="es-ES" w:eastAsia="es-ES"/>
              </w:rPr>
            </w:pPr>
          </w:p>
        </w:tc>
      </w:tr>
      <w:tr w:rsidR="00F16EB7" w:rsidRPr="002F0492" w14:paraId="7A23D002" w14:textId="77777777" w:rsidTr="00477EC1">
        <w:trPr>
          <w:trHeight w:val="198"/>
          <w:jc w:val="center"/>
        </w:trPr>
        <w:tc>
          <w:tcPr>
            <w:tcW w:w="603" w:type="dxa"/>
            <w:tcBorders>
              <w:bottom w:val="single" w:sz="4" w:space="0" w:color="auto"/>
            </w:tcBorders>
            <w:shd w:val="clear" w:color="auto" w:fill="FFFFFF" w:themeFill="background1"/>
            <w:vAlign w:val="center"/>
          </w:tcPr>
          <w:p w14:paraId="72DB4FFA" w14:textId="77777777" w:rsidR="00F16EB7" w:rsidRPr="002F0492" w:rsidRDefault="00F16EB7" w:rsidP="00FE7991">
            <w:pPr>
              <w:spacing w:after="0"/>
              <w:ind w:firstLine="0"/>
              <w:jc w:val="center"/>
              <w:rPr>
                <w:rFonts w:ascii="Arial" w:hAnsi="Arial" w:cs="Arial"/>
                <w:color w:val="000000"/>
                <w:sz w:val="18"/>
                <w:szCs w:val="18"/>
                <w:lang w:val="es-ES" w:eastAsia="es-ES"/>
              </w:rPr>
            </w:pPr>
          </w:p>
        </w:tc>
        <w:tc>
          <w:tcPr>
            <w:tcW w:w="4359" w:type="dxa"/>
            <w:tcBorders>
              <w:bottom w:val="single" w:sz="4" w:space="0" w:color="auto"/>
            </w:tcBorders>
            <w:shd w:val="clear" w:color="auto" w:fill="FFFFFF" w:themeFill="background1"/>
            <w:noWrap/>
            <w:vAlign w:val="center"/>
          </w:tcPr>
          <w:p w14:paraId="629831F7" w14:textId="77777777" w:rsidR="00F16EB7" w:rsidRPr="00F16EB7" w:rsidRDefault="00F16EB7" w:rsidP="00FE7991">
            <w:pPr>
              <w:spacing w:after="0"/>
              <w:ind w:firstLine="0"/>
              <w:jc w:val="left"/>
              <w:rPr>
                <w:rFonts w:ascii="Arial Narrow" w:hAnsi="Arial Narrow" w:cs="Arial"/>
                <w:color w:val="000000"/>
                <w:lang w:val="es-ES" w:eastAsia="es-ES"/>
              </w:rPr>
            </w:pPr>
            <w:r w:rsidRPr="00F16EB7">
              <w:rPr>
                <w:rFonts w:ascii="Arial Narrow" w:hAnsi="Arial Narrow" w:cs="Arial"/>
                <w:color w:val="000000"/>
                <w:lang w:val="es-ES" w:eastAsia="es-ES"/>
              </w:rPr>
              <w:t xml:space="preserve">Obra camino </w:t>
            </w:r>
            <w:proofErr w:type="spellStart"/>
            <w:r w:rsidRPr="00F16EB7">
              <w:rPr>
                <w:rFonts w:ascii="Arial Narrow" w:hAnsi="Arial Narrow" w:cs="Arial"/>
                <w:color w:val="000000"/>
                <w:lang w:val="es-ES" w:eastAsia="es-ES"/>
              </w:rPr>
              <w:t>Katalingo</w:t>
            </w:r>
            <w:proofErr w:type="spellEnd"/>
          </w:p>
        </w:tc>
        <w:tc>
          <w:tcPr>
            <w:tcW w:w="1134" w:type="dxa"/>
            <w:tcBorders>
              <w:bottom w:val="single" w:sz="4" w:space="0" w:color="auto"/>
            </w:tcBorders>
            <w:shd w:val="clear" w:color="auto" w:fill="FFFFFF" w:themeFill="background1"/>
            <w:noWrap/>
            <w:vAlign w:val="center"/>
          </w:tcPr>
          <w:p w14:paraId="03C1AC39" w14:textId="77777777" w:rsidR="00F16EB7" w:rsidRPr="00F16EB7" w:rsidRDefault="00F16EB7" w:rsidP="00FE7991">
            <w:pPr>
              <w:spacing w:after="0"/>
              <w:ind w:firstLine="0"/>
              <w:jc w:val="right"/>
              <w:rPr>
                <w:rFonts w:ascii="Arial Narrow" w:hAnsi="Arial Narrow" w:cs="Arial"/>
                <w:color w:val="000000"/>
                <w:lang w:val="es-ES" w:eastAsia="es-ES"/>
              </w:rPr>
            </w:pPr>
            <w:r w:rsidRPr="00F16EB7">
              <w:rPr>
                <w:rFonts w:ascii="Arial Narrow" w:hAnsi="Arial Narrow" w:cs="Arial"/>
                <w:color w:val="000000"/>
                <w:lang w:val="es-ES" w:eastAsia="es-ES"/>
              </w:rPr>
              <w:t>40.066</w:t>
            </w:r>
          </w:p>
        </w:tc>
        <w:tc>
          <w:tcPr>
            <w:tcW w:w="2268" w:type="dxa"/>
            <w:tcBorders>
              <w:bottom w:val="single" w:sz="4" w:space="0" w:color="auto"/>
            </w:tcBorders>
            <w:shd w:val="clear" w:color="auto" w:fill="FFFFFF" w:themeFill="background1"/>
            <w:noWrap/>
            <w:vAlign w:val="center"/>
          </w:tcPr>
          <w:p w14:paraId="37F8B1DE" w14:textId="77777777" w:rsidR="00F16EB7" w:rsidRPr="00F16EB7" w:rsidRDefault="00F16EB7" w:rsidP="00F16EB7">
            <w:pPr>
              <w:spacing w:after="0"/>
              <w:ind w:firstLine="0"/>
              <w:jc w:val="center"/>
              <w:rPr>
                <w:rFonts w:ascii="Arial Narrow" w:hAnsi="Arial Narrow" w:cs="Arial"/>
                <w:color w:val="000000"/>
                <w:lang w:val="es-ES" w:eastAsia="es-ES"/>
              </w:rPr>
            </w:pPr>
            <w:r w:rsidRPr="00F16EB7">
              <w:rPr>
                <w:rFonts w:ascii="Arial Narrow" w:hAnsi="Arial Narrow" w:cs="Arial"/>
                <w:color w:val="000000"/>
                <w:lang w:val="es-ES" w:eastAsia="es-ES"/>
              </w:rPr>
              <w:t>Contrato de menor</w:t>
            </w:r>
          </w:p>
          <w:p w14:paraId="5ACC5D1A" w14:textId="77777777" w:rsidR="00F16EB7" w:rsidRPr="00F16EB7" w:rsidRDefault="00F16EB7" w:rsidP="00F16EB7">
            <w:pPr>
              <w:spacing w:after="0"/>
              <w:ind w:firstLine="0"/>
              <w:jc w:val="center"/>
              <w:rPr>
                <w:rFonts w:ascii="Arial Narrow" w:hAnsi="Arial Narrow" w:cs="Arial"/>
                <w:color w:val="000000"/>
                <w:lang w:val="es-ES" w:eastAsia="es-ES"/>
              </w:rPr>
            </w:pPr>
            <w:r w:rsidRPr="00F16EB7">
              <w:rPr>
                <w:rFonts w:ascii="Arial Narrow" w:hAnsi="Arial Narrow" w:cs="Arial"/>
                <w:color w:val="000000"/>
                <w:lang w:val="es-ES" w:eastAsia="es-ES"/>
              </w:rPr>
              <w:t>cuantía</w:t>
            </w:r>
          </w:p>
        </w:tc>
        <w:tc>
          <w:tcPr>
            <w:tcW w:w="1559" w:type="dxa"/>
            <w:tcBorders>
              <w:bottom w:val="single" w:sz="4" w:space="0" w:color="auto"/>
            </w:tcBorders>
            <w:shd w:val="clear" w:color="auto" w:fill="FFFFFF" w:themeFill="background1"/>
            <w:vAlign w:val="center"/>
          </w:tcPr>
          <w:p w14:paraId="6D1C84E9" w14:textId="77777777" w:rsidR="00F16EB7" w:rsidRPr="002F0492" w:rsidRDefault="00F16EB7" w:rsidP="00FE7991">
            <w:pPr>
              <w:spacing w:after="0"/>
              <w:ind w:firstLine="0"/>
              <w:jc w:val="center"/>
              <w:rPr>
                <w:rFonts w:ascii="Arial" w:hAnsi="Arial" w:cs="Arial"/>
                <w:color w:val="000000"/>
                <w:sz w:val="18"/>
                <w:szCs w:val="18"/>
                <w:lang w:val="es-ES" w:eastAsia="es-ES"/>
              </w:rPr>
            </w:pPr>
          </w:p>
        </w:tc>
      </w:tr>
      <w:tr w:rsidR="005749C5" w:rsidRPr="002F0492" w14:paraId="0E1E7701" w14:textId="77777777" w:rsidTr="00477EC1">
        <w:trPr>
          <w:trHeight w:val="227"/>
          <w:jc w:val="center"/>
        </w:trPr>
        <w:tc>
          <w:tcPr>
            <w:tcW w:w="603" w:type="dxa"/>
            <w:tcBorders>
              <w:top w:val="single" w:sz="4" w:space="0" w:color="auto"/>
              <w:bottom w:val="single" w:sz="4" w:space="0" w:color="auto"/>
            </w:tcBorders>
            <w:shd w:val="clear" w:color="000000" w:fill="F4B084"/>
            <w:vAlign w:val="center"/>
            <w:hideMark/>
          </w:tcPr>
          <w:p w14:paraId="4AEFD62F" w14:textId="77777777" w:rsidR="005749C5" w:rsidRPr="002F0492" w:rsidRDefault="005749C5" w:rsidP="00FE7991">
            <w:pPr>
              <w:spacing w:after="0"/>
              <w:ind w:firstLine="0"/>
              <w:jc w:val="center"/>
              <w:rPr>
                <w:rFonts w:ascii="Arial" w:hAnsi="Arial" w:cs="Arial"/>
                <w:color w:val="000000"/>
                <w:sz w:val="18"/>
                <w:szCs w:val="18"/>
                <w:lang w:val="es-ES" w:eastAsia="es-ES"/>
              </w:rPr>
            </w:pPr>
            <w:r w:rsidRPr="002F0492">
              <w:rPr>
                <w:rFonts w:ascii="Arial" w:hAnsi="Arial" w:cs="Arial"/>
                <w:color w:val="000000"/>
                <w:sz w:val="18"/>
                <w:szCs w:val="18"/>
                <w:lang w:val="es-ES" w:eastAsia="es-ES"/>
              </w:rPr>
              <w:t>Total</w:t>
            </w:r>
          </w:p>
        </w:tc>
        <w:tc>
          <w:tcPr>
            <w:tcW w:w="4359" w:type="dxa"/>
            <w:tcBorders>
              <w:top w:val="single" w:sz="4" w:space="0" w:color="auto"/>
              <w:bottom w:val="single" w:sz="4" w:space="0" w:color="auto"/>
            </w:tcBorders>
            <w:shd w:val="clear" w:color="000000" w:fill="F4B084"/>
            <w:noWrap/>
            <w:vAlign w:val="center"/>
            <w:hideMark/>
          </w:tcPr>
          <w:p w14:paraId="6DF8B3D8" w14:textId="77777777" w:rsidR="005749C5" w:rsidRPr="002F0492" w:rsidRDefault="005749C5" w:rsidP="00FE7991">
            <w:pPr>
              <w:spacing w:after="0"/>
              <w:ind w:firstLine="0"/>
              <w:jc w:val="left"/>
              <w:rPr>
                <w:rFonts w:ascii="Arial" w:hAnsi="Arial" w:cs="Arial"/>
                <w:color w:val="000000"/>
                <w:sz w:val="18"/>
                <w:szCs w:val="18"/>
                <w:lang w:val="es-ES" w:eastAsia="es-ES"/>
              </w:rPr>
            </w:pPr>
            <w:r w:rsidRPr="002F0492">
              <w:rPr>
                <w:rFonts w:ascii="Arial" w:hAnsi="Arial" w:cs="Arial"/>
                <w:color w:val="000000"/>
                <w:sz w:val="18"/>
                <w:szCs w:val="18"/>
                <w:lang w:val="es-ES" w:eastAsia="es-ES"/>
              </w:rPr>
              <w:t> </w:t>
            </w:r>
          </w:p>
        </w:tc>
        <w:tc>
          <w:tcPr>
            <w:tcW w:w="1134" w:type="dxa"/>
            <w:tcBorders>
              <w:top w:val="single" w:sz="4" w:space="0" w:color="auto"/>
              <w:bottom w:val="single" w:sz="4" w:space="0" w:color="auto"/>
            </w:tcBorders>
            <w:shd w:val="clear" w:color="000000" w:fill="F4B084"/>
            <w:noWrap/>
            <w:vAlign w:val="center"/>
            <w:hideMark/>
          </w:tcPr>
          <w:p w14:paraId="79185F73" w14:textId="77777777" w:rsidR="005749C5" w:rsidRPr="002F0492" w:rsidRDefault="002C3373" w:rsidP="00FE799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142.725</w:t>
            </w:r>
          </w:p>
        </w:tc>
        <w:tc>
          <w:tcPr>
            <w:tcW w:w="2268" w:type="dxa"/>
            <w:tcBorders>
              <w:top w:val="single" w:sz="4" w:space="0" w:color="auto"/>
              <w:bottom w:val="single" w:sz="4" w:space="0" w:color="auto"/>
            </w:tcBorders>
            <w:shd w:val="clear" w:color="000000" w:fill="F4B084"/>
            <w:noWrap/>
            <w:vAlign w:val="center"/>
            <w:hideMark/>
          </w:tcPr>
          <w:p w14:paraId="3712B3E4" w14:textId="77777777" w:rsidR="005749C5" w:rsidRPr="002F0492" w:rsidRDefault="005749C5" w:rsidP="00FB4D00">
            <w:pPr>
              <w:spacing w:after="0"/>
              <w:ind w:firstLine="0"/>
              <w:jc w:val="center"/>
              <w:rPr>
                <w:rFonts w:ascii="Arial" w:hAnsi="Arial" w:cs="Arial"/>
                <w:color w:val="000000"/>
                <w:sz w:val="18"/>
                <w:szCs w:val="18"/>
                <w:lang w:val="es-ES" w:eastAsia="es-ES"/>
              </w:rPr>
            </w:pPr>
          </w:p>
        </w:tc>
        <w:tc>
          <w:tcPr>
            <w:tcW w:w="1559" w:type="dxa"/>
            <w:tcBorders>
              <w:top w:val="single" w:sz="4" w:space="0" w:color="auto"/>
              <w:bottom w:val="single" w:sz="4" w:space="0" w:color="auto"/>
            </w:tcBorders>
            <w:shd w:val="clear" w:color="000000" w:fill="F4B084"/>
            <w:vAlign w:val="center"/>
            <w:hideMark/>
          </w:tcPr>
          <w:p w14:paraId="638C0812" w14:textId="77777777" w:rsidR="005749C5" w:rsidRPr="002F0492" w:rsidRDefault="005749C5" w:rsidP="00FE7991">
            <w:pPr>
              <w:spacing w:after="0"/>
              <w:ind w:firstLine="0"/>
              <w:jc w:val="center"/>
              <w:rPr>
                <w:rFonts w:ascii="Arial" w:hAnsi="Arial" w:cs="Arial"/>
                <w:color w:val="000000"/>
                <w:sz w:val="18"/>
                <w:szCs w:val="18"/>
                <w:lang w:val="es-ES" w:eastAsia="es-ES"/>
              </w:rPr>
            </w:pPr>
            <w:r w:rsidRPr="002F0492">
              <w:rPr>
                <w:rFonts w:ascii="Arial" w:hAnsi="Arial" w:cs="Arial"/>
                <w:color w:val="000000"/>
                <w:sz w:val="18"/>
                <w:szCs w:val="18"/>
                <w:lang w:val="es-ES" w:eastAsia="es-ES"/>
              </w:rPr>
              <w:t>276.259 </w:t>
            </w:r>
          </w:p>
        </w:tc>
      </w:tr>
      <w:tr w:rsidR="005749C5" w:rsidRPr="005168B5" w14:paraId="64FE4CAB" w14:textId="77777777" w:rsidTr="00477EC1">
        <w:trPr>
          <w:trHeight w:val="198"/>
          <w:jc w:val="center"/>
        </w:trPr>
        <w:tc>
          <w:tcPr>
            <w:tcW w:w="603" w:type="dxa"/>
            <w:vMerge w:val="restart"/>
            <w:tcBorders>
              <w:top w:val="single" w:sz="4" w:space="0" w:color="auto"/>
            </w:tcBorders>
            <w:shd w:val="clear" w:color="auto" w:fill="auto"/>
            <w:noWrap/>
            <w:vAlign w:val="center"/>
            <w:hideMark/>
          </w:tcPr>
          <w:p w14:paraId="41C81A62" w14:textId="77777777" w:rsidR="005749C5" w:rsidRDefault="005749C5" w:rsidP="00FE7991">
            <w:pPr>
              <w:spacing w:after="0"/>
              <w:ind w:firstLine="0"/>
              <w:jc w:val="center"/>
              <w:rPr>
                <w:rFonts w:ascii="Arial Narrow" w:hAnsi="Arial Narrow" w:cs="Calibri"/>
                <w:color w:val="000000"/>
                <w:lang w:val="es-ES" w:eastAsia="es-ES"/>
              </w:rPr>
            </w:pPr>
          </w:p>
          <w:p w14:paraId="34A90435" w14:textId="77777777" w:rsidR="004B65C3" w:rsidRPr="009D3D6A" w:rsidRDefault="004B65C3" w:rsidP="00FE7991">
            <w:pPr>
              <w:spacing w:after="0"/>
              <w:ind w:firstLine="0"/>
              <w:jc w:val="center"/>
              <w:rPr>
                <w:rFonts w:ascii="Arial Narrow" w:hAnsi="Arial Narrow" w:cs="Calibri"/>
                <w:color w:val="000000"/>
                <w:lang w:val="es-ES" w:eastAsia="es-ES"/>
              </w:rPr>
            </w:pPr>
            <w:r>
              <w:rPr>
                <w:rFonts w:ascii="Arial Narrow" w:hAnsi="Arial Narrow" w:cs="Calibri"/>
                <w:color w:val="000000"/>
                <w:lang w:val="es-ES" w:eastAsia="es-ES"/>
              </w:rPr>
              <w:t>2020</w:t>
            </w:r>
          </w:p>
        </w:tc>
        <w:tc>
          <w:tcPr>
            <w:tcW w:w="4359" w:type="dxa"/>
            <w:tcBorders>
              <w:top w:val="single" w:sz="4" w:space="0" w:color="auto"/>
            </w:tcBorders>
            <w:shd w:val="clear" w:color="auto" w:fill="auto"/>
            <w:noWrap/>
            <w:vAlign w:val="center"/>
            <w:hideMark/>
          </w:tcPr>
          <w:p w14:paraId="53134097" w14:textId="77777777" w:rsidR="005749C5" w:rsidRPr="009D3D6A" w:rsidRDefault="005749C5" w:rsidP="00FE7991">
            <w:pPr>
              <w:spacing w:after="0"/>
              <w:ind w:firstLine="0"/>
              <w:jc w:val="left"/>
              <w:rPr>
                <w:rFonts w:ascii="Arial Narrow" w:hAnsi="Arial Narrow" w:cs="Calibri"/>
                <w:color w:val="000000"/>
                <w:lang w:val="es-ES" w:eastAsia="es-ES"/>
              </w:rPr>
            </w:pPr>
            <w:r w:rsidRPr="009D3D6A">
              <w:rPr>
                <w:rFonts w:ascii="Arial Narrow" w:hAnsi="Arial Narrow" w:cs="Calibri"/>
                <w:color w:val="000000"/>
                <w:lang w:val="es-ES" w:eastAsia="es-ES"/>
              </w:rPr>
              <w:t>Sustitución contadores y tuberías</w:t>
            </w:r>
          </w:p>
        </w:tc>
        <w:tc>
          <w:tcPr>
            <w:tcW w:w="1134" w:type="dxa"/>
            <w:tcBorders>
              <w:top w:val="single" w:sz="4" w:space="0" w:color="auto"/>
            </w:tcBorders>
            <w:shd w:val="clear" w:color="auto" w:fill="auto"/>
            <w:noWrap/>
            <w:vAlign w:val="center"/>
            <w:hideMark/>
          </w:tcPr>
          <w:p w14:paraId="24A1CACE" w14:textId="77777777" w:rsidR="005749C5" w:rsidRPr="009D3D6A" w:rsidRDefault="005749C5" w:rsidP="00FE7991">
            <w:pPr>
              <w:spacing w:after="0"/>
              <w:ind w:firstLine="0"/>
              <w:jc w:val="right"/>
              <w:rPr>
                <w:rFonts w:ascii="Arial Narrow" w:hAnsi="Arial Narrow" w:cs="Calibri"/>
                <w:color w:val="000000"/>
                <w:lang w:val="es-ES" w:eastAsia="es-ES"/>
              </w:rPr>
            </w:pPr>
            <w:r w:rsidRPr="009D3D6A">
              <w:rPr>
                <w:rFonts w:ascii="Arial Narrow" w:hAnsi="Arial Narrow" w:cs="Calibri"/>
                <w:color w:val="000000"/>
                <w:lang w:val="es-ES" w:eastAsia="es-ES"/>
              </w:rPr>
              <w:t>16.830</w:t>
            </w:r>
          </w:p>
        </w:tc>
        <w:tc>
          <w:tcPr>
            <w:tcW w:w="2268" w:type="dxa"/>
            <w:tcBorders>
              <w:top w:val="single" w:sz="4" w:space="0" w:color="auto"/>
            </w:tcBorders>
            <w:shd w:val="clear" w:color="auto" w:fill="auto"/>
            <w:noWrap/>
            <w:vAlign w:val="center"/>
            <w:hideMark/>
          </w:tcPr>
          <w:p w14:paraId="6DEE1487" w14:textId="77777777" w:rsidR="005749C5" w:rsidRPr="009D3D6A" w:rsidRDefault="002C3373" w:rsidP="002C3373">
            <w:pPr>
              <w:spacing w:after="0"/>
              <w:ind w:firstLine="0"/>
              <w:jc w:val="center"/>
              <w:rPr>
                <w:rFonts w:ascii="Arial Narrow" w:hAnsi="Arial Narrow" w:cs="Calibri"/>
                <w:color w:val="000000"/>
                <w:lang w:val="es-ES" w:eastAsia="es-ES"/>
              </w:rPr>
            </w:pPr>
            <w:r>
              <w:rPr>
                <w:rFonts w:ascii="Arial Narrow" w:hAnsi="Arial Narrow" w:cs="Calibri"/>
                <w:color w:val="000000"/>
                <w:lang w:val="es-ES" w:eastAsia="es-ES"/>
              </w:rPr>
              <w:t>Se corresponden con 4 c</w:t>
            </w:r>
            <w:r w:rsidR="005749C5" w:rsidRPr="009D3D6A">
              <w:rPr>
                <w:rFonts w:ascii="Arial Narrow" w:hAnsi="Arial Narrow" w:cs="Calibri"/>
                <w:color w:val="000000"/>
                <w:lang w:val="es-ES" w:eastAsia="es-ES"/>
              </w:rPr>
              <w:t>ontrato</w:t>
            </w:r>
            <w:r>
              <w:rPr>
                <w:rFonts w:ascii="Arial Narrow" w:hAnsi="Arial Narrow" w:cs="Calibri"/>
                <w:color w:val="000000"/>
                <w:lang w:val="es-ES" w:eastAsia="es-ES"/>
              </w:rPr>
              <w:t>s</w:t>
            </w:r>
            <w:r w:rsidR="005749C5" w:rsidRPr="009D3D6A">
              <w:rPr>
                <w:rFonts w:ascii="Arial Narrow" w:hAnsi="Arial Narrow" w:cs="Calibri"/>
                <w:color w:val="000000"/>
                <w:lang w:val="es-ES" w:eastAsia="es-ES"/>
              </w:rPr>
              <w:t xml:space="preserve"> de menor cuantía</w:t>
            </w:r>
          </w:p>
        </w:tc>
        <w:tc>
          <w:tcPr>
            <w:tcW w:w="1559" w:type="dxa"/>
            <w:vMerge w:val="restart"/>
            <w:tcBorders>
              <w:top w:val="single" w:sz="4" w:space="0" w:color="auto"/>
            </w:tcBorders>
            <w:shd w:val="clear" w:color="auto" w:fill="auto"/>
            <w:vAlign w:val="center"/>
            <w:hideMark/>
          </w:tcPr>
          <w:p w14:paraId="61967B1F" w14:textId="77777777" w:rsidR="005749C5" w:rsidRPr="005168B5" w:rsidRDefault="005749C5" w:rsidP="00FE7991">
            <w:pPr>
              <w:spacing w:after="0"/>
              <w:ind w:firstLine="0"/>
              <w:jc w:val="center"/>
              <w:rPr>
                <w:rFonts w:ascii="Calibri" w:hAnsi="Calibri" w:cs="Calibri"/>
                <w:color w:val="000000"/>
                <w:lang w:val="es-ES" w:eastAsia="es-ES"/>
              </w:rPr>
            </w:pPr>
          </w:p>
        </w:tc>
      </w:tr>
      <w:tr w:rsidR="005749C5" w:rsidRPr="005168B5" w14:paraId="62AEE7CD" w14:textId="77777777" w:rsidTr="00477EC1">
        <w:trPr>
          <w:trHeight w:val="198"/>
          <w:jc w:val="center"/>
        </w:trPr>
        <w:tc>
          <w:tcPr>
            <w:tcW w:w="603" w:type="dxa"/>
            <w:vMerge/>
            <w:tcBorders>
              <w:bottom w:val="single" w:sz="4" w:space="0" w:color="auto"/>
            </w:tcBorders>
            <w:vAlign w:val="center"/>
            <w:hideMark/>
          </w:tcPr>
          <w:p w14:paraId="0AD0385B" w14:textId="77777777" w:rsidR="005749C5" w:rsidRPr="009D3D6A" w:rsidRDefault="005749C5" w:rsidP="00FE7991">
            <w:pPr>
              <w:spacing w:after="0"/>
              <w:ind w:firstLine="0"/>
              <w:jc w:val="left"/>
              <w:rPr>
                <w:rFonts w:ascii="Arial Narrow" w:hAnsi="Arial Narrow" w:cs="Calibri"/>
                <w:color w:val="000000"/>
                <w:lang w:val="es-ES" w:eastAsia="es-ES"/>
              </w:rPr>
            </w:pPr>
          </w:p>
        </w:tc>
        <w:tc>
          <w:tcPr>
            <w:tcW w:w="4359" w:type="dxa"/>
            <w:tcBorders>
              <w:bottom w:val="single" w:sz="4" w:space="0" w:color="auto"/>
            </w:tcBorders>
            <w:shd w:val="clear" w:color="auto" w:fill="auto"/>
            <w:noWrap/>
            <w:vAlign w:val="center"/>
            <w:hideMark/>
          </w:tcPr>
          <w:p w14:paraId="710EB4AD" w14:textId="77777777" w:rsidR="005749C5" w:rsidRPr="009D3D6A" w:rsidRDefault="005749C5" w:rsidP="00FE7991">
            <w:pPr>
              <w:spacing w:after="0"/>
              <w:ind w:firstLine="0"/>
              <w:jc w:val="left"/>
              <w:rPr>
                <w:rFonts w:ascii="Arial Narrow" w:hAnsi="Arial Narrow" w:cs="Calibri"/>
                <w:color w:val="000000"/>
                <w:lang w:val="es-ES" w:eastAsia="es-ES"/>
              </w:rPr>
            </w:pPr>
            <w:r w:rsidRPr="009D3D6A">
              <w:rPr>
                <w:rFonts w:ascii="Arial Narrow" w:hAnsi="Arial Narrow" w:cs="Calibri"/>
                <w:color w:val="000000"/>
                <w:lang w:val="es-ES" w:eastAsia="es-ES"/>
              </w:rPr>
              <w:t>Obras en caminos</w:t>
            </w:r>
          </w:p>
        </w:tc>
        <w:tc>
          <w:tcPr>
            <w:tcW w:w="1134" w:type="dxa"/>
            <w:tcBorders>
              <w:bottom w:val="single" w:sz="4" w:space="0" w:color="auto"/>
            </w:tcBorders>
            <w:shd w:val="clear" w:color="auto" w:fill="auto"/>
            <w:noWrap/>
            <w:vAlign w:val="center"/>
            <w:hideMark/>
          </w:tcPr>
          <w:p w14:paraId="5C3644D6" w14:textId="77777777" w:rsidR="005749C5" w:rsidRPr="009D3D6A" w:rsidRDefault="005749C5" w:rsidP="00FE7991">
            <w:pPr>
              <w:spacing w:after="0"/>
              <w:ind w:firstLine="0"/>
              <w:jc w:val="right"/>
              <w:rPr>
                <w:rFonts w:ascii="Arial Narrow" w:hAnsi="Arial Narrow" w:cs="Calibri"/>
                <w:color w:val="000000"/>
                <w:lang w:val="es-ES" w:eastAsia="es-ES"/>
              </w:rPr>
            </w:pPr>
            <w:r w:rsidRPr="009D3D6A">
              <w:rPr>
                <w:rFonts w:ascii="Arial Narrow" w:hAnsi="Arial Narrow" w:cs="Calibri"/>
                <w:color w:val="000000"/>
                <w:lang w:val="es-ES" w:eastAsia="es-ES"/>
              </w:rPr>
              <w:t>21.494</w:t>
            </w:r>
          </w:p>
        </w:tc>
        <w:tc>
          <w:tcPr>
            <w:tcW w:w="2268" w:type="dxa"/>
            <w:tcBorders>
              <w:bottom w:val="single" w:sz="4" w:space="0" w:color="auto"/>
            </w:tcBorders>
            <w:shd w:val="clear" w:color="auto" w:fill="auto"/>
            <w:noWrap/>
            <w:vAlign w:val="center"/>
            <w:hideMark/>
          </w:tcPr>
          <w:p w14:paraId="28FBA67A" w14:textId="77777777" w:rsidR="005749C5" w:rsidRPr="009D3D6A" w:rsidRDefault="002C3373" w:rsidP="002C3373">
            <w:pPr>
              <w:spacing w:after="0"/>
              <w:ind w:firstLine="0"/>
              <w:jc w:val="center"/>
              <w:rPr>
                <w:rFonts w:ascii="Arial Narrow" w:hAnsi="Arial Narrow" w:cs="Calibri"/>
                <w:color w:val="000000"/>
                <w:lang w:val="es-ES" w:eastAsia="es-ES"/>
              </w:rPr>
            </w:pPr>
            <w:r>
              <w:rPr>
                <w:rFonts w:ascii="Arial Narrow" w:hAnsi="Arial Narrow" w:cs="Calibri"/>
                <w:color w:val="000000"/>
                <w:lang w:val="es-ES" w:eastAsia="es-ES"/>
              </w:rPr>
              <w:t xml:space="preserve">Se corresponde con 3 contratos </w:t>
            </w:r>
            <w:r w:rsidR="005749C5" w:rsidRPr="009D3D6A">
              <w:rPr>
                <w:rFonts w:ascii="Arial Narrow" w:hAnsi="Arial Narrow" w:cs="Calibri"/>
                <w:color w:val="000000"/>
                <w:lang w:val="es-ES" w:eastAsia="es-ES"/>
              </w:rPr>
              <w:t>de menor cuantía</w:t>
            </w:r>
          </w:p>
        </w:tc>
        <w:tc>
          <w:tcPr>
            <w:tcW w:w="1559" w:type="dxa"/>
            <w:vMerge/>
            <w:tcBorders>
              <w:bottom w:val="single" w:sz="4" w:space="0" w:color="auto"/>
            </w:tcBorders>
            <w:vAlign w:val="center"/>
            <w:hideMark/>
          </w:tcPr>
          <w:p w14:paraId="592E5CE7" w14:textId="77777777" w:rsidR="005749C5" w:rsidRPr="005168B5" w:rsidRDefault="005749C5" w:rsidP="00FE7991">
            <w:pPr>
              <w:spacing w:after="0"/>
              <w:ind w:firstLine="0"/>
              <w:jc w:val="left"/>
              <w:rPr>
                <w:rFonts w:ascii="Calibri" w:hAnsi="Calibri" w:cs="Calibri"/>
                <w:color w:val="000000"/>
                <w:lang w:val="es-ES" w:eastAsia="es-ES"/>
              </w:rPr>
            </w:pPr>
          </w:p>
        </w:tc>
      </w:tr>
      <w:tr w:rsidR="005749C5" w:rsidRPr="009D3D6A" w14:paraId="4D6BBECF" w14:textId="77777777" w:rsidTr="00477EC1">
        <w:trPr>
          <w:trHeight w:val="227"/>
          <w:jc w:val="center"/>
        </w:trPr>
        <w:tc>
          <w:tcPr>
            <w:tcW w:w="603" w:type="dxa"/>
            <w:tcBorders>
              <w:top w:val="single" w:sz="4" w:space="0" w:color="auto"/>
              <w:bottom w:val="single" w:sz="4" w:space="0" w:color="auto"/>
            </w:tcBorders>
            <w:shd w:val="clear" w:color="000000" w:fill="F4B084"/>
            <w:vAlign w:val="center"/>
            <w:hideMark/>
          </w:tcPr>
          <w:p w14:paraId="6AFF942A" w14:textId="77777777" w:rsidR="005749C5" w:rsidRPr="009D3D6A" w:rsidRDefault="005749C5" w:rsidP="00FE7991">
            <w:pPr>
              <w:spacing w:after="0"/>
              <w:ind w:firstLine="0"/>
              <w:jc w:val="center"/>
              <w:rPr>
                <w:rFonts w:ascii="Arial" w:hAnsi="Arial" w:cs="Arial"/>
                <w:color w:val="000000"/>
                <w:sz w:val="18"/>
                <w:szCs w:val="18"/>
                <w:lang w:val="es-ES" w:eastAsia="es-ES"/>
              </w:rPr>
            </w:pPr>
            <w:r w:rsidRPr="009D3D6A">
              <w:rPr>
                <w:rFonts w:ascii="Arial" w:hAnsi="Arial" w:cs="Arial"/>
                <w:color w:val="000000"/>
                <w:sz w:val="18"/>
                <w:szCs w:val="18"/>
                <w:lang w:val="es-ES" w:eastAsia="es-ES"/>
              </w:rPr>
              <w:t>Total</w:t>
            </w:r>
          </w:p>
        </w:tc>
        <w:tc>
          <w:tcPr>
            <w:tcW w:w="4359" w:type="dxa"/>
            <w:tcBorders>
              <w:top w:val="single" w:sz="4" w:space="0" w:color="auto"/>
              <w:bottom w:val="single" w:sz="4" w:space="0" w:color="auto"/>
            </w:tcBorders>
            <w:shd w:val="clear" w:color="000000" w:fill="F4B084"/>
            <w:noWrap/>
            <w:vAlign w:val="bottom"/>
            <w:hideMark/>
          </w:tcPr>
          <w:p w14:paraId="69E3F04A" w14:textId="77777777" w:rsidR="005749C5" w:rsidRPr="009D3D6A" w:rsidRDefault="005749C5" w:rsidP="00FE7991">
            <w:pPr>
              <w:spacing w:after="0"/>
              <w:ind w:firstLine="0"/>
              <w:jc w:val="left"/>
              <w:rPr>
                <w:rFonts w:ascii="Arial" w:hAnsi="Arial" w:cs="Arial"/>
                <w:color w:val="000000"/>
                <w:sz w:val="18"/>
                <w:szCs w:val="18"/>
                <w:lang w:val="es-ES" w:eastAsia="es-ES"/>
              </w:rPr>
            </w:pPr>
            <w:r w:rsidRPr="009D3D6A">
              <w:rPr>
                <w:rFonts w:ascii="Arial" w:hAnsi="Arial" w:cs="Arial"/>
                <w:color w:val="000000"/>
                <w:sz w:val="18"/>
                <w:szCs w:val="18"/>
                <w:lang w:val="es-ES" w:eastAsia="es-ES"/>
              </w:rPr>
              <w:t> </w:t>
            </w:r>
          </w:p>
        </w:tc>
        <w:tc>
          <w:tcPr>
            <w:tcW w:w="1134" w:type="dxa"/>
            <w:tcBorders>
              <w:top w:val="single" w:sz="4" w:space="0" w:color="auto"/>
              <w:bottom w:val="single" w:sz="4" w:space="0" w:color="auto"/>
            </w:tcBorders>
            <w:shd w:val="clear" w:color="000000" w:fill="F4B084"/>
            <w:noWrap/>
            <w:vAlign w:val="bottom"/>
            <w:hideMark/>
          </w:tcPr>
          <w:p w14:paraId="68862969" w14:textId="77777777" w:rsidR="005749C5" w:rsidRPr="009D3D6A" w:rsidRDefault="002C3373" w:rsidP="0093326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38.324</w:t>
            </w:r>
          </w:p>
        </w:tc>
        <w:tc>
          <w:tcPr>
            <w:tcW w:w="2268" w:type="dxa"/>
            <w:tcBorders>
              <w:top w:val="single" w:sz="4" w:space="0" w:color="auto"/>
              <w:bottom w:val="single" w:sz="4" w:space="0" w:color="auto"/>
            </w:tcBorders>
            <w:shd w:val="clear" w:color="000000" w:fill="F4B084"/>
            <w:noWrap/>
            <w:vAlign w:val="bottom"/>
            <w:hideMark/>
          </w:tcPr>
          <w:p w14:paraId="7DEF9BE0" w14:textId="77777777" w:rsidR="005749C5" w:rsidRPr="009D3D6A" w:rsidRDefault="005749C5" w:rsidP="00FE7991">
            <w:pPr>
              <w:spacing w:after="0"/>
              <w:ind w:firstLine="0"/>
              <w:jc w:val="left"/>
              <w:rPr>
                <w:rFonts w:ascii="Arial" w:hAnsi="Arial" w:cs="Arial"/>
                <w:color w:val="000000"/>
                <w:sz w:val="18"/>
                <w:szCs w:val="18"/>
                <w:lang w:val="es-ES" w:eastAsia="es-ES"/>
              </w:rPr>
            </w:pPr>
            <w:r w:rsidRPr="009D3D6A">
              <w:rPr>
                <w:rFonts w:ascii="Arial" w:hAnsi="Arial" w:cs="Arial"/>
                <w:color w:val="000000"/>
                <w:sz w:val="18"/>
                <w:szCs w:val="18"/>
                <w:lang w:val="es-ES" w:eastAsia="es-ES"/>
              </w:rPr>
              <w:t> </w:t>
            </w:r>
          </w:p>
        </w:tc>
        <w:tc>
          <w:tcPr>
            <w:tcW w:w="1559" w:type="dxa"/>
            <w:tcBorders>
              <w:top w:val="single" w:sz="4" w:space="0" w:color="auto"/>
              <w:bottom w:val="single" w:sz="4" w:space="0" w:color="auto"/>
            </w:tcBorders>
            <w:shd w:val="clear" w:color="000000" w:fill="F4B084"/>
            <w:noWrap/>
            <w:vAlign w:val="bottom"/>
            <w:hideMark/>
          </w:tcPr>
          <w:p w14:paraId="6C3BCE71" w14:textId="77777777" w:rsidR="005749C5" w:rsidRPr="009D3D6A" w:rsidRDefault="005749C5" w:rsidP="00FE7991">
            <w:pPr>
              <w:spacing w:after="0"/>
              <w:ind w:firstLine="0"/>
              <w:jc w:val="center"/>
              <w:rPr>
                <w:rFonts w:ascii="Arial" w:hAnsi="Arial" w:cs="Arial"/>
                <w:color w:val="000000"/>
                <w:sz w:val="18"/>
                <w:szCs w:val="18"/>
                <w:lang w:val="es-ES" w:eastAsia="es-ES"/>
              </w:rPr>
            </w:pPr>
            <w:r w:rsidRPr="009D3D6A">
              <w:rPr>
                <w:rFonts w:ascii="Arial" w:hAnsi="Arial" w:cs="Arial"/>
                <w:color w:val="000000"/>
                <w:sz w:val="18"/>
                <w:szCs w:val="18"/>
                <w:lang w:val="es-ES" w:eastAsia="es-ES"/>
              </w:rPr>
              <w:t>84.104</w:t>
            </w:r>
          </w:p>
        </w:tc>
      </w:tr>
    </w:tbl>
    <w:p w14:paraId="3983EB7C" w14:textId="77777777" w:rsidR="005749C5" w:rsidRPr="00217548" w:rsidRDefault="009D3D6A" w:rsidP="00477EC1">
      <w:pPr>
        <w:pStyle w:val="texto"/>
        <w:tabs>
          <w:tab w:val="clear" w:pos="2835"/>
          <w:tab w:val="clear" w:pos="3969"/>
          <w:tab w:val="clear" w:pos="5103"/>
          <w:tab w:val="clear" w:pos="6237"/>
          <w:tab w:val="clear" w:pos="7371"/>
          <w:tab w:val="left" w:pos="480"/>
          <w:tab w:val="num" w:pos="720"/>
          <w:tab w:val="num" w:pos="1080"/>
          <w:tab w:val="num" w:pos="2760"/>
        </w:tabs>
        <w:spacing w:before="240" w:after="240"/>
        <w:ind w:firstLine="289"/>
        <w:rPr>
          <w:rFonts w:eastAsia="Calibri"/>
          <w:i/>
          <w:szCs w:val="26"/>
          <w:lang w:eastAsia="es-ES"/>
        </w:rPr>
      </w:pPr>
      <w:r w:rsidRPr="00F2040C">
        <w:rPr>
          <w:szCs w:val="26"/>
          <w:lang w:eastAsia="es-ES"/>
        </w:rPr>
        <w:t xml:space="preserve">• </w:t>
      </w:r>
      <w:r w:rsidR="005749C5" w:rsidRPr="00217548">
        <w:rPr>
          <w:rFonts w:eastAsia="Calibri"/>
          <w:i/>
          <w:szCs w:val="26"/>
          <w:lang w:eastAsia="es-ES"/>
        </w:rPr>
        <w:t>Cumplir todos los requisitos formales establecidos en la legislación contractual y en los pliegos de cláusulas administrativas, entre otros, formalización de contrato con el adjudicatario, exigencia de las fianzas establecidas, imposición de sanciones ante el incumplimiento no justificado de los plazos de ejecución, formalización del acta de comprobación del replanteo y del acta de recepción de obra y existencia de crédito presupuestario para la realización del gasto adjudicado.</w:t>
      </w:r>
    </w:p>
    <w:p w14:paraId="14EDB730" w14:textId="77777777" w:rsidR="005749C5" w:rsidRDefault="005749C5"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sidRPr="00130676">
        <w:rPr>
          <w:rFonts w:eastAsia="Calibri"/>
          <w:szCs w:val="26"/>
          <w:lang w:eastAsia="es-ES"/>
        </w:rPr>
        <w:t xml:space="preserve">Esta recomendación no ha sido aplicada, </w:t>
      </w:r>
      <w:r w:rsidRPr="00D4530B">
        <w:rPr>
          <w:rFonts w:eastAsia="Calibri"/>
          <w:szCs w:val="26"/>
          <w:lang w:eastAsia="es-ES"/>
        </w:rPr>
        <w:t>ya que</w:t>
      </w:r>
      <w:r>
        <w:rPr>
          <w:rFonts w:eastAsia="Calibri"/>
          <w:szCs w:val="26"/>
          <w:lang w:eastAsia="es-ES"/>
        </w:rPr>
        <w:t xml:space="preserve"> si bien de la revisión del contrato de obra “Modificación integral del abastecimiento de agua potable del Municipio de </w:t>
      </w:r>
      <w:proofErr w:type="spellStart"/>
      <w:r w:rsidR="002C3373">
        <w:rPr>
          <w:rFonts w:eastAsia="Calibri"/>
          <w:szCs w:val="26"/>
          <w:lang w:eastAsia="es-ES"/>
        </w:rPr>
        <w:t>Urdazubi</w:t>
      </w:r>
      <w:proofErr w:type="spellEnd"/>
      <w:r w:rsidR="002C3373">
        <w:rPr>
          <w:rFonts w:eastAsia="Calibri"/>
          <w:szCs w:val="26"/>
          <w:lang w:eastAsia="es-ES"/>
        </w:rPr>
        <w:t>-Urdax</w:t>
      </w:r>
      <w:r>
        <w:rPr>
          <w:rFonts w:eastAsia="Calibri"/>
          <w:szCs w:val="26"/>
          <w:lang w:eastAsia="es-ES"/>
        </w:rPr>
        <w:t>”, en términos generales, se observa que se ha ajustado a los requisitos y formalidades establecidos en el marco contractual, hemos detectado las siguientes deficiencias que consideramos significativas:</w:t>
      </w:r>
    </w:p>
    <w:p w14:paraId="7E995652" w14:textId="77777777" w:rsidR="005749C5" w:rsidRPr="008B768E" w:rsidRDefault="009D3D6A" w:rsidP="006C4E60">
      <w:pPr>
        <w:pStyle w:val="texto"/>
        <w:tabs>
          <w:tab w:val="clear" w:pos="2835"/>
          <w:tab w:val="clear" w:pos="3969"/>
          <w:tab w:val="clear" w:pos="5103"/>
          <w:tab w:val="clear" w:pos="6237"/>
          <w:tab w:val="clear" w:pos="7371"/>
          <w:tab w:val="left" w:pos="480"/>
          <w:tab w:val="num" w:pos="720"/>
          <w:tab w:val="num" w:pos="1080"/>
          <w:tab w:val="num" w:pos="2760"/>
        </w:tabs>
        <w:spacing w:after="120"/>
        <w:ind w:firstLine="289"/>
        <w:rPr>
          <w:rFonts w:eastAsia="Calibri"/>
          <w:szCs w:val="26"/>
          <w:lang w:eastAsia="es-ES"/>
        </w:rPr>
      </w:pPr>
      <w:r>
        <w:rPr>
          <w:rFonts w:eastAsia="Calibri"/>
          <w:szCs w:val="26"/>
          <w:lang w:eastAsia="es-ES"/>
        </w:rPr>
        <w:t xml:space="preserve">a) </w:t>
      </w:r>
      <w:r w:rsidR="005749C5" w:rsidRPr="008B768E">
        <w:rPr>
          <w:rFonts w:eastAsia="Calibri"/>
          <w:szCs w:val="26"/>
          <w:lang w:eastAsia="es-ES"/>
        </w:rPr>
        <w:t xml:space="preserve">Esta obra se licitó en el ejercicio 2017. El </w:t>
      </w:r>
      <w:r w:rsidR="00F85028">
        <w:rPr>
          <w:rFonts w:eastAsia="Calibri"/>
          <w:szCs w:val="26"/>
          <w:lang w:eastAsia="es-ES"/>
        </w:rPr>
        <w:t>s</w:t>
      </w:r>
      <w:r w:rsidR="005749C5" w:rsidRPr="008B768E">
        <w:rPr>
          <w:rFonts w:eastAsia="Calibri"/>
          <w:szCs w:val="26"/>
          <w:lang w:eastAsia="es-ES"/>
        </w:rPr>
        <w:t>ecretario-</w:t>
      </w:r>
      <w:r w:rsidR="00F85028">
        <w:rPr>
          <w:rFonts w:eastAsia="Calibri"/>
          <w:szCs w:val="26"/>
          <w:lang w:eastAsia="es-ES"/>
        </w:rPr>
        <w:t>i</w:t>
      </w:r>
      <w:r w:rsidR="005749C5" w:rsidRPr="008B768E">
        <w:rPr>
          <w:rFonts w:eastAsia="Calibri"/>
          <w:szCs w:val="26"/>
          <w:lang w:eastAsia="es-ES"/>
        </w:rPr>
        <w:t xml:space="preserve">nterventor emitió un reparo suspensivo por insuficiencia de crédito, </w:t>
      </w:r>
      <w:r w:rsidR="005749C5">
        <w:rPr>
          <w:rFonts w:eastAsia="Calibri"/>
          <w:szCs w:val="26"/>
          <w:lang w:eastAsia="es-ES"/>
        </w:rPr>
        <w:t xml:space="preserve">por lo que propuso </w:t>
      </w:r>
      <w:r w:rsidR="005749C5" w:rsidRPr="008B768E">
        <w:rPr>
          <w:rFonts w:eastAsia="Calibri"/>
          <w:szCs w:val="26"/>
          <w:lang w:eastAsia="es-ES"/>
        </w:rPr>
        <w:t xml:space="preserve">la </w:t>
      </w:r>
      <w:r w:rsidR="005749C5">
        <w:rPr>
          <w:rFonts w:eastAsia="Calibri"/>
          <w:szCs w:val="26"/>
          <w:lang w:eastAsia="es-ES"/>
        </w:rPr>
        <w:t xml:space="preserve">tramitación </w:t>
      </w:r>
      <w:r w:rsidR="005749C5" w:rsidRPr="008B768E">
        <w:rPr>
          <w:rFonts w:eastAsia="Calibri"/>
          <w:szCs w:val="26"/>
          <w:lang w:eastAsia="es-ES"/>
        </w:rPr>
        <w:t xml:space="preserve">de la preceptiva modificación presupuestaria. El Pleno </w:t>
      </w:r>
      <w:r w:rsidR="005749C5">
        <w:rPr>
          <w:rFonts w:eastAsia="Calibri"/>
          <w:szCs w:val="26"/>
          <w:lang w:eastAsia="es-ES"/>
        </w:rPr>
        <w:t xml:space="preserve">resolvió el reparo </w:t>
      </w:r>
      <w:r w:rsidR="005749C5" w:rsidRPr="008B768E">
        <w:rPr>
          <w:rFonts w:eastAsia="Calibri"/>
          <w:szCs w:val="26"/>
          <w:lang w:eastAsia="es-ES"/>
        </w:rPr>
        <w:t>aprobando el gasto y el correspondiente expediente de contratación, sin tramitar la previa modificación presupuestaria.</w:t>
      </w:r>
    </w:p>
    <w:p w14:paraId="5B91763B" w14:textId="77777777" w:rsidR="005749C5" w:rsidRPr="008B768E"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rFonts w:eastAsia="Calibri"/>
          <w:szCs w:val="26"/>
          <w:lang w:eastAsia="es-ES"/>
        </w:rPr>
        <w:lastRenderedPageBreak/>
        <w:t xml:space="preserve">b) </w:t>
      </w:r>
      <w:r w:rsidR="005749C5" w:rsidRPr="008B768E">
        <w:rPr>
          <w:rFonts w:eastAsia="Calibri"/>
          <w:szCs w:val="26"/>
          <w:lang w:eastAsia="es-ES"/>
        </w:rPr>
        <w:t>La valoración económica que figura en los pliegos no se ha realizado mediante fórmula matemática linealmente proporcional, de forma que a partir de un determinado porcentaje de baja la puntuación se asigna en menor proporción a la baja ofertada.</w:t>
      </w:r>
    </w:p>
    <w:p w14:paraId="7671ABBE" w14:textId="77777777" w:rsidR="005749C5" w:rsidRPr="008B768E"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rFonts w:eastAsia="Calibri"/>
          <w:szCs w:val="26"/>
          <w:lang w:eastAsia="es-ES"/>
        </w:rPr>
        <w:t xml:space="preserve">c) </w:t>
      </w:r>
      <w:r w:rsidR="005749C5" w:rsidRPr="008B768E">
        <w:rPr>
          <w:rFonts w:eastAsia="Calibri"/>
          <w:szCs w:val="26"/>
          <w:lang w:eastAsia="es-ES"/>
        </w:rPr>
        <w:t xml:space="preserve">El acta de replanteo que supone el inicio de la obra se realizó con tres meses de retraso desde la firma del contrato, sin que conste justificación de su demora. </w:t>
      </w:r>
    </w:p>
    <w:p w14:paraId="01D690F6" w14:textId="77777777" w:rsidR="005749C5"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rFonts w:eastAsia="Calibri"/>
          <w:szCs w:val="26"/>
          <w:lang w:eastAsia="es-ES"/>
        </w:rPr>
        <w:t xml:space="preserve">d) </w:t>
      </w:r>
      <w:r w:rsidR="005749C5" w:rsidRPr="008B768E">
        <w:rPr>
          <w:rFonts w:eastAsia="Calibri"/>
          <w:szCs w:val="26"/>
          <w:lang w:eastAsia="es-ES"/>
        </w:rPr>
        <w:t xml:space="preserve">La obra se adjudicó en 2017, pero se inició </w:t>
      </w:r>
      <w:r w:rsidR="00FD31F1">
        <w:rPr>
          <w:rFonts w:eastAsia="Calibri"/>
          <w:szCs w:val="26"/>
          <w:lang w:eastAsia="es-ES"/>
        </w:rPr>
        <w:t>y ejecutó en el ejercicio 2018, habiéndose producido una desviación final</w:t>
      </w:r>
      <w:r w:rsidR="00A045D0">
        <w:rPr>
          <w:rFonts w:eastAsia="Calibri"/>
          <w:szCs w:val="26"/>
          <w:lang w:eastAsia="es-ES"/>
        </w:rPr>
        <w:t xml:space="preserve"> del </w:t>
      </w:r>
      <w:r w:rsidR="005749C5" w:rsidRPr="008B768E">
        <w:rPr>
          <w:rFonts w:eastAsia="Calibri"/>
          <w:szCs w:val="26"/>
          <w:lang w:eastAsia="es-ES"/>
        </w:rPr>
        <w:t>9,12 por</w:t>
      </w:r>
      <w:r w:rsidR="00903989">
        <w:rPr>
          <w:rFonts w:eastAsia="Calibri"/>
          <w:szCs w:val="26"/>
          <w:lang w:eastAsia="es-ES"/>
        </w:rPr>
        <w:t xml:space="preserve"> ciento </w:t>
      </w:r>
      <w:r w:rsidR="00A045D0">
        <w:rPr>
          <w:rFonts w:eastAsia="Calibri"/>
          <w:szCs w:val="26"/>
          <w:lang w:eastAsia="es-ES"/>
        </w:rPr>
        <w:t xml:space="preserve">sobre el </w:t>
      </w:r>
      <w:r w:rsidR="00903989">
        <w:rPr>
          <w:rFonts w:eastAsia="Calibri"/>
          <w:szCs w:val="26"/>
          <w:lang w:eastAsia="es-ES"/>
        </w:rPr>
        <w:t>importe adjudicado</w:t>
      </w:r>
      <w:r w:rsidR="006746CC">
        <w:rPr>
          <w:rFonts w:eastAsia="Calibri"/>
          <w:szCs w:val="26"/>
          <w:lang w:eastAsia="es-ES"/>
        </w:rPr>
        <w:t>.</w:t>
      </w:r>
      <w:r w:rsidR="00FD31F1">
        <w:rPr>
          <w:rFonts w:eastAsia="Calibri"/>
          <w:szCs w:val="26"/>
          <w:lang w:eastAsia="es-ES"/>
        </w:rPr>
        <w:t xml:space="preserve"> </w:t>
      </w:r>
      <w:r w:rsidR="005749C5" w:rsidRPr="008B768E">
        <w:rPr>
          <w:rFonts w:eastAsia="Calibri"/>
          <w:szCs w:val="26"/>
          <w:lang w:eastAsia="es-ES"/>
        </w:rPr>
        <w:t>A este respecto indicamos lo siguiente:</w:t>
      </w:r>
    </w:p>
    <w:p w14:paraId="1F83E770" w14:textId="77777777" w:rsidR="00A045D0" w:rsidRDefault="006C4E60" w:rsidP="00C04178">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lang w:eastAsia="es-ES"/>
        </w:rPr>
      </w:pPr>
      <w:r>
        <w:rPr>
          <w:rFonts w:eastAsia="Calibri"/>
          <w:szCs w:val="26"/>
          <w:lang w:eastAsia="es-ES"/>
        </w:rPr>
        <w:t xml:space="preserve">- </w:t>
      </w:r>
      <w:r w:rsidR="00A045D0" w:rsidRPr="008B768E">
        <w:rPr>
          <w:rFonts w:eastAsia="Calibri"/>
          <w:szCs w:val="26"/>
          <w:lang w:eastAsia="es-ES"/>
        </w:rPr>
        <w:t xml:space="preserve">No se </w:t>
      </w:r>
      <w:r w:rsidR="00A045D0">
        <w:rPr>
          <w:rFonts w:eastAsia="Calibri"/>
          <w:szCs w:val="26"/>
          <w:lang w:eastAsia="es-ES"/>
        </w:rPr>
        <w:t xml:space="preserve">hizo </w:t>
      </w:r>
      <w:r w:rsidR="00A045D0" w:rsidRPr="008B768E">
        <w:rPr>
          <w:rFonts w:eastAsia="Calibri"/>
          <w:szCs w:val="26"/>
          <w:lang w:eastAsia="es-ES"/>
        </w:rPr>
        <w:t>constar ni en el valor estimado ni en los pliegos, así como</w:t>
      </w:r>
      <w:r w:rsidR="00A045D0">
        <w:rPr>
          <w:rFonts w:eastAsia="Calibri"/>
          <w:szCs w:val="26"/>
          <w:lang w:eastAsia="es-ES"/>
        </w:rPr>
        <w:t xml:space="preserve"> tampoco</w:t>
      </w:r>
      <w:r w:rsidR="00A045D0" w:rsidRPr="008B768E">
        <w:rPr>
          <w:rFonts w:eastAsia="Calibri"/>
          <w:szCs w:val="26"/>
          <w:lang w:eastAsia="es-ES"/>
        </w:rPr>
        <w:t xml:space="preserve"> en la resolución de adjudicación la disposición de un crédito global del 10 por ciento máximo que establecía la Ley Foral 6/2006 de Contratos Públicos</w:t>
      </w:r>
      <w:r w:rsidR="00A045D0" w:rsidRPr="00C14E98">
        <w:rPr>
          <w:rStyle w:val="Refdenotaalpie"/>
          <w:rFonts w:eastAsia="Calibri"/>
          <w:szCs w:val="26"/>
          <w:lang w:eastAsia="es-ES"/>
        </w:rPr>
        <w:footnoteReference w:id="10"/>
      </w:r>
      <w:r w:rsidR="00A045D0" w:rsidRPr="008B768E">
        <w:rPr>
          <w:rFonts w:eastAsia="Calibri"/>
          <w:szCs w:val="26"/>
          <w:lang w:eastAsia="es-ES"/>
        </w:rPr>
        <w:t xml:space="preserve"> para no tramitar el previo y preceptivo expediente de modificación contractual</w:t>
      </w:r>
      <w:r w:rsidR="00A045D0">
        <w:rPr>
          <w:rFonts w:eastAsia="Calibri"/>
          <w:szCs w:val="26"/>
          <w:lang w:eastAsia="es-ES"/>
        </w:rPr>
        <w:t>.</w:t>
      </w:r>
    </w:p>
    <w:p w14:paraId="225284C4" w14:textId="77777777" w:rsidR="00FD31F1" w:rsidRDefault="006C4E60" w:rsidP="006D3CAB">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lang w:eastAsia="es-ES"/>
        </w:rPr>
      </w:pPr>
      <w:r>
        <w:rPr>
          <w:szCs w:val="26"/>
          <w:lang w:eastAsia="es-ES"/>
        </w:rPr>
        <w:t xml:space="preserve">- </w:t>
      </w:r>
      <w:r w:rsidR="00FD31F1">
        <w:rPr>
          <w:szCs w:val="26"/>
          <w:lang w:eastAsia="es-ES"/>
        </w:rPr>
        <w:t>La última certificación de obra incluye la citada desviación, sin que se haya tramitado previamente la</w:t>
      </w:r>
      <w:r w:rsidR="002C3373">
        <w:rPr>
          <w:szCs w:val="26"/>
          <w:lang w:eastAsia="es-ES"/>
        </w:rPr>
        <w:t xml:space="preserve"> oportuna</w:t>
      </w:r>
      <w:r w:rsidR="00FD31F1">
        <w:rPr>
          <w:szCs w:val="26"/>
          <w:lang w:eastAsia="es-ES"/>
        </w:rPr>
        <w:t xml:space="preserve"> y </w:t>
      </w:r>
      <w:r w:rsidR="002C3373">
        <w:rPr>
          <w:szCs w:val="26"/>
          <w:lang w:eastAsia="es-ES"/>
        </w:rPr>
        <w:t xml:space="preserve">preceptiva </w:t>
      </w:r>
      <w:r w:rsidR="00FD31F1">
        <w:rPr>
          <w:szCs w:val="26"/>
          <w:lang w:eastAsia="es-ES"/>
        </w:rPr>
        <w:t xml:space="preserve">modificación </w:t>
      </w:r>
      <w:r w:rsidR="002C3373">
        <w:rPr>
          <w:szCs w:val="26"/>
          <w:lang w:eastAsia="es-ES"/>
        </w:rPr>
        <w:t>presupuestaria, por insuficiencia de crédito en la partida de inversiones.</w:t>
      </w:r>
    </w:p>
    <w:p w14:paraId="52BC0BD9" w14:textId="77777777" w:rsidR="005749C5" w:rsidRPr="008B768E" w:rsidRDefault="006C4E60" w:rsidP="006D3CAB">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rFonts w:eastAsia="Calibri"/>
          <w:szCs w:val="26"/>
          <w:lang w:eastAsia="es-ES"/>
        </w:rPr>
        <w:t xml:space="preserve">- </w:t>
      </w:r>
      <w:r w:rsidR="005749C5" w:rsidRPr="008B768E">
        <w:rPr>
          <w:rFonts w:eastAsia="Calibri"/>
          <w:szCs w:val="26"/>
          <w:lang w:eastAsia="es-ES"/>
        </w:rPr>
        <w:t>La propuesta de precios contradictorios por nuevas unidades de obra y la aprobación de los mismos por el órgano de contratación se realiza con posterioridad a la última certificación.</w:t>
      </w:r>
    </w:p>
    <w:p w14:paraId="131F69F6" w14:textId="77777777" w:rsidR="00A045D0" w:rsidRDefault="00A045D0"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rFonts w:eastAsia="Calibri"/>
          <w:szCs w:val="26"/>
          <w:lang w:eastAsia="es-ES"/>
        </w:rPr>
        <w:t>e</w:t>
      </w:r>
      <w:r w:rsidR="009D3D6A">
        <w:rPr>
          <w:rFonts w:eastAsia="Calibri"/>
          <w:szCs w:val="26"/>
          <w:lang w:eastAsia="es-ES"/>
        </w:rPr>
        <w:t xml:space="preserve">) </w:t>
      </w:r>
      <w:r w:rsidR="005749C5" w:rsidRPr="008B768E">
        <w:rPr>
          <w:rFonts w:eastAsia="Calibri"/>
          <w:szCs w:val="26"/>
          <w:lang w:eastAsia="es-ES"/>
        </w:rPr>
        <w:t>De conformidad con lo establecido en los pliegos y posteriormente en el contrato, la obra se debía haber ejecutado en un plazo de seis meses a contar desde el día siguiente de la formalización del acta</w:t>
      </w:r>
      <w:r w:rsidR="005749C5">
        <w:rPr>
          <w:rFonts w:eastAsia="Calibri"/>
          <w:szCs w:val="26"/>
          <w:lang w:eastAsia="es-ES"/>
        </w:rPr>
        <w:t xml:space="preserve"> de comprobación del replanteo. </w:t>
      </w:r>
      <w:r>
        <w:rPr>
          <w:rFonts w:eastAsia="Calibri"/>
          <w:szCs w:val="26"/>
          <w:lang w:eastAsia="es-ES"/>
        </w:rPr>
        <w:t>A este respecto:</w:t>
      </w:r>
    </w:p>
    <w:p w14:paraId="3730CBF3" w14:textId="77777777" w:rsidR="005749C5" w:rsidRPr="008B768E" w:rsidRDefault="006C4E60"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rFonts w:eastAsia="Calibri"/>
          <w:szCs w:val="26"/>
          <w:lang w:eastAsia="es-ES"/>
        </w:rPr>
        <w:t xml:space="preserve">- </w:t>
      </w:r>
      <w:r w:rsidR="005749C5">
        <w:rPr>
          <w:rFonts w:eastAsia="Calibri"/>
          <w:szCs w:val="26"/>
          <w:lang w:eastAsia="es-ES"/>
        </w:rPr>
        <w:t xml:space="preserve">El </w:t>
      </w:r>
      <w:r w:rsidR="005749C5" w:rsidRPr="008B768E">
        <w:rPr>
          <w:rFonts w:eastAsia="Calibri"/>
          <w:szCs w:val="26"/>
          <w:lang w:eastAsia="es-ES"/>
        </w:rPr>
        <w:t xml:space="preserve">acta </w:t>
      </w:r>
      <w:r w:rsidR="00A045D0">
        <w:rPr>
          <w:rFonts w:eastAsia="Calibri"/>
          <w:szCs w:val="26"/>
          <w:lang w:eastAsia="es-ES"/>
        </w:rPr>
        <w:t xml:space="preserve">de replanteo </w:t>
      </w:r>
      <w:r w:rsidR="005749C5">
        <w:rPr>
          <w:rFonts w:eastAsia="Calibri"/>
          <w:szCs w:val="26"/>
          <w:lang w:eastAsia="es-ES"/>
        </w:rPr>
        <w:t xml:space="preserve">se firmó </w:t>
      </w:r>
      <w:r w:rsidR="005749C5" w:rsidRPr="008B768E">
        <w:rPr>
          <w:rFonts w:eastAsia="Calibri"/>
          <w:szCs w:val="26"/>
          <w:lang w:eastAsia="es-ES"/>
        </w:rPr>
        <w:t>el 1</w:t>
      </w:r>
      <w:r w:rsidR="00A045D0">
        <w:rPr>
          <w:rFonts w:eastAsia="Calibri"/>
          <w:szCs w:val="26"/>
          <w:lang w:eastAsia="es-ES"/>
        </w:rPr>
        <w:t>4</w:t>
      </w:r>
      <w:r w:rsidR="005749C5" w:rsidRPr="008B768E">
        <w:rPr>
          <w:rFonts w:eastAsia="Calibri"/>
          <w:szCs w:val="26"/>
          <w:lang w:eastAsia="es-ES"/>
        </w:rPr>
        <w:t xml:space="preserve"> de febrero de 2018.</w:t>
      </w:r>
    </w:p>
    <w:p w14:paraId="660CEAFD" w14:textId="77777777" w:rsidR="005749C5" w:rsidRPr="008B768E" w:rsidRDefault="006C4E60"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rFonts w:eastAsia="Calibri"/>
          <w:szCs w:val="26"/>
          <w:lang w:eastAsia="es-ES"/>
        </w:rPr>
        <w:t xml:space="preserve">- </w:t>
      </w:r>
      <w:r w:rsidR="005749C5" w:rsidRPr="008B768E">
        <w:rPr>
          <w:rFonts w:eastAsia="Calibri"/>
          <w:szCs w:val="26"/>
          <w:lang w:eastAsia="es-ES"/>
        </w:rPr>
        <w:t>La última certificación de la obra es de 1</w:t>
      </w:r>
      <w:r w:rsidR="00A045D0">
        <w:rPr>
          <w:rFonts w:eastAsia="Calibri"/>
          <w:szCs w:val="26"/>
          <w:lang w:eastAsia="es-ES"/>
        </w:rPr>
        <w:t>8</w:t>
      </w:r>
      <w:r w:rsidR="005749C5" w:rsidRPr="008B768E">
        <w:rPr>
          <w:rFonts w:eastAsia="Calibri"/>
          <w:szCs w:val="26"/>
          <w:lang w:eastAsia="es-ES"/>
        </w:rPr>
        <w:t xml:space="preserve"> de diciembre de 2018 y el acta de recepción</w:t>
      </w:r>
      <w:r w:rsidR="00A045D0">
        <w:rPr>
          <w:rFonts w:eastAsia="Calibri"/>
          <w:szCs w:val="26"/>
          <w:lang w:eastAsia="es-ES"/>
        </w:rPr>
        <w:t xml:space="preserve"> es de 21 de diciembre de 2018</w:t>
      </w:r>
      <w:r w:rsidR="00C04178">
        <w:rPr>
          <w:rFonts w:eastAsia="Calibri"/>
          <w:szCs w:val="26"/>
          <w:lang w:eastAsia="es-ES"/>
        </w:rPr>
        <w:t xml:space="preserve">, </w:t>
      </w:r>
      <w:r w:rsidR="005749C5" w:rsidRPr="008B768E">
        <w:rPr>
          <w:rFonts w:eastAsia="Calibri"/>
          <w:szCs w:val="26"/>
          <w:lang w:eastAsia="es-ES"/>
        </w:rPr>
        <w:t>es decir, el plazo de ejecución ha superado en cuatro meses las estipulaciones contractu</w:t>
      </w:r>
      <w:r w:rsidR="00A045D0">
        <w:rPr>
          <w:rFonts w:eastAsia="Calibri"/>
          <w:szCs w:val="26"/>
          <w:lang w:eastAsia="es-ES"/>
        </w:rPr>
        <w:t>ales</w:t>
      </w:r>
      <w:r w:rsidR="00F85028">
        <w:rPr>
          <w:rFonts w:eastAsia="Calibri"/>
          <w:szCs w:val="26"/>
          <w:lang w:eastAsia="es-ES"/>
        </w:rPr>
        <w:t>. No consta</w:t>
      </w:r>
      <w:r w:rsidR="00A045D0">
        <w:rPr>
          <w:rFonts w:eastAsia="Calibri"/>
          <w:szCs w:val="26"/>
          <w:lang w:eastAsia="es-ES"/>
        </w:rPr>
        <w:t xml:space="preserve"> documentación</w:t>
      </w:r>
      <w:r w:rsidR="005749C5" w:rsidRPr="008B768E">
        <w:rPr>
          <w:rFonts w:eastAsia="Calibri"/>
          <w:szCs w:val="26"/>
          <w:lang w:eastAsia="es-ES"/>
        </w:rPr>
        <w:t xml:space="preserve"> que justifique el citado retraso</w:t>
      </w:r>
      <w:r w:rsidR="00A045D0">
        <w:rPr>
          <w:rFonts w:eastAsia="Calibri"/>
          <w:szCs w:val="26"/>
          <w:lang w:eastAsia="es-ES"/>
        </w:rPr>
        <w:t>, lo que nos impide pronunciarnos</w:t>
      </w:r>
      <w:r w:rsidR="00F85028">
        <w:rPr>
          <w:rFonts w:eastAsia="Calibri"/>
          <w:szCs w:val="26"/>
          <w:lang w:eastAsia="es-ES"/>
        </w:rPr>
        <w:t xml:space="preserve"> sobre</w:t>
      </w:r>
      <w:r w:rsidR="00A045D0">
        <w:rPr>
          <w:rFonts w:eastAsia="Calibri"/>
          <w:szCs w:val="26"/>
          <w:lang w:eastAsia="es-ES"/>
        </w:rPr>
        <w:t xml:space="preserve"> si la demora en el plazo e</w:t>
      </w:r>
      <w:r w:rsidR="005749C5" w:rsidRPr="008B768E">
        <w:rPr>
          <w:rFonts w:eastAsia="Calibri"/>
          <w:szCs w:val="26"/>
          <w:lang w:eastAsia="es-ES"/>
        </w:rPr>
        <w:t>s imputable al contratista o al ayuntamiento a efectos de exigir</w:t>
      </w:r>
      <w:r w:rsidR="00F85028">
        <w:rPr>
          <w:rFonts w:eastAsia="Calibri"/>
          <w:szCs w:val="26"/>
          <w:lang w:eastAsia="es-ES"/>
        </w:rPr>
        <w:t>,</w:t>
      </w:r>
      <w:r w:rsidR="005749C5" w:rsidRPr="008B768E">
        <w:rPr>
          <w:rFonts w:eastAsia="Calibri"/>
          <w:szCs w:val="26"/>
          <w:lang w:eastAsia="es-ES"/>
        </w:rPr>
        <w:t xml:space="preserve"> en su caso, la imposición de las correspondientes penalizaciones previstas en los pliegos.</w:t>
      </w:r>
    </w:p>
    <w:p w14:paraId="189FD137" w14:textId="77777777" w:rsidR="005749C5"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i/>
          <w:szCs w:val="26"/>
          <w:lang w:eastAsia="es-ES"/>
        </w:rPr>
      </w:pPr>
      <w:r w:rsidRPr="00F2040C">
        <w:rPr>
          <w:szCs w:val="26"/>
          <w:lang w:eastAsia="es-ES"/>
        </w:rPr>
        <w:lastRenderedPageBreak/>
        <w:t xml:space="preserve">• </w:t>
      </w:r>
      <w:r w:rsidR="005749C5" w:rsidRPr="009D3D6A">
        <w:rPr>
          <w:szCs w:val="26"/>
          <w:lang w:eastAsia="es-ES"/>
        </w:rPr>
        <w:t>Las</w:t>
      </w:r>
      <w:r w:rsidR="005749C5" w:rsidRPr="00197EB1">
        <w:rPr>
          <w:rFonts w:eastAsia="Calibri"/>
          <w:i/>
          <w:szCs w:val="26"/>
          <w:lang w:eastAsia="es-ES"/>
        </w:rPr>
        <w:t xml:space="preserve"> “aportaciones para obras de interés municipal”, incluidas como criterio de adjudicación, deben estar previstas con el suficiente grado de identificación en los pliegos, con expresión de sus requisitos, límites, modalidades y características que permitan identificarlas s</w:t>
      </w:r>
      <w:r w:rsidR="005749C5">
        <w:rPr>
          <w:rFonts w:eastAsia="Calibri"/>
          <w:i/>
          <w:szCs w:val="26"/>
          <w:lang w:eastAsia="es-ES"/>
        </w:rPr>
        <w:t xml:space="preserve">uficientemente, guarden relación </w:t>
      </w:r>
      <w:r w:rsidR="005749C5" w:rsidRPr="00197EB1">
        <w:rPr>
          <w:rFonts w:eastAsia="Calibri"/>
          <w:i/>
          <w:szCs w:val="26"/>
          <w:lang w:eastAsia="es-ES"/>
        </w:rPr>
        <w:t>directa con el objeto del contrato y se establezca la forma en que incrementarán la valoración de la oferta. Así mismo, debe exigirse su cumplimiento</w:t>
      </w:r>
    </w:p>
    <w:p w14:paraId="4629F4A3"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rFonts w:ascii="Century-Book" w:hAnsi="Century-Book" w:cs="Century-Book"/>
          <w:sz w:val="24"/>
          <w:lang w:val="es-ES" w:eastAsia="es-ES"/>
        </w:rPr>
      </w:pPr>
      <w:r w:rsidRPr="0036658E">
        <w:rPr>
          <w:szCs w:val="26"/>
        </w:rPr>
        <w:t xml:space="preserve">Esta recomendación carece de validez en la situación actual ya que </w:t>
      </w:r>
      <w:r>
        <w:rPr>
          <w:szCs w:val="26"/>
        </w:rPr>
        <w:t>de los pliegos que hemos verificado, no se ha establecido como criterio de adjudicación.</w:t>
      </w:r>
    </w:p>
    <w:p w14:paraId="529AD9E5"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F0089">
        <w:rPr>
          <w:szCs w:val="26"/>
        </w:rPr>
        <w:t xml:space="preserve">Para finalizar las conclusiones del área de </w:t>
      </w:r>
      <w:r w:rsidR="00F85028">
        <w:rPr>
          <w:szCs w:val="26"/>
        </w:rPr>
        <w:t>i</w:t>
      </w:r>
      <w:r w:rsidRPr="000F0089">
        <w:rPr>
          <w:szCs w:val="26"/>
        </w:rPr>
        <w:t>nversiones, indicamos que en nuestro informe de julio de 2011 se reflejó como salvedad la inexistencia de un inventario actualizado y valorado que respald</w:t>
      </w:r>
      <w:r>
        <w:rPr>
          <w:szCs w:val="26"/>
        </w:rPr>
        <w:t>as</w:t>
      </w:r>
      <w:r w:rsidRPr="000F0089">
        <w:rPr>
          <w:szCs w:val="26"/>
        </w:rPr>
        <w:t xml:space="preserve">e los bienes </w:t>
      </w:r>
      <w:r>
        <w:rPr>
          <w:szCs w:val="26"/>
        </w:rPr>
        <w:t>incluidos en el B</w:t>
      </w:r>
      <w:r w:rsidRPr="000F0089">
        <w:rPr>
          <w:szCs w:val="26"/>
        </w:rPr>
        <w:t xml:space="preserve">alance de </w:t>
      </w:r>
      <w:r>
        <w:rPr>
          <w:szCs w:val="26"/>
        </w:rPr>
        <w:t>S</w:t>
      </w:r>
      <w:r w:rsidRPr="000F0089">
        <w:rPr>
          <w:szCs w:val="26"/>
        </w:rPr>
        <w:t>ituación. A pesar de no haber contempl</w:t>
      </w:r>
      <w:r>
        <w:rPr>
          <w:szCs w:val="26"/>
        </w:rPr>
        <w:t xml:space="preserve">ado en el citado informe </w:t>
      </w:r>
      <w:r w:rsidRPr="000F0089">
        <w:rPr>
          <w:szCs w:val="26"/>
        </w:rPr>
        <w:t xml:space="preserve">recomendación alguna sobre </w:t>
      </w:r>
      <w:r w:rsidR="00F85028">
        <w:rPr>
          <w:szCs w:val="26"/>
        </w:rPr>
        <w:t>e</w:t>
      </w:r>
      <w:r w:rsidRPr="000F0089">
        <w:rPr>
          <w:szCs w:val="26"/>
        </w:rPr>
        <w:t>ste aspecto, hem</w:t>
      </w:r>
      <w:r>
        <w:rPr>
          <w:szCs w:val="26"/>
        </w:rPr>
        <w:t>os verificado si existe un i</w:t>
      </w:r>
      <w:r w:rsidRPr="000F0089">
        <w:rPr>
          <w:szCs w:val="26"/>
        </w:rPr>
        <w:t>nventario y hemos comprobado que dispone de un</w:t>
      </w:r>
      <w:r>
        <w:rPr>
          <w:szCs w:val="26"/>
        </w:rPr>
        <w:t xml:space="preserve">a relación de bienes </w:t>
      </w:r>
      <w:r w:rsidR="00A045D0">
        <w:rPr>
          <w:szCs w:val="26"/>
        </w:rPr>
        <w:t>con un valor de 9.037</w:t>
      </w:r>
      <w:r>
        <w:rPr>
          <w:szCs w:val="26"/>
        </w:rPr>
        <w:t>.</w:t>
      </w:r>
      <w:r w:rsidRPr="000F0089">
        <w:rPr>
          <w:szCs w:val="26"/>
        </w:rPr>
        <w:t>184 euros, si bien no está actualizado ya que los últimos registros datan de 2015, existiendo una diferencia con el valor reflejado en el Inmovilizado del Balance de Situación a 31 de diciembre de 2020 de 2.273.289 euros.</w:t>
      </w:r>
    </w:p>
    <w:p w14:paraId="19A60760" w14:textId="77777777" w:rsidR="005749C5" w:rsidRDefault="005749C5" w:rsidP="005749C5">
      <w:pPr>
        <w:ind w:firstLine="0"/>
        <w:rPr>
          <w:rFonts w:eastAsia="Calibri"/>
          <w:b/>
          <w:sz w:val="26"/>
          <w:szCs w:val="26"/>
        </w:rPr>
      </w:pPr>
      <w:r w:rsidRPr="00197EB1">
        <w:rPr>
          <w:rFonts w:eastAsia="Calibri"/>
          <w:b/>
          <w:sz w:val="26"/>
          <w:szCs w:val="26"/>
        </w:rPr>
        <w:t>Ingresos presupuestarios</w:t>
      </w:r>
    </w:p>
    <w:p w14:paraId="1175B7E8" w14:textId="77777777" w:rsidR="005749C5" w:rsidRDefault="009D3D6A" w:rsidP="00184297">
      <w:pPr>
        <w:pStyle w:val="texto"/>
        <w:tabs>
          <w:tab w:val="clear" w:pos="2835"/>
          <w:tab w:val="clear" w:pos="3969"/>
          <w:tab w:val="clear" w:pos="5103"/>
          <w:tab w:val="clear" w:pos="6237"/>
          <w:tab w:val="clear" w:pos="7371"/>
          <w:tab w:val="left" w:pos="480"/>
          <w:tab w:val="num" w:pos="720"/>
          <w:tab w:val="num" w:pos="1080"/>
          <w:tab w:val="num" w:pos="2760"/>
        </w:tabs>
        <w:spacing w:after="120"/>
        <w:ind w:firstLine="289"/>
        <w:rPr>
          <w:rFonts w:eastAsia="Calibri"/>
          <w:i/>
          <w:szCs w:val="26"/>
          <w:lang w:eastAsia="es-ES"/>
        </w:rPr>
      </w:pPr>
      <w:r w:rsidRPr="00F2040C">
        <w:rPr>
          <w:szCs w:val="26"/>
          <w:lang w:eastAsia="es-ES"/>
        </w:rPr>
        <w:t xml:space="preserve">• </w:t>
      </w:r>
      <w:proofErr w:type="spellStart"/>
      <w:r w:rsidR="005749C5" w:rsidRPr="00197EB1">
        <w:rPr>
          <w:rFonts w:eastAsia="Calibri"/>
          <w:i/>
          <w:szCs w:val="26"/>
          <w:lang w:eastAsia="es-ES"/>
        </w:rPr>
        <w:t>Exaccionar</w:t>
      </w:r>
      <w:proofErr w:type="spellEnd"/>
      <w:r w:rsidR="005749C5" w:rsidRPr="00197EB1">
        <w:rPr>
          <w:rFonts w:eastAsia="Calibri"/>
          <w:i/>
          <w:szCs w:val="26"/>
          <w:lang w:eastAsia="es-ES"/>
        </w:rPr>
        <w:t xml:space="preserve"> el impuesto sobre incremento de valor de los terrenos de naturaleza urbana.</w:t>
      </w:r>
    </w:p>
    <w:p w14:paraId="6C1D0470" w14:textId="77777777" w:rsidR="002369D8"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E52A9">
        <w:rPr>
          <w:szCs w:val="26"/>
        </w:rPr>
        <w:t xml:space="preserve">Esta recomendación </w:t>
      </w:r>
      <w:r>
        <w:rPr>
          <w:szCs w:val="26"/>
        </w:rPr>
        <w:t xml:space="preserve">ha sido total o sustancialmente aplicada ya que </w:t>
      </w:r>
      <w:r w:rsidR="00A045D0">
        <w:rPr>
          <w:szCs w:val="26"/>
        </w:rPr>
        <w:t xml:space="preserve">de los datos de ejecución presupuestaria </w:t>
      </w:r>
      <w:r w:rsidR="002369D8">
        <w:rPr>
          <w:szCs w:val="26"/>
        </w:rPr>
        <w:t>en el periodo 2011 a 2020 constan liquidaciones en varios ejercicios, en concreto:</w:t>
      </w:r>
    </w:p>
    <w:p w14:paraId="30402FA1" w14:textId="77777777" w:rsidR="002369D8" w:rsidRPr="002369D8" w:rsidRDefault="00E53AAC" w:rsidP="00E53AAC">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Pr>
          <w:rFonts w:eastAsia="Calibri"/>
          <w:szCs w:val="26"/>
          <w:lang w:eastAsia="es-ES"/>
        </w:rPr>
        <w:t xml:space="preserve">a) </w:t>
      </w:r>
      <w:r w:rsidR="002369D8" w:rsidRPr="002369D8">
        <w:rPr>
          <w:rFonts w:eastAsia="Calibri"/>
          <w:szCs w:val="26"/>
          <w:lang w:eastAsia="es-ES"/>
        </w:rPr>
        <w:t>En el ejercicio 2011 como consecuencia de un Plan de Inspección que el ayuntamiento aprobó en 2009 para el periodo 2008 a 2010.</w:t>
      </w:r>
    </w:p>
    <w:p w14:paraId="296FFF8B" w14:textId="77777777" w:rsidR="002369D8" w:rsidRPr="002369D8" w:rsidRDefault="00E53AAC" w:rsidP="00E53AAC">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Pr>
          <w:rFonts w:eastAsia="Calibri"/>
          <w:szCs w:val="26"/>
          <w:lang w:eastAsia="es-ES"/>
        </w:rPr>
        <w:t xml:space="preserve">b) </w:t>
      </w:r>
      <w:r w:rsidR="002369D8" w:rsidRPr="002369D8">
        <w:rPr>
          <w:rFonts w:eastAsia="Calibri"/>
          <w:szCs w:val="26"/>
          <w:lang w:eastAsia="es-ES"/>
        </w:rPr>
        <w:t>E</w:t>
      </w:r>
      <w:r w:rsidR="005749C5" w:rsidRPr="002369D8">
        <w:rPr>
          <w:rFonts w:eastAsia="Calibri"/>
          <w:szCs w:val="26"/>
          <w:lang w:eastAsia="es-ES"/>
        </w:rPr>
        <w:t xml:space="preserve">n el periodo 2015 a 2017, sin que conste liquidaciones de este impuesto en el periodo 2018 a 2020. </w:t>
      </w:r>
    </w:p>
    <w:p w14:paraId="48AB38FC"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Pr>
          <w:szCs w:val="26"/>
        </w:rPr>
        <w:t xml:space="preserve">En este sentido, </w:t>
      </w:r>
      <w:r w:rsidR="002369D8">
        <w:rPr>
          <w:szCs w:val="26"/>
        </w:rPr>
        <w:t xml:space="preserve">y en relación al último periodo indicado, </w:t>
      </w:r>
      <w:r>
        <w:rPr>
          <w:szCs w:val="26"/>
        </w:rPr>
        <w:t xml:space="preserve">destacamos que este </w:t>
      </w:r>
      <w:r w:rsidRPr="00D31E09">
        <w:rPr>
          <w:rFonts w:eastAsia="Calibri"/>
          <w:szCs w:val="26"/>
          <w:lang w:eastAsia="es-ES"/>
        </w:rPr>
        <w:t>impuesto ha sufrido una alteración como consecuencia de la sentencia del Tribunal Constitucional de junio de 2017</w:t>
      </w:r>
      <w:r>
        <w:rPr>
          <w:rStyle w:val="Refdenotaalpie"/>
          <w:rFonts w:eastAsia="Calibri"/>
          <w:szCs w:val="26"/>
          <w:lang w:eastAsia="es-ES"/>
        </w:rPr>
        <w:footnoteReference w:id="11"/>
      </w:r>
      <w:r w:rsidRPr="00D31E09">
        <w:rPr>
          <w:rFonts w:eastAsia="Calibri"/>
          <w:szCs w:val="26"/>
          <w:lang w:eastAsia="es-ES"/>
        </w:rPr>
        <w:t xml:space="preserve"> por la que se declararon inconstitucionales y nulos determinados artículos de la Ley Foral 2/1995 de Haciendas Local</w:t>
      </w:r>
      <w:r>
        <w:rPr>
          <w:rFonts w:eastAsia="Calibri"/>
          <w:szCs w:val="26"/>
          <w:lang w:eastAsia="es-ES"/>
        </w:rPr>
        <w:t xml:space="preserve">es, lo que supuso </w:t>
      </w:r>
      <w:r w:rsidRPr="00D31E09">
        <w:rPr>
          <w:rFonts w:eastAsia="Calibri"/>
          <w:szCs w:val="26"/>
          <w:lang w:eastAsia="es-ES"/>
        </w:rPr>
        <w:t>la nulidad de las liquidaciones practicadas en aquellas transmisiones con inexistencia de incremento de valor.</w:t>
      </w:r>
      <w:r>
        <w:rPr>
          <w:rFonts w:eastAsia="Calibri"/>
          <w:szCs w:val="26"/>
          <w:lang w:eastAsia="es-ES"/>
        </w:rPr>
        <w:t xml:space="preserve"> </w:t>
      </w:r>
    </w:p>
    <w:p w14:paraId="6BB5EBF1"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sidRPr="00D31E09">
        <w:rPr>
          <w:rFonts w:eastAsia="Calibri"/>
          <w:szCs w:val="26"/>
          <w:lang w:eastAsia="es-ES"/>
        </w:rPr>
        <w:t>La incertidumbre jurídica derivada de la sentencia del Tribunal Constitucional supuso</w:t>
      </w:r>
      <w:r>
        <w:rPr>
          <w:rFonts w:eastAsia="Calibri"/>
          <w:szCs w:val="26"/>
          <w:lang w:eastAsia="es-ES"/>
        </w:rPr>
        <w:t xml:space="preserve">, en general, en gran parte de ayuntamientos </w:t>
      </w:r>
      <w:r w:rsidRPr="00D31E09">
        <w:rPr>
          <w:rFonts w:eastAsia="Calibri"/>
          <w:szCs w:val="26"/>
          <w:lang w:eastAsia="es-ES"/>
        </w:rPr>
        <w:t xml:space="preserve">la paralización de las </w:t>
      </w:r>
      <w:r w:rsidRPr="00D31E09">
        <w:rPr>
          <w:rFonts w:eastAsia="Calibri"/>
          <w:szCs w:val="26"/>
          <w:lang w:eastAsia="es-ES"/>
        </w:rPr>
        <w:lastRenderedPageBreak/>
        <w:t>liquidaciones posteriores a julio 2017 en las que se preveía inexistencia de incremento de valor.</w:t>
      </w:r>
      <w:r>
        <w:rPr>
          <w:rFonts w:eastAsia="Calibri"/>
          <w:szCs w:val="26"/>
          <w:lang w:eastAsia="es-ES"/>
        </w:rPr>
        <w:t xml:space="preserve"> E</w:t>
      </w:r>
      <w:r w:rsidRPr="00D31E09">
        <w:rPr>
          <w:rFonts w:eastAsia="Calibri"/>
          <w:szCs w:val="26"/>
          <w:lang w:eastAsia="es-ES"/>
        </w:rPr>
        <w:t xml:space="preserve">sta sentencia </w:t>
      </w:r>
      <w:r>
        <w:rPr>
          <w:rFonts w:eastAsia="Calibri"/>
          <w:szCs w:val="26"/>
          <w:lang w:eastAsia="es-ES"/>
        </w:rPr>
        <w:t xml:space="preserve">provocó </w:t>
      </w:r>
      <w:r w:rsidRPr="00D31E09">
        <w:rPr>
          <w:rFonts w:eastAsia="Calibri"/>
          <w:szCs w:val="26"/>
          <w:lang w:eastAsia="es-ES"/>
        </w:rPr>
        <w:t xml:space="preserve">una modificación legislativa </w:t>
      </w:r>
      <w:r>
        <w:rPr>
          <w:rFonts w:eastAsia="Calibri"/>
          <w:szCs w:val="26"/>
          <w:lang w:eastAsia="es-ES"/>
        </w:rPr>
        <w:t>del marco hacendístico local y</w:t>
      </w:r>
      <w:r w:rsidR="00F85028">
        <w:rPr>
          <w:rFonts w:eastAsia="Calibri"/>
          <w:szCs w:val="26"/>
          <w:lang w:eastAsia="es-ES"/>
        </w:rPr>
        <w:t>,</w:t>
      </w:r>
      <w:r>
        <w:rPr>
          <w:rFonts w:eastAsia="Calibri"/>
          <w:szCs w:val="26"/>
          <w:lang w:eastAsia="es-ES"/>
        </w:rPr>
        <w:t xml:space="preserve"> en concreto</w:t>
      </w:r>
      <w:r w:rsidR="00F85028">
        <w:rPr>
          <w:rFonts w:eastAsia="Calibri"/>
          <w:szCs w:val="26"/>
          <w:lang w:eastAsia="es-ES"/>
        </w:rPr>
        <w:t>,</w:t>
      </w:r>
      <w:r>
        <w:rPr>
          <w:rFonts w:eastAsia="Calibri"/>
          <w:szCs w:val="26"/>
          <w:lang w:eastAsia="es-ES"/>
        </w:rPr>
        <w:t xml:space="preserve"> en la Comunidad Foral de Navarra por la </w:t>
      </w:r>
      <w:r w:rsidRPr="00121427">
        <w:rPr>
          <w:rFonts w:eastAsia="Calibri"/>
          <w:szCs w:val="26"/>
          <w:lang w:eastAsia="es-ES"/>
        </w:rPr>
        <w:t>Ley Foral 19/2017, de 27 de diciembre</w:t>
      </w:r>
      <w:r>
        <w:rPr>
          <w:rFonts w:eastAsia="Calibri"/>
          <w:szCs w:val="26"/>
          <w:lang w:eastAsia="es-ES"/>
        </w:rPr>
        <w:t>. Posteriormente a estos cambios normativos, hemos constatado la existencia de liquidaciones en el ejercicio 2021.</w:t>
      </w:r>
    </w:p>
    <w:p w14:paraId="3D2978EF" w14:textId="77777777" w:rsidR="005749C5" w:rsidRPr="000934BF"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C73547">
        <w:rPr>
          <w:szCs w:val="26"/>
        </w:rPr>
        <w:t xml:space="preserve">No obstante, </w:t>
      </w:r>
      <w:r>
        <w:rPr>
          <w:szCs w:val="26"/>
        </w:rPr>
        <w:t>indicamos que sería conveniente para eliminar la incertidumbre que pueda existir sobre la realización de operaciones sujetas a este impuesto, la adhesión</w:t>
      </w:r>
      <w:r w:rsidR="00F85028">
        <w:rPr>
          <w:szCs w:val="26"/>
        </w:rPr>
        <w:t xml:space="preserve"> del ayuntamiento</w:t>
      </w:r>
      <w:r>
        <w:rPr>
          <w:szCs w:val="26"/>
        </w:rPr>
        <w:t xml:space="preserve"> a una plataforma</w:t>
      </w:r>
      <w:r>
        <w:rPr>
          <w:rStyle w:val="Refdenotaalpie"/>
          <w:szCs w:val="26"/>
        </w:rPr>
        <w:footnoteReference w:id="12"/>
      </w:r>
      <w:r>
        <w:rPr>
          <w:szCs w:val="26"/>
        </w:rPr>
        <w:t xml:space="preserve"> donde consta un índice informatizado que los notarios deben remitir a los Colegios Notariales de los documentos </w:t>
      </w:r>
      <w:r w:rsidRPr="000934BF">
        <w:rPr>
          <w:szCs w:val="26"/>
        </w:rPr>
        <w:t xml:space="preserve">que contengan hechos, actos o negocios jurídicos que pongan de manifiesto la realización del hecho imponible del Impuesto sobre el Incremento del Valor de los Terrenos de Naturaleza Urbana, </w:t>
      </w:r>
      <w:r>
        <w:rPr>
          <w:szCs w:val="26"/>
        </w:rPr>
        <w:t xml:space="preserve">y </w:t>
      </w:r>
      <w:r w:rsidRPr="000934BF">
        <w:rPr>
          <w:szCs w:val="26"/>
        </w:rPr>
        <w:t>que conforme al artículo 1</w:t>
      </w:r>
      <w:r>
        <w:rPr>
          <w:szCs w:val="26"/>
        </w:rPr>
        <w:t>78.7</w:t>
      </w:r>
      <w:r w:rsidRPr="000934BF">
        <w:rPr>
          <w:szCs w:val="26"/>
        </w:rPr>
        <w:t xml:space="preserve"> de la Ley </w:t>
      </w:r>
      <w:r>
        <w:rPr>
          <w:szCs w:val="26"/>
        </w:rPr>
        <w:t>Foral 2/1995</w:t>
      </w:r>
      <w:r w:rsidRPr="000934BF">
        <w:rPr>
          <w:szCs w:val="26"/>
        </w:rPr>
        <w:t>, los Notarios deben remitir a los Ayuntamientos respectivos</w:t>
      </w:r>
      <w:r>
        <w:rPr>
          <w:szCs w:val="26"/>
        </w:rPr>
        <w:t>. Este soporte informático</w:t>
      </w:r>
      <w:r>
        <w:rPr>
          <w:rStyle w:val="Refdenotaalpie"/>
          <w:szCs w:val="26"/>
        </w:rPr>
        <w:footnoteReference w:id="13"/>
      </w:r>
      <w:r>
        <w:rPr>
          <w:szCs w:val="26"/>
        </w:rPr>
        <w:t xml:space="preserve"> facilita notablemente </w:t>
      </w:r>
      <w:r w:rsidRPr="000934BF">
        <w:rPr>
          <w:szCs w:val="26"/>
        </w:rPr>
        <w:t>la gestión e inspección del indicado tributo por parte de los ayuntamientos.</w:t>
      </w:r>
    </w:p>
    <w:p w14:paraId="7B113061" w14:textId="77777777" w:rsidR="005749C5"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197EB1">
        <w:rPr>
          <w:rFonts w:eastAsia="Calibri"/>
          <w:i/>
          <w:szCs w:val="26"/>
          <w:lang w:eastAsia="es-ES"/>
        </w:rPr>
        <w:t>Establecer procedimientos para comprobar que los sujetos pasivos comunican las variaciones producidas en las actividades gravadas por el Impuesto de actividades económicas y con trascendencia a efectos de la fijación de las cuotas del citado impuesto.</w:t>
      </w:r>
    </w:p>
    <w:p w14:paraId="5D79E4FC" w14:textId="77777777" w:rsidR="008B29CC"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E52A9">
        <w:rPr>
          <w:szCs w:val="26"/>
        </w:rPr>
        <w:t xml:space="preserve">Esta recomendación </w:t>
      </w:r>
      <w:r>
        <w:rPr>
          <w:szCs w:val="26"/>
        </w:rPr>
        <w:t>ha sido total o sustancialmente aplicada</w:t>
      </w:r>
      <w:r w:rsidR="008B29CC">
        <w:rPr>
          <w:szCs w:val="26"/>
        </w:rPr>
        <w:t>, ya que:</w:t>
      </w:r>
    </w:p>
    <w:p w14:paraId="2852792E" w14:textId="77777777" w:rsidR="005749C5" w:rsidRDefault="00E53AAC" w:rsidP="00E53AAC">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a) </w:t>
      </w:r>
      <w:r w:rsidR="008B29CC">
        <w:rPr>
          <w:szCs w:val="26"/>
        </w:rPr>
        <w:t xml:space="preserve">Por un lado se observa de los datos de ejecución presupuestaria </w:t>
      </w:r>
      <w:r w:rsidR="005749C5">
        <w:rPr>
          <w:szCs w:val="26"/>
        </w:rPr>
        <w:t>un incremento significativo de la recaudación en los ejercicios 2011 y 2012, consecuencia de la actuali</w:t>
      </w:r>
      <w:r w:rsidR="002369D8">
        <w:rPr>
          <w:szCs w:val="26"/>
        </w:rPr>
        <w:t xml:space="preserve">zación y reclamación de deudas derivadas del plan de inspección </w:t>
      </w:r>
      <w:r w:rsidR="008B29CC">
        <w:rPr>
          <w:szCs w:val="26"/>
        </w:rPr>
        <w:t>citado en el apartado anterior.</w:t>
      </w:r>
    </w:p>
    <w:p w14:paraId="7EFFA72F" w14:textId="77777777" w:rsidR="008B29CC" w:rsidRDefault="00E53AAC" w:rsidP="00E53AAC">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b) </w:t>
      </w:r>
      <w:r w:rsidR="005749C5">
        <w:rPr>
          <w:szCs w:val="26"/>
        </w:rPr>
        <w:t xml:space="preserve">Por otro lado, a partir de 2013 la recaudación por este impuesto prácticamente duplica la que se ingresaba con anterioridad a la citada inspección, manteniéndose de forma razonablemente constante hasta el ejercicio 2020. </w:t>
      </w:r>
    </w:p>
    <w:p w14:paraId="30BDAF3C" w14:textId="77777777" w:rsidR="005749C5" w:rsidRPr="00DE290A" w:rsidRDefault="008B29CC"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D</w:t>
      </w:r>
      <w:r w:rsidR="005749C5">
        <w:rPr>
          <w:szCs w:val="26"/>
        </w:rPr>
        <w:t>e</w:t>
      </w:r>
      <w:r>
        <w:rPr>
          <w:szCs w:val="26"/>
        </w:rPr>
        <w:t xml:space="preserve"> las verificaciones realizadas </w:t>
      </w:r>
      <w:r w:rsidR="005749C5">
        <w:rPr>
          <w:szCs w:val="26"/>
        </w:rPr>
        <w:t>hemos comprobado que las liquidaciones realizadas en e</w:t>
      </w:r>
      <w:r>
        <w:rPr>
          <w:szCs w:val="26"/>
        </w:rPr>
        <w:t>l ejercicio 2020 son correctas.</w:t>
      </w:r>
    </w:p>
    <w:p w14:paraId="77F85FB1" w14:textId="77777777" w:rsidR="005749C5"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197EB1">
        <w:rPr>
          <w:rFonts w:eastAsia="Calibri"/>
          <w:i/>
          <w:szCs w:val="26"/>
          <w:lang w:eastAsia="es-ES"/>
        </w:rPr>
        <w:t xml:space="preserve">Aprobar ordenanzas fiscales reguladoras de las distintas tasas </w:t>
      </w:r>
      <w:proofErr w:type="spellStart"/>
      <w:r w:rsidR="005749C5" w:rsidRPr="00197EB1">
        <w:rPr>
          <w:rFonts w:eastAsia="Calibri"/>
          <w:i/>
          <w:szCs w:val="26"/>
          <w:lang w:eastAsia="es-ES"/>
        </w:rPr>
        <w:t>exaccionadas</w:t>
      </w:r>
      <w:proofErr w:type="spellEnd"/>
      <w:r w:rsidR="005749C5" w:rsidRPr="00197EB1">
        <w:rPr>
          <w:rFonts w:eastAsia="Calibri"/>
          <w:i/>
          <w:szCs w:val="26"/>
          <w:lang w:eastAsia="es-ES"/>
        </w:rPr>
        <w:t xml:space="preserve"> por el Ayuntamiento.</w:t>
      </w:r>
    </w:p>
    <w:p w14:paraId="0E7C13C6"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DC604F">
        <w:rPr>
          <w:szCs w:val="26"/>
        </w:rPr>
        <w:t xml:space="preserve">Esta recomendación no ha sido aplicada ya que hemos verificado que si bien </w:t>
      </w:r>
      <w:r>
        <w:rPr>
          <w:szCs w:val="26"/>
        </w:rPr>
        <w:t xml:space="preserve">el ayuntamiento </w:t>
      </w:r>
      <w:r w:rsidRPr="00DC604F">
        <w:rPr>
          <w:szCs w:val="26"/>
        </w:rPr>
        <w:t xml:space="preserve">dispone de una Ordenanza Fiscal General vigente desde 2009, </w:t>
      </w:r>
      <w:r>
        <w:rPr>
          <w:szCs w:val="26"/>
        </w:rPr>
        <w:t xml:space="preserve">sigue sin aprobarse las </w:t>
      </w:r>
      <w:r w:rsidRPr="00DC604F">
        <w:rPr>
          <w:szCs w:val="26"/>
        </w:rPr>
        <w:t xml:space="preserve">correspondientes ordenanzas fiscales particulares de las distintas tasas </w:t>
      </w:r>
      <w:r>
        <w:rPr>
          <w:szCs w:val="26"/>
        </w:rPr>
        <w:t xml:space="preserve">que el Ayuntamiento actualmente </w:t>
      </w:r>
      <w:proofErr w:type="spellStart"/>
      <w:r>
        <w:rPr>
          <w:szCs w:val="26"/>
        </w:rPr>
        <w:t>exacciona</w:t>
      </w:r>
      <w:proofErr w:type="spellEnd"/>
      <w:r>
        <w:rPr>
          <w:szCs w:val="26"/>
        </w:rPr>
        <w:t>.</w:t>
      </w:r>
    </w:p>
    <w:p w14:paraId="490F39D1" w14:textId="77777777" w:rsidR="005749C5"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lastRenderedPageBreak/>
        <w:t xml:space="preserve">• </w:t>
      </w:r>
      <w:r w:rsidR="005749C5" w:rsidRPr="00197EB1">
        <w:rPr>
          <w:rFonts w:eastAsia="Calibri"/>
          <w:i/>
          <w:szCs w:val="26"/>
          <w:lang w:eastAsia="es-ES"/>
        </w:rPr>
        <w:t xml:space="preserve">Aprobar el importe de las tasas de recogida y tratamiento de residuos y de </w:t>
      </w:r>
      <w:r w:rsidR="005749C5">
        <w:rPr>
          <w:rFonts w:eastAsia="Calibri"/>
          <w:i/>
          <w:szCs w:val="26"/>
          <w:lang w:eastAsia="es-ES"/>
        </w:rPr>
        <w:t>a</w:t>
      </w:r>
      <w:r w:rsidR="005749C5" w:rsidRPr="00197EB1">
        <w:rPr>
          <w:rFonts w:eastAsia="Calibri"/>
          <w:i/>
          <w:szCs w:val="26"/>
          <w:lang w:eastAsia="es-ES"/>
        </w:rPr>
        <w:t>bastecimiento de agua girados, así como los precios por entradas a las cuevas girados en cada ejercicio.</w:t>
      </w:r>
    </w:p>
    <w:p w14:paraId="6829EB2D" w14:textId="77777777" w:rsidR="005749C5" w:rsidRPr="00933E9C"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933E9C">
        <w:rPr>
          <w:szCs w:val="26"/>
        </w:rPr>
        <w:t xml:space="preserve">Esta recomendación no ha sido aplicada ya que hemos verificado que </w:t>
      </w:r>
      <w:r>
        <w:rPr>
          <w:szCs w:val="26"/>
        </w:rPr>
        <w:t xml:space="preserve">sigue sin aprobarse </w:t>
      </w:r>
      <w:r w:rsidRPr="00933E9C">
        <w:rPr>
          <w:szCs w:val="26"/>
        </w:rPr>
        <w:t>ordenanzas fiscales reguladoras de las citadas tasas, así como tampoco acuerdos de</w:t>
      </w:r>
      <w:r w:rsidR="008B29CC">
        <w:rPr>
          <w:szCs w:val="26"/>
        </w:rPr>
        <w:t xml:space="preserve"> establecimiento </w:t>
      </w:r>
      <w:r w:rsidRPr="00933E9C">
        <w:rPr>
          <w:szCs w:val="26"/>
        </w:rPr>
        <w:t>de los precios de entradas a las cuevas.</w:t>
      </w:r>
      <w:r>
        <w:rPr>
          <w:szCs w:val="26"/>
        </w:rPr>
        <w:t xml:space="preserve"> Esta situación debe regularizarse, no solo en su aspecto formal con la preceptiva aprobación de ordenanzas, sino también con la realización del correspondiente estudio de costes que soporte los respectivos importes a cobrar.</w:t>
      </w:r>
    </w:p>
    <w:p w14:paraId="2B301EE6" w14:textId="77777777" w:rsidR="005749C5" w:rsidRPr="002031AC"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2031AC">
        <w:rPr>
          <w:rFonts w:eastAsia="Calibri"/>
          <w:i/>
          <w:szCs w:val="26"/>
          <w:lang w:eastAsia="es-ES"/>
        </w:rPr>
        <w:t>Comprobar y aplicar procedimientos de control de los ingresos por recaudación del bar de las cuevas y por las entradas a las cuevas que el adjudicatario de dichos servicios liquida al Ayuntamiento.</w:t>
      </w:r>
    </w:p>
    <w:p w14:paraId="701E3990" w14:textId="77777777" w:rsidR="005749C5" w:rsidRPr="002031AC"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2031AC">
        <w:rPr>
          <w:szCs w:val="26"/>
        </w:rPr>
        <w:t xml:space="preserve">Esta recomendación ha sido total o sustancialmente aplicada ya que hemos revisado </w:t>
      </w:r>
      <w:r>
        <w:rPr>
          <w:szCs w:val="26"/>
        </w:rPr>
        <w:t xml:space="preserve">el procedimiento realizado, y </w:t>
      </w:r>
      <w:r w:rsidRPr="00A836C8">
        <w:rPr>
          <w:szCs w:val="26"/>
        </w:rPr>
        <w:t>podemos consta</w:t>
      </w:r>
      <w:r>
        <w:rPr>
          <w:szCs w:val="26"/>
        </w:rPr>
        <w:t>tar que han mejorado el control</w:t>
      </w:r>
      <w:r w:rsidR="00562A79">
        <w:rPr>
          <w:szCs w:val="26"/>
        </w:rPr>
        <w:t xml:space="preserve">. </w:t>
      </w:r>
      <w:r w:rsidR="00F85028">
        <w:rPr>
          <w:szCs w:val="26"/>
        </w:rPr>
        <w:t>L</w:t>
      </w:r>
      <w:r w:rsidRPr="002031AC">
        <w:rPr>
          <w:szCs w:val="26"/>
        </w:rPr>
        <w:t xml:space="preserve">a empresa que presta el servicio de contabilidad en el ayuntamiento comprueba mensualmente </w:t>
      </w:r>
      <w:r>
        <w:rPr>
          <w:szCs w:val="26"/>
        </w:rPr>
        <w:t xml:space="preserve">si </w:t>
      </w:r>
      <w:r w:rsidRPr="002031AC">
        <w:rPr>
          <w:szCs w:val="26"/>
        </w:rPr>
        <w:t>los ingresos que declara el adjudicatario coincide con los extractos bancarios</w:t>
      </w:r>
      <w:r>
        <w:rPr>
          <w:szCs w:val="26"/>
        </w:rPr>
        <w:t xml:space="preserve">, realizando posteriormente los oportunos ajustes y conciliaciones en el pago del 50 por ciento de la recaudación bruta que mensualmente le </w:t>
      </w:r>
      <w:r w:rsidR="008B29CC">
        <w:rPr>
          <w:szCs w:val="26"/>
        </w:rPr>
        <w:t xml:space="preserve">abonan </w:t>
      </w:r>
      <w:r>
        <w:rPr>
          <w:szCs w:val="26"/>
        </w:rPr>
        <w:t>al adjudicatario.</w:t>
      </w:r>
    </w:p>
    <w:p w14:paraId="52934B9D" w14:textId="77777777" w:rsidR="00735273"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3C2059">
        <w:rPr>
          <w:szCs w:val="26"/>
        </w:rPr>
        <w:t xml:space="preserve">No obstante, </w:t>
      </w:r>
      <w:r w:rsidR="00144866">
        <w:rPr>
          <w:szCs w:val="26"/>
        </w:rPr>
        <w:t xml:space="preserve">tal y como hemos </w:t>
      </w:r>
      <w:r w:rsidR="00735273">
        <w:rPr>
          <w:szCs w:val="26"/>
        </w:rPr>
        <w:t>indica</w:t>
      </w:r>
      <w:r w:rsidR="00144866">
        <w:rPr>
          <w:szCs w:val="26"/>
        </w:rPr>
        <w:t>do anteriormente</w:t>
      </w:r>
      <w:r w:rsidR="00562A79">
        <w:rPr>
          <w:szCs w:val="26"/>
        </w:rPr>
        <w:t>,</w:t>
      </w:r>
      <w:r w:rsidR="00144866">
        <w:rPr>
          <w:szCs w:val="26"/>
        </w:rPr>
        <w:t xml:space="preserve"> </w:t>
      </w:r>
      <w:r w:rsidR="00735273">
        <w:rPr>
          <w:szCs w:val="26"/>
        </w:rPr>
        <w:t xml:space="preserve">el contrato no está vigente y debe procederse a una nueva licitación. </w:t>
      </w:r>
    </w:p>
    <w:p w14:paraId="77C89B13" w14:textId="77777777" w:rsidR="005749C5"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197EB1">
        <w:rPr>
          <w:rFonts w:eastAsia="Calibri"/>
          <w:i/>
          <w:szCs w:val="26"/>
          <w:lang w:eastAsia="es-ES"/>
        </w:rPr>
        <w:t>Aplicar el criterio de devengo en la contabilización de los ingresos.</w:t>
      </w:r>
    </w:p>
    <w:p w14:paraId="65F22E52" w14:textId="77777777" w:rsidR="00144866" w:rsidRDefault="005749C5" w:rsidP="00144866">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Esta</w:t>
      </w:r>
      <w:r w:rsidR="00144866">
        <w:rPr>
          <w:szCs w:val="26"/>
        </w:rPr>
        <w:t xml:space="preserve"> recomendación ha sido total o sustancialmente aplicada. </w:t>
      </w:r>
    </w:p>
    <w:p w14:paraId="16E7FAE6" w14:textId="77777777" w:rsidR="005749C5" w:rsidRPr="00290B28" w:rsidRDefault="00622832" w:rsidP="0062283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290B28">
        <w:rPr>
          <w:rFonts w:eastAsia="Calibri"/>
          <w:i/>
          <w:szCs w:val="26"/>
          <w:lang w:eastAsia="es-ES"/>
        </w:rPr>
        <w:t xml:space="preserve">Actualizar anualmente el alquiler del bar </w:t>
      </w:r>
      <w:proofErr w:type="spellStart"/>
      <w:r w:rsidR="005749C5" w:rsidRPr="00290B28">
        <w:rPr>
          <w:rFonts w:eastAsia="Calibri"/>
          <w:i/>
          <w:szCs w:val="26"/>
          <w:lang w:eastAsia="es-ES"/>
        </w:rPr>
        <w:t>Xareta</w:t>
      </w:r>
      <w:proofErr w:type="spellEnd"/>
      <w:r w:rsidR="005749C5" w:rsidRPr="00290B28">
        <w:rPr>
          <w:rFonts w:eastAsia="Calibri"/>
          <w:i/>
          <w:szCs w:val="26"/>
          <w:lang w:eastAsia="es-ES"/>
        </w:rPr>
        <w:t xml:space="preserve"> conforme a los criterios establecidos en el contrato de alquiler firmado con el arrendatario.</w:t>
      </w:r>
    </w:p>
    <w:p w14:paraId="5C910DBD" w14:textId="77777777" w:rsidR="005749C5" w:rsidRDefault="005749C5" w:rsidP="00622832">
      <w:pPr>
        <w:pStyle w:val="texto"/>
        <w:tabs>
          <w:tab w:val="clear" w:pos="2835"/>
          <w:tab w:val="clear" w:pos="3969"/>
          <w:tab w:val="clear" w:pos="5103"/>
          <w:tab w:val="clear" w:pos="6237"/>
          <w:tab w:val="clear" w:pos="7371"/>
          <w:tab w:val="left" w:pos="480"/>
        </w:tabs>
        <w:rPr>
          <w:rFonts w:eastAsia="Calibri"/>
          <w:szCs w:val="26"/>
          <w:lang w:eastAsia="es-ES"/>
        </w:rPr>
      </w:pPr>
      <w:r>
        <w:rPr>
          <w:rFonts w:eastAsia="Calibri"/>
          <w:szCs w:val="26"/>
          <w:lang w:eastAsia="es-ES"/>
        </w:rPr>
        <w:t xml:space="preserve">El alquiler del bar </w:t>
      </w:r>
      <w:proofErr w:type="spellStart"/>
      <w:r>
        <w:rPr>
          <w:rFonts w:eastAsia="Calibri"/>
          <w:szCs w:val="26"/>
          <w:lang w:eastAsia="es-ES"/>
        </w:rPr>
        <w:t>Xareta</w:t>
      </w:r>
      <w:proofErr w:type="spellEnd"/>
      <w:r>
        <w:rPr>
          <w:rFonts w:eastAsia="Calibri"/>
          <w:szCs w:val="26"/>
          <w:lang w:eastAsia="es-ES"/>
        </w:rPr>
        <w:t xml:space="preserve"> consiste en el arrendamiento de un local municipal para uso de bar, y por el que se percibe un precio mensual estipulado en los pliegos reguladores de cada una de las licitaciones</w:t>
      </w:r>
      <w:r w:rsidR="00562A79">
        <w:rPr>
          <w:rFonts w:eastAsia="Calibri"/>
          <w:szCs w:val="26"/>
          <w:lang w:eastAsia="es-ES"/>
        </w:rPr>
        <w:t>.</w:t>
      </w:r>
      <w:r>
        <w:rPr>
          <w:rFonts w:eastAsia="Calibri"/>
          <w:szCs w:val="26"/>
          <w:lang w:eastAsia="es-ES"/>
        </w:rPr>
        <w:t xml:space="preserve"> Hemos revisado las licitaciones realizadas en los ejercicios 2011, 2016 y 2021 y hemos comprobado que:</w:t>
      </w:r>
    </w:p>
    <w:p w14:paraId="43C8F0BD" w14:textId="77777777" w:rsidR="005749C5" w:rsidRDefault="00622832" w:rsidP="00622832">
      <w:pPr>
        <w:pStyle w:val="texto"/>
        <w:tabs>
          <w:tab w:val="clear" w:pos="2835"/>
          <w:tab w:val="clear" w:pos="3969"/>
          <w:tab w:val="clear" w:pos="5103"/>
          <w:tab w:val="clear" w:pos="6237"/>
          <w:tab w:val="clear" w:pos="7371"/>
          <w:tab w:val="left" w:pos="480"/>
        </w:tabs>
        <w:rPr>
          <w:rFonts w:eastAsia="Calibri"/>
          <w:szCs w:val="26"/>
          <w:lang w:eastAsia="es-ES"/>
        </w:rPr>
      </w:pPr>
      <w:r>
        <w:rPr>
          <w:rFonts w:eastAsia="Calibri"/>
          <w:szCs w:val="26"/>
          <w:lang w:eastAsia="es-ES"/>
        </w:rPr>
        <w:t xml:space="preserve">a) </w:t>
      </w:r>
      <w:r w:rsidR="005749C5">
        <w:rPr>
          <w:rFonts w:eastAsia="Calibri"/>
          <w:szCs w:val="26"/>
          <w:lang w:eastAsia="es-ES"/>
        </w:rPr>
        <w:t xml:space="preserve">La actualización por </w:t>
      </w:r>
      <w:r w:rsidR="005749C5" w:rsidRPr="00D41CDA">
        <w:rPr>
          <w:rFonts w:eastAsia="Calibri"/>
          <w:szCs w:val="26"/>
          <w:lang w:eastAsia="es-ES"/>
        </w:rPr>
        <w:t xml:space="preserve">IPC </w:t>
      </w:r>
      <w:r w:rsidR="005749C5">
        <w:rPr>
          <w:rFonts w:eastAsia="Calibri"/>
          <w:szCs w:val="26"/>
          <w:lang w:eastAsia="es-ES"/>
        </w:rPr>
        <w:t xml:space="preserve">se aplicó desde la licitación de 2011, </w:t>
      </w:r>
      <w:r w:rsidR="005749C5" w:rsidRPr="00D41CDA">
        <w:rPr>
          <w:rFonts w:eastAsia="Calibri"/>
          <w:szCs w:val="26"/>
          <w:lang w:eastAsia="es-ES"/>
        </w:rPr>
        <w:t>hasta la licitaci</w:t>
      </w:r>
      <w:r w:rsidR="005749C5">
        <w:rPr>
          <w:rFonts w:eastAsia="Calibri"/>
          <w:szCs w:val="26"/>
          <w:lang w:eastAsia="es-ES"/>
        </w:rPr>
        <w:t>ón del ejercicio 2016. No obstante, el ingreso del periodo 2011-201</w:t>
      </w:r>
      <w:r w:rsidR="00DE2AB4">
        <w:rPr>
          <w:rFonts w:eastAsia="Calibri"/>
          <w:szCs w:val="26"/>
          <w:lang w:eastAsia="es-ES"/>
        </w:rPr>
        <w:t>5</w:t>
      </w:r>
      <w:r w:rsidR="005749C5">
        <w:rPr>
          <w:rFonts w:eastAsia="Calibri"/>
          <w:szCs w:val="26"/>
          <w:lang w:eastAsia="es-ES"/>
        </w:rPr>
        <w:t xml:space="preserve"> por un importe acumulado de </w:t>
      </w:r>
      <w:r w:rsidR="00DE2AB4">
        <w:rPr>
          <w:rFonts w:eastAsia="Calibri"/>
          <w:szCs w:val="26"/>
          <w:lang w:eastAsia="es-ES"/>
        </w:rPr>
        <w:t xml:space="preserve">27.231 </w:t>
      </w:r>
      <w:r w:rsidR="005749C5">
        <w:rPr>
          <w:rFonts w:eastAsia="Calibri"/>
          <w:szCs w:val="26"/>
          <w:lang w:eastAsia="es-ES"/>
        </w:rPr>
        <w:t xml:space="preserve">euros no fue cobrado por el ayuntamiento, deuda que a la fecha de emisión de este borrador sigue contabilizada como pendiente, a pesar de estar prescrita, sin que conste que el ayuntamiento haya realizado acciones oportunas y suficientes en el citado periodo para su reclamación y cobro. </w:t>
      </w:r>
    </w:p>
    <w:p w14:paraId="0EC85DC7" w14:textId="77777777" w:rsidR="005749C5" w:rsidRDefault="00622832" w:rsidP="00622832">
      <w:pPr>
        <w:pStyle w:val="texto"/>
        <w:tabs>
          <w:tab w:val="clear" w:pos="2835"/>
          <w:tab w:val="clear" w:pos="3969"/>
          <w:tab w:val="clear" w:pos="5103"/>
          <w:tab w:val="clear" w:pos="6237"/>
          <w:tab w:val="clear" w:pos="7371"/>
          <w:tab w:val="left" w:pos="480"/>
        </w:tabs>
        <w:rPr>
          <w:rFonts w:eastAsia="Calibri"/>
          <w:szCs w:val="26"/>
          <w:lang w:eastAsia="es-ES"/>
        </w:rPr>
      </w:pPr>
      <w:r>
        <w:rPr>
          <w:rFonts w:eastAsia="Calibri"/>
          <w:szCs w:val="26"/>
          <w:lang w:eastAsia="es-ES"/>
        </w:rPr>
        <w:t xml:space="preserve">b) </w:t>
      </w:r>
      <w:r w:rsidR="009647E9">
        <w:rPr>
          <w:rFonts w:eastAsia="Calibri"/>
          <w:szCs w:val="26"/>
          <w:lang w:eastAsia="es-ES"/>
        </w:rPr>
        <w:t xml:space="preserve">Respecto a la licitación de 2016, el arrendatario dejó de abonar las mensualidades </w:t>
      </w:r>
      <w:r w:rsidR="005749C5" w:rsidRPr="00AC6D0E">
        <w:rPr>
          <w:rFonts w:eastAsia="Calibri"/>
          <w:szCs w:val="26"/>
          <w:lang w:eastAsia="es-ES"/>
        </w:rPr>
        <w:t xml:space="preserve">desde </w:t>
      </w:r>
      <w:r w:rsidR="00DE2AB4">
        <w:rPr>
          <w:rFonts w:eastAsia="Calibri"/>
          <w:szCs w:val="26"/>
          <w:lang w:eastAsia="es-ES"/>
        </w:rPr>
        <w:t xml:space="preserve">prácticamente el momento de inicio de </w:t>
      </w:r>
      <w:r w:rsidR="005749C5" w:rsidRPr="00AC6D0E">
        <w:rPr>
          <w:rFonts w:eastAsia="Calibri"/>
          <w:szCs w:val="26"/>
          <w:lang w:eastAsia="es-ES"/>
        </w:rPr>
        <w:t>ejecució</w:t>
      </w:r>
      <w:r w:rsidR="009647E9">
        <w:rPr>
          <w:rFonts w:eastAsia="Calibri"/>
          <w:szCs w:val="26"/>
          <w:lang w:eastAsia="es-ES"/>
        </w:rPr>
        <w:t xml:space="preserve">n del contrato </w:t>
      </w:r>
      <w:r w:rsidR="009647E9">
        <w:rPr>
          <w:rFonts w:eastAsia="Calibri"/>
          <w:szCs w:val="26"/>
          <w:lang w:eastAsia="es-ES"/>
        </w:rPr>
        <w:lastRenderedPageBreak/>
        <w:t>de arrendamiento</w:t>
      </w:r>
      <w:r w:rsidR="005749C5" w:rsidRPr="00AC6D0E">
        <w:rPr>
          <w:rFonts w:eastAsia="Calibri"/>
          <w:szCs w:val="26"/>
          <w:lang w:eastAsia="es-ES"/>
        </w:rPr>
        <w:t>. El ayuntamiento en 2017, presentó ante los tribunales escrito de demanda por falta de pago de rentas o c</w:t>
      </w:r>
      <w:r w:rsidR="00DE2AB4">
        <w:rPr>
          <w:rFonts w:eastAsia="Calibri"/>
          <w:szCs w:val="26"/>
          <w:lang w:eastAsia="es-ES"/>
        </w:rPr>
        <w:t xml:space="preserve">antidades debidas y su petición de </w:t>
      </w:r>
      <w:proofErr w:type="spellStart"/>
      <w:r w:rsidR="00DE2AB4">
        <w:rPr>
          <w:rFonts w:eastAsia="Calibri"/>
          <w:szCs w:val="26"/>
          <w:lang w:eastAsia="es-ES"/>
        </w:rPr>
        <w:t>deshaucio</w:t>
      </w:r>
      <w:proofErr w:type="spellEnd"/>
      <w:r w:rsidR="00DE2AB4">
        <w:rPr>
          <w:rFonts w:eastAsia="Calibri"/>
          <w:szCs w:val="26"/>
          <w:lang w:eastAsia="es-ES"/>
        </w:rPr>
        <w:t xml:space="preserve">. </w:t>
      </w:r>
      <w:r w:rsidR="005749C5" w:rsidRPr="00AC6D0E">
        <w:rPr>
          <w:rFonts w:eastAsia="Calibri"/>
          <w:szCs w:val="26"/>
          <w:lang w:eastAsia="es-ES"/>
        </w:rPr>
        <w:t xml:space="preserve">El 9 de octubre se emite por el Juzgado de Primera Instancia Nº 7 de Pamplona, Decreto nº 000523/2017 por el que se da por terminado el juicio de </w:t>
      </w:r>
      <w:proofErr w:type="spellStart"/>
      <w:r w:rsidR="005749C5" w:rsidRPr="00AC6D0E">
        <w:rPr>
          <w:rFonts w:eastAsia="Calibri"/>
          <w:szCs w:val="26"/>
          <w:lang w:eastAsia="es-ES"/>
        </w:rPr>
        <w:t>deshaucio</w:t>
      </w:r>
      <w:proofErr w:type="spellEnd"/>
      <w:r w:rsidR="005749C5" w:rsidRPr="00AC6D0E">
        <w:rPr>
          <w:rFonts w:eastAsia="Calibri"/>
          <w:szCs w:val="26"/>
          <w:lang w:eastAsia="es-ES"/>
        </w:rPr>
        <w:t xml:space="preserve"> promovido por el ayuntamiento, instando a su ejecución, </w:t>
      </w:r>
      <w:r w:rsidR="005749C5">
        <w:rPr>
          <w:rFonts w:eastAsia="Calibri"/>
          <w:szCs w:val="26"/>
          <w:lang w:eastAsia="es-ES"/>
        </w:rPr>
        <w:t xml:space="preserve">y </w:t>
      </w:r>
      <w:r w:rsidR="005749C5" w:rsidRPr="00AC6D0E">
        <w:rPr>
          <w:rFonts w:eastAsia="Calibri"/>
          <w:szCs w:val="26"/>
          <w:lang w:eastAsia="es-ES"/>
        </w:rPr>
        <w:t>condenando a la parte demandada al pago de las costas procesales</w:t>
      </w:r>
      <w:r w:rsidR="00562A79">
        <w:rPr>
          <w:rFonts w:eastAsia="Calibri"/>
          <w:szCs w:val="26"/>
          <w:lang w:eastAsia="es-ES"/>
        </w:rPr>
        <w:t>,</w:t>
      </w:r>
      <w:r w:rsidR="005749C5" w:rsidRPr="00AC6D0E">
        <w:rPr>
          <w:rFonts w:eastAsia="Calibri"/>
          <w:szCs w:val="26"/>
          <w:lang w:eastAsia="es-ES"/>
        </w:rPr>
        <w:t xml:space="preserve"> dejando constancia de la reclamación de rentas debidas por importe de 20.893 euros más las rentas devengadas con posterioridad a la demanda y hasta la efectiva recuperación del local. </w:t>
      </w:r>
    </w:p>
    <w:p w14:paraId="37C249F9" w14:textId="77777777" w:rsidR="002C3373" w:rsidRDefault="002F1A67" w:rsidP="00622832">
      <w:pPr>
        <w:pStyle w:val="texto"/>
        <w:tabs>
          <w:tab w:val="clear" w:pos="2835"/>
          <w:tab w:val="clear" w:pos="3969"/>
          <w:tab w:val="clear" w:pos="5103"/>
          <w:tab w:val="clear" w:pos="6237"/>
          <w:tab w:val="clear" w:pos="7371"/>
          <w:tab w:val="left" w:pos="480"/>
        </w:tabs>
        <w:rPr>
          <w:rFonts w:eastAsia="Calibri"/>
          <w:szCs w:val="26"/>
          <w:lang w:eastAsia="es-ES"/>
        </w:rPr>
      </w:pPr>
      <w:r>
        <w:rPr>
          <w:rFonts w:eastAsia="Calibri"/>
          <w:szCs w:val="26"/>
          <w:lang w:eastAsia="es-ES"/>
        </w:rPr>
        <w:t xml:space="preserve">Si bien durante la realización de nuestro trabajo de campo hemos constatado que el ayuntamiento no había </w:t>
      </w:r>
      <w:r w:rsidR="00BF5C4D">
        <w:rPr>
          <w:rFonts w:eastAsia="Calibri"/>
          <w:szCs w:val="26"/>
          <w:lang w:eastAsia="es-ES"/>
        </w:rPr>
        <w:t xml:space="preserve">cobrado </w:t>
      </w:r>
      <w:r>
        <w:rPr>
          <w:rFonts w:eastAsia="Calibri"/>
          <w:szCs w:val="26"/>
          <w:lang w:eastAsia="es-ES"/>
        </w:rPr>
        <w:t>cuant</w:t>
      </w:r>
      <w:r w:rsidR="00466CEB">
        <w:rPr>
          <w:rFonts w:eastAsia="Calibri"/>
          <w:szCs w:val="26"/>
          <w:lang w:eastAsia="es-ES"/>
        </w:rPr>
        <w:t>ía alguna por la deuda reclamada anteriormente</w:t>
      </w:r>
      <w:r>
        <w:rPr>
          <w:rFonts w:eastAsia="Calibri"/>
          <w:szCs w:val="26"/>
          <w:lang w:eastAsia="es-ES"/>
        </w:rPr>
        <w:t>, i</w:t>
      </w:r>
      <w:r w:rsidR="002C3373">
        <w:rPr>
          <w:rFonts w:eastAsia="Calibri"/>
          <w:szCs w:val="26"/>
          <w:lang w:eastAsia="es-ES"/>
        </w:rPr>
        <w:t>ndicamos que con fecha 18 de marzo el ayuntamiento nos ha remitido un auto judicial de fecha 15 de marzo de 2022, dictando orden general de ejecución</w:t>
      </w:r>
      <w:r w:rsidR="009647E9">
        <w:rPr>
          <w:rFonts w:eastAsia="Calibri"/>
          <w:szCs w:val="26"/>
          <w:lang w:eastAsia="es-ES"/>
        </w:rPr>
        <w:t xml:space="preserve"> </w:t>
      </w:r>
      <w:r w:rsidR="002C3373">
        <w:rPr>
          <w:rFonts w:eastAsia="Calibri"/>
          <w:szCs w:val="26"/>
          <w:lang w:eastAsia="es-ES"/>
        </w:rPr>
        <w:t>de la resolución procesal anteriormente</w:t>
      </w:r>
      <w:r w:rsidR="00466CEB">
        <w:rPr>
          <w:rFonts w:eastAsia="Calibri"/>
          <w:szCs w:val="26"/>
          <w:lang w:eastAsia="es-ES"/>
        </w:rPr>
        <w:t xml:space="preserve"> citada</w:t>
      </w:r>
      <w:r w:rsidR="002C3373">
        <w:rPr>
          <w:rFonts w:eastAsia="Calibri"/>
          <w:szCs w:val="26"/>
          <w:lang w:eastAsia="es-ES"/>
        </w:rPr>
        <w:t xml:space="preserve">, así como el requerimiento al ejecutado para que presente una relación de bienes y derechos suficiente para cubrir la cuantía demandada en ejecución.  </w:t>
      </w:r>
    </w:p>
    <w:p w14:paraId="339CB584" w14:textId="77777777" w:rsidR="005749C5" w:rsidRDefault="00622832" w:rsidP="00622832">
      <w:pPr>
        <w:pStyle w:val="texto"/>
        <w:tabs>
          <w:tab w:val="clear" w:pos="2835"/>
          <w:tab w:val="clear" w:pos="3969"/>
          <w:tab w:val="clear" w:pos="5103"/>
          <w:tab w:val="clear" w:pos="6237"/>
          <w:tab w:val="clear" w:pos="7371"/>
          <w:tab w:val="left" w:pos="480"/>
        </w:tabs>
        <w:rPr>
          <w:rFonts w:eastAsia="Calibri"/>
          <w:szCs w:val="26"/>
          <w:lang w:eastAsia="es-ES"/>
        </w:rPr>
      </w:pPr>
      <w:r>
        <w:rPr>
          <w:rFonts w:eastAsia="Calibri"/>
          <w:szCs w:val="26"/>
          <w:lang w:eastAsia="es-ES"/>
        </w:rPr>
        <w:t xml:space="preserve">c) </w:t>
      </w:r>
      <w:r w:rsidR="005749C5">
        <w:rPr>
          <w:rFonts w:eastAsia="Calibri"/>
          <w:szCs w:val="26"/>
          <w:lang w:eastAsia="es-ES"/>
        </w:rPr>
        <w:t>Durante el periodo 2017-2021 el local ha estado cerrado y en el ejerc</w:t>
      </w:r>
      <w:r w:rsidR="00DE2AB4">
        <w:rPr>
          <w:rFonts w:eastAsia="Calibri"/>
          <w:szCs w:val="26"/>
          <w:lang w:eastAsia="es-ES"/>
        </w:rPr>
        <w:t xml:space="preserve">icio 2021 se vuelve a licitar, adjudicándose el contrato en mayo de 2021. </w:t>
      </w:r>
      <w:r w:rsidR="005749C5">
        <w:rPr>
          <w:rFonts w:eastAsia="Calibri"/>
          <w:szCs w:val="26"/>
          <w:lang w:eastAsia="es-ES"/>
        </w:rPr>
        <w:t>Hemos revisado su tramitación y es correc</w:t>
      </w:r>
      <w:r w:rsidR="00DE2AB4">
        <w:rPr>
          <w:rFonts w:eastAsia="Calibri"/>
          <w:szCs w:val="26"/>
          <w:lang w:eastAsia="es-ES"/>
        </w:rPr>
        <w:t>ta.</w:t>
      </w:r>
    </w:p>
    <w:p w14:paraId="1DEC5D8D"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153670">
        <w:rPr>
          <w:szCs w:val="26"/>
        </w:rPr>
        <w:t>Adem</w:t>
      </w:r>
      <w:r>
        <w:rPr>
          <w:szCs w:val="26"/>
        </w:rPr>
        <w:t>ás de la revisión del contrato anterior, hemos verificado si existen otros espacios municipales objeto de arrendamiento o cesión y hemos comprobado la existencia de:</w:t>
      </w:r>
    </w:p>
    <w:p w14:paraId="0FCDA079" w14:textId="77777777" w:rsidR="005749C5" w:rsidRDefault="00622832" w:rsidP="00622832">
      <w:pPr>
        <w:pStyle w:val="texto"/>
        <w:tabs>
          <w:tab w:val="clear" w:pos="2835"/>
          <w:tab w:val="clear" w:pos="3969"/>
          <w:tab w:val="clear" w:pos="5103"/>
          <w:tab w:val="clear" w:pos="6237"/>
          <w:tab w:val="clear" w:pos="7371"/>
          <w:tab w:val="left" w:pos="480"/>
        </w:tabs>
        <w:rPr>
          <w:szCs w:val="26"/>
        </w:rPr>
      </w:pPr>
      <w:r>
        <w:rPr>
          <w:szCs w:val="26"/>
        </w:rPr>
        <w:t xml:space="preserve">a) </w:t>
      </w:r>
      <w:r w:rsidR="005749C5">
        <w:rPr>
          <w:szCs w:val="26"/>
        </w:rPr>
        <w:t>E</w:t>
      </w:r>
      <w:r w:rsidR="005749C5" w:rsidRPr="00063B0C">
        <w:rPr>
          <w:szCs w:val="26"/>
        </w:rPr>
        <w:t xml:space="preserve">l claustro </w:t>
      </w:r>
      <w:r w:rsidR="005749C5" w:rsidRPr="00D65F71">
        <w:rPr>
          <w:szCs w:val="26"/>
        </w:rPr>
        <w:t>del M</w:t>
      </w:r>
      <w:r w:rsidR="005749C5">
        <w:rPr>
          <w:szCs w:val="26"/>
        </w:rPr>
        <w:t>onasterio de San Salvador se utiliza</w:t>
      </w:r>
      <w:r w:rsidR="005749C5" w:rsidRPr="00D65F71">
        <w:rPr>
          <w:szCs w:val="26"/>
        </w:rPr>
        <w:t xml:space="preserve"> como exposiciones de obras de arte y </w:t>
      </w:r>
      <w:r w:rsidR="005749C5" w:rsidRPr="00063B0C">
        <w:rPr>
          <w:szCs w:val="26"/>
        </w:rPr>
        <w:t xml:space="preserve">está alquilado a </w:t>
      </w:r>
      <w:r w:rsidR="005749C5" w:rsidRPr="00D65F71">
        <w:rPr>
          <w:szCs w:val="26"/>
        </w:rPr>
        <w:t xml:space="preserve">un empresario, quien vende cuadros y realiza exposiciones culturales. </w:t>
      </w:r>
    </w:p>
    <w:p w14:paraId="5E9208EA" w14:textId="77777777" w:rsidR="005749C5" w:rsidRPr="00D65F71" w:rsidRDefault="005749C5" w:rsidP="00622832">
      <w:pPr>
        <w:pStyle w:val="texto"/>
        <w:tabs>
          <w:tab w:val="clear" w:pos="2835"/>
          <w:tab w:val="clear" w:pos="3969"/>
          <w:tab w:val="clear" w:pos="5103"/>
          <w:tab w:val="clear" w:pos="6237"/>
          <w:tab w:val="clear" w:pos="7371"/>
          <w:tab w:val="left" w:pos="480"/>
        </w:tabs>
        <w:rPr>
          <w:szCs w:val="26"/>
        </w:rPr>
      </w:pPr>
      <w:r>
        <w:rPr>
          <w:szCs w:val="26"/>
        </w:rPr>
        <w:t>En relación al uso de este espacio, consta que s</w:t>
      </w:r>
      <w:r w:rsidRPr="00D65F71">
        <w:rPr>
          <w:szCs w:val="26"/>
        </w:rPr>
        <w:t xml:space="preserve">e firmó </w:t>
      </w:r>
      <w:r>
        <w:rPr>
          <w:szCs w:val="26"/>
        </w:rPr>
        <w:t xml:space="preserve">entre las partes </w:t>
      </w:r>
      <w:r w:rsidRPr="00D65F71">
        <w:rPr>
          <w:szCs w:val="26"/>
        </w:rPr>
        <w:t xml:space="preserve">un </w:t>
      </w:r>
      <w:r w:rsidRPr="00063B0C">
        <w:rPr>
          <w:szCs w:val="26"/>
        </w:rPr>
        <w:t>convenio el 1 de abril de 2008.</w:t>
      </w:r>
      <w:r w:rsidRPr="00D65F71">
        <w:rPr>
          <w:szCs w:val="26"/>
        </w:rPr>
        <w:t xml:space="preserve"> En el citado convenio se establece, entre otras cláusulas, que el ayuntamiento percibirá anualmente 5.000 euros más IVA; importe que debe revisarse anualmente conforme al IPC del Estado. De nuestra revisión, indicamos lo siguiente:</w:t>
      </w:r>
    </w:p>
    <w:p w14:paraId="236CD360" w14:textId="77777777" w:rsidR="005749C5" w:rsidRPr="006A08AD" w:rsidRDefault="00622832" w:rsidP="0062283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F2040C">
        <w:rPr>
          <w:szCs w:val="26"/>
          <w:lang w:eastAsia="es-ES"/>
        </w:rPr>
        <w:t xml:space="preserve">• </w:t>
      </w:r>
      <w:r w:rsidR="005749C5">
        <w:rPr>
          <w:szCs w:val="26"/>
        </w:rPr>
        <w:t xml:space="preserve">El uso privado </w:t>
      </w:r>
      <w:r w:rsidR="005749C5" w:rsidRPr="006A08AD">
        <w:rPr>
          <w:szCs w:val="26"/>
        </w:rPr>
        <w:t xml:space="preserve">del citado espacio </w:t>
      </w:r>
      <w:r w:rsidR="005749C5">
        <w:rPr>
          <w:szCs w:val="26"/>
        </w:rPr>
        <w:t xml:space="preserve">no fue </w:t>
      </w:r>
      <w:r w:rsidR="005749C5" w:rsidRPr="006A08AD">
        <w:rPr>
          <w:szCs w:val="26"/>
        </w:rPr>
        <w:t>objeto d</w:t>
      </w:r>
      <w:r w:rsidR="00B20C94">
        <w:rPr>
          <w:szCs w:val="26"/>
        </w:rPr>
        <w:t xml:space="preserve">e la correspondiente licencia o concesión </w:t>
      </w:r>
      <w:r w:rsidR="005749C5">
        <w:rPr>
          <w:szCs w:val="26"/>
        </w:rPr>
        <w:t>de acuerdo a lo establecido en la Ley Foral 6/1990 de 2 de julio de la Administración Local de Navarra.</w:t>
      </w:r>
    </w:p>
    <w:p w14:paraId="20F5BF9A" w14:textId="77777777" w:rsidR="005749C5" w:rsidRPr="00CE0012" w:rsidRDefault="00622832" w:rsidP="0062283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CE0012">
        <w:rPr>
          <w:szCs w:val="26"/>
          <w:lang w:eastAsia="es-ES"/>
        </w:rPr>
        <w:t xml:space="preserve">• </w:t>
      </w:r>
      <w:r w:rsidR="005749C5" w:rsidRPr="00CE0012">
        <w:rPr>
          <w:szCs w:val="26"/>
        </w:rPr>
        <w:t>No se ha llevado a cabo actualización alguna de revisión del IPC en los término</w:t>
      </w:r>
      <w:r w:rsidR="00946168" w:rsidRPr="00CE0012">
        <w:rPr>
          <w:szCs w:val="26"/>
        </w:rPr>
        <w:t xml:space="preserve">s acordados, lo que ha supuesto </w:t>
      </w:r>
      <w:r w:rsidR="00CE0012" w:rsidRPr="00CE0012">
        <w:rPr>
          <w:szCs w:val="26"/>
        </w:rPr>
        <w:t xml:space="preserve">a la fecha de emisión de este </w:t>
      </w:r>
      <w:r w:rsidR="00920DC7">
        <w:rPr>
          <w:szCs w:val="26"/>
        </w:rPr>
        <w:t xml:space="preserve">informe </w:t>
      </w:r>
      <w:r w:rsidR="00946168" w:rsidRPr="00CE0012">
        <w:rPr>
          <w:szCs w:val="26"/>
        </w:rPr>
        <w:t xml:space="preserve">un importe de </w:t>
      </w:r>
      <w:r w:rsidR="00CE0012" w:rsidRPr="00CE0012">
        <w:rPr>
          <w:szCs w:val="26"/>
        </w:rPr>
        <w:t xml:space="preserve">6.258 euros </w:t>
      </w:r>
      <w:r w:rsidR="00946168" w:rsidRPr="00CE0012">
        <w:rPr>
          <w:szCs w:val="26"/>
        </w:rPr>
        <w:t xml:space="preserve">que no se ha reclamado al adjudicatario. Del citado importe, </w:t>
      </w:r>
      <w:r w:rsidR="00CE0012" w:rsidRPr="00CE0012">
        <w:rPr>
          <w:szCs w:val="26"/>
        </w:rPr>
        <w:t>2.139</w:t>
      </w:r>
      <w:r w:rsidR="00CE0012">
        <w:rPr>
          <w:szCs w:val="26"/>
        </w:rPr>
        <w:t xml:space="preserve"> </w:t>
      </w:r>
      <w:r w:rsidR="00946168" w:rsidRPr="00CE0012">
        <w:rPr>
          <w:szCs w:val="26"/>
        </w:rPr>
        <w:t>euros habría</w:t>
      </w:r>
      <w:r w:rsidR="00552597">
        <w:rPr>
          <w:szCs w:val="26"/>
        </w:rPr>
        <w:t>n</w:t>
      </w:r>
      <w:r w:rsidR="00946168" w:rsidRPr="00CE0012">
        <w:rPr>
          <w:szCs w:val="26"/>
        </w:rPr>
        <w:t xml:space="preserve"> prescrito</w:t>
      </w:r>
      <w:r w:rsidR="00CE0012" w:rsidRPr="00CE0012">
        <w:rPr>
          <w:szCs w:val="26"/>
        </w:rPr>
        <w:t xml:space="preserve">, y el resto </w:t>
      </w:r>
      <w:r w:rsidR="00946168" w:rsidRPr="00CE0012">
        <w:rPr>
          <w:szCs w:val="26"/>
        </w:rPr>
        <w:t xml:space="preserve">por importe de </w:t>
      </w:r>
      <w:r w:rsidR="00CE0012" w:rsidRPr="00CE0012">
        <w:rPr>
          <w:szCs w:val="26"/>
        </w:rPr>
        <w:t xml:space="preserve">4.119 euros </w:t>
      </w:r>
      <w:r w:rsidR="00946168" w:rsidRPr="00CE0012">
        <w:rPr>
          <w:szCs w:val="26"/>
        </w:rPr>
        <w:t xml:space="preserve">debe ser objeto de reclamación. </w:t>
      </w:r>
    </w:p>
    <w:p w14:paraId="0EC4337E" w14:textId="77777777" w:rsidR="005749C5" w:rsidRDefault="004B39A5" w:rsidP="00622832">
      <w:pPr>
        <w:pStyle w:val="texto"/>
        <w:tabs>
          <w:tab w:val="clear" w:pos="2835"/>
          <w:tab w:val="clear" w:pos="3969"/>
          <w:tab w:val="clear" w:pos="5103"/>
          <w:tab w:val="clear" w:pos="6237"/>
          <w:tab w:val="clear" w:pos="7371"/>
          <w:tab w:val="left" w:pos="480"/>
        </w:tabs>
        <w:rPr>
          <w:szCs w:val="26"/>
        </w:rPr>
      </w:pPr>
      <w:r>
        <w:rPr>
          <w:szCs w:val="26"/>
        </w:rPr>
        <w:t>b</w:t>
      </w:r>
      <w:r w:rsidR="00622832">
        <w:rPr>
          <w:szCs w:val="26"/>
        </w:rPr>
        <w:t xml:space="preserve">) </w:t>
      </w:r>
      <w:r w:rsidR="005749C5" w:rsidRPr="00797BE3">
        <w:rPr>
          <w:szCs w:val="26"/>
        </w:rPr>
        <w:t xml:space="preserve">El servicio de oficina de turismo se presta en un local propiedad del ayuntamiento, que lo gestiona el mismo adjudicatario de visitas a las cuevas </w:t>
      </w:r>
      <w:r w:rsidR="005749C5">
        <w:rPr>
          <w:szCs w:val="26"/>
        </w:rPr>
        <w:t xml:space="preserve">y </w:t>
      </w:r>
      <w:r w:rsidR="005749C5" w:rsidRPr="00797BE3">
        <w:rPr>
          <w:szCs w:val="26"/>
        </w:rPr>
        <w:t xml:space="preserve">sin </w:t>
      </w:r>
      <w:r w:rsidR="005749C5" w:rsidRPr="00797BE3">
        <w:rPr>
          <w:szCs w:val="26"/>
        </w:rPr>
        <w:lastRenderedPageBreak/>
        <w:t xml:space="preserve">que conste la existencia de expediente </w:t>
      </w:r>
      <w:r w:rsidR="005749C5">
        <w:rPr>
          <w:szCs w:val="26"/>
        </w:rPr>
        <w:t xml:space="preserve">de adjudicación </w:t>
      </w:r>
      <w:r w:rsidR="005749C5" w:rsidRPr="00797BE3">
        <w:rPr>
          <w:szCs w:val="26"/>
        </w:rPr>
        <w:t xml:space="preserve">de conformidad con el marco contractual. </w:t>
      </w:r>
    </w:p>
    <w:p w14:paraId="17F81343" w14:textId="77777777" w:rsidR="005749C5" w:rsidRPr="00EC7FDC" w:rsidRDefault="005749C5" w:rsidP="00622832">
      <w:pPr>
        <w:pStyle w:val="texto"/>
        <w:tabs>
          <w:tab w:val="clear" w:pos="2835"/>
          <w:tab w:val="clear" w:pos="3969"/>
          <w:tab w:val="clear" w:pos="5103"/>
          <w:tab w:val="clear" w:pos="6237"/>
          <w:tab w:val="clear" w:pos="7371"/>
          <w:tab w:val="left" w:pos="480"/>
        </w:tabs>
        <w:rPr>
          <w:szCs w:val="26"/>
        </w:rPr>
      </w:pPr>
      <w:r w:rsidRPr="00EC7FDC">
        <w:rPr>
          <w:szCs w:val="26"/>
        </w:rPr>
        <w:t xml:space="preserve">En la oficina de turismo se venden </w:t>
      </w:r>
      <w:r>
        <w:rPr>
          <w:szCs w:val="26"/>
        </w:rPr>
        <w:t>“</w:t>
      </w:r>
      <w:r w:rsidRPr="00EC7FDC">
        <w:rPr>
          <w:szCs w:val="26"/>
        </w:rPr>
        <w:t>souvenirs</w:t>
      </w:r>
      <w:r>
        <w:rPr>
          <w:szCs w:val="26"/>
        </w:rPr>
        <w:t>”</w:t>
      </w:r>
      <w:r w:rsidRPr="00EC7FDC">
        <w:rPr>
          <w:szCs w:val="26"/>
        </w:rPr>
        <w:t xml:space="preserve"> y con los ingresos utilizan </w:t>
      </w:r>
      <w:r>
        <w:rPr>
          <w:szCs w:val="26"/>
        </w:rPr>
        <w:t xml:space="preserve">un </w:t>
      </w:r>
      <w:r w:rsidRPr="00EC7FDC">
        <w:rPr>
          <w:szCs w:val="26"/>
        </w:rPr>
        <w:t xml:space="preserve">procedimiento </w:t>
      </w:r>
      <w:r>
        <w:rPr>
          <w:szCs w:val="26"/>
        </w:rPr>
        <w:t xml:space="preserve">similar al </w:t>
      </w:r>
      <w:r w:rsidRPr="00EC7FDC">
        <w:rPr>
          <w:szCs w:val="26"/>
        </w:rPr>
        <w:t>que tienen establecido para las cuevas, es decir se ingresan en el ayuntamiento y se reparten un 50 por c</w:t>
      </w:r>
      <w:r>
        <w:rPr>
          <w:szCs w:val="26"/>
        </w:rPr>
        <w:t>iento respectivamente entre el a</w:t>
      </w:r>
      <w:r w:rsidRPr="00EC7FDC">
        <w:rPr>
          <w:szCs w:val="26"/>
        </w:rPr>
        <w:t>yuntamiento y el adjudicatario. A final de año se hace una regularización de la gestión de la oficina de turismo y anualmente el ayuntamiento le paga 12.000 euros</w:t>
      </w:r>
      <w:r w:rsidR="005615C3">
        <w:rPr>
          <w:szCs w:val="26"/>
        </w:rPr>
        <w:t>.</w:t>
      </w:r>
    </w:p>
    <w:p w14:paraId="2307A471" w14:textId="77777777" w:rsidR="005749C5" w:rsidRDefault="00DE2AB4" w:rsidP="006D3CAB">
      <w:pPr>
        <w:pStyle w:val="texto"/>
        <w:tabs>
          <w:tab w:val="clear" w:pos="2835"/>
          <w:tab w:val="clear" w:pos="3969"/>
          <w:tab w:val="clear" w:pos="5103"/>
          <w:tab w:val="clear" w:pos="6237"/>
          <w:tab w:val="clear" w:pos="7371"/>
          <w:tab w:val="left" w:pos="480"/>
        </w:tabs>
        <w:rPr>
          <w:rFonts w:eastAsia="Calibri"/>
          <w:szCs w:val="26"/>
          <w:lang w:eastAsia="es-ES"/>
        </w:rPr>
      </w:pPr>
      <w:r>
        <w:rPr>
          <w:rFonts w:eastAsia="Calibri"/>
          <w:szCs w:val="26"/>
          <w:lang w:eastAsia="es-ES"/>
        </w:rPr>
        <w:t>Según lo expuesto anteriormente, por un lado entendemos que la recomendación de actualización de rentas no ha sido aplicada</w:t>
      </w:r>
      <w:r w:rsidR="00FB4D00">
        <w:rPr>
          <w:rFonts w:eastAsia="Calibri"/>
          <w:szCs w:val="26"/>
          <w:lang w:eastAsia="es-ES"/>
        </w:rPr>
        <w:t>,</w:t>
      </w:r>
      <w:r>
        <w:rPr>
          <w:rFonts w:eastAsia="Calibri"/>
          <w:szCs w:val="26"/>
          <w:lang w:eastAsia="es-ES"/>
        </w:rPr>
        <w:t xml:space="preserve"> y por otro indicamos que todos los espacios municipales susceptibles de explotación o uso por parte de particulares deben ser </w:t>
      </w:r>
      <w:r w:rsidR="005749C5">
        <w:rPr>
          <w:rFonts w:eastAsia="Calibri"/>
          <w:szCs w:val="26"/>
          <w:lang w:eastAsia="es-ES"/>
        </w:rPr>
        <w:t>licitados de conformidad con el marco patrimonial aplicable</w:t>
      </w:r>
      <w:r w:rsidR="005615C3">
        <w:rPr>
          <w:rFonts w:eastAsia="Calibri"/>
          <w:szCs w:val="26"/>
          <w:lang w:eastAsia="es-ES"/>
        </w:rPr>
        <w:t>.</w:t>
      </w:r>
    </w:p>
    <w:p w14:paraId="773C583E" w14:textId="77777777" w:rsidR="005749C5" w:rsidRPr="00197EB1" w:rsidRDefault="00622832" w:rsidP="0062283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sidRPr="00F2040C">
        <w:rPr>
          <w:szCs w:val="26"/>
          <w:lang w:eastAsia="es-ES"/>
        </w:rPr>
        <w:t xml:space="preserve">• </w:t>
      </w:r>
      <w:r w:rsidR="005749C5" w:rsidRPr="00197EB1">
        <w:rPr>
          <w:rFonts w:eastAsia="Calibri"/>
          <w:i/>
          <w:szCs w:val="26"/>
          <w:lang w:eastAsia="es-ES"/>
        </w:rPr>
        <w:t>Gestionar el Patrimonio municipal del suelo y crear el Registro del mismo en el que consten la entrada de los terrenos o metálico y su salida de forma justificada, con destino a las finalidades establecidas en la legislación urbanística</w:t>
      </w:r>
      <w:r w:rsidR="005749C5" w:rsidRPr="00197EB1">
        <w:rPr>
          <w:rFonts w:eastAsia="Calibri"/>
          <w:szCs w:val="26"/>
          <w:lang w:eastAsia="es-ES"/>
        </w:rPr>
        <w:t>.</w:t>
      </w:r>
    </w:p>
    <w:p w14:paraId="61123084" w14:textId="77777777" w:rsidR="005749C5"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pPr>
      <w:r w:rsidRPr="00027522">
        <w:rPr>
          <w:szCs w:val="26"/>
        </w:rPr>
        <w:t>Esta recomendación</w:t>
      </w:r>
      <w:r>
        <w:rPr>
          <w:szCs w:val="26"/>
        </w:rPr>
        <w:t xml:space="preserve"> no ha sido aplicada ya que hemos verificado que no se ha creado un Registro del Patrimonio Municipal del Suelo, imposibilitando de esta forma la gestión separada del resto de bienes de la entidad local, tal y como establece el </w:t>
      </w:r>
      <w:r w:rsidR="00831A65">
        <w:rPr>
          <w:szCs w:val="26"/>
        </w:rPr>
        <w:t xml:space="preserve">marco urbanístico </w:t>
      </w:r>
      <w:r w:rsidR="009647E9">
        <w:rPr>
          <w:szCs w:val="26"/>
        </w:rPr>
        <w:t>aplicable</w:t>
      </w:r>
      <w:r>
        <w:t>.</w:t>
      </w:r>
    </w:p>
    <w:p w14:paraId="11DC2AAC" w14:textId="77777777" w:rsidR="005749C5" w:rsidRDefault="005749C5" w:rsidP="005749C5">
      <w:pPr>
        <w:ind w:firstLine="0"/>
        <w:rPr>
          <w:rFonts w:eastAsia="Calibri"/>
          <w:b/>
          <w:sz w:val="26"/>
          <w:szCs w:val="26"/>
        </w:rPr>
      </w:pPr>
      <w:r w:rsidRPr="00197EB1">
        <w:rPr>
          <w:rFonts w:eastAsia="Calibri"/>
          <w:b/>
          <w:sz w:val="26"/>
          <w:szCs w:val="26"/>
        </w:rPr>
        <w:t>Operaciones no presupuestarias</w:t>
      </w:r>
    </w:p>
    <w:p w14:paraId="465DBF7B" w14:textId="77777777" w:rsidR="005749C5" w:rsidRPr="00F821BA"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F821BA">
        <w:rPr>
          <w:rFonts w:eastAsia="Calibri"/>
          <w:i/>
          <w:szCs w:val="26"/>
          <w:lang w:eastAsia="es-ES"/>
        </w:rPr>
        <w:t>Revisar y depurar los saldos de las cuentas no presupuestarias y realizar el seguimiento de los acreedores y deudores no presupuestarios.</w:t>
      </w:r>
    </w:p>
    <w:p w14:paraId="1587B7F7" w14:textId="77777777" w:rsidR="005749C5" w:rsidRPr="00F821BA"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F821BA">
        <w:rPr>
          <w:szCs w:val="26"/>
        </w:rPr>
        <w:t xml:space="preserve">Esta recomendación ha sido aplicada parcialmente, ya que de nuestra revisión, </w:t>
      </w:r>
      <w:r w:rsidR="00831A65">
        <w:rPr>
          <w:szCs w:val="26"/>
        </w:rPr>
        <w:t xml:space="preserve">si bien </w:t>
      </w:r>
      <w:r w:rsidRPr="00F821BA">
        <w:rPr>
          <w:szCs w:val="26"/>
        </w:rPr>
        <w:t>hemos observado que se ha realizado una revisión y depuración de los respectivos saldos, la mayor parte de ello</w:t>
      </w:r>
      <w:r>
        <w:rPr>
          <w:szCs w:val="26"/>
        </w:rPr>
        <w:t xml:space="preserve">s anteriores </w:t>
      </w:r>
      <w:r w:rsidR="00831A65">
        <w:rPr>
          <w:szCs w:val="26"/>
        </w:rPr>
        <w:t xml:space="preserve">al ejercicio 2009, </w:t>
      </w:r>
      <w:r>
        <w:rPr>
          <w:szCs w:val="26"/>
        </w:rPr>
        <w:t>queda pendiente de regularizar:</w:t>
      </w:r>
    </w:p>
    <w:p w14:paraId="12A92FE3" w14:textId="77777777" w:rsidR="005749C5"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a) </w:t>
      </w:r>
      <w:r w:rsidR="005749C5">
        <w:rPr>
          <w:szCs w:val="26"/>
        </w:rPr>
        <w:t>U</w:t>
      </w:r>
      <w:r w:rsidR="005749C5" w:rsidRPr="00EC7FDC">
        <w:rPr>
          <w:szCs w:val="26"/>
        </w:rPr>
        <w:t xml:space="preserve">n </w:t>
      </w:r>
      <w:r w:rsidR="005749C5">
        <w:rPr>
          <w:szCs w:val="26"/>
        </w:rPr>
        <w:t xml:space="preserve">saldo deudor </w:t>
      </w:r>
      <w:r w:rsidR="005749C5" w:rsidRPr="00EC7FDC">
        <w:rPr>
          <w:szCs w:val="26"/>
        </w:rPr>
        <w:t>de la sociedad municipal por 258.172</w:t>
      </w:r>
      <w:r w:rsidR="005749C5">
        <w:rPr>
          <w:szCs w:val="26"/>
        </w:rPr>
        <w:t xml:space="preserve"> euros que ya se detectó en nuestra anterior fiscalización, que está plenamente identificado y pendiente de regularización este ejercicio 2022, según compromiso del ayuntamiento.</w:t>
      </w:r>
    </w:p>
    <w:p w14:paraId="7F9ED0EE" w14:textId="77777777" w:rsidR="005749C5"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b) </w:t>
      </w:r>
      <w:r w:rsidR="005749C5">
        <w:rPr>
          <w:szCs w:val="26"/>
        </w:rPr>
        <w:t>U</w:t>
      </w:r>
      <w:r w:rsidR="005749C5" w:rsidRPr="00EC7FDC">
        <w:rPr>
          <w:szCs w:val="26"/>
        </w:rPr>
        <w:t>n saldo acreedor que corresponde al Ayuntamie</w:t>
      </w:r>
      <w:r w:rsidR="00FB4D00">
        <w:rPr>
          <w:szCs w:val="26"/>
        </w:rPr>
        <w:t>nto de Zugarramurdi de 4.3</w:t>
      </w:r>
      <w:r w:rsidR="005749C5">
        <w:rPr>
          <w:szCs w:val="26"/>
        </w:rPr>
        <w:t xml:space="preserve">17 </w:t>
      </w:r>
      <w:r w:rsidR="005749C5" w:rsidRPr="00EC7FDC">
        <w:rPr>
          <w:szCs w:val="26"/>
        </w:rPr>
        <w:t>euros</w:t>
      </w:r>
      <w:r w:rsidR="005749C5">
        <w:rPr>
          <w:szCs w:val="26"/>
        </w:rPr>
        <w:t>, pendiente de cancelar.</w:t>
      </w:r>
      <w:r w:rsidR="00C50315">
        <w:rPr>
          <w:szCs w:val="26"/>
        </w:rPr>
        <w:t xml:space="preserve"> Al respecto</w:t>
      </w:r>
      <w:r w:rsidR="008B693B">
        <w:rPr>
          <w:szCs w:val="26"/>
        </w:rPr>
        <w:t>,</w:t>
      </w:r>
      <w:r w:rsidR="00C50315">
        <w:rPr>
          <w:szCs w:val="26"/>
        </w:rPr>
        <w:t xml:space="preserve"> </w:t>
      </w:r>
      <w:r w:rsidR="00F205AE">
        <w:rPr>
          <w:szCs w:val="26"/>
        </w:rPr>
        <w:t xml:space="preserve">tal y como consta en la alegación número 6, Operaciones no presupuestarias del documento alegaciones, </w:t>
      </w:r>
      <w:r w:rsidR="00C50315">
        <w:rPr>
          <w:szCs w:val="26"/>
        </w:rPr>
        <w:t xml:space="preserve">el ayuntamiento acredita haber cancelado </w:t>
      </w:r>
      <w:r w:rsidR="00A13AE6">
        <w:rPr>
          <w:szCs w:val="26"/>
        </w:rPr>
        <w:t xml:space="preserve">en fecha 6 de abril de 2022 </w:t>
      </w:r>
      <w:r w:rsidR="008B693B">
        <w:rPr>
          <w:szCs w:val="26"/>
        </w:rPr>
        <w:t>el citado saldo</w:t>
      </w:r>
      <w:r w:rsidR="00C50315">
        <w:rPr>
          <w:szCs w:val="26"/>
        </w:rPr>
        <w:t xml:space="preserve"> mediante su pago efectivo, por lo que esta situación e</w:t>
      </w:r>
      <w:r w:rsidR="008B693B">
        <w:rPr>
          <w:szCs w:val="26"/>
        </w:rPr>
        <w:t>stá</w:t>
      </w:r>
      <w:r w:rsidR="00C50315">
        <w:rPr>
          <w:szCs w:val="26"/>
        </w:rPr>
        <w:t xml:space="preserve"> regularizada. </w:t>
      </w:r>
    </w:p>
    <w:p w14:paraId="0AC246E1" w14:textId="77777777" w:rsidR="005749C5"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c) </w:t>
      </w:r>
      <w:r w:rsidR="005749C5">
        <w:rPr>
          <w:szCs w:val="26"/>
        </w:rPr>
        <w:t>Un saldo acreedor de IRPF por importe de 2.729 euros; importe que hemos comprobado está sobrevalorado</w:t>
      </w:r>
      <w:r w:rsidR="00FB4D00">
        <w:rPr>
          <w:szCs w:val="26"/>
        </w:rPr>
        <w:t xml:space="preserve"> sin que conste justificación.</w:t>
      </w:r>
    </w:p>
    <w:p w14:paraId="5A25E880" w14:textId="77777777" w:rsidR="005749C5"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lastRenderedPageBreak/>
        <w:t xml:space="preserve">d) </w:t>
      </w:r>
      <w:r w:rsidR="005749C5">
        <w:rPr>
          <w:szCs w:val="26"/>
        </w:rPr>
        <w:t>S</w:t>
      </w:r>
      <w:r w:rsidR="00FB4D00">
        <w:rPr>
          <w:szCs w:val="26"/>
        </w:rPr>
        <w:t>e s</w:t>
      </w:r>
      <w:r w:rsidR="005749C5">
        <w:rPr>
          <w:szCs w:val="26"/>
        </w:rPr>
        <w:t xml:space="preserve">igue </w:t>
      </w:r>
      <w:r w:rsidR="009647E9">
        <w:rPr>
          <w:szCs w:val="26"/>
        </w:rPr>
        <w:t xml:space="preserve">abonando a Nilsa el canon de saneamiento facturado en lugar del importe recaudado conforme a lo establecido en la normativa. </w:t>
      </w:r>
      <w:r w:rsidR="00FB4D00">
        <w:rPr>
          <w:szCs w:val="26"/>
        </w:rPr>
        <w:t xml:space="preserve"> </w:t>
      </w:r>
    </w:p>
    <w:p w14:paraId="7B554A44" w14:textId="77777777" w:rsidR="005749C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sidRPr="00F2040C">
        <w:rPr>
          <w:szCs w:val="26"/>
          <w:lang w:eastAsia="es-ES"/>
        </w:rPr>
        <w:t xml:space="preserve">• </w:t>
      </w:r>
      <w:r w:rsidR="005749C5" w:rsidRPr="00197EB1">
        <w:rPr>
          <w:rFonts w:eastAsia="Calibri"/>
          <w:i/>
          <w:szCs w:val="26"/>
          <w:lang w:eastAsia="es-ES"/>
        </w:rPr>
        <w:t>Contabilizar las liquidaciones de IVA en el ejercicio correspondiente</w:t>
      </w:r>
      <w:r w:rsidR="005749C5" w:rsidRPr="00197EB1">
        <w:rPr>
          <w:rFonts w:eastAsia="Calibri"/>
          <w:szCs w:val="26"/>
          <w:lang w:eastAsia="es-ES"/>
        </w:rPr>
        <w:t>.</w:t>
      </w:r>
    </w:p>
    <w:p w14:paraId="120F15C1" w14:textId="77777777" w:rsidR="005749C5" w:rsidRDefault="005749C5" w:rsidP="008403D8">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sidRPr="00485A03">
        <w:rPr>
          <w:rFonts w:eastAsia="Calibri"/>
          <w:szCs w:val="26"/>
          <w:lang w:eastAsia="es-ES"/>
        </w:rPr>
        <w:t>Esta recomendación ha sido t</w:t>
      </w:r>
      <w:r w:rsidR="009647E9">
        <w:rPr>
          <w:rFonts w:eastAsia="Calibri"/>
          <w:szCs w:val="26"/>
          <w:lang w:eastAsia="es-ES"/>
        </w:rPr>
        <w:t>otal o sustancialmente aplicada.</w:t>
      </w:r>
    </w:p>
    <w:p w14:paraId="67C25B1D" w14:textId="77777777" w:rsidR="005749C5" w:rsidRPr="00215AD2" w:rsidRDefault="005749C5" w:rsidP="005749C5">
      <w:pPr>
        <w:ind w:firstLine="0"/>
        <w:rPr>
          <w:rFonts w:eastAsia="Calibri"/>
          <w:b/>
          <w:sz w:val="26"/>
          <w:szCs w:val="26"/>
        </w:rPr>
      </w:pPr>
      <w:r w:rsidRPr="00215AD2">
        <w:rPr>
          <w:rFonts w:eastAsia="Calibri"/>
          <w:b/>
          <w:sz w:val="26"/>
          <w:szCs w:val="26"/>
        </w:rPr>
        <w:t>Presupuestos cerrados</w:t>
      </w:r>
    </w:p>
    <w:p w14:paraId="262E44BF" w14:textId="77777777" w:rsidR="005749C5" w:rsidRPr="00E34448"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9647E9">
        <w:rPr>
          <w:i/>
          <w:szCs w:val="26"/>
        </w:rPr>
        <w:t>Analizar</w:t>
      </w:r>
      <w:r w:rsidR="005749C5" w:rsidRPr="00E34448">
        <w:rPr>
          <w:rFonts w:eastAsia="Calibri"/>
          <w:i/>
          <w:szCs w:val="26"/>
          <w:lang w:eastAsia="es-ES"/>
        </w:rPr>
        <w:t xml:space="preserve"> y depurar los gastos e ingresos de ejercicios cerrados, evaluando su posibilidad de cobro o exigibilidad de pago en función de su antigüedad y prescripción, elaborando la relación nominal de deudores y acreedores que soporte los saldos pendientes.</w:t>
      </w:r>
      <w:r w:rsidR="005749C5">
        <w:rPr>
          <w:rFonts w:eastAsia="Calibri"/>
          <w:i/>
          <w:szCs w:val="26"/>
          <w:lang w:eastAsia="es-ES"/>
        </w:rPr>
        <w:t xml:space="preserve"> </w:t>
      </w:r>
      <w:r w:rsidR="005749C5" w:rsidRPr="00E34448">
        <w:rPr>
          <w:rFonts w:eastAsia="Calibri"/>
          <w:i/>
          <w:szCs w:val="26"/>
          <w:lang w:eastAsia="es-ES"/>
        </w:rPr>
        <w:t>Realizar el seguimiento y control de los acreedores y deudores de presupuestos cerrados.</w:t>
      </w:r>
    </w:p>
    <w:p w14:paraId="58102BBA" w14:textId="77777777" w:rsidR="005749C5" w:rsidRDefault="005749C5"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Esta recomendación ha sido aplicada parcialmente, ya que d</w:t>
      </w:r>
      <w:r w:rsidRPr="00B76D13">
        <w:rPr>
          <w:szCs w:val="26"/>
        </w:rPr>
        <w:t xml:space="preserve">e las verificaciones realizadas, </w:t>
      </w:r>
      <w:r>
        <w:rPr>
          <w:szCs w:val="26"/>
        </w:rPr>
        <w:t xml:space="preserve">si bien hemos observado </w:t>
      </w:r>
      <w:r w:rsidRPr="00B76D13">
        <w:rPr>
          <w:szCs w:val="26"/>
        </w:rPr>
        <w:t xml:space="preserve">que se han </w:t>
      </w:r>
      <w:r>
        <w:rPr>
          <w:szCs w:val="26"/>
        </w:rPr>
        <w:t xml:space="preserve">ido </w:t>
      </w:r>
      <w:r w:rsidRPr="00B76D13">
        <w:rPr>
          <w:szCs w:val="26"/>
        </w:rPr>
        <w:t>depura</w:t>
      </w:r>
      <w:r>
        <w:rPr>
          <w:szCs w:val="26"/>
        </w:rPr>
        <w:t>n</w:t>
      </w:r>
      <w:r w:rsidRPr="00B76D13">
        <w:rPr>
          <w:szCs w:val="26"/>
        </w:rPr>
        <w:t>do</w:t>
      </w:r>
      <w:r>
        <w:rPr>
          <w:szCs w:val="26"/>
        </w:rPr>
        <w:t xml:space="preserve"> saldos de ejercicios cerrados en relación a la situación detectada en nuestra fiscalización anterior, indicamos que al cierre del ejercicio 2019 el saldo de deudores es de 182.055 euros, de los que:</w:t>
      </w:r>
    </w:p>
    <w:p w14:paraId="7F6A5E53" w14:textId="77777777" w:rsidR="005749C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a) </w:t>
      </w:r>
      <w:r w:rsidR="005749C5">
        <w:rPr>
          <w:szCs w:val="26"/>
        </w:rPr>
        <w:t xml:space="preserve">Un saldo acumulado por importe de </w:t>
      </w:r>
      <w:r w:rsidR="009647E9">
        <w:rPr>
          <w:szCs w:val="26"/>
        </w:rPr>
        <w:t>65.692 euros</w:t>
      </w:r>
      <w:r w:rsidR="005749C5">
        <w:rPr>
          <w:szCs w:val="26"/>
        </w:rPr>
        <w:t xml:space="preserve">, lo que representa el </w:t>
      </w:r>
      <w:r w:rsidR="009647E9">
        <w:rPr>
          <w:szCs w:val="26"/>
        </w:rPr>
        <w:t xml:space="preserve">36 </w:t>
      </w:r>
      <w:r w:rsidR="005749C5">
        <w:rPr>
          <w:szCs w:val="26"/>
        </w:rPr>
        <w:t xml:space="preserve">por ciento del total, </w:t>
      </w:r>
      <w:r w:rsidR="009647E9">
        <w:rPr>
          <w:szCs w:val="26"/>
        </w:rPr>
        <w:t>consta que se trasladan a la vía ejecutiva para su posterior intento de cobro.</w:t>
      </w:r>
    </w:p>
    <w:p w14:paraId="2EB19B9A" w14:textId="77777777" w:rsidR="005749C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 xml:space="preserve">b) </w:t>
      </w:r>
      <w:r w:rsidR="00AF0593">
        <w:rPr>
          <w:szCs w:val="26"/>
        </w:rPr>
        <w:t xml:space="preserve">Del </w:t>
      </w:r>
      <w:r w:rsidR="00FF133E">
        <w:rPr>
          <w:szCs w:val="26"/>
        </w:rPr>
        <w:t xml:space="preserve">resto, es decir 116.363 euros, lo que representa el 64 por ciento del total de la deuda, no consta la existencia de traslado por la vía legal correspondiente para su intento de cobro efectivo. De este importe, </w:t>
      </w:r>
      <w:r w:rsidR="005749C5">
        <w:rPr>
          <w:szCs w:val="26"/>
        </w:rPr>
        <w:t>los más significativos son los correspondientes a:</w:t>
      </w:r>
    </w:p>
    <w:p w14:paraId="6EAB29C0" w14:textId="77777777" w:rsidR="005749C5" w:rsidRPr="00DB1903" w:rsidRDefault="006C4E60"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F5513F">
        <w:rPr>
          <w:szCs w:val="26"/>
        </w:rPr>
        <w:t xml:space="preserve">- </w:t>
      </w:r>
      <w:r w:rsidR="005749C5" w:rsidRPr="00F5513F">
        <w:rPr>
          <w:szCs w:val="26"/>
        </w:rPr>
        <w:t>Suministro de electricidad a los consumidores d</w:t>
      </w:r>
      <w:r w:rsidR="00F5513F">
        <w:rPr>
          <w:szCs w:val="26"/>
        </w:rPr>
        <w:t>el municipio, por 47.086 euros, de los que según nuestra revisión h</w:t>
      </w:r>
      <w:r w:rsidR="005749C5" w:rsidRPr="00F5513F">
        <w:rPr>
          <w:szCs w:val="26"/>
        </w:rPr>
        <w:t>a</w:t>
      </w:r>
      <w:r w:rsidR="00FF133E" w:rsidRPr="00F5513F">
        <w:rPr>
          <w:szCs w:val="26"/>
        </w:rPr>
        <w:t>bría</w:t>
      </w:r>
      <w:r w:rsidR="005749C5" w:rsidRPr="00F5513F">
        <w:rPr>
          <w:szCs w:val="26"/>
        </w:rPr>
        <w:t xml:space="preserve"> prescrito un importe de 31.192 euros</w:t>
      </w:r>
      <w:r w:rsidR="00FF133E" w:rsidRPr="00F5513F">
        <w:rPr>
          <w:szCs w:val="26"/>
        </w:rPr>
        <w:t>.</w:t>
      </w:r>
      <w:r w:rsidR="00F5513F">
        <w:rPr>
          <w:szCs w:val="26"/>
        </w:rPr>
        <w:t xml:space="preserve"> A la fecha de redacción de este informe, el ayuntamiento nos comunica la adopción de una Resolución de Alcaldía de fecha 27 de abril, por la que se resuelve iniciar un proceso de comunicación fehaciente de las cantidades pendientes de abono y en la que se les otorga un plazo de un mes para su regularización, bajo apercibimiento que en caso contrario se procederá al inicio de la reclamación por vía judicial civil de las cant</w:t>
      </w:r>
      <w:r w:rsidR="00BE329D">
        <w:rPr>
          <w:szCs w:val="26"/>
        </w:rPr>
        <w:t>idades adeudadas.</w:t>
      </w:r>
    </w:p>
    <w:p w14:paraId="376D9D8A" w14:textId="77777777" w:rsidR="005749C5" w:rsidRPr="00DB1903" w:rsidRDefault="006C4E60"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lang w:eastAsia="es-ES"/>
        </w:rPr>
        <w:t xml:space="preserve">- </w:t>
      </w:r>
      <w:r w:rsidR="005749C5" w:rsidRPr="00DB1903">
        <w:rPr>
          <w:szCs w:val="26"/>
          <w:lang w:eastAsia="es-ES"/>
        </w:rPr>
        <w:t>Ingresos</w:t>
      </w:r>
      <w:r w:rsidR="005749C5" w:rsidRPr="00DB1903">
        <w:rPr>
          <w:szCs w:val="26"/>
        </w:rPr>
        <w:t xml:space="preserve"> pendientes de cobro por el alquiler del bar </w:t>
      </w:r>
      <w:proofErr w:type="spellStart"/>
      <w:r w:rsidR="005749C5" w:rsidRPr="00DB1903">
        <w:rPr>
          <w:szCs w:val="26"/>
        </w:rPr>
        <w:t>Xareta</w:t>
      </w:r>
      <w:proofErr w:type="spellEnd"/>
      <w:r w:rsidR="005749C5" w:rsidRPr="00DB1903">
        <w:rPr>
          <w:szCs w:val="26"/>
        </w:rPr>
        <w:t xml:space="preserve"> con una deud</w:t>
      </w:r>
      <w:r w:rsidR="00FF133E">
        <w:rPr>
          <w:szCs w:val="26"/>
        </w:rPr>
        <w:t xml:space="preserve">a total acumulada </w:t>
      </w:r>
      <w:r w:rsidR="00AF0593">
        <w:rPr>
          <w:szCs w:val="26"/>
        </w:rPr>
        <w:t xml:space="preserve">de </w:t>
      </w:r>
      <w:r w:rsidR="00FF133E">
        <w:rPr>
          <w:szCs w:val="26"/>
        </w:rPr>
        <w:t>45.718 euros</w:t>
      </w:r>
      <w:r w:rsidR="005749C5" w:rsidRPr="00946168">
        <w:rPr>
          <w:szCs w:val="26"/>
        </w:rPr>
        <w:t>. Destacamos tal y como hemos reflejado en otra parte</w:t>
      </w:r>
      <w:r w:rsidR="00FF133E">
        <w:rPr>
          <w:szCs w:val="26"/>
        </w:rPr>
        <w:t xml:space="preserve"> del informe, que una parte estaría </w:t>
      </w:r>
      <w:r w:rsidR="005749C5" w:rsidRPr="00946168">
        <w:rPr>
          <w:szCs w:val="26"/>
        </w:rPr>
        <w:t xml:space="preserve">prescrita </w:t>
      </w:r>
      <w:r w:rsidR="005749C5" w:rsidRPr="00DB1903">
        <w:rPr>
          <w:szCs w:val="26"/>
        </w:rPr>
        <w:t xml:space="preserve">y otra parte </w:t>
      </w:r>
      <w:r w:rsidR="005749C5">
        <w:rPr>
          <w:szCs w:val="26"/>
        </w:rPr>
        <w:t xml:space="preserve">no, </w:t>
      </w:r>
      <w:r w:rsidR="005615C3">
        <w:rPr>
          <w:szCs w:val="26"/>
        </w:rPr>
        <w:t>si bien en relación a ésta última consta el reciente ejercicio de las acciones legales correspondientes para evitar su pr</w:t>
      </w:r>
      <w:r w:rsidR="00466CEB">
        <w:rPr>
          <w:szCs w:val="26"/>
        </w:rPr>
        <w:t>escripción, como se ha comentado</w:t>
      </w:r>
      <w:r w:rsidR="005615C3">
        <w:rPr>
          <w:szCs w:val="26"/>
        </w:rPr>
        <w:t xml:space="preserve"> anteriormente.</w:t>
      </w:r>
    </w:p>
    <w:p w14:paraId="03419B77" w14:textId="77777777" w:rsidR="005749C5" w:rsidRPr="00E34448" w:rsidRDefault="005749C5"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lastRenderedPageBreak/>
        <w:t xml:space="preserve">No obstante lo anterior, entendemos que la recomendación ha sido </w:t>
      </w:r>
      <w:r w:rsidR="00AF0593">
        <w:rPr>
          <w:szCs w:val="26"/>
        </w:rPr>
        <w:t xml:space="preserve">total o sustancialmente </w:t>
      </w:r>
      <w:r>
        <w:rPr>
          <w:szCs w:val="26"/>
        </w:rPr>
        <w:t xml:space="preserve">aplicada en relación a los acreedores de presupuestos cerrados, ya que el saldo pendiente de pago es inmaterial. </w:t>
      </w:r>
    </w:p>
    <w:p w14:paraId="06F5E007" w14:textId="77777777" w:rsidR="005749C5" w:rsidRPr="00215AD2"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215AD2">
        <w:rPr>
          <w:rFonts w:eastAsia="Calibri"/>
          <w:i/>
          <w:szCs w:val="26"/>
          <w:lang w:eastAsia="es-ES"/>
        </w:rPr>
        <w:t>Realizar la gestión de cobro de los tributos y precios públicos pendientes, mediante el procedimiento de apremio exigiendo los recargos e intereses de demora correspondientes, evitando su prescripción</w:t>
      </w:r>
    </w:p>
    <w:p w14:paraId="21A01E13" w14:textId="77777777" w:rsidR="005749C5" w:rsidRDefault="005749C5"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sidRPr="00215AD2">
        <w:rPr>
          <w:rFonts w:eastAsia="Calibri"/>
          <w:szCs w:val="26"/>
          <w:lang w:eastAsia="es-ES"/>
        </w:rPr>
        <w:t xml:space="preserve">Esta recomendación ha sido aplicada parcialmente, ya que de nuestra revisión, hemos observado que </w:t>
      </w:r>
      <w:r>
        <w:rPr>
          <w:rFonts w:eastAsia="Calibri"/>
          <w:szCs w:val="26"/>
          <w:lang w:eastAsia="es-ES"/>
        </w:rPr>
        <w:t xml:space="preserve">si bien, los saldos </w:t>
      </w:r>
      <w:r w:rsidR="00B20C94">
        <w:rPr>
          <w:rFonts w:eastAsia="Calibri"/>
          <w:szCs w:val="26"/>
          <w:lang w:eastAsia="es-ES"/>
        </w:rPr>
        <w:t xml:space="preserve">de ingresos de naturaleza tributaria </w:t>
      </w:r>
      <w:r>
        <w:rPr>
          <w:rFonts w:eastAsia="Calibri"/>
          <w:szCs w:val="26"/>
          <w:lang w:eastAsia="es-ES"/>
        </w:rPr>
        <w:t xml:space="preserve">pendientes de cobro </w:t>
      </w:r>
      <w:r w:rsidR="00B20C94">
        <w:rPr>
          <w:rFonts w:eastAsia="Calibri"/>
          <w:szCs w:val="26"/>
          <w:lang w:eastAsia="es-ES"/>
        </w:rPr>
        <w:t xml:space="preserve">y </w:t>
      </w:r>
      <w:r>
        <w:rPr>
          <w:rFonts w:eastAsia="Calibri"/>
          <w:szCs w:val="26"/>
          <w:lang w:eastAsia="es-ES"/>
        </w:rPr>
        <w:t xml:space="preserve">no satisfechos en periodo voluntario, con carácter general se envían al cobro por la vía ejecutiva, quedan deudas </w:t>
      </w:r>
      <w:r w:rsidR="00B20C94">
        <w:rPr>
          <w:rFonts w:eastAsia="Calibri"/>
          <w:szCs w:val="26"/>
          <w:lang w:eastAsia="es-ES"/>
        </w:rPr>
        <w:t xml:space="preserve">de ingresos de derecho privado </w:t>
      </w:r>
      <w:r>
        <w:rPr>
          <w:rFonts w:eastAsia="Calibri"/>
          <w:szCs w:val="26"/>
          <w:lang w:eastAsia="es-ES"/>
        </w:rPr>
        <w:t>pe</w:t>
      </w:r>
      <w:r w:rsidR="00B20C94">
        <w:rPr>
          <w:rFonts w:eastAsia="Calibri"/>
          <w:szCs w:val="26"/>
          <w:lang w:eastAsia="es-ES"/>
        </w:rPr>
        <w:t>n</w:t>
      </w:r>
      <w:r w:rsidR="00466CEB">
        <w:rPr>
          <w:rFonts w:eastAsia="Calibri"/>
          <w:szCs w:val="26"/>
          <w:lang w:eastAsia="es-ES"/>
        </w:rPr>
        <w:t xml:space="preserve">dientes de ejercicios cerrados </w:t>
      </w:r>
      <w:r>
        <w:rPr>
          <w:rFonts w:eastAsia="Calibri"/>
          <w:szCs w:val="26"/>
          <w:lang w:eastAsia="es-ES"/>
        </w:rPr>
        <w:t xml:space="preserve">como se ha </w:t>
      </w:r>
      <w:r w:rsidR="00466CEB">
        <w:rPr>
          <w:rFonts w:eastAsia="Calibri"/>
          <w:szCs w:val="26"/>
          <w:lang w:eastAsia="es-ES"/>
        </w:rPr>
        <w:t xml:space="preserve">citado </w:t>
      </w:r>
      <w:r>
        <w:rPr>
          <w:rFonts w:eastAsia="Calibri"/>
          <w:szCs w:val="26"/>
          <w:lang w:eastAsia="es-ES"/>
        </w:rPr>
        <w:t xml:space="preserve">en el apartado anterior, en las que por un lado no consta la existencia de traslado de la deuda por la vía </w:t>
      </w:r>
      <w:r w:rsidR="00B20C94">
        <w:rPr>
          <w:rFonts w:eastAsia="Calibri"/>
          <w:szCs w:val="26"/>
          <w:lang w:eastAsia="es-ES"/>
        </w:rPr>
        <w:t>legal correspondiente</w:t>
      </w:r>
      <w:r>
        <w:rPr>
          <w:rFonts w:eastAsia="Calibri"/>
          <w:szCs w:val="26"/>
          <w:lang w:eastAsia="es-ES"/>
        </w:rPr>
        <w:t>, y por otra hemos constatado la existencia de deudas prescritas; prescripción que se hubiera evitado si el ayuntamiento hubiera llevado a cabo sus oportunas actuaciones.</w:t>
      </w:r>
    </w:p>
    <w:p w14:paraId="16AE8BD9" w14:textId="77777777" w:rsidR="005749C5" w:rsidRPr="00197EB1" w:rsidRDefault="005749C5" w:rsidP="005749C5">
      <w:pPr>
        <w:ind w:firstLine="0"/>
        <w:rPr>
          <w:rFonts w:eastAsia="Calibri"/>
          <w:b/>
          <w:sz w:val="26"/>
          <w:szCs w:val="26"/>
        </w:rPr>
      </w:pPr>
      <w:r w:rsidRPr="00197EB1">
        <w:rPr>
          <w:rFonts w:eastAsia="Calibri"/>
          <w:b/>
          <w:sz w:val="26"/>
          <w:szCs w:val="26"/>
        </w:rPr>
        <w:t>Tesorería</w:t>
      </w:r>
    </w:p>
    <w:p w14:paraId="4137BCF7" w14:textId="77777777" w:rsidR="005749C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CE27A2">
        <w:rPr>
          <w:rFonts w:eastAsia="Calibri"/>
          <w:szCs w:val="26"/>
          <w:lang w:eastAsia="es-ES"/>
        </w:rPr>
        <w:t>Exigir</w:t>
      </w:r>
      <w:r w:rsidR="005749C5" w:rsidRPr="00197EB1">
        <w:rPr>
          <w:rFonts w:eastAsia="Calibri"/>
          <w:i/>
          <w:szCs w:val="26"/>
          <w:lang w:eastAsia="es-ES"/>
        </w:rPr>
        <w:t xml:space="preserve"> la firma conjunta de varias personas, que estén en activo en el Ayuntamiento, para la disposición de fondos en las entidades financieras.</w:t>
      </w:r>
    </w:p>
    <w:p w14:paraId="1259299C" w14:textId="77777777" w:rsidR="005749C5" w:rsidRDefault="005749C5"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0502CB">
        <w:rPr>
          <w:szCs w:val="26"/>
        </w:rPr>
        <w:t>Esta recomendación ha sido aplicada parcialmente ya que</w:t>
      </w:r>
      <w:r>
        <w:rPr>
          <w:szCs w:val="26"/>
        </w:rPr>
        <w:t xml:space="preserve"> hemos verificado que si bien, ya no figura en las cuentas personal que no esté en activo en el Ayuntamiento, sigue sin exigirse la firma conjunta de varias personas para las transacciones de las cuentas bancarias.</w:t>
      </w:r>
    </w:p>
    <w:p w14:paraId="019E079D" w14:textId="77777777" w:rsidR="005749C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197EB1">
        <w:rPr>
          <w:rFonts w:eastAsia="Calibri"/>
          <w:i/>
          <w:szCs w:val="26"/>
          <w:lang w:eastAsia="es-ES"/>
        </w:rPr>
        <w:t>Reducir en la medida de lo posible el número de cuentas abiertas en las distintas entidades financieras.</w:t>
      </w:r>
    </w:p>
    <w:p w14:paraId="2696BF85" w14:textId="77777777" w:rsidR="005749C5" w:rsidRPr="005615C3"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5615C3">
        <w:rPr>
          <w:szCs w:val="26"/>
        </w:rPr>
        <w:t xml:space="preserve">Esta recomendación ha sido aplicada </w:t>
      </w:r>
      <w:r w:rsidR="005615C3" w:rsidRPr="005615C3">
        <w:rPr>
          <w:szCs w:val="26"/>
        </w:rPr>
        <w:t>parcialmente</w:t>
      </w:r>
      <w:r w:rsidRPr="005615C3">
        <w:rPr>
          <w:szCs w:val="26"/>
        </w:rPr>
        <w:t>, ya que hemos ver</w:t>
      </w:r>
      <w:r w:rsidR="003C0D5B" w:rsidRPr="005615C3">
        <w:rPr>
          <w:szCs w:val="26"/>
        </w:rPr>
        <w:t>ificado que se ha</w:t>
      </w:r>
      <w:r w:rsidR="005615C3" w:rsidRPr="005615C3">
        <w:rPr>
          <w:szCs w:val="26"/>
        </w:rPr>
        <w:t xml:space="preserve"> realizado un proceso de depuración y eliminación de ciertas cuentas, </w:t>
      </w:r>
      <w:r w:rsidRPr="005615C3">
        <w:rPr>
          <w:szCs w:val="26"/>
        </w:rPr>
        <w:t xml:space="preserve">disponiendo actualmente de </w:t>
      </w:r>
      <w:r w:rsidR="003C0D5B" w:rsidRPr="005615C3">
        <w:rPr>
          <w:szCs w:val="26"/>
        </w:rPr>
        <w:t xml:space="preserve">siete </w:t>
      </w:r>
      <w:r w:rsidRPr="005615C3">
        <w:rPr>
          <w:szCs w:val="26"/>
        </w:rPr>
        <w:t xml:space="preserve">cuentas bancarias repartidas en cuatro entidades financieras, si bien existen dos cuentas abiertas con movimientos poco significativos y que el ayuntamiento tiene previsto cancelar en breve. </w:t>
      </w:r>
    </w:p>
    <w:p w14:paraId="003E0E9D" w14:textId="77777777" w:rsidR="005749C5" w:rsidRPr="003C0D5B"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sidRPr="003C0D5B">
        <w:rPr>
          <w:szCs w:val="26"/>
        </w:rPr>
        <w:t>No obstante, indicamos que la titularidad de la cuenta bancaria con la que opera la sociedad municipal, debería figurar a nombre de la citada sociedad, en lugar del ayuntamiento como figura actualmente, por lo que sería recomendable su modificación.</w:t>
      </w:r>
    </w:p>
    <w:p w14:paraId="67C34BFA" w14:textId="77777777" w:rsidR="005749C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eastAsia="es-ES"/>
        </w:rPr>
      </w:pPr>
      <w:r w:rsidRPr="00F2040C">
        <w:rPr>
          <w:szCs w:val="26"/>
          <w:lang w:eastAsia="es-ES"/>
        </w:rPr>
        <w:t xml:space="preserve">• </w:t>
      </w:r>
      <w:r w:rsidR="005749C5" w:rsidRPr="00197EB1">
        <w:rPr>
          <w:rFonts w:eastAsia="Calibri"/>
          <w:i/>
          <w:szCs w:val="26"/>
          <w:lang w:eastAsia="es-ES"/>
        </w:rPr>
        <w:t>Realizar conciliaciones del saldo contable de tesorería con el saldo existente en las distintas entidades financieras.</w:t>
      </w:r>
    </w:p>
    <w:p w14:paraId="4A469B16" w14:textId="77777777" w:rsidR="00946168" w:rsidRDefault="005749C5" w:rsidP="003C0D5B">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Esta recomendación</w:t>
      </w:r>
      <w:r w:rsidR="00AF0593">
        <w:rPr>
          <w:szCs w:val="26"/>
        </w:rPr>
        <w:t xml:space="preserve"> ha sido aplicada parcialmente, ya que h</w:t>
      </w:r>
      <w:r>
        <w:rPr>
          <w:szCs w:val="26"/>
        </w:rPr>
        <w:t xml:space="preserve">emos procedido a la circularización con las distintas entidades financieras con las que trabaja el ayuntamiento, y hemos observado pequeñas diferencias no conciliadas </w:t>
      </w:r>
      <w:r w:rsidR="003C0D5B">
        <w:rPr>
          <w:szCs w:val="26"/>
        </w:rPr>
        <w:t xml:space="preserve">en </w:t>
      </w:r>
      <w:r w:rsidR="003C0D5B">
        <w:rPr>
          <w:szCs w:val="26"/>
        </w:rPr>
        <w:lastRenderedPageBreak/>
        <w:t xml:space="preserve">dos cuentas bancarias. Si bien son inmateriales, </w:t>
      </w:r>
      <w:r>
        <w:rPr>
          <w:szCs w:val="26"/>
        </w:rPr>
        <w:t>debieran estar docume</w:t>
      </w:r>
      <w:r w:rsidR="003C0D5B">
        <w:rPr>
          <w:szCs w:val="26"/>
        </w:rPr>
        <w:t>ntadas al cierre del ejercicio en la correspondiente conciliación bancaria.</w:t>
      </w:r>
    </w:p>
    <w:p w14:paraId="11B882B2" w14:textId="77777777" w:rsidR="005749C5" w:rsidRPr="00197EB1"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sidRPr="00F2040C">
        <w:rPr>
          <w:szCs w:val="26"/>
          <w:lang w:eastAsia="es-ES"/>
        </w:rPr>
        <w:t xml:space="preserve">• </w:t>
      </w:r>
      <w:r w:rsidR="005749C5" w:rsidRPr="00197EB1">
        <w:rPr>
          <w:rFonts w:eastAsia="Calibri"/>
          <w:i/>
          <w:szCs w:val="26"/>
          <w:lang w:eastAsia="es-ES"/>
        </w:rPr>
        <w:t>Emplear los créditos de tesorería para las finalidades establecidas de atender necesidades transitorias de tesorería</w:t>
      </w:r>
      <w:r w:rsidR="005749C5" w:rsidRPr="00197EB1">
        <w:rPr>
          <w:rFonts w:eastAsia="Calibri"/>
          <w:szCs w:val="26"/>
          <w:lang w:eastAsia="es-ES"/>
        </w:rPr>
        <w:t>.</w:t>
      </w:r>
    </w:p>
    <w:p w14:paraId="6E7AA91F" w14:textId="77777777" w:rsidR="005749C5" w:rsidRDefault="005749C5" w:rsidP="00CE27A2">
      <w:pPr>
        <w:pStyle w:val="texto"/>
        <w:tabs>
          <w:tab w:val="clear" w:pos="2835"/>
          <w:tab w:val="clear" w:pos="3969"/>
          <w:tab w:val="clear" w:pos="5103"/>
          <w:tab w:val="clear" w:pos="6237"/>
          <w:tab w:val="clear" w:pos="7371"/>
          <w:tab w:val="left" w:pos="480"/>
          <w:tab w:val="num" w:pos="720"/>
          <w:tab w:val="num" w:pos="1080"/>
          <w:tab w:val="num" w:pos="2760"/>
        </w:tabs>
        <w:spacing w:before="120" w:after="240"/>
        <w:ind w:firstLine="289"/>
        <w:rPr>
          <w:szCs w:val="26"/>
        </w:rPr>
      </w:pPr>
      <w:r w:rsidRPr="0036658E">
        <w:rPr>
          <w:szCs w:val="26"/>
        </w:rPr>
        <w:t xml:space="preserve">Esta recomendación carece de validez en la situación actual ya que actualmente el ayuntamiento </w:t>
      </w:r>
      <w:r>
        <w:rPr>
          <w:szCs w:val="26"/>
        </w:rPr>
        <w:t xml:space="preserve">no tiene deuda pendiente de préstamos bancarios, ni tampoco tiene ningún crédito concertado de tesorería. </w:t>
      </w:r>
    </w:p>
    <w:p w14:paraId="72B70EE2" w14:textId="77777777" w:rsidR="00C42002" w:rsidRPr="00FE7991" w:rsidRDefault="00C42002" w:rsidP="00C42002">
      <w:pPr>
        <w:pStyle w:val="atitulo2"/>
      </w:pPr>
      <w:bookmarkStart w:id="27" w:name="_Toc103773742"/>
      <w:r w:rsidRPr="00AF499C">
        <w:t>IV.</w:t>
      </w:r>
      <w:r>
        <w:t xml:space="preserve">2. Análisis y revisión del </w:t>
      </w:r>
      <w:r w:rsidRPr="00FE7991">
        <w:t xml:space="preserve">sistema de distribución y comercialización energética en </w:t>
      </w:r>
      <w:proofErr w:type="spellStart"/>
      <w:r w:rsidRPr="00FE7991">
        <w:t>Urdazubi</w:t>
      </w:r>
      <w:proofErr w:type="spellEnd"/>
      <w:r w:rsidRPr="00FE7991">
        <w:t>-Urdax</w:t>
      </w:r>
      <w:bookmarkEnd w:id="27"/>
    </w:p>
    <w:p w14:paraId="73C2E16B" w14:textId="77777777" w:rsidR="00C42002" w:rsidRDefault="006E1C97" w:rsidP="00E234E2">
      <w:pPr>
        <w:pStyle w:val="texto"/>
        <w:tabs>
          <w:tab w:val="clear" w:pos="2835"/>
          <w:tab w:val="clear" w:pos="3969"/>
          <w:tab w:val="clear" w:pos="5103"/>
          <w:tab w:val="clear" w:pos="6237"/>
          <w:tab w:val="clear" w:pos="7371"/>
          <w:tab w:val="left" w:pos="480"/>
          <w:tab w:val="num" w:pos="720"/>
          <w:tab w:val="num" w:pos="1080"/>
          <w:tab w:val="num" w:pos="2760"/>
        </w:tabs>
        <w:spacing w:before="120" w:after="120"/>
        <w:ind w:firstLine="289"/>
        <w:rPr>
          <w:szCs w:val="26"/>
        </w:rPr>
      </w:pPr>
      <w:r>
        <w:rPr>
          <w:szCs w:val="26"/>
        </w:rPr>
        <w:t xml:space="preserve">En el informe de julio de 2011 solo se hizo una recomendación en relación a la sociedad Elektra </w:t>
      </w:r>
      <w:proofErr w:type="spellStart"/>
      <w:r>
        <w:rPr>
          <w:szCs w:val="26"/>
        </w:rPr>
        <w:t>Urdazubi</w:t>
      </w:r>
      <w:proofErr w:type="spellEnd"/>
      <w:r>
        <w:rPr>
          <w:szCs w:val="26"/>
        </w:rPr>
        <w:t xml:space="preserve"> S.L. y era la necesidad de formulación y aprobación de sus cuentas; aspecto que ha sido revisado y analizado en el apartado IV.1 del informe. </w:t>
      </w:r>
    </w:p>
    <w:p w14:paraId="164EC6AD" w14:textId="77777777" w:rsidR="006E1C97" w:rsidRDefault="006E1C97" w:rsidP="00E234E2">
      <w:pPr>
        <w:pStyle w:val="texto"/>
        <w:tabs>
          <w:tab w:val="clear" w:pos="2835"/>
          <w:tab w:val="clear" w:pos="3969"/>
          <w:tab w:val="clear" w:pos="5103"/>
          <w:tab w:val="clear" w:pos="6237"/>
          <w:tab w:val="clear" w:pos="7371"/>
          <w:tab w:val="left" w:pos="480"/>
          <w:tab w:val="num" w:pos="720"/>
          <w:tab w:val="num" w:pos="1080"/>
          <w:tab w:val="num" w:pos="2760"/>
        </w:tabs>
        <w:spacing w:before="120" w:after="120"/>
        <w:ind w:firstLine="289"/>
        <w:rPr>
          <w:szCs w:val="26"/>
        </w:rPr>
      </w:pPr>
      <w:r>
        <w:rPr>
          <w:szCs w:val="26"/>
        </w:rPr>
        <w:t>En la medida que desde la citada fiscalización ha habido modificaciones del marco regulatorio energético, que han supuesto entre otras medidas</w:t>
      </w:r>
      <w:r w:rsidR="00466CEB">
        <w:rPr>
          <w:szCs w:val="26"/>
        </w:rPr>
        <w:t>,</w:t>
      </w:r>
      <w:r>
        <w:rPr>
          <w:szCs w:val="26"/>
        </w:rPr>
        <w:t xml:space="preserve"> la </w:t>
      </w:r>
      <w:r w:rsidR="00466CEB">
        <w:rPr>
          <w:szCs w:val="26"/>
        </w:rPr>
        <w:t xml:space="preserve">modificación del objeto social de la sociedad Elektra </w:t>
      </w:r>
      <w:proofErr w:type="spellStart"/>
      <w:r w:rsidR="00466CEB">
        <w:rPr>
          <w:szCs w:val="26"/>
        </w:rPr>
        <w:t>Urdazubi</w:t>
      </w:r>
      <w:proofErr w:type="spellEnd"/>
      <w:r w:rsidR="00466CEB">
        <w:rPr>
          <w:szCs w:val="26"/>
        </w:rPr>
        <w:t xml:space="preserve"> S.L. así como la </w:t>
      </w:r>
      <w:r>
        <w:rPr>
          <w:szCs w:val="26"/>
        </w:rPr>
        <w:t xml:space="preserve">creación de una nueva sociedad municipal Comercializadora </w:t>
      </w:r>
      <w:proofErr w:type="spellStart"/>
      <w:r>
        <w:rPr>
          <w:szCs w:val="26"/>
        </w:rPr>
        <w:t>Urdazubi</w:t>
      </w:r>
      <w:proofErr w:type="spellEnd"/>
      <w:r>
        <w:rPr>
          <w:szCs w:val="26"/>
        </w:rPr>
        <w:t xml:space="preserve"> S.L.</w:t>
      </w:r>
      <w:r w:rsidR="00DA1DD4">
        <w:rPr>
          <w:szCs w:val="26"/>
        </w:rPr>
        <w:t>,</w:t>
      </w:r>
      <w:r>
        <w:rPr>
          <w:szCs w:val="26"/>
        </w:rPr>
        <w:t xml:space="preserve"> y que </w:t>
      </w:r>
      <w:r w:rsidR="00EB5007">
        <w:rPr>
          <w:szCs w:val="26"/>
        </w:rPr>
        <w:t xml:space="preserve">hemos revisado </w:t>
      </w:r>
      <w:r>
        <w:rPr>
          <w:szCs w:val="26"/>
        </w:rPr>
        <w:t>aspectos relativos a los gastos e ingresos que genera esta actividad al intervenir el propio ayuntamiento, hemos considerado oportuno incluir un apartado específico que contemple de forma diferenciada el análisis del sistema de distribución y comercialización energética en el municipio, en vez de reflejarlo de forma dispersa a lo largo del informe.</w:t>
      </w:r>
      <w:r w:rsidR="00EB5007">
        <w:rPr>
          <w:szCs w:val="26"/>
        </w:rPr>
        <w:t xml:space="preserve"> </w:t>
      </w:r>
    </w:p>
    <w:p w14:paraId="6728979D" w14:textId="77777777" w:rsidR="006E1C97" w:rsidRDefault="00EB5007" w:rsidP="005D2B3A">
      <w:pPr>
        <w:pStyle w:val="texto"/>
        <w:tabs>
          <w:tab w:val="clear" w:pos="2835"/>
          <w:tab w:val="clear" w:pos="3969"/>
          <w:tab w:val="clear" w:pos="5103"/>
          <w:tab w:val="clear" w:pos="6237"/>
          <w:tab w:val="clear" w:pos="7371"/>
          <w:tab w:val="left" w:pos="480"/>
          <w:tab w:val="num" w:pos="720"/>
          <w:tab w:val="num" w:pos="1080"/>
          <w:tab w:val="num" w:pos="2760"/>
        </w:tabs>
        <w:spacing w:before="120" w:after="120"/>
        <w:ind w:firstLine="289"/>
        <w:rPr>
          <w:szCs w:val="26"/>
        </w:rPr>
      </w:pPr>
      <w:r>
        <w:rPr>
          <w:szCs w:val="26"/>
        </w:rPr>
        <w:t>Los resultados de nuestras verificaciones han sido los siguientes:</w:t>
      </w:r>
    </w:p>
    <w:p w14:paraId="1B4D47CA" w14:textId="77777777" w:rsidR="007C6B49" w:rsidRDefault="00E53AAC" w:rsidP="002D0837">
      <w:pPr>
        <w:pStyle w:val="texto"/>
        <w:tabs>
          <w:tab w:val="clear" w:pos="2835"/>
          <w:tab w:val="clear" w:pos="3969"/>
          <w:tab w:val="clear" w:pos="5103"/>
          <w:tab w:val="clear" w:pos="6237"/>
          <w:tab w:val="clear" w:pos="7371"/>
          <w:tab w:val="left" w:pos="480"/>
          <w:tab w:val="num" w:pos="720"/>
          <w:tab w:val="num" w:pos="1080"/>
          <w:tab w:val="num" w:pos="2760"/>
        </w:tabs>
        <w:spacing w:before="120" w:after="240"/>
        <w:ind w:firstLine="289"/>
        <w:rPr>
          <w:szCs w:val="26"/>
        </w:rPr>
      </w:pPr>
      <w:r>
        <w:rPr>
          <w:szCs w:val="26"/>
        </w:rPr>
        <w:t xml:space="preserve">a) </w:t>
      </w:r>
      <w:r w:rsidR="00C42002" w:rsidRPr="00EB5007">
        <w:rPr>
          <w:szCs w:val="26"/>
        </w:rPr>
        <w:t>Compras de electricidad</w:t>
      </w:r>
      <w:r w:rsidR="00C42002">
        <w:rPr>
          <w:szCs w:val="26"/>
        </w:rPr>
        <w:t xml:space="preserve">. </w:t>
      </w:r>
      <w:r w:rsidR="007C6B49">
        <w:rPr>
          <w:szCs w:val="26"/>
        </w:rPr>
        <w:t>El gasto en el periodo analizado ha sido el siguiente:</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096"/>
        <w:gridCol w:w="850"/>
        <w:gridCol w:w="851"/>
        <w:gridCol w:w="850"/>
      </w:tblGrid>
      <w:tr w:rsidR="00B9562C" w:rsidRPr="00CA043D" w14:paraId="65987180" w14:textId="77777777" w:rsidTr="006120D5">
        <w:trPr>
          <w:trHeight w:val="227"/>
        </w:trPr>
        <w:tc>
          <w:tcPr>
            <w:tcW w:w="6096" w:type="dxa"/>
            <w:tcBorders>
              <w:bottom w:val="single" w:sz="4" w:space="0" w:color="auto"/>
            </w:tcBorders>
            <w:shd w:val="clear" w:color="000000" w:fill="F8CBAD"/>
            <w:noWrap/>
            <w:vAlign w:val="bottom"/>
            <w:hideMark/>
          </w:tcPr>
          <w:p w14:paraId="7EC7DD7B" w14:textId="77777777" w:rsidR="00B9562C" w:rsidRPr="00CA043D" w:rsidRDefault="00B9562C" w:rsidP="00AB74FF">
            <w:pPr>
              <w:spacing w:after="0"/>
              <w:ind w:firstLine="0"/>
              <w:jc w:val="left"/>
              <w:rPr>
                <w:rFonts w:ascii="Arial" w:hAnsi="Arial" w:cs="Arial"/>
                <w:color w:val="000000"/>
                <w:sz w:val="18"/>
                <w:szCs w:val="18"/>
                <w:lang w:val="es-ES" w:eastAsia="es-ES"/>
              </w:rPr>
            </w:pPr>
            <w:r w:rsidRPr="00CA043D">
              <w:rPr>
                <w:rFonts w:ascii="Arial" w:hAnsi="Arial" w:cs="Arial"/>
                <w:color w:val="000000"/>
                <w:sz w:val="18"/>
                <w:szCs w:val="18"/>
                <w:lang w:val="es-ES" w:eastAsia="es-ES"/>
              </w:rPr>
              <w:t> </w:t>
            </w:r>
          </w:p>
        </w:tc>
        <w:tc>
          <w:tcPr>
            <w:tcW w:w="850" w:type="dxa"/>
            <w:tcBorders>
              <w:bottom w:val="single" w:sz="4" w:space="0" w:color="auto"/>
            </w:tcBorders>
            <w:shd w:val="clear" w:color="000000" w:fill="F8CBAD"/>
            <w:noWrap/>
            <w:vAlign w:val="bottom"/>
            <w:hideMark/>
          </w:tcPr>
          <w:p w14:paraId="5488B45D" w14:textId="77777777" w:rsidR="00B9562C" w:rsidRPr="00CA043D" w:rsidRDefault="00B9562C" w:rsidP="00AB74FF">
            <w:pPr>
              <w:spacing w:after="0"/>
              <w:ind w:firstLine="0"/>
              <w:jc w:val="right"/>
              <w:rPr>
                <w:rFonts w:ascii="Arial" w:hAnsi="Arial" w:cs="Arial"/>
                <w:color w:val="000000"/>
                <w:sz w:val="18"/>
                <w:szCs w:val="18"/>
                <w:lang w:val="es-ES" w:eastAsia="es-ES"/>
              </w:rPr>
            </w:pPr>
            <w:r w:rsidRPr="00CA043D">
              <w:rPr>
                <w:rFonts w:ascii="Arial" w:hAnsi="Arial" w:cs="Arial"/>
                <w:color w:val="000000"/>
                <w:sz w:val="18"/>
                <w:szCs w:val="18"/>
                <w:lang w:val="es-ES" w:eastAsia="es-ES"/>
              </w:rPr>
              <w:t>2018</w:t>
            </w:r>
          </w:p>
        </w:tc>
        <w:tc>
          <w:tcPr>
            <w:tcW w:w="851" w:type="dxa"/>
            <w:tcBorders>
              <w:bottom w:val="single" w:sz="4" w:space="0" w:color="auto"/>
            </w:tcBorders>
            <w:shd w:val="clear" w:color="000000" w:fill="F8CBAD"/>
            <w:noWrap/>
            <w:vAlign w:val="bottom"/>
            <w:hideMark/>
          </w:tcPr>
          <w:p w14:paraId="1B7C3738" w14:textId="77777777" w:rsidR="00B9562C" w:rsidRPr="00CA043D" w:rsidRDefault="00B9562C" w:rsidP="00AB74FF">
            <w:pPr>
              <w:spacing w:after="0"/>
              <w:ind w:firstLine="0"/>
              <w:jc w:val="right"/>
              <w:rPr>
                <w:rFonts w:ascii="Arial" w:hAnsi="Arial" w:cs="Arial"/>
                <w:color w:val="000000"/>
                <w:sz w:val="18"/>
                <w:szCs w:val="18"/>
                <w:lang w:val="es-ES" w:eastAsia="es-ES"/>
              </w:rPr>
            </w:pPr>
            <w:r w:rsidRPr="00CA043D">
              <w:rPr>
                <w:rFonts w:ascii="Arial" w:hAnsi="Arial" w:cs="Arial"/>
                <w:color w:val="000000"/>
                <w:sz w:val="18"/>
                <w:szCs w:val="18"/>
                <w:lang w:val="es-ES" w:eastAsia="es-ES"/>
              </w:rPr>
              <w:t>2019</w:t>
            </w:r>
          </w:p>
        </w:tc>
        <w:tc>
          <w:tcPr>
            <w:tcW w:w="850" w:type="dxa"/>
            <w:tcBorders>
              <w:bottom w:val="single" w:sz="4" w:space="0" w:color="auto"/>
            </w:tcBorders>
            <w:shd w:val="clear" w:color="000000" w:fill="F8CBAD"/>
            <w:noWrap/>
            <w:vAlign w:val="bottom"/>
            <w:hideMark/>
          </w:tcPr>
          <w:p w14:paraId="075F143F" w14:textId="77777777" w:rsidR="00B9562C" w:rsidRPr="00CA043D" w:rsidRDefault="00B9562C" w:rsidP="00AB74FF">
            <w:pPr>
              <w:spacing w:after="0"/>
              <w:ind w:firstLine="0"/>
              <w:jc w:val="right"/>
              <w:rPr>
                <w:rFonts w:ascii="Arial" w:hAnsi="Arial" w:cs="Arial"/>
                <w:color w:val="000000"/>
                <w:sz w:val="18"/>
                <w:szCs w:val="18"/>
                <w:lang w:val="es-ES" w:eastAsia="es-ES"/>
              </w:rPr>
            </w:pPr>
            <w:r w:rsidRPr="00CA043D">
              <w:rPr>
                <w:rFonts w:ascii="Arial" w:hAnsi="Arial" w:cs="Arial"/>
                <w:color w:val="000000"/>
                <w:sz w:val="18"/>
                <w:szCs w:val="18"/>
                <w:lang w:val="es-ES" w:eastAsia="es-ES"/>
              </w:rPr>
              <w:t>2020</w:t>
            </w:r>
          </w:p>
        </w:tc>
      </w:tr>
      <w:tr w:rsidR="00B9562C" w:rsidRPr="00F44A1A" w14:paraId="650AC1B0" w14:textId="77777777" w:rsidTr="006120D5">
        <w:trPr>
          <w:trHeight w:val="198"/>
        </w:trPr>
        <w:tc>
          <w:tcPr>
            <w:tcW w:w="6096" w:type="dxa"/>
            <w:tcBorders>
              <w:top w:val="single" w:sz="2" w:space="0" w:color="auto"/>
              <w:bottom w:val="single" w:sz="2" w:space="0" w:color="auto"/>
            </w:tcBorders>
            <w:shd w:val="clear" w:color="auto" w:fill="auto"/>
            <w:noWrap/>
            <w:vAlign w:val="bottom"/>
          </w:tcPr>
          <w:p w14:paraId="244739AE" w14:textId="77777777" w:rsidR="00B9562C" w:rsidRPr="00020C75" w:rsidRDefault="00B9562C" w:rsidP="00AB74FF">
            <w:pPr>
              <w:spacing w:after="0"/>
              <w:ind w:firstLine="0"/>
              <w:jc w:val="left"/>
              <w:rPr>
                <w:rFonts w:ascii="Arial Narrow" w:hAnsi="Arial Narrow" w:cstheme="minorHAnsi"/>
                <w:lang w:val="es-ES" w:eastAsia="es-ES"/>
              </w:rPr>
            </w:pPr>
            <w:r w:rsidRPr="00020C75">
              <w:rPr>
                <w:rFonts w:ascii="Arial Narrow" w:hAnsi="Arial Narrow" w:cstheme="minorHAnsi"/>
                <w:lang w:val="es-ES" w:eastAsia="es-ES"/>
              </w:rPr>
              <w:t>Compra de energía eléctrica</w:t>
            </w:r>
          </w:p>
        </w:tc>
        <w:tc>
          <w:tcPr>
            <w:tcW w:w="850" w:type="dxa"/>
            <w:tcBorders>
              <w:top w:val="single" w:sz="2" w:space="0" w:color="auto"/>
              <w:bottom w:val="single" w:sz="2" w:space="0" w:color="auto"/>
            </w:tcBorders>
            <w:shd w:val="clear" w:color="auto" w:fill="auto"/>
            <w:noWrap/>
            <w:vAlign w:val="bottom"/>
          </w:tcPr>
          <w:p w14:paraId="5B7C9D8E" w14:textId="77777777" w:rsidR="00B9562C" w:rsidRPr="00020C75" w:rsidRDefault="00B9562C" w:rsidP="00AB74FF">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447.911</w:t>
            </w:r>
          </w:p>
        </w:tc>
        <w:tc>
          <w:tcPr>
            <w:tcW w:w="851" w:type="dxa"/>
            <w:tcBorders>
              <w:top w:val="single" w:sz="2" w:space="0" w:color="auto"/>
              <w:bottom w:val="single" w:sz="2" w:space="0" w:color="auto"/>
            </w:tcBorders>
            <w:shd w:val="clear" w:color="auto" w:fill="auto"/>
            <w:noWrap/>
            <w:vAlign w:val="bottom"/>
          </w:tcPr>
          <w:p w14:paraId="56B52627" w14:textId="77777777" w:rsidR="00B9562C" w:rsidRPr="00020C75" w:rsidRDefault="00B9562C" w:rsidP="00AB74FF">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613.768</w:t>
            </w:r>
          </w:p>
        </w:tc>
        <w:tc>
          <w:tcPr>
            <w:tcW w:w="850" w:type="dxa"/>
            <w:tcBorders>
              <w:top w:val="single" w:sz="2" w:space="0" w:color="auto"/>
              <w:bottom w:val="single" w:sz="2" w:space="0" w:color="auto"/>
            </w:tcBorders>
            <w:shd w:val="clear" w:color="auto" w:fill="auto"/>
            <w:noWrap/>
            <w:vAlign w:val="bottom"/>
          </w:tcPr>
          <w:p w14:paraId="7E8590A3" w14:textId="77777777" w:rsidR="00B9562C" w:rsidRPr="00020C75" w:rsidRDefault="00B9562C" w:rsidP="00AB74FF">
            <w:pPr>
              <w:spacing w:after="0"/>
              <w:ind w:firstLine="0"/>
              <w:jc w:val="right"/>
              <w:rPr>
                <w:rFonts w:ascii="Arial Narrow" w:hAnsi="Arial Narrow" w:cs="Calibri"/>
                <w:color w:val="000000"/>
                <w:lang w:val="es-ES" w:eastAsia="es-ES"/>
              </w:rPr>
            </w:pPr>
            <w:r w:rsidRPr="00020C75">
              <w:rPr>
                <w:rFonts w:ascii="Arial Narrow" w:hAnsi="Arial Narrow" w:cs="Calibri"/>
                <w:color w:val="000000"/>
                <w:lang w:val="es-ES" w:eastAsia="es-ES"/>
              </w:rPr>
              <w:t>562.457</w:t>
            </w:r>
          </w:p>
        </w:tc>
      </w:tr>
    </w:tbl>
    <w:p w14:paraId="68B55C2B" w14:textId="77777777" w:rsidR="00C42002" w:rsidRDefault="00C42002" w:rsidP="005D2B3A">
      <w:pPr>
        <w:pStyle w:val="texto"/>
        <w:tabs>
          <w:tab w:val="clear" w:pos="2835"/>
          <w:tab w:val="clear" w:pos="3969"/>
          <w:tab w:val="clear" w:pos="5103"/>
          <w:tab w:val="clear" w:pos="6237"/>
          <w:tab w:val="clear" w:pos="7371"/>
          <w:tab w:val="left" w:pos="480"/>
          <w:tab w:val="num" w:pos="720"/>
          <w:tab w:val="num" w:pos="1080"/>
          <w:tab w:val="num" w:pos="2760"/>
        </w:tabs>
        <w:spacing w:before="120" w:after="120"/>
        <w:ind w:firstLine="289"/>
        <w:rPr>
          <w:szCs w:val="26"/>
        </w:rPr>
      </w:pPr>
      <w:r>
        <w:rPr>
          <w:szCs w:val="26"/>
        </w:rPr>
        <w:t xml:space="preserve">A este respecto, </w:t>
      </w:r>
      <w:r w:rsidRPr="00500DBD">
        <w:rPr>
          <w:szCs w:val="26"/>
        </w:rPr>
        <w:t>indicamos</w:t>
      </w:r>
      <w:r>
        <w:rPr>
          <w:szCs w:val="26"/>
        </w:rPr>
        <w:t xml:space="preserve"> lo siguiente:</w:t>
      </w:r>
    </w:p>
    <w:p w14:paraId="109DD8A8" w14:textId="77777777" w:rsidR="007C6B49" w:rsidRDefault="00C42002" w:rsidP="00E234E2">
      <w:pPr>
        <w:pStyle w:val="texto"/>
        <w:tabs>
          <w:tab w:val="clear" w:pos="2835"/>
          <w:tab w:val="clear" w:pos="3969"/>
          <w:tab w:val="clear" w:pos="5103"/>
          <w:tab w:val="clear" w:pos="6237"/>
          <w:tab w:val="clear" w:pos="7371"/>
          <w:tab w:val="left" w:pos="480"/>
          <w:tab w:val="num" w:pos="720"/>
          <w:tab w:val="num" w:pos="1080"/>
          <w:tab w:val="num" w:pos="2760"/>
        </w:tabs>
        <w:spacing w:after="80"/>
        <w:ind w:firstLine="289"/>
        <w:rPr>
          <w:szCs w:val="26"/>
          <w:lang w:eastAsia="es-ES"/>
        </w:rPr>
      </w:pPr>
      <w:r w:rsidRPr="00F2040C">
        <w:rPr>
          <w:szCs w:val="26"/>
          <w:lang w:eastAsia="es-ES"/>
        </w:rPr>
        <w:t xml:space="preserve">• </w:t>
      </w:r>
      <w:r w:rsidR="00EB5007">
        <w:rPr>
          <w:szCs w:val="26"/>
          <w:lang w:eastAsia="es-ES"/>
        </w:rPr>
        <w:t>La vigente Ley 24/2013, de 26 de diciembre, del Sector Eléctrico al regular la ordenación del suministro de energía eléctrica, y en concreto a los sujetos que operan en el sistema, establece que son las sociedades mercantiles los comercializadores del sistema</w:t>
      </w:r>
      <w:r w:rsidR="007C6B49">
        <w:rPr>
          <w:szCs w:val="26"/>
          <w:lang w:eastAsia="es-ES"/>
        </w:rPr>
        <w:t>, siendo los comercializadores los que tienen atribuidas, la función de adquisición de la energía para su posterior venta. Esta función, como se ha reflejado en el apa</w:t>
      </w:r>
      <w:r w:rsidR="00287455">
        <w:rPr>
          <w:szCs w:val="26"/>
          <w:lang w:eastAsia="es-ES"/>
        </w:rPr>
        <w:t>rtado II.2 de nuestro informe, se</w:t>
      </w:r>
      <w:r w:rsidR="007C6B49">
        <w:rPr>
          <w:szCs w:val="26"/>
          <w:lang w:eastAsia="es-ES"/>
        </w:rPr>
        <w:t xml:space="preserve"> está llevando a cabo </w:t>
      </w:r>
      <w:r w:rsidR="00287455">
        <w:rPr>
          <w:szCs w:val="26"/>
          <w:lang w:eastAsia="es-ES"/>
        </w:rPr>
        <w:t xml:space="preserve">por </w:t>
      </w:r>
      <w:r w:rsidR="007C6B49">
        <w:rPr>
          <w:szCs w:val="26"/>
          <w:lang w:eastAsia="es-ES"/>
        </w:rPr>
        <w:t>el propio ayuntamiento, integrando tanto el gasto por compra de energía como la posterior venta a los consumidores finales en el presupuesto municipal.</w:t>
      </w:r>
    </w:p>
    <w:p w14:paraId="128D6240" w14:textId="77777777" w:rsidR="00E234E2" w:rsidRDefault="00E234E2" w:rsidP="00E234E2">
      <w:pPr>
        <w:pStyle w:val="texto"/>
        <w:tabs>
          <w:tab w:val="clear" w:pos="2835"/>
          <w:tab w:val="clear" w:pos="3969"/>
          <w:tab w:val="clear" w:pos="5103"/>
          <w:tab w:val="clear" w:pos="6237"/>
          <w:tab w:val="clear" w:pos="7371"/>
          <w:tab w:val="left" w:pos="480"/>
          <w:tab w:val="num" w:pos="720"/>
          <w:tab w:val="num" w:pos="1080"/>
          <w:tab w:val="num" w:pos="2760"/>
        </w:tabs>
        <w:spacing w:after="80"/>
        <w:ind w:firstLine="289"/>
        <w:rPr>
          <w:szCs w:val="26"/>
          <w:lang w:eastAsia="es-ES"/>
        </w:rPr>
      </w:pPr>
    </w:p>
    <w:p w14:paraId="54FEF416" w14:textId="77777777" w:rsidR="005615C3" w:rsidRDefault="007C6B49" w:rsidP="005D2B3A">
      <w:pPr>
        <w:pStyle w:val="texto"/>
        <w:tabs>
          <w:tab w:val="clear" w:pos="2835"/>
          <w:tab w:val="clear" w:pos="3969"/>
          <w:tab w:val="clear" w:pos="5103"/>
          <w:tab w:val="clear" w:pos="6237"/>
          <w:tab w:val="clear" w:pos="7371"/>
          <w:tab w:val="left" w:pos="480"/>
          <w:tab w:val="num" w:pos="720"/>
          <w:tab w:val="num" w:pos="1080"/>
          <w:tab w:val="num" w:pos="2760"/>
        </w:tabs>
        <w:spacing w:after="80"/>
        <w:ind w:firstLine="289"/>
        <w:rPr>
          <w:rFonts w:eastAsia="Calibri"/>
          <w:szCs w:val="26"/>
          <w:lang w:eastAsia="es-ES"/>
        </w:rPr>
      </w:pPr>
      <w:r w:rsidRPr="00F2040C">
        <w:rPr>
          <w:szCs w:val="26"/>
          <w:lang w:eastAsia="es-ES"/>
        </w:rPr>
        <w:lastRenderedPageBreak/>
        <w:t xml:space="preserve">• </w:t>
      </w:r>
      <w:r>
        <w:rPr>
          <w:szCs w:val="26"/>
          <w:lang w:eastAsia="es-ES"/>
        </w:rPr>
        <w:t>Según información del Organismo Autónomo Hacienda Tributaria de Navarra, el a</w:t>
      </w:r>
      <w:r w:rsidR="00C42002" w:rsidRPr="00076CF1">
        <w:t>yuntamiento</w:t>
      </w:r>
      <w:r>
        <w:t xml:space="preserve"> </w:t>
      </w:r>
      <w:r w:rsidR="00C42002" w:rsidRPr="00076CF1">
        <w:t>no es titular de ningún Código de Identific</w:t>
      </w:r>
      <w:r w:rsidR="00C42002">
        <w:t xml:space="preserve">ación de la Electricidad (CIE) </w:t>
      </w:r>
      <w:r w:rsidR="00C42002" w:rsidRPr="00076CF1">
        <w:t>de los regulados en la Orden HAC/172/2021</w:t>
      </w:r>
      <w:r w:rsidR="00C42002">
        <w:rPr>
          <w:rStyle w:val="Refdenotaalpie"/>
        </w:rPr>
        <w:footnoteReference w:id="14"/>
      </w:r>
      <w:r w:rsidR="00C42002">
        <w:t xml:space="preserve">, </w:t>
      </w:r>
      <w:r w:rsidR="00C42002" w:rsidRPr="007C6B49">
        <w:t>lo cual implica que no puede realizar la actividad comercializadora.</w:t>
      </w:r>
      <w:r w:rsidR="005615C3" w:rsidRPr="005615C3">
        <w:rPr>
          <w:rFonts w:eastAsia="Calibri"/>
          <w:szCs w:val="26"/>
          <w:lang w:eastAsia="es-ES"/>
        </w:rPr>
        <w:t xml:space="preserve"> </w:t>
      </w:r>
      <w:r w:rsidR="005615C3">
        <w:rPr>
          <w:rFonts w:eastAsia="Calibri"/>
          <w:szCs w:val="26"/>
          <w:lang w:eastAsia="es-ES"/>
        </w:rPr>
        <w:t>Por otro lado, destacamos que e</w:t>
      </w:r>
      <w:r w:rsidR="005615C3" w:rsidRPr="0000379C">
        <w:rPr>
          <w:rFonts w:eastAsia="Calibri"/>
          <w:szCs w:val="26"/>
          <w:lang w:eastAsia="es-ES"/>
        </w:rPr>
        <w:t xml:space="preserve">l Ayuntamiento </w:t>
      </w:r>
      <w:r w:rsidR="005615C3">
        <w:rPr>
          <w:rFonts w:eastAsia="Calibri"/>
          <w:szCs w:val="26"/>
          <w:lang w:eastAsia="es-ES"/>
        </w:rPr>
        <w:t xml:space="preserve">está dado de </w:t>
      </w:r>
      <w:r w:rsidR="005615C3" w:rsidRPr="0000379C">
        <w:rPr>
          <w:rFonts w:eastAsia="Calibri"/>
          <w:szCs w:val="26"/>
          <w:lang w:eastAsia="es-ES"/>
        </w:rPr>
        <w:t xml:space="preserve">alta </w:t>
      </w:r>
      <w:r w:rsidR="005615C3">
        <w:rPr>
          <w:rFonts w:eastAsia="Calibri"/>
          <w:szCs w:val="26"/>
          <w:lang w:eastAsia="es-ES"/>
        </w:rPr>
        <w:t xml:space="preserve">en el </w:t>
      </w:r>
      <w:r w:rsidR="005615C3" w:rsidRPr="0000379C">
        <w:rPr>
          <w:rFonts w:eastAsia="Calibri"/>
          <w:szCs w:val="26"/>
          <w:lang w:eastAsia="es-ES"/>
        </w:rPr>
        <w:t xml:space="preserve">IAE </w:t>
      </w:r>
      <w:r w:rsidR="005615C3">
        <w:rPr>
          <w:rFonts w:eastAsia="Calibri"/>
          <w:szCs w:val="26"/>
          <w:lang w:eastAsia="es-ES"/>
        </w:rPr>
        <w:t xml:space="preserve">con el epígrafe </w:t>
      </w:r>
      <w:r w:rsidR="005615C3" w:rsidRPr="0000379C">
        <w:rPr>
          <w:rFonts w:eastAsia="Calibri"/>
          <w:szCs w:val="26"/>
          <w:lang w:eastAsia="es-ES"/>
        </w:rPr>
        <w:t xml:space="preserve">de Transporte y Distribución de Electricidad, </w:t>
      </w:r>
      <w:r w:rsidR="005615C3">
        <w:rPr>
          <w:rFonts w:eastAsia="Calibri"/>
          <w:szCs w:val="26"/>
          <w:lang w:eastAsia="es-ES"/>
        </w:rPr>
        <w:t xml:space="preserve">actividad que corresponde a la sociedad Elektra </w:t>
      </w:r>
      <w:proofErr w:type="spellStart"/>
      <w:r w:rsidR="005615C3">
        <w:rPr>
          <w:rFonts w:eastAsia="Calibri"/>
          <w:szCs w:val="26"/>
          <w:lang w:eastAsia="es-ES"/>
        </w:rPr>
        <w:t>Urdazubi</w:t>
      </w:r>
      <w:proofErr w:type="spellEnd"/>
      <w:r w:rsidR="005615C3">
        <w:rPr>
          <w:rFonts w:eastAsia="Calibri"/>
          <w:szCs w:val="26"/>
          <w:lang w:eastAsia="es-ES"/>
        </w:rPr>
        <w:t xml:space="preserve"> S.L. por su objeto social.  </w:t>
      </w:r>
    </w:p>
    <w:p w14:paraId="53E6CABB" w14:textId="77777777" w:rsidR="00C42002" w:rsidRPr="00076CF1" w:rsidRDefault="00C42002" w:rsidP="00C42002">
      <w:pPr>
        <w:pStyle w:val="texto"/>
        <w:tabs>
          <w:tab w:val="clear" w:pos="2835"/>
          <w:tab w:val="clear" w:pos="3969"/>
          <w:tab w:val="clear" w:pos="5103"/>
          <w:tab w:val="clear" w:pos="6237"/>
          <w:tab w:val="clear" w:pos="7371"/>
          <w:tab w:val="left" w:pos="480"/>
          <w:tab w:val="num" w:pos="720"/>
          <w:tab w:val="num" w:pos="1080"/>
          <w:tab w:val="num" w:pos="2760"/>
        </w:tabs>
        <w:ind w:firstLine="290"/>
      </w:pPr>
      <w:r w:rsidRPr="00F2040C">
        <w:rPr>
          <w:szCs w:val="26"/>
          <w:lang w:eastAsia="es-ES"/>
        </w:rPr>
        <w:t>•</w:t>
      </w:r>
      <w:r>
        <w:rPr>
          <w:szCs w:val="26"/>
          <w:lang w:eastAsia="es-ES"/>
        </w:rPr>
        <w:t xml:space="preserve"> </w:t>
      </w:r>
      <w:r w:rsidRPr="00AB74FF">
        <w:rPr>
          <w:szCs w:val="26"/>
        </w:rPr>
        <w:t>La</w:t>
      </w:r>
      <w:r w:rsidRPr="00076CF1">
        <w:t xml:space="preserve"> sociedad Elektra </w:t>
      </w:r>
      <w:proofErr w:type="spellStart"/>
      <w:r w:rsidRPr="00076CF1">
        <w:t>Urdazubi</w:t>
      </w:r>
      <w:proofErr w:type="spellEnd"/>
      <w:r w:rsidRPr="00076CF1">
        <w:t xml:space="preserve"> S.L. dispone de un CIE como comercializador eléctrico. Esta asignación fiscal no se corresponde con su objeto social.</w:t>
      </w:r>
    </w:p>
    <w:p w14:paraId="57FC407F" w14:textId="77777777" w:rsidR="00B9562C" w:rsidRDefault="00C42002" w:rsidP="00B9562C">
      <w:pPr>
        <w:pStyle w:val="texto"/>
        <w:tabs>
          <w:tab w:val="clear" w:pos="2835"/>
          <w:tab w:val="clear" w:pos="3969"/>
          <w:tab w:val="clear" w:pos="5103"/>
          <w:tab w:val="clear" w:pos="6237"/>
          <w:tab w:val="clear" w:pos="7371"/>
          <w:tab w:val="left" w:pos="480"/>
          <w:tab w:val="num" w:pos="720"/>
          <w:tab w:val="num" w:pos="1080"/>
          <w:tab w:val="num" w:pos="2760"/>
        </w:tabs>
        <w:ind w:firstLine="290"/>
      </w:pPr>
      <w:r w:rsidRPr="00F2040C">
        <w:rPr>
          <w:szCs w:val="26"/>
          <w:lang w:eastAsia="es-ES"/>
        </w:rPr>
        <w:t xml:space="preserve">• </w:t>
      </w:r>
      <w:r w:rsidRPr="00076CF1">
        <w:t xml:space="preserve">La sociedad Comercializadora </w:t>
      </w:r>
      <w:proofErr w:type="spellStart"/>
      <w:r w:rsidRPr="00076CF1">
        <w:t>U</w:t>
      </w:r>
      <w:r w:rsidR="005615C3">
        <w:t>rdazubi</w:t>
      </w:r>
      <w:proofErr w:type="spellEnd"/>
      <w:r w:rsidR="005615C3">
        <w:t xml:space="preserve"> S.L.</w:t>
      </w:r>
      <w:r w:rsidRPr="00076CF1">
        <w:t xml:space="preserve"> no consta como titular de ningún CIE</w:t>
      </w:r>
      <w:r>
        <w:t>.</w:t>
      </w:r>
    </w:p>
    <w:p w14:paraId="03433CCE" w14:textId="77777777" w:rsidR="00B9562C" w:rsidRDefault="005615C3" w:rsidP="00E53AAC">
      <w:pPr>
        <w:pStyle w:val="texto"/>
        <w:tabs>
          <w:tab w:val="clear" w:pos="2835"/>
          <w:tab w:val="clear" w:pos="3969"/>
          <w:tab w:val="clear" w:pos="5103"/>
          <w:tab w:val="clear" w:pos="6237"/>
          <w:tab w:val="clear" w:pos="7371"/>
          <w:tab w:val="left" w:pos="480"/>
          <w:tab w:val="num" w:pos="720"/>
          <w:tab w:val="num" w:pos="1080"/>
          <w:tab w:val="num" w:pos="2760"/>
        </w:tabs>
        <w:ind w:firstLine="290"/>
      </w:pPr>
      <w:r>
        <w:t>b</w:t>
      </w:r>
      <w:r w:rsidR="00E53AAC">
        <w:t xml:space="preserve">) </w:t>
      </w:r>
      <w:r w:rsidR="00B9562C">
        <w:t>Ingresos por electricidad. La evolución de los ingresos en el periodo analizado es el siguiente:</w:t>
      </w:r>
    </w:p>
    <w:tbl>
      <w:tblPr>
        <w:tblW w:w="8647" w:type="dxa"/>
        <w:tblCellMar>
          <w:left w:w="70" w:type="dxa"/>
          <w:right w:w="70" w:type="dxa"/>
        </w:tblCellMar>
        <w:tblLook w:val="04A0" w:firstRow="1" w:lastRow="0" w:firstColumn="1" w:lastColumn="0" w:noHBand="0" w:noVBand="1"/>
      </w:tblPr>
      <w:tblGrid>
        <w:gridCol w:w="5954"/>
        <w:gridCol w:w="870"/>
        <w:gridCol w:w="973"/>
        <w:gridCol w:w="850"/>
      </w:tblGrid>
      <w:tr w:rsidR="00B9562C" w:rsidRPr="00FE7991" w14:paraId="3ED48E64" w14:textId="77777777" w:rsidTr="006C4E60">
        <w:trPr>
          <w:trHeight w:val="255"/>
        </w:trPr>
        <w:tc>
          <w:tcPr>
            <w:tcW w:w="5954" w:type="dxa"/>
            <w:tcBorders>
              <w:top w:val="single" w:sz="4" w:space="0" w:color="auto"/>
              <w:left w:val="nil"/>
              <w:bottom w:val="single" w:sz="4" w:space="0" w:color="auto"/>
              <w:right w:val="nil"/>
            </w:tcBorders>
            <w:shd w:val="clear" w:color="auto" w:fill="FABF8F" w:themeFill="accent6" w:themeFillTint="99"/>
            <w:noWrap/>
            <w:vAlign w:val="bottom"/>
            <w:hideMark/>
          </w:tcPr>
          <w:p w14:paraId="45805732" w14:textId="77777777" w:rsidR="00B9562C" w:rsidRPr="00FE7991" w:rsidRDefault="00B9562C" w:rsidP="00AB74FF">
            <w:pPr>
              <w:spacing w:after="0"/>
              <w:ind w:firstLine="0"/>
              <w:jc w:val="left"/>
              <w:rPr>
                <w:rFonts w:ascii="Arial" w:hAnsi="Arial" w:cs="Arial"/>
                <w:sz w:val="18"/>
                <w:szCs w:val="18"/>
                <w:lang w:val="es-ES" w:eastAsia="es-ES"/>
              </w:rPr>
            </w:pPr>
          </w:p>
        </w:tc>
        <w:tc>
          <w:tcPr>
            <w:tcW w:w="870" w:type="dxa"/>
            <w:tcBorders>
              <w:top w:val="single" w:sz="4" w:space="0" w:color="auto"/>
              <w:left w:val="nil"/>
              <w:bottom w:val="single" w:sz="4" w:space="0" w:color="auto"/>
              <w:right w:val="nil"/>
            </w:tcBorders>
            <w:shd w:val="clear" w:color="auto" w:fill="FABF8F" w:themeFill="accent6" w:themeFillTint="99"/>
            <w:noWrap/>
            <w:vAlign w:val="center"/>
            <w:hideMark/>
          </w:tcPr>
          <w:p w14:paraId="679DE105" w14:textId="77777777" w:rsidR="00B9562C" w:rsidRPr="00FE7991" w:rsidRDefault="00B9562C" w:rsidP="00AB74FF">
            <w:pPr>
              <w:spacing w:after="0"/>
              <w:ind w:firstLine="0"/>
              <w:jc w:val="right"/>
              <w:rPr>
                <w:rFonts w:ascii="Arial" w:hAnsi="Arial" w:cs="Arial"/>
                <w:color w:val="000000"/>
                <w:sz w:val="18"/>
                <w:szCs w:val="18"/>
                <w:lang w:val="es-ES" w:eastAsia="es-ES"/>
              </w:rPr>
            </w:pPr>
            <w:r w:rsidRPr="00FE7991">
              <w:rPr>
                <w:rFonts w:ascii="Arial" w:hAnsi="Arial" w:cs="Arial"/>
                <w:color w:val="000000"/>
                <w:sz w:val="18"/>
                <w:szCs w:val="18"/>
                <w:lang w:val="es-ES" w:eastAsia="es-ES"/>
              </w:rPr>
              <w:t>2018</w:t>
            </w:r>
          </w:p>
        </w:tc>
        <w:tc>
          <w:tcPr>
            <w:tcW w:w="973" w:type="dxa"/>
            <w:tcBorders>
              <w:top w:val="single" w:sz="4" w:space="0" w:color="auto"/>
              <w:left w:val="nil"/>
              <w:bottom w:val="single" w:sz="4" w:space="0" w:color="auto"/>
              <w:right w:val="nil"/>
            </w:tcBorders>
            <w:shd w:val="clear" w:color="auto" w:fill="FABF8F" w:themeFill="accent6" w:themeFillTint="99"/>
            <w:noWrap/>
            <w:vAlign w:val="center"/>
            <w:hideMark/>
          </w:tcPr>
          <w:p w14:paraId="2ECE7514" w14:textId="77777777" w:rsidR="00B9562C" w:rsidRPr="00FE7991" w:rsidRDefault="00B9562C" w:rsidP="00AB74FF">
            <w:pPr>
              <w:spacing w:after="0"/>
              <w:ind w:firstLine="0"/>
              <w:jc w:val="right"/>
              <w:rPr>
                <w:rFonts w:ascii="Arial" w:hAnsi="Arial" w:cs="Arial"/>
                <w:color w:val="000000"/>
                <w:sz w:val="18"/>
                <w:szCs w:val="18"/>
                <w:lang w:val="es-ES" w:eastAsia="es-ES"/>
              </w:rPr>
            </w:pPr>
            <w:r w:rsidRPr="00FE7991">
              <w:rPr>
                <w:rFonts w:ascii="Arial" w:hAnsi="Arial" w:cs="Arial"/>
                <w:color w:val="000000"/>
                <w:sz w:val="18"/>
                <w:szCs w:val="18"/>
                <w:lang w:val="es-ES" w:eastAsia="es-ES"/>
              </w:rPr>
              <w:t>2019</w:t>
            </w:r>
          </w:p>
        </w:tc>
        <w:tc>
          <w:tcPr>
            <w:tcW w:w="850" w:type="dxa"/>
            <w:tcBorders>
              <w:top w:val="single" w:sz="4" w:space="0" w:color="auto"/>
              <w:left w:val="nil"/>
              <w:bottom w:val="single" w:sz="4" w:space="0" w:color="auto"/>
              <w:right w:val="nil"/>
            </w:tcBorders>
            <w:shd w:val="clear" w:color="auto" w:fill="FABF8F" w:themeFill="accent6" w:themeFillTint="99"/>
            <w:noWrap/>
            <w:vAlign w:val="center"/>
            <w:hideMark/>
          </w:tcPr>
          <w:p w14:paraId="416E4832" w14:textId="77777777" w:rsidR="00B9562C" w:rsidRPr="00FE7991" w:rsidRDefault="00B9562C" w:rsidP="00AB74FF">
            <w:pPr>
              <w:spacing w:after="0"/>
              <w:ind w:firstLine="0"/>
              <w:jc w:val="right"/>
              <w:rPr>
                <w:rFonts w:ascii="Arial" w:hAnsi="Arial" w:cs="Arial"/>
                <w:color w:val="000000"/>
                <w:sz w:val="18"/>
                <w:szCs w:val="18"/>
                <w:lang w:val="es-ES" w:eastAsia="es-ES"/>
              </w:rPr>
            </w:pPr>
            <w:r w:rsidRPr="00FE7991">
              <w:rPr>
                <w:rFonts w:ascii="Arial" w:hAnsi="Arial" w:cs="Arial"/>
                <w:color w:val="000000"/>
                <w:sz w:val="18"/>
                <w:szCs w:val="18"/>
                <w:lang w:val="es-ES" w:eastAsia="es-ES"/>
              </w:rPr>
              <w:t>2020</w:t>
            </w:r>
          </w:p>
        </w:tc>
      </w:tr>
      <w:tr w:rsidR="00B9562C" w:rsidRPr="00FE7991" w14:paraId="12BDC9DC" w14:textId="77777777" w:rsidTr="006120D5">
        <w:trPr>
          <w:trHeight w:val="198"/>
        </w:trPr>
        <w:tc>
          <w:tcPr>
            <w:tcW w:w="5954" w:type="dxa"/>
            <w:tcBorders>
              <w:top w:val="single" w:sz="4" w:space="0" w:color="auto"/>
              <w:left w:val="nil"/>
              <w:bottom w:val="single" w:sz="4" w:space="0" w:color="auto"/>
              <w:right w:val="nil"/>
            </w:tcBorders>
            <w:shd w:val="clear" w:color="auto" w:fill="auto"/>
            <w:noWrap/>
            <w:vAlign w:val="center"/>
          </w:tcPr>
          <w:p w14:paraId="7B675F34" w14:textId="77777777" w:rsidR="00B9562C" w:rsidRPr="00FE7991" w:rsidRDefault="00B9562C" w:rsidP="00AB74FF">
            <w:pPr>
              <w:spacing w:after="0"/>
              <w:ind w:firstLine="0"/>
              <w:jc w:val="left"/>
              <w:rPr>
                <w:rFonts w:ascii="Arial Narrow" w:hAnsi="Arial Narrow" w:cs="Calibri"/>
                <w:lang w:val="es-ES" w:eastAsia="es-ES"/>
              </w:rPr>
            </w:pPr>
            <w:r>
              <w:rPr>
                <w:rFonts w:ascii="Arial Narrow" w:hAnsi="Arial Narrow" w:cs="Calibri"/>
                <w:lang w:val="es-ES" w:eastAsia="es-ES"/>
              </w:rPr>
              <w:t>Ingresos electricidad</w:t>
            </w:r>
          </w:p>
        </w:tc>
        <w:tc>
          <w:tcPr>
            <w:tcW w:w="870" w:type="dxa"/>
            <w:tcBorders>
              <w:top w:val="single" w:sz="4" w:space="0" w:color="auto"/>
              <w:left w:val="nil"/>
              <w:bottom w:val="single" w:sz="4" w:space="0" w:color="auto"/>
              <w:right w:val="nil"/>
            </w:tcBorders>
            <w:shd w:val="clear" w:color="auto" w:fill="auto"/>
            <w:noWrap/>
            <w:vAlign w:val="center"/>
          </w:tcPr>
          <w:p w14:paraId="47BC35AB" w14:textId="77777777" w:rsidR="00B9562C" w:rsidRPr="00FE7991" w:rsidRDefault="00B9562C" w:rsidP="00AB74FF">
            <w:pPr>
              <w:spacing w:after="0"/>
              <w:ind w:firstLine="0"/>
              <w:jc w:val="right"/>
              <w:rPr>
                <w:rFonts w:ascii="Arial Narrow" w:hAnsi="Arial Narrow" w:cs="Calibri"/>
                <w:lang w:val="es-ES" w:eastAsia="es-ES"/>
              </w:rPr>
            </w:pPr>
            <w:r>
              <w:rPr>
                <w:rFonts w:ascii="Arial Narrow" w:hAnsi="Arial Narrow" w:cs="Calibri"/>
                <w:lang w:val="es-ES" w:eastAsia="es-ES"/>
              </w:rPr>
              <w:t>1.172.303</w:t>
            </w:r>
          </w:p>
        </w:tc>
        <w:tc>
          <w:tcPr>
            <w:tcW w:w="973" w:type="dxa"/>
            <w:tcBorders>
              <w:top w:val="single" w:sz="4" w:space="0" w:color="auto"/>
              <w:left w:val="nil"/>
              <w:bottom w:val="single" w:sz="4" w:space="0" w:color="auto"/>
              <w:right w:val="nil"/>
            </w:tcBorders>
            <w:shd w:val="clear" w:color="auto" w:fill="auto"/>
            <w:noWrap/>
            <w:vAlign w:val="center"/>
          </w:tcPr>
          <w:p w14:paraId="1A63AAA1" w14:textId="77777777" w:rsidR="00B9562C" w:rsidRPr="00FE7991" w:rsidRDefault="00B9562C" w:rsidP="00AB74FF">
            <w:pPr>
              <w:spacing w:after="0"/>
              <w:ind w:firstLine="0"/>
              <w:jc w:val="right"/>
              <w:rPr>
                <w:rFonts w:ascii="Arial Narrow" w:hAnsi="Arial Narrow" w:cs="Calibri"/>
                <w:lang w:val="es-ES" w:eastAsia="es-ES"/>
              </w:rPr>
            </w:pPr>
            <w:r>
              <w:rPr>
                <w:rFonts w:ascii="Arial Narrow" w:hAnsi="Arial Narrow" w:cs="Calibri"/>
                <w:lang w:val="es-ES" w:eastAsia="es-ES"/>
              </w:rPr>
              <w:t>1.056.873</w:t>
            </w:r>
          </w:p>
        </w:tc>
        <w:tc>
          <w:tcPr>
            <w:tcW w:w="850" w:type="dxa"/>
            <w:tcBorders>
              <w:top w:val="single" w:sz="4" w:space="0" w:color="auto"/>
              <w:left w:val="nil"/>
              <w:bottom w:val="single" w:sz="4" w:space="0" w:color="auto"/>
              <w:right w:val="nil"/>
            </w:tcBorders>
            <w:shd w:val="clear" w:color="auto" w:fill="auto"/>
            <w:noWrap/>
            <w:vAlign w:val="center"/>
          </w:tcPr>
          <w:p w14:paraId="7C959D3B" w14:textId="77777777" w:rsidR="00B9562C" w:rsidRPr="00FE7991" w:rsidRDefault="00B9562C" w:rsidP="00AB74FF">
            <w:pPr>
              <w:spacing w:after="0"/>
              <w:ind w:firstLine="0"/>
              <w:jc w:val="right"/>
              <w:rPr>
                <w:rFonts w:ascii="Arial Narrow" w:hAnsi="Arial Narrow" w:cs="Calibri"/>
                <w:lang w:val="es-ES" w:eastAsia="es-ES"/>
              </w:rPr>
            </w:pPr>
            <w:r>
              <w:rPr>
                <w:rFonts w:ascii="Arial Narrow" w:hAnsi="Arial Narrow" w:cs="Calibri"/>
                <w:lang w:val="es-ES" w:eastAsia="es-ES"/>
              </w:rPr>
              <w:t>917.004</w:t>
            </w:r>
          </w:p>
        </w:tc>
      </w:tr>
    </w:tbl>
    <w:p w14:paraId="15F5C648" w14:textId="77777777" w:rsidR="00C42002" w:rsidRDefault="00B9562C" w:rsidP="00F16EB7">
      <w:pPr>
        <w:pStyle w:val="texto"/>
        <w:tabs>
          <w:tab w:val="clear" w:pos="2835"/>
          <w:tab w:val="clear" w:pos="3969"/>
          <w:tab w:val="clear" w:pos="5103"/>
          <w:tab w:val="clear" w:pos="6237"/>
          <w:tab w:val="clear" w:pos="7371"/>
          <w:tab w:val="left" w:pos="480"/>
          <w:tab w:val="num" w:pos="720"/>
          <w:tab w:val="num" w:pos="1080"/>
          <w:tab w:val="num" w:pos="2760"/>
        </w:tabs>
        <w:spacing w:before="240"/>
        <w:ind w:firstLine="289"/>
        <w:rPr>
          <w:rFonts w:eastAsia="Calibri"/>
          <w:szCs w:val="26"/>
          <w:lang w:eastAsia="es-ES"/>
        </w:rPr>
      </w:pPr>
      <w:r>
        <w:rPr>
          <w:rFonts w:eastAsia="Calibri"/>
          <w:szCs w:val="26"/>
          <w:lang w:eastAsia="es-ES"/>
        </w:rPr>
        <w:t>Al margen de verificar la aplicación del principio de devengo en la contabilización de los ingresos y que hemos analizado en el apartado IV.1 del informe, h</w:t>
      </w:r>
      <w:r w:rsidR="00C42002">
        <w:rPr>
          <w:rFonts w:eastAsia="Calibri"/>
          <w:szCs w:val="26"/>
          <w:lang w:eastAsia="es-ES"/>
        </w:rPr>
        <w:t>emos revisado el mecanismo de liquidación del Impuesto Especial sobre la Electricidad. La exacción de este impuesto se realiza apl</w:t>
      </w:r>
      <w:r w:rsidR="005615C3">
        <w:rPr>
          <w:rFonts w:eastAsia="Calibri"/>
          <w:szCs w:val="26"/>
          <w:lang w:eastAsia="es-ES"/>
        </w:rPr>
        <w:t>icando un tipo impositivo del 5,</w:t>
      </w:r>
      <w:r w:rsidR="00C42002">
        <w:rPr>
          <w:rFonts w:eastAsia="Calibri"/>
          <w:szCs w:val="26"/>
          <w:lang w:eastAsia="es-ES"/>
        </w:rPr>
        <w:t>113 por ciento</w:t>
      </w:r>
      <w:r w:rsidR="00C42002" w:rsidRPr="003E1D6C">
        <w:rPr>
          <w:rFonts w:eastAsia="Calibri"/>
          <w:szCs w:val="26"/>
          <w:lang w:eastAsia="es-ES"/>
        </w:rPr>
        <w:t xml:space="preserve"> </w:t>
      </w:r>
      <w:r w:rsidR="00C42002">
        <w:rPr>
          <w:rFonts w:eastAsia="Calibri"/>
          <w:szCs w:val="26"/>
          <w:lang w:eastAsia="es-ES"/>
        </w:rPr>
        <w:t xml:space="preserve">sobre </w:t>
      </w:r>
      <w:r w:rsidR="00C42002" w:rsidRPr="003E1D6C">
        <w:rPr>
          <w:rFonts w:eastAsia="Calibri"/>
          <w:szCs w:val="26"/>
          <w:lang w:eastAsia="es-ES"/>
        </w:rPr>
        <w:t>el término de potencia y de consumo</w:t>
      </w:r>
      <w:r w:rsidR="00C42002">
        <w:rPr>
          <w:rFonts w:eastAsia="Calibri"/>
          <w:szCs w:val="26"/>
          <w:lang w:eastAsia="es-ES"/>
        </w:rPr>
        <w:t xml:space="preserve"> que, cada usuario tiene contratado y que se refleja en cada factura.  Al no ser un impuesto municipal, debe ingresarse en la Hacienda Foral. </w:t>
      </w:r>
    </w:p>
    <w:p w14:paraId="10C464F7" w14:textId="77777777" w:rsidR="009049DF" w:rsidRDefault="00C42002" w:rsidP="005D2B3A">
      <w:pPr>
        <w:pStyle w:val="texto"/>
        <w:tabs>
          <w:tab w:val="clear" w:pos="2835"/>
          <w:tab w:val="clear" w:pos="3969"/>
          <w:tab w:val="clear" w:pos="5103"/>
          <w:tab w:val="clear" w:pos="6237"/>
          <w:tab w:val="clear" w:pos="7371"/>
          <w:tab w:val="left" w:pos="480"/>
          <w:tab w:val="num" w:pos="720"/>
          <w:tab w:val="num" w:pos="1080"/>
          <w:tab w:val="num" w:pos="2760"/>
        </w:tabs>
        <w:spacing w:after="80"/>
        <w:ind w:firstLine="289"/>
        <w:rPr>
          <w:rFonts w:eastAsia="Calibri"/>
          <w:szCs w:val="26"/>
          <w:lang w:eastAsia="es-ES"/>
        </w:rPr>
      </w:pPr>
      <w:r w:rsidRPr="00CE27A2">
        <w:rPr>
          <w:szCs w:val="26"/>
        </w:rPr>
        <w:t>De</w:t>
      </w:r>
      <w:r>
        <w:rPr>
          <w:rFonts w:eastAsia="Calibri"/>
          <w:szCs w:val="26"/>
          <w:lang w:eastAsia="es-ES"/>
        </w:rPr>
        <w:t xml:space="preserve"> la revisión realizada, hemos verificado que el </w:t>
      </w:r>
      <w:r w:rsidR="00B9562C">
        <w:rPr>
          <w:rFonts w:eastAsia="Calibri"/>
          <w:szCs w:val="26"/>
          <w:lang w:eastAsia="es-ES"/>
        </w:rPr>
        <w:t xml:space="preserve">cálculo para realizar la </w:t>
      </w:r>
      <w:r>
        <w:rPr>
          <w:rFonts w:eastAsia="Calibri"/>
          <w:szCs w:val="26"/>
          <w:lang w:eastAsia="es-ES"/>
        </w:rPr>
        <w:t xml:space="preserve">autoliquidación, no es correcto; extremo </w:t>
      </w:r>
      <w:r w:rsidR="00562A79">
        <w:rPr>
          <w:rFonts w:eastAsia="Calibri"/>
          <w:szCs w:val="26"/>
          <w:lang w:eastAsia="es-ES"/>
        </w:rPr>
        <w:t>e</w:t>
      </w:r>
      <w:r>
        <w:rPr>
          <w:rFonts w:eastAsia="Calibri"/>
          <w:szCs w:val="26"/>
          <w:lang w:eastAsia="es-ES"/>
        </w:rPr>
        <w:t>ste consultado y confirmado con el Organismo Autónomo Hacienda T</w:t>
      </w:r>
      <w:r w:rsidR="00B0701E">
        <w:rPr>
          <w:rFonts w:eastAsia="Calibri"/>
          <w:szCs w:val="26"/>
          <w:lang w:eastAsia="es-ES"/>
        </w:rPr>
        <w:t>ributaria de Navarra</w:t>
      </w:r>
      <w:r w:rsidR="00B9562C">
        <w:rPr>
          <w:rFonts w:eastAsia="Calibri"/>
          <w:szCs w:val="26"/>
          <w:lang w:eastAsia="es-ES"/>
        </w:rPr>
        <w:t xml:space="preserve">. </w:t>
      </w:r>
      <w:r>
        <w:rPr>
          <w:rFonts w:eastAsia="Calibri"/>
          <w:szCs w:val="26"/>
          <w:lang w:eastAsia="es-ES"/>
        </w:rPr>
        <w:t xml:space="preserve">El ayuntamiento autoliquida el impuesto y efectúa su correspondiente pago, no de acuerdo a los datos de facturación, sino aplicando el tipo impositivo citado anteriormente sobre el total del gasto de compra de electricidad. </w:t>
      </w:r>
    </w:p>
    <w:p w14:paraId="59622308" w14:textId="77777777" w:rsidR="00C50315" w:rsidRDefault="00C50315" w:rsidP="00C50315">
      <w:pPr>
        <w:pStyle w:val="texto"/>
        <w:tabs>
          <w:tab w:val="clear" w:pos="2835"/>
          <w:tab w:val="clear" w:pos="3969"/>
          <w:tab w:val="clear" w:pos="5103"/>
          <w:tab w:val="clear" w:pos="6237"/>
          <w:tab w:val="clear" w:pos="7371"/>
          <w:tab w:val="left" w:pos="480"/>
          <w:tab w:val="num" w:pos="720"/>
          <w:tab w:val="num" w:pos="1080"/>
          <w:tab w:val="num" w:pos="2760"/>
        </w:tabs>
        <w:spacing w:after="80"/>
        <w:rPr>
          <w:rFonts w:eastAsia="Calibri"/>
          <w:szCs w:val="26"/>
          <w:lang w:eastAsia="es-ES"/>
        </w:rPr>
      </w:pPr>
    </w:p>
    <w:p w14:paraId="24E6D8CD" w14:textId="77777777" w:rsidR="00E234E2" w:rsidRDefault="00E234E2">
      <w:pPr>
        <w:spacing w:after="0"/>
        <w:ind w:firstLine="0"/>
        <w:jc w:val="left"/>
        <w:rPr>
          <w:rFonts w:eastAsia="Calibri"/>
          <w:spacing w:val="6"/>
          <w:sz w:val="26"/>
          <w:szCs w:val="26"/>
          <w:lang w:eastAsia="es-ES"/>
        </w:rPr>
      </w:pPr>
      <w:r>
        <w:rPr>
          <w:rFonts w:eastAsia="Calibri"/>
          <w:szCs w:val="26"/>
          <w:lang w:eastAsia="es-ES"/>
        </w:rPr>
        <w:br w:type="page"/>
      </w:r>
    </w:p>
    <w:p w14:paraId="471803B8" w14:textId="77777777" w:rsidR="00C42002" w:rsidRDefault="00C42002" w:rsidP="0088579E">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eastAsia="es-ES"/>
        </w:rPr>
      </w:pPr>
      <w:r>
        <w:rPr>
          <w:rFonts w:eastAsia="Calibri"/>
          <w:szCs w:val="26"/>
          <w:lang w:eastAsia="es-ES"/>
        </w:rPr>
        <w:lastRenderedPageBreak/>
        <w:t>Los datos revisados en el ejercicio 2020, son los siguientes:</w:t>
      </w:r>
    </w:p>
    <w:tbl>
      <w:tblPr>
        <w:tblW w:w="8647"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655"/>
        <w:gridCol w:w="992"/>
      </w:tblGrid>
      <w:tr w:rsidR="00C42002" w:rsidRPr="005D2B3A" w14:paraId="1F685D65" w14:textId="77777777" w:rsidTr="00184297">
        <w:trPr>
          <w:trHeight w:val="255"/>
        </w:trPr>
        <w:tc>
          <w:tcPr>
            <w:tcW w:w="7655" w:type="dxa"/>
            <w:shd w:val="clear" w:color="000000" w:fill="F4B084"/>
            <w:noWrap/>
            <w:vAlign w:val="bottom"/>
            <w:hideMark/>
          </w:tcPr>
          <w:p w14:paraId="7F537C1D" w14:textId="77777777" w:rsidR="00C42002" w:rsidRPr="005D2B3A" w:rsidRDefault="00C42002" w:rsidP="00180C17">
            <w:pPr>
              <w:spacing w:after="0"/>
              <w:ind w:firstLine="0"/>
              <w:jc w:val="left"/>
              <w:rPr>
                <w:rFonts w:ascii="Arial" w:hAnsi="Arial" w:cs="Arial"/>
                <w:lang w:val="es-ES" w:eastAsia="es-ES"/>
              </w:rPr>
            </w:pPr>
            <w:r w:rsidRPr="005D2B3A">
              <w:rPr>
                <w:rFonts w:ascii="Arial" w:hAnsi="Arial" w:cs="Arial"/>
                <w:lang w:val="es-ES" w:eastAsia="es-ES"/>
              </w:rPr>
              <w:t>Impuesto facturado</w:t>
            </w:r>
          </w:p>
        </w:tc>
        <w:tc>
          <w:tcPr>
            <w:tcW w:w="992" w:type="dxa"/>
            <w:shd w:val="clear" w:color="000000" w:fill="F4B084"/>
            <w:noWrap/>
            <w:vAlign w:val="center"/>
            <w:hideMark/>
          </w:tcPr>
          <w:p w14:paraId="40CD4F4F" w14:textId="77777777" w:rsidR="00C42002" w:rsidRPr="005D2B3A" w:rsidRDefault="00C42002" w:rsidP="00180C17">
            <w:pPr>
              <w:spacing w:after="0"/>
              <w:ind w:firstLine="0"/>
              <w:jc w:val="right"/>
              <w:rPr>
                <w:rFonts w:ascii="Arial" w:hAnsi="Arial" w:cs="Arial"/>
                <w:color w:val="000000"/>
                <w:lang w:val="es-ES" w:eastAsia="es-ES"/>
              </w:rPr>
            </w:pPr>
            <w:r w:rsidRPr="005D2B3A">
              <w:rPr>
                <w:rFonts w:ascii="Arial" w:hAnsi="Arial" w:cs="Arial"/>
                <w:color w:val="000000"/>
                <w:lang w:val="es-ES" w:eastAsia="es-ES"/>
              </w:rPr>
              <w:t>45.268</w:t>
            </w:r>
          </w:p>
        </w:tc>
      </w:tr>
      <w:tr w:rsidR="00C42002" w:rsidRPr="00DF197E" w14:paraId="75474CAB" w14:textId="77777777" w:rsidTr="005D2B3A">
        <w:trPr>
          <w:trHeight w:val="255"/>
        </w:trPr>
        <w:tc>
          <w:tcPr>
            <w:tcW w:w="7655" w:type="dxa"/>
            <w:tcBorders>
              <w:bottom w:val="single" w:sz="4" w:space="0" w:color="auto"/>
            </w:tcBorders>
            <w:shd w:val="clear" w:color="auto" w:fill="FFFFFF" w:themeFill="background1"/>
            <w:noWrap/>
            <w:vAlign w:val="bottom"/>
            <w:hideMark/>
          </w:tcPr>
          <w:p w14:paraId="01D3C16A" w14:textId="77777777" w:rsidR="00C42002" w:rsidRPr="00CE27A2" w:rsidRDefault="00C42002" w:rsidP="00180C17">
            <w:pPr>
              <w:spacing w:after="0"/>
              <w:ind w:firstLine="0"/>
              <w:jc w:val="left"/>
              <w:rPr>
                <w:rFonts w:ascii="Arial" w:hAnsi="Arial" w:cs="Arial"/>
                <w:color w:val="000000"/>
                <w:sz w:val="18"/>
                <w:szCs w:val="18"/>
                <w:lang w:val="es-ES" w:eastAsia="es-ES"/>
              </w:rPr>
            </w:pPr>
            <w:r w:rsidRPr="00CE27A2">
              <w:rPr>
                <w:rFonts w:ascii="Arial" w:hAnsi="Arial" w:cs="Arial"/>
                <w:color w:val="000000"/>
                <w:sz w:val="18"/>
                <w:szCs w:val="18"/>
                <w:lang w:val="es-ES" w:eastAsia="es-ES"/>
              </w:rPr>
              <w:t>Impuesto autoliquidado (aplicado sobre el volumen trimestral de compras)</w:t>
            </w:r>
          </w:p>
        </w:tc>
        <w:tc>
          <w:tcPr>
            <w:tcW w:w="992" w:type="dxa"/>
            <w:tcBorders>
              <w:bottom w:val="single" w:sz="4" w:space="0" w:color="auto"/>
            </w:tcBorders>
            <w:shd w:val="clear" w:color="auto" w:fill="FFFFFF" w:themeFill="background1"/>
            <w:noWrap/>
            <w:vAlign w:val="bottom"/>
            <w:hideMark/>
          </w:tcPr>
          <w:p w14:paraId="33AFAB31" w14:textId="77777777" w:rsidR="00C42002" w:rsidRPr="00CE27A2" w:rsidRDefault="00C42002" w:rsidP="00180C17">
            <w:pPr>
              <w:spacing w:after="0"/>
              <w:ind w:firstLine="0"/>
              <w:jc w:val="left"/>
              <w:rPr>
                <w:rFonts w:ascii="Arial" w:hAnsi="Arial" w:cs="Arial"/>
                <w:color w:val="000000"/>
                <w:sz w:val="18"/>
                <w:szCs w:val="18"/>
                <w:lang w:val="es-ES" w:eastAsia="es-ES"/>
              </w:rPr>
            </w:pPr>
            <w:r w:rsidRPr="00CE27A2">
              <w:rPr>
                <w:rFonts w:ascii="Arial" w:hAnsi="Arial" w:cs="Arial"/>
                <w:color w:val="000000"/>
                <w:sz w:val="18"/>
                <w:szCs w:val="18"/>
                <w:lang w:val="es-ES" w:eastAsia="es-ES"/>
              </w:rPr>
              <w:t> </w:t>
            </w:r>
          </w:p>
        </w:tc>
      </w:tr>
      <w:tr w:rsidR="00C42002" w:rsidRPr="00DF197E" w14:paraId="0E62507E" w14:textId="77777777" w:rsidTr="00B9562C">
        <w:trPr>
          <w:trHeight w:val="198"/>
        </w:trPr>
        <w:tc>
          <w:tcPr>
            <w:tcW w:w="7655" w:type="dxa"/>
            <w:shd w:val="clear" w:color="auto" w:fill="auto"/>
            <w:noWrap/>
            <w:vAlign w:val="bottom"/>
            <w:hideMark/>
          </w:tcPr>
          <w:p w14:paraId="4B55331B" w14:textId="77777777" w:rsidR="00C42002" w:rsidRPr="00CE27A2" w:rsidRDefault="00C42002" w:rsidP="00180C17">
            <w:pPr>
              <w:spacing w:after="0"/>
              <w:ind w:firstLine="0"/>
              <w:jc w:val="left"/>
              <w:rPr>
                <w:rFonts w:ascii="Arial Narrow" w:hAnsi="Arial Narrow" w:cs="Calibri"/>
                <w:color w:val="000000"/>
                <w:lang w:val="es-ES" w:eastAsia="es-ES"/>
              </w:rPr>
            </w:pPr>
            <w:r w:rsidRPr="00CE27A2">
              <w:rPr>
                <w:rFonts w:ascii="Arial Narrow" w:hAnsi="Arial Narrow" w:cs="Calibri"/>
                <w:color w:val="000000"/>
                <w:lang w:val="es-ES" w:eastAsia="es-ES"/>
              </w:rPr>
              <w:t>Primer trimestre</w:t>
            </w:r>
          </w:p>
        </w:tc>
        <w:tc>
          <w:tcPr>
            <w:tcW w:w="992" w:type="dxa"/>
            <w:shd w:val="clear" w:color="auto" w:fill="auto"/>
            <w:noWrap/>
            <w:vAlign w:val="bottom"/>
          </w:tcPr>
          <w:p w14:paraId="1E967DBC" w14:textId="77777777" w:rsidR="00C42002" w:rsidRPr="00BF5C4D" w:rsidRDefault="00B9562C" w:rsidP="00180C17">
            <w:pPr>
              <w:spacing w:after="0"/>
              <w:ind w:firstLine="0"/>
              <w:jc w:val="right"/>
              <w:rPr>
                <w:rFonts w:ascii="Arial Narrow" w:hAnsi="Arial Narrow" w:cstheme="minorHAnsi"/>
                <w:lang w:val="es-ES" w:eastAsia="es-ES"/>
              </w:rPr>
            </w:pPr>
            <w:r w:rsidRPr="00BF5C4D">
              <w:rPr>
                <w:rFonts w:ascii="Arial Narrow" w:hAnsi="Arial Narrow" w:cstheme="minorHAnsi"/>
                <w:lang w:val="es-ES" w:eastAsia="es-ES"/>
              </w:rPr>
              <w:t>10.029</w:t>
            </w:r>
          </w:p>
        </w:tc>
      </w:tr>
      <w:tr w:rsidR="00C42002" w:rsidRPr="00DF197E" w14:paraId="7DD99C59" w14:textId="77777777" w:rsidTr="00B9562C">
        <w:trPr>
          <w:trHeight w:val="198"/>
        </w:trPr>
        <w:tc>
          <w:tcPr>
            <w:tcW w:w="7655" w:type="dxa"/>
            <w:shd w:val="clear" w:color="auto" w:fill="auto"/>
            <w:noWrap/>
            <w:vAlign w:val="bottom"/>
            <w:hideMark/>
          </w:tcPr>
          <w:p w14:paraId="6CB6B847" w14:textId="77777777" w:rsidR="00C42002" w:rsidRPr="00CE27A2" w:rsidRDefault="00C42002" w:rsidP="00180C17">
            <w:pPr>
              <w:spacing w:after="0"/>
              <w:ind w:firstLine="0"/>
              <w:jc w:val="left"/>
              <w:rPr>
                <w:rFonts w:ascii="Arial Narrow" w:hAnsi="Arial Narrow" w:cs="Calibri"/>
                <w:color w:val="000000"/>
                <w:lang w:val="es-ES" w:eastAsia="es-ES"/>
              </w:rPr>
            </w:pPr>
            <w:r w:rsidRPr="00CE27A2">
              <w:rPr>
                <w:rFonts w:ascii="Arial Narrow" w:hAnsi="Arial Narrow" w:cs="Calibri"/>
                <w:color w:val="000000"/>
                <w:lang w:val="es-ES" w:eastAsia="es-ES"/>
              </w:rPr>
              <w:t>Segundo trimestre</w:t>
            </w:r>
          </w:p>
        </w:tc>
        <w:tc>
          <w:tcPr>
            <w:tcW w:w="992" w:type="dxa"/>
            <w:shd w:val="clear" w:color="auto" w:fill="auto"/>
            <w:noWrap/>
            <w:vAlign w:val="bottom"/>
          </w:tcPr>
          <w:p w14:paraId="38C87913" w14:textId="77777777" w:rsidR="00C42002" w:rsidRPr="00BF5C4D" w:rsidRDefault="00B9562C" w:rsidP="00180C17">
            <w:pPr>
              <w:spacing w:after="0"/>
              <w:ind w:firstLine="0"/>
              <w:jc w:val="right"/>
              <w:rPr>
                <w:rFonts w:ascii="Arial Narrow" w:hAnsi="Arial Narrow" w:cstheme="minorHAnsi"/>
                <w:lang w:val="es-ES" w:eastAsia="es-ES"/>
              </w:rPr>
            </w:pPr>
            <w:r w:rsidRPr="00BF5C4D">
              <w:rPr>
                <w:rFonts w:ascii="Arial Narrow" w:hAnsi="Arial Narrow" w:cstheme="minorHAnsi"/>
                <w:lang w:val="es-ES" w:eastAsia="es-ES"/>
              </w:rPr>
              <w:t>4.853</w:t>
            </w:r>
          </w:p>
        </w:tc>
      </w:tr>
      <w:tr w:rsidR="00C42002" w:rsidRPr="00DF197E" w14:paraId="0ACA133C" w14:textId="77777777" w:rsidTr="00B9562C">
        <w:trPr>
          <w:trHeight w:val="198"/>
        </w:trPr>
        <w:tc>
          <w:tcPr>
            <w:tcW w:w="7655" w:type="dxa"/>
            <w:shd w:val="clear" w:color="auto" w:fill="auto"/>
            <w:noWrap/>
            <w:vAlign w:val="bottom"/>
            <w:hideMark/>
          </w:tcPr>
          <w:p w14:paraId="2050095B" w14:textId="77777777" w:rsidR="00C42002" w:rsidRPr="00CE27A2" w:rsidRDefault="00C42002" w:rsidP="00180C17">
            <w:pPr>
              <w:spacing w:after="0"/>
              <w:ind w:firstLine="0"/>
              <w:jc w:val="left"/>
              <w:rPr>
                <w:rFonts w:ascii="Arial Narrow" w:hAnsi="Arial Narrow" w:cs="Calibri"/>
                <w:color w:val="000000"/>
                <w:lang w:val="es-ES" w:eastAsia="es-ES"/>
              </w:rPr>
            </w:pPr>
            <w:r w:rsidRPr="00CE27A2">
              <w:rPr>
                <w:rFonts w:ascii="Arial Narrow" w:hAnsi="Arial Narrow" w:cs="Calibri"/>
                <w:color w:val="000000"/>
                <w:lang w:val="es-ES" w:eastAsia="es-ES"/>
              </w:rPr>
              <w:t>Tercer trimestre</w:t>
            </w:r>
          </w:p>
        </w:tc>
        <w:tc>
          <w:tcPr>
            <w:tcW w:w="992" w:type="dxa"/>
            <w:shd w:val="clear" w:color="auto" w:fill="auto"/>
            <w:noWrap/>
            <w:vAlign w:val="bottom"/>
          </w:tcPr>
          <w:p w14:paraId="3983A7D3" w14:textId="77777777" w:rsidR="00C42002" w:rsidRPr="00BF5C4D" w:rsidRDefault="00B9562C" w:rsidP="00180C17">
            <w:pPr>
              <w:spacing w:after="0"/>
              <w:ind w:firstLine="0"/>
              <w:jc w:val="right"/>
              <w:rPr>
                <w:rFonts w:ascii="Arial Narrow" w:hAnsi="Arial Narrow" w:cstheme="minorHAnsi"/>
                <w:lang w:val="es-ES" w:eastAsia="es-ES"/>
              </w:rPr>
            </w:pPr>
            <w:r w:rsidRPr="00BF5C4D">
              <w:rPr>
                <w:rFonts w:ascii="Arial Narrow" w:hAnsi="Arial Narrow" w:cstheme="minorHAnsi"/>
                <w:lang w:val="es-ES" w:eastAsia="es-ES"/>
              </w:rPr>
              <w:t>7.400</w:t>
            </w:r>
          </w:p>
        </w:tc>
      </w:tr>
      <w:tr w:rsidR="00C42002" w:rsidRPr="00DF197E" w14:paraId="5504610F" w14:textId="77777777" w:rsidTr="00B9562C">
        <w:trPr>
          <w:trHeight w:val="198"/>
        </w:trPr>
        <w:tc>
          <w:tcPr>
            <w:tcW w:w="7655" w:type="dxa"/>
            <w:shd w:val="clear" w:color="auto" w:fill="auto"/>
            <w:noWrap/>
            <w:vAlign w:val="bottom"/>
            <w:hideMark/>
          </w:tcPr>
          <w:p w14:paraId="0550A683" w14:textId="77777777" w:rsidR="00C42002" w:rsidRPr="00CE27A2" w:rsidRDefault="00C42002" w:rsidP="00180C17">
            <w:pPr>
              <w:spacing w:after="0"/>
              <w:ind w:firstLine="0"/>
              <w:jc w:val="left"/>
              <w:rPr>
                <w:rFonts w:ascii="Arial Narrow" w:hAnsi="Arial Narrow" w:cs="Calibri"/>
                <w:color w:val="000000"/>
                <w:lang w:val="es-ES" w:eastAsia="es-ES"/>
              </w:rPr>
            </w:pPr>
            <w:r w:rsidRPr="00CE27A2">
              <w:rPr>
                <w:rFonts w:ascii="Arial Narrow" w:hAnsi="Arial Narrow" w:cs="Calibri"/>
                <w:color w:val="000000"/>
                <w:lang w:val="es-ES" w:eastAsia="es-ES"/>
              </w:rPr>
              <w:t>Cuarto trimestre</w:t>
            </w:r>
          </w:p>
        </w:tc>
        <w:tc>
          <w:tcPr>
            <w:tcW w:w="992" w:type="dxa"/>
            <w:shd w:val="clear" w:color="auto" w:fill="auto"/>
            <w:noWrap/>
            <w:vAlign w:val="bottom"/>
          </w:tcPr>
          <w:p w14:paraId="0210AE89" w14:textId="77777777" w:rsidR="00C42002" w:rsidRPr="00BF5C4D" w:rsidRDefault="00B9562C" w:rsidP="00180C17">
            <w:pPr>
              <w:spacing w:after="0"/>
              <w:ind w:firstLine="0"/>
              <w:jc w:val="right"/>
              <w:rPr>
                <w:rFonts w:ascii="Arial Narrow" w:hAnsi="Arial Narrow" w:cstheme="minorHAnsi"/>
                <w:lang w:val="es-ES" w:eastAsia="es-ES"/>
              </w:rPr>
            </w:pPr>
            <w:r w:rsidRPr="00BF5C4D">
              <w:rPr>
                <w:rFonts w:ascii="Arial Narrow" w:hAnsi="Arial Narrow" w:cstheme="minorHAnsi"/>
                <w:lang w:val="es-ES" w:eastAsia="es-ES"/>
              </w:rPr>
              <w:t>6.468</w:t>
            </w:r>
          </w:p>
        </w:tc>
      </w:tr>
      <w:tr w:rsidR="00C42002" w:rsidRPr="00CE27A2" w14:paraId="7DB87654" w14:textId="77777777" w:rsidTr="005D2B3A">
        <w:trPr>
          <w:trHeight w:val="255"/>
        </w:trPr>
        <w:tc>
          <w:tcPr>
            <w:tcW w:w="7655" w:type="dxa"/>
            <w:tcBorders>
              <w:bottom w:val="single" w:sz="4" w:space="0" w:color="auto"/>
            </w:tcBorders>
            <w:shd w:val="clear" w:color="auto" w:fill="FFFFFF" w:themeFill="background1"/>
            <w:noWrap/>
            <w:vAlign w:val="bottom"/>
            <w:hideMark/>
          </w:tcPr>
          <w:p w14:paraId="240C6B7F" w14:textId="77777777" w:rsidR="00C42002" w:rsidRPr="00CE27A2" w:rsidRDefault="00C42002" w:rsidP="00180C17">
            <w:pPr>
              <w:spacing w:after="0"/>
              <w:ind w:firstLine="0"/>
              <w:jc w:val="left"/>
              <w:rPr>
                <w:rFonts w:ascii="Arial" w:hAnsi="Arial" w:cs="Arial"/>
                <w:color w:val="000000"/>
                <w:sz w:val="18"/>
                <w:szCs w:val="18"/>
                <w:lang w:val="es-ES" w:eastAsia="es-ES"/>
              </w:rPr>
            </w:pPr>
            <w:r w:rsidRPr="00CE27A2">
              <w:rPr>
                <w:rFonts w:ascii="Arial" w:hAnsi="Arial" w:cs="Arial"/>
                <w:color w:val="000000"/>
                <w:sz w:val="18"/>
                <w:szCs w:val="18"/>
                <w:lang w:val="es-ES" w:eastAsia="es-ES"/>
              </w:rPr>
              <w:t>Total autoliquidado</w:t>
            </w:r>
            <w:r w:rsidR="00BF5C4D">
              <w:rPr>
                <w:rFonts w:ascii="Arial" w:hAnsi="Arial" w:cs="Arial"/>
                <w:color w:val="000000"/>
                <w:sz w:val="18"/>
                <w:szCs w:val="18"/>
                <w:lang w:val="es-ES" w:eastAsia="es-ES"/>
              </w:rPr>
              <w:t>*</w:t>
            </w:r>
          </w:p>
        </w:tc>
        <w:tc>
          <w:tcPr>
            <w:tcW w:w="992" w:type="dxa"/>
            <w:tcBorders>
              <w:bottom w:val="single" w:sz="4" w:space="0" w:color="auto"/>
            </w:tcBorders>
            <w:shd w:val="clear" w:color="auto" w:fill="FFFFFF" w:themeFill="background1"/>
            <w:noWrap/>
            <w:vAlign w:val="bottom"/>
            <w:hideMark/>
          </w:tcPr>
          <w:p w14:paraId="0B84B8F6" w14:textId="77777777" w:rsidR="00C42002" w:rsidRPr="00BF5C4D" w:rsidRDefault="00C42002" w:rsidP="00BF5C4D">
            <w:pPr>
              <w:spacing w:after="0"/>
              <w:ind w:firstLine="0"/>
              <w:jc w:val="right"/>
              <w:rPr>
                <w:rFonts w:ascii="Arial" w:hAnsi="Arial" w:cs="Arial"/>
                <w:sz w:val="18"/>
                <w:szCs w:val="18"/>
                <w:lang w:val="es-ES" w:eastAsia="es-ES"/>
              </w:rPr>
            </w:pPr>
            <w:r w:rsidRPr="00BF5C4D">
              <w:rPr>
                <w:rFonts w:ascii="Arial" w:hAnsi="Arial" w:cs="Arial"/>
                <w:sz w:val="18"/>
                <w:szCs w:val="18"/>
                <w:lang w:val="es-ES" w:eastAsia="es-ES"/>
              </w:rPr>
              <w:t>28.75</w:t>
            </w:r>
            <w:r w:rsidR="00BF5C4D">
              <w:rPr>
                <w:rFonts w:ascii="Arial" w:hAnsi="Arial" w:cs="Arial"/>
                <w:sz w:val="18"/>
                <w:szCs w:val="18"/>
                <w:lang w:val="es-ES" w:eastAsia="es-ES"/>
              </w:rPr>
              <w:t>0</w:t>
            </w:r>
          </w:p>
        </w:tc>
      </w:tr>
      <w:tr w:rsidR="00C42002" w:rsidRPr="005D2B3A" w14:paraId="38662C0F" w14:textId="77777777" w:rsidTr="00184297">
        <w:trPr>
          <w:trHeight w:val="255"/>
        </w:trPr>
        <w:tc>
          <w:tcPr>
            <w:tcW w:w="7655" w:type="dxa"/>
            <w:shd w:val="clear" w:color="000000" w:fill="F4B084"/>
            <w:noWrap/>
            <w:vAlign w:val="bottom"/>
            <w:hideMark/>
          </w:tcPr>
          <w:p w14:paraId="28A060DD" w14:textId="77777777" w:rsidR="00C42002" w:rsidRPr="005D2B3A" w:rsidRDefault="00C42002" w:rsidP="00180C17">
            <w:pPr>
              <w:spacing w:after="0"/>
              <w:ind w:firstLine="0"/>
              <w:jc w:val="left"/>
              <w:rPr>
                <w:rFonts w:ascii="Arial" w:hAnsi="Arial" w:cs="Arial"/>
                <w:color w:val="000000"/>
                <w:lang w:val="es-ES" w:eastAsia="es-ES"/>
              </w:rPr>
            </w:pPr>
            <w:r w:rsidRPr="005D2B3A">
              <w:rPr>
                <w:rFonts w:ascii="Arial" w:hAnsi="Arial" w:cs="Arial"/>
                <w:color w:val="000000"/>
                <w:lang w:val="es-ES" w:eastAsia="es-ES"/>
              </w:rPr>
              <w:t>Diferencia</w:t>
            </w:r>
          </w:p>
        </w:tc>
        <w:tc>
          <w:tcPr>
            <w:tcW w:w="992" w:type="dxa"/>
            <w:shd w:val="clear" w:color="000000" w:fill="F4B084"/>
            <w:noWrap/>
            <w:vAlign w:val="bottom"/>
            <w:hideMark/>
          </w:tcPr>
          <w:p w14:paraId="2BB0CAF0" w14:textId="77777777" w:rsidR="00C42002" w:rsidRPr="005D2B3A" w:rsidRDefault="00C42002" w:rsidP="00BF5C4D">
            <w:pPr>
              <w:spacing w:after="0"/>
              <w:ind w:firstLine="0"/>
              <w:jc w:val="right"/>
              <w:rPr>
                <w:rFonts w:ascii="Arial" w:hAnsi="Arial" w:cs="Arial"/>
                <w:lang w:val="es-ES" w:eastAsia="es-ES"/>
              </w:rPr>
            </w:pPr>
            <w:r w:rsidRPr="005D2B3A">
              <w:rPr>
                <w:rFonts w:ascii="Arial" w:hAnsi="Arial" w:cs="Arial"/>
                <w:lang w:val="es-ES" w:eastAsia="es-ES"/>
              </w:rPr>
              <w:t>16.51</w:t>
            </w:r>
            <w:r w:rsidR="00BF5C4D" w:rsidRPr="005D2B3A">
              <w:rPr>
                <w:rFonts w:ascii="Arial" w:hAnsi="Arial" w:cs="Arial"/>
                <w:lang w:val="es-ES" w:eastAsia="es-ES"/>
              </w:rPr>
              <w:t>8</w:t>
            </w:r>
          </w:p>
        </w:tc>
      </w:tr>
    </w:tbl>
    <w:p w14:paraId="42B5113E" w14:textId="77777777" w:rsidR="00BF5C4D" w:rsidRPr="00BF5C4D" w:rsidRDefault="00BF5C4D" w:rsidP="005D2B3A">
      <w:pPr>
        <w:pStyle w:val="texto"/>
        <w:tabs>
          <w:tab w:val="clear" w:pos="2835"/>
          <w:tab w:val="clear" w:pos="3969"/>
          <w:tab w:val="clear" w:pos="5103"/>
          <w:tab w:val="clear" w:pos="6237"/>
          <w:tab w:val="clear" w:pos="7371"/>
          <w:tab w:val="left" w:pos="480"/>
          <w:tab w:val="num" w:pos="720"/>
          <w:tab w:val="num" w:pos="1080"/>
          <w:tab w:val="num" w:pos="2760"/>
        </w:tabs>
        <w:spacing w:before="120" w:after="240"/>
        <w:ind w:firstLine="0"/>
        <w:rPr>
          <w:rFonts w:eastAsia="Calibri"/>
          <w:sz w:val="20"/>
          <w:szCs w:val="20"/>
          <w:lang w:eastAsia="es-ES"/>
        </w:rPr>
      </w:pPr>
      <w:r w:rsidRPr="00BF5C4D">
        <w:rPr>
          <w:rFonts w:eastAsia="Calibri"/>
          <w:sz w:val="20"/>
          <w:szCs w:val="20"/>
          <w:lang w:eastAsia="es-ES"/>
        </w:rPr>
        <w:t>*</w:t>
      </w:r>
      <w:r w:rsidRPr="005D2B3A">
        <w:rPr>
          <w:rFonts w:eastAsia="Calibri"/>
          <w:sz w:val="18"/>
          <w:szCs w:val="18"/>
          <w:lang w:eastAsia="es-ES"/>
        </w:rPr>
        <w:t xml:space="preserve">Este importe no coincide con los 29.938 euros reflejados en el apartado II.2 del informe. En </w:t>
      </w:r>
      <w:r w:rsidR="00A57EEC" w:rsidRPr="005D2B3A">
        <w:rPr>
          <w:rFonts w:eastAsia="Calibri"/>
          <w:sz w:val="18"/>
          <w:szCs w:val="18"/>
          <w:lang w:eastAsia="es-ES"/>
        </w:rPr>
        <w:t xml:space="preserve">este </w:t>
      </w:r>
      <w:r w:rsidRPr="005D2B3A">
        <w:rPr>
          <w:rFonts w:eastAsia="Calibri"/>
          <w:sz w:val="18"/>
          <w:szCs w:val="18"/>
          <w:lang w:eastAsia="es-ES"/>
        </w:rPr>
        <w:t>cuadro</w:t>
      </w:r>
      <w:r w:rsidR="00A57EEC" w:rsidRPr="005D2B3A">
        <w:rPr>
          <w:rFonts w:eastAsia="Calibri"/>
          <w:sz w:val="18"/>
          <w:szCs w:val="18"/>
          <w:lang w:eastAsia="es-ES"/>
        </w:rPr>
        <w:t xml:space="preserve">, </w:t>
      </w:r>
      <w:r w:rsidRPr="005D2B3A">
        <w:rPr>
          <w:rFonts w:eastAsia="Calibri"/>
          <w:sz w:val="18"/>
          <w:szCs w:val="18"/>
          <w:lang w:eastAsia="es-ES"/>
        </w:rPr>
        <w:t xml:space="preserve">estamos reflejando los importes autoliquidados de 2020 y en la cifra anterior, </w:t>
      </w:r>
      <w:r w:rsidR="00A57EEC" w:rsidRPr="005D2B3A">
        <w:rPr>
          <w:rFonts w:eastAsia="Calibri"/>
          <w:sz w:val="18"/>
          <w:szCs w:val="18"/>
          <w:lang w:eastAsia="es-ES"/>
        </w:rPr>
        <w:t xml:space="preserve">que se corresponde con el importe de obligaciones reconocidas, </w:t>
      </w:r>
      <w:r w:rsidRPr="005D2B3A">
        <w:rPr>
          <w:rFonts w:eastAsia="Calibri"/>
          <w:sz w:val="18"/>
          <w:szCs w:val="18"/>
          <w:lang w:eastAsia="es-ES"/>
        </w:rPr>
        <w:t>figura contabilizado el cuarto trimestre de 2019</w:t>
      </w:r>
      <w:r w:rsidRPr="00BF5C4D">
        <w:rPr>
          <w:rFonts w:eastAsia="Calibri"/>
          <w:sz w:val="20"/>
          <w:szCs w:val="20"/>
          <w:lang w:eastAsia="es-ES"/>
        </w:rPr>
        <w:t>.</w:t>
      </w:r>
    </w:p>
    <w:p w14:paraId="3763508A" w14:textId="77777777" w:rsidR="00C42002" w:rsidRDefault="00C42002" w:rsidP="00C42002">
      <w:pPr>
        <w:pStyle w:val="texto"/>
        <w:tabs>
          <w:tab w:val="clear" w:pos="2835"/>
          <w:tab w:val="clear" w:pos="3969"/>
          <w:tab w:val="clear" w:pos="5103"/>
          <w:tab w:val="clear" w:pos="6237"/>
          <w:tab w:val="clear" w:pos="7371"/>
          <w:tab w:val="left" w:pos="480"/>
          <w:tab w:val="num" w:pos="720"/>
          <w:tab w:val="num" w:pos="1080"/>
          <w:tab w:val="num" w:pos="2760"/>
        </w:tabs>
        <w:ind w:firstLine="289"/>
        <w:rPr>
          <w:rFonts w:eastAsia="Calibri"/>
          <w:szCs w:val="26"/>
          <w:lang w:eastAsia="es-ES"/>
        </w:rPr>
      </w:pPr>
      <w:r>
        <w:rPr>
          <w:rFonts w:eastAsia="Calibri"/>
          <w:szCs w:val="26"/>
          <w:lang w:eastAsia="es-ES"/>
        </w:rPr>
        <w:t>Como resultado</w:t>
      </w:r>
      <w:r w:rsidR="0088579E">
        <w:rPr>
          <w:rFonts w:eastAsia="Calibri"/>
          <w:szCs w:val="26"/>
          <w:lang w:eastAsia="es-ES"/>
        </w:rPr>
        <w:t xml:space="preserve"> se observa que </w:t>
      </w:r>
      <w:r w:rsidR="00946168">
        <w:rPr>
          <w:rFonts w:eastAsia="Calibri"/>
          <w:szCs w:val="26"/>
          <w:lang w:eastAsia="es-ES"/>
        </w:rPr>
        <w:t>se está</w:t>
      </w:r>
      <w:r>
        <w:rPr>
          <w:rFonts w:eastAsia="Calibri"/>
          <w:szCs w:val="26"/>
          <w:lang w:eastAsia="es-ES"/>
        </w:rPr>
        <w:t xml:space="preserve"> liquidando un importe menor en cada ejercicio fiscal, en concreto en 2020 un importe </w:t>
      </w:r>
      <w:r w:rsidRPr="00BF5C4D">
        <w:rPr>
          <w:rFonts w:eastAsia="Calibri"/>
          <w:szCs w:val="26"/>
          <w:lang w:eastAsia="es-ES"/>
        </w:rPr>
        <w:t>de 16.51</w:t>
      </w:r>
      <w:r w:rsidR="00BF5C4D">
        <w:rPr>
          <w:rFonts w:eastAsia="Calibri"/>
          <w:szCs w:val="26"/>
          <w:lang w:eastAsia="es-ES"/>
        </w:rPr>
        <w:t>8</w:t>
      </w:r>
      <w:r w:rsidRPr="00BF5C4D">
        <w:rPr>
          <w:rFonts w:eastAsia="Calibri"/>
          <w:szCs w:val="26"/>
          <w:lang w:eastAsia="es-ES"/>
        </w:rPr>
        <w:t xml:space="preserve"> </w:t>
      </w:r>
      <w:r>
        <w:rPr>
          <w:rFonts w:eastAsia="Calibri"/>
          <w:szCs w:val="26"/>
          <w:lang w:eastAsia="es-ES"/>
        </w:rPr>
        <w:t xml:space="preserve">euros. </w:t>
      </w:r>
    </w:p>
    <w:p w14:paraId="78158FE0" w14:textId="77777777" w:rsidR="00E2448D" w:rsidRDefault="00E2448D" w:rsidP="00E2448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rPr>
          <w:szCs w:val="26"/>
        </w:rPr>
        <w:t>Al respecto</w:t>
      </w:r>
      <w:r w:rsidR="008B693B">
        <w:rPr>
          <w:szCs w:val="26"/>
        </w:rPr>
        <w:t>,</w:t>
      </w:r>
      <w:r>
        <w:rPr>
          <w:szCs w:val="26"/>
        </w:rPr>
        <w:t xml:space="preserve"> indicamos que en la alegación 9.1. Exacción del Impuesto Especial sobre la electricidad del documento alegaciones, el ayuntamiento acredita haber presentad</w:t>
      </w:r>
      <w:r w:rsidR="008B693B">
        <w:rPr>
          <w:szCs w:val="26"/>
        </w:rPr>
        <w:t xml:space="preserve">o en fecha 28 de abril de 2022 </w:t>
      </w:r>
      <w:r>
        <w:rPr>
          <w:szCs w:val="26"/>
        </w:rPr>
        <w:t>la regularización de los últimos cuatro ejercicios de la declaración del citado impuesto ante la Hacienda Foral, por lo que esta situación estaría normalizada.</w:t>
      </w:r>
    </w:p>
    <w:p w14:paraId="6E3D8B18" w14:textId="77777777" w:rsidR="00641F54" w:rsidRPr="007B38A3" w:rsidRDefault="00641F54" w:rsidP="00641F54">
      <w:pPr>
        <w:pStyle w:val="texto"/>
        <w:tabs>
          <w:tab w:val="clear" w:pos="2835"/>
          <w:tab w:val="clear" w:pos="3969"/>
          <w:tab w:val="clear" w:pos="5103"/>
          <w:tab w:val="clear" w:pos="6237"/>
          <w:tab w:val="clear" w:pos="7371"/>
          <w:tab w:val="left" w:pos="480"/>
        </w:tabs>
        <w:rPr>
          <w:color w:val="FF0000"/>
        </w:rPr>
      </w:pPr>
      <w:r>
        <w:rPr>
          <w:szCs w:val="26"/>
        </w:rPr>
        <w:t>Por otro lado, reflejamos a continuación la evolución del impacto en el presupuesto municipal de los ingresos que genera la venta de electricidad y la cobertura de los gastos afectos a la citada actividad en el periodo revisado:</w:t>
      </w:r>
    </w:p>
    <w:tbl>
      <w:tblPr>
        <w:tblW w:w="8647" w:type="dxa"/>
        <w:tblCellMar>
          <w:left w:w="70" w:type="dxa"/>
          <w:right w:w="70" w:type="dxa"/>
        </w:tblCellMar>
        <w:tblLook w:val="04A0" w:firstRow="1" w:lastRow="0" w:firstColumn="1" w:lastColumn="0" w:noHBand="0" w:noVBand="1"/>
      </w:tblPr>
      <w:tblGrid>
        <w:gridCol w:w="5670"/>
        <w:gridCol w:w="993"/>
        <w:gridCol w:w="992"/>
        <w:gridCol w:w="992"/>
      </w:tblGrid>
      <w:tr w:rsidR="00641F54" w:rsidRPr="00DA1DD4" w14:paraId="75931DD2" w14:textId="77777777" w:rsidTr="00D67DF8">
        <w:trPr>
          <w:trHeight w:val="227"/>
        </w:trPr>
        <w:tc>
          <w:tcPr>
            <w:tcW w:w="5670" w:type="dxa"/>
            <w:tcBorders>
              <w:top w:val="single" w:sz="4" w:space="0" w:color="auto"/>
              <w:left w:val="nil"/>
              <w:bottom w:val="single" w:sz="4" w:space="0" w:color="auto"/>
              <w:right w:val="nil"/>
            </w:tcBorders>
            <w:shd w:val="clear" w:color="auto" w:fill="FABF8F" w:themeFill="accent6" w:themeFillTint="99"/>
            <w:noWrap/>
            <w:vAlign w:val="bottom"/>
            <w:hideMark/>
          </w:tcPr>
          <w:p w14:paraId="4A0E0856" w14:textId="77777777" w:rsidR="00641F54" w:rsidRPr="00DA1DD4" w:rsidRDefault="00641F54" w:rsidP="00D67DF8">
            <w:pPr>
              <w:spacing w:after="0"/>
              <w:ind w:firstLine="0"/>
              <w:jc w:val="left"/>
              <w:rPr>
                <w:rFonts w:ascii="Arial" w:hAnsi="Arial" w:cs="Arial"/>
                <w:sz w:val="18"/>
                <w:szCs w:val="18"/>
                <w:lang w:val="es-ES" w:eastAsia="es-ES"/>
              </w:rPr>
            </w:pPr>
          </w:p>
        </w:tc>
        <w:tc>
          <w:tcPr>
            <w:tcW w:w="993" w:type="dxa"/>
            <w:tcBorders>
              <w:top w:val="single" w:sz="4" w:space="0" w:color="auto"/>
              <w:left w:val="nil"/>
              <w:bottom w:val="single" w:sz="4" w:space="0" w:color="auto"/>
              <w:right w:val="nil"/>
            </w:tcBorders>
            <w:shd w:val="clear" w:color="auto" w:fill="FABF8F" w:themeFill="accent6" w:themeFillTint="99"/>
            <w:noWrap/>
            <w:vAlign w:val="center"/>
            <w:hideMark/>
          </w:tcPr>
          <w:p w14:paraId="1762A562"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2018</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14:paraId="3E6F67C9"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2019</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14:paraId="52ED52ED"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2020</w:t>
            </w:r>
          </w:p>
        </w:tc>
      </w:tr>
      <w:tr w:rsidR="00641F54" w:rsidRPr="00DA1DD4" w14:paraId="326B3607" w14:textId="77777777" w:rsidTr="00AC15B9">
        <w:trPr>
          <w:trHeight w:val="227"/>
        </w:trPr>
        <w:tc>
          <w:tcPr>
            <w:tcW w:w="5670" w:type="dxa"/>
            <w:tcBorders>
              <w:top w:val="single" w:sz="4" w:space="0" w:color="auto"/>
              <w:left w:val="nil"/>
              <w:bottom w:val="single" w:sz="4" w:space="0" w:color="auto"/>
              <w:right w:val="nil"/>
            </w:tcBorders>
            <w:shd w:val="clear" w:color="auto" w:fill="FFFFFF" w:themeFill="background1"/>
            <w:noWrap/>
            <w:vAlign w:val="center"/>
            <w:hideMark/>
          </w:tcPr>
          <w:p w14:paraId="27EBE552" w14:textId="77777777" w:rsidR="00641F54" w:rsidRPr="00DA1DD4" w:rsidRDefault="00641F54" w:rsidP="00D67DF8">
            <w:pPr>
              <w:spacing w:after="0"/>
              <w:ind w:firstLine="0"/>
              <w:jc w:val="left"/>
              <w:rPr>
                <w:rFonts w:ascii="Arial" w:hAnsi="Arial" w:cs="Arial"/>
                <w:sz w:val="18"/>
                <w:szCs w:val="18"/>
                <w:lang w:val="es-ES" w:eastAsia="es-ES"/>
              </w:rPr>
            </w:pPr>
            <w:r w:rsidRPr="00DA1DD4">
              <w:rPr>
                <w:rFonts w:ascii="Arial" w:hAnsi="Arial" w:cs="Arial"/>
                <w:sz w:val="18"/>
                <w:szCs w:val="18"/>
                <w:lang w:val="es-ES" w:eastAsia="es-ES"/>
              </w:rPr>
              <w:t>Ingresos electricidad</w:t>
            </w:r>
          </w:p>
        </w:tc>
        <w:tc>
          <w:tcPr>
            <w:tcW w:w="993" w:type="dxa"/>
            <w:tcBorders>
              <w:top w:val="single" w:sz="4" w:space="0" w:color="auto"/>
              <w:left w:val="nil"/>
              <w:bottom w:val="single" w:sz="4" w:space="0" w:color="auto"/>
              <w:right w:val="nil"/>
            </w:tcBorders>
            <w:shd w:val="clear" w:color="auto" w:fill="FFFFFF" w:themeFill="background1"/>
            <w:noWrap/>
            <w:vAlign w:val="center"/>
            <w:hideMark/>
          </w:tcPr>
          <w:p w14:paraId="1FC94126"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1.172.303</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06D517CA"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1.056.873</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37FE50B6"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917.004</w:t>
            </w:r>
          </w:p>
        </w:tc>
      </w:tr>
      <w:tr w:rsidR="00641F54" w:rsidRPr="00DA1DD4" w14:paraId="77B0723D"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56047133" w14:textId="77777777" w:rsidR="00641F54" w:rsidRPr="00DA1DD4" w:rsidRDefault="00641F54" w:rsidP="00D67DF8">
            <w:pPr>
              <w:spacing w:after="0"/>
              <w:ind w:firstLine="0"/>
              <w:jc w:val="left"/>
              <w:rPr>
                <w:rFonts w:ascii="Arial Narrow" w:hAnsi="Arial Narrow" w:cs="Calibri"/>
                <w:lang w:val="es-ES" w:eastAsia="es-ES"/>
              </w:rPr>
            </w:pPr>
            <w:r w:rsidRPr="00DA1DD4">
              <w:rPr>
                <w:rFonts w:ascii="Arial Narrow" w:hAnsi="Arial Narrow" w:cs="Calibri"/>
                <w:lang w:val="es-ES" w:eastAsia="es-ES"/>
              </w:rPr>
              <w:t>Mantenimiento red eléctrica</w:t>
            </w:r>
          </w:p>
        </w:tc>
        <w:tc>
          <w:tcPr>
            <w:tcW w:w="993" w:type="dxa"/>
            <w:tcBorders>
              <w:top w:val="single" w:sz="4" w:space="0" w:color="auto"/>
              <w:left w:val="nil"/>
              <w:bottom w:val="single" w:sz="4" w:space="0" w:color="auto"/>
              <w:right w:val="nil"/>
            </w:tcBorders>
            <w:shd w:val="clear" w:color="auto" w:fill="auto"/>
            <w:noWrap/>
            <w:vAlign w:val="center"/>
            <w:hideMark/>
          </w:tcPr>
          <w:p w14:paraId="03779663"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3.913</w:t>
            </w:r>
          </w:p>
        </w:tc>
        <w:tc>
          <w:tcPr>
            <w:tcW w:w="992" w:type="dxa"/>
            <w:tcBorders>
              <w:top w:val="single" w:sz="4" w:space="0" w:color="auto"/>
              <w:left w:val="nil"/>
              <w:bottom w:val="single" w:sz="4" w:space="0" w:color="auto"/>
              <w:right w:val="nil"/>
            </w:tcBorders>
            <w:shd w:val="clear" w:color="auto" w:fill="auto"/>
            <w:noWrap/>
            <w:vAlign w:val="center"/>
            <w:hideMark/>
          </w:tcPr>
          <w:p w14:paraId="1DD0F3D0"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15.582</w:t>
            </w:r>
          </w:p>
        </w:tc>
        <w:tc>
          <w:tcPr>
            <w:tcW w:w="992" w:type="dxa"/>
            <w:tcBorders>
              <w:top w:val="single" w:sz="4" w:space="0" w:color="auto"/>
              <w:left w:val="nil"/>
              <w:bottom w:val="single" w:sz="4" w:space="0" w:color="auto"/>
              <w:right w:val="nil"/>
            </w:tcBorders>
            <w:shd w:val="clear" w:color="auto" w:fill="auto"/>
            <w:noWrap/>
            <w:vAlign w:val="center"/>
            <w:hideMark/>
          </w:tcPr>
          <w:p w14:paraId="74262D9A"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31.749</w:t>
            </w:r>
          </w:p>
        </w:tc>
      </w:tr>
      <w:tr w:rsidR="00641F54" w:rsidRPr="00DA1DD4" w14:paraId="56C3D665"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471B93C2" w14:textId="77777777" w:rsidR="00641F54" w:rsidRPr="00DA1DD4" w:rsidRDefault="00641F54" w:rsidP="00D67DF8">
            <w:pPr>
              <w:spacing w:after="0"/>
              <w:ind w:firstLine="0"/>
              <w:jc w:val="left"/>
              <w:rPr>
                <w:rFonts w:ascii="Arial Narrow" w:hAnsi="Arial Narrow" w:cs="Calibri"/>
                <w:lang w:val="es-ES" w:eastAsia="es-ES"/>
              </w:rPr>
            </w:pPr>
            <w:r w:rsidRPr="00DA1DD4">
              <w:rPr>
                <w:rFonts w:ascii="Arial Narrow" w:hAnsi="Arial Narrow" w:cs="Calibri"/>
                <w:lang w:val="es-ES" w:eastAsia="es-ES"/>
              </w:rPr>
              <w:t>Importe adquisición electricidad</w:t>
            </w:r>
          </w:p>
        </w:tc>
        <w:tc>
          <w:tcPr>
            <w:tcW w:w="993" w:type="dxa"/>
            <w:tcBorders>
              <w:top w:val="single" w:sz="4" w:space="0" w:color="auto"/>
              <w:left w:val="nil"/>
              <w:bottom w:val="single" w:sz="4" w:space="0" w:color="auto"/>
              <w:right w:val="nil"/>
            </w:tcBorders>
            <w:shd w:val="clear" w:color="auto" w:fill="auto"/>
            <w:noWrap/>
            <w:vAlign w:val="center"/>
            <w:hideMark/>
          </w:tcPr>
          <w:p w14:paraId="08004E39"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447.911</w:t>
            </w:r>
          </w:p>
        </w:tc>
        <w:tc>
          <w:tcPr>
            <w:tcW w:w="992" w:type="dxa"/>
            <w:tcBorders>
              <w:top w:val="single" w:sz="4" w:space="0" w:color="auto"/>
              <w:left w:val="nil"/>
              <w:bottom w:val="single" w:sz="4" w:space="0" w:color="auto"/>
              <w:right w:val="nil"/>
            </w:tcBorders>
            <w:shd w:val="clear" w:color="auto" w:fill="auto"/>
            <w:noWrap/>
            <w:vAlign w:val="center"/>
            <w:hideMark/>
          </w:tcPr>
          <w:p w14:paraId="0EC5A4E5"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613.768</w:t>
            </w:r>
          </w:p>
        </w:tc>
        <w:tc>
          <w:tcPr>
            <w:tcW w:w="992" w:type="dxa"/>
            <w:tcBorders>
              <w:top w:val="single" w:sz="4" w:space="0" w:color="auto"/>
              <w:left w:val="nil"/>
              <w:bottom w:val="single" w:sz="4" w:space="0" w:color="auto"/>
              <w:right w:val="nil"/>
            </w:tcBorders>
            <w:shd w:val="clear" w:color="auto" w:fill="auto"/>
            <w:noWrap/>
            <w:vAlign w:val="center"/>
            <w:hideMark/>
          </w:tcPr>
          <w:p w14:paraId="4F53A3E8"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562.457</w:t>
            </w:r>
          </w:p>
        </w:tc>
      </w:tr>
      <w:tr w:rsidR="00641F54" w:rsidRPr="00DA1DD4" w14:paraId="0A0A57FD"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3204B5BC" w14:textId="77777777" w:rsidR="00641F54" w:rsidRPr="00DA1DD4" w:rsidRDefault="00641F54" w:rsidP="00D67DF8">
            <w:pPr>
              <w:spacing w:after="0"/>
              <w:ind w:firstLine="0"/>
              <w:jc w:val="left"/>
              <w:rPr>
                <w:rFonts w:ascii="Arial Narrow" w:hAnsi="Arial Narrow" w:cs="Calibri"/>
                <w:lang w:val="es-ES" w:eastAsia="es-ES"/>
              </w:rPr>
            </w:pPr>
            <w:r w:rsidRPr="00DA1DD4">
              <w:rPr>
                <w:rFonts w:ascii="Arial Narrow" w:hAnsi="Arial Narrow" w:cs="Calibri"/>
                <w:lang w:val="es-ES" w:eastAsia="es-ES"/>
              </w:rPr>
              <w:t>Impuesto sobre la electricidad</w:t>
            </w:r>
          </w:p>
        </w:tc>
        <w:tc>
          <w:tcPr>
            <w:tcW w:w="993" w:type="dxa"/>
            <w:tcBorders>
              <w:top w:val="single" w:sz="4" w:space="0" w:color="auto"/>
              <w:left w:val="nil"/>
              <w:bottom w:val="single" w:sz="4" w:space="0" w:color="auto"/>
              <w:right w:val="nil"/>
            </w:tcBorders>
            <w:shd w:val="clear" w:color="auto" w:fill="auto"/>
            <w:noWrap/>
            <w:vAlign w:val="center"/>
            <w:hideMark/>
          </w:tcPr>
          <w:p w14:paraId="79BCCD5A"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22.830</w:t>
            </w:r>
          </w:p>
        </w:tc>
        <w:tc>
          <w:tcPr>
            <w:tcW w:w="992" w:type="dxa"/>
            <w:tcBorders>
              <w:top w:val="single" w:sz="4" w:space="0" w:color="auto"/>
              <w:left w:val="nil"/>
              <w:bottom w:val="single" w:sz="4" w:space="0" w:color="auto"/>
              <w:right w:val="nil"/>
            </w:tcBorders>
            <w:shd w:val="clear" w:color="auto" w:fill="auto"/>
            <w:noWrap/>
            <w:vAlign w:val="center"/>
            <w:hideMark/>
          </w:tcPr>
          <w:p w14:paraId="5B1EF0A7"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23.945</w:t>
            </w:r>
          </w:p>
        </w:tc>
        <w:tc>
          <w:tcPr>
            <w:tcW w:w="992" w:type="dxa"/>
            <w:tcBorders>
              <w:top w:val="single" w:sz="4" w:space="0" w:color="auto"/>
              <w:left w:val="nil"/>
              <w:bottom w:val="single" w:sz="4" w:space="0" w:color="auto"/>
              <w:right w:val="nil"/>
            </w:tcBorders>
            <w:shd w:val="clear" w:color="auto" w:fill="auto"/>
            <w:noWrap/>
            <w:vAlign w:val="center"/>
            <w:hideMark/>
          </w:tcPr>
          <w:p w14:paraId="4D03135B"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29.938</w:t>
            </w:r>
          </w:p>
        </w:tc>
      </w:tr>
      <w:tr w:rsidR="00641F54" w:rsidRPr="00DA1DD4" w14:paraId="1F2AAAAF"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49DE34CA" w14:textId="77777777" w:rsidR="00641F54" w:rsidRPr="00DA1DD4" w:rsidRDefault="00641F54" w:rsidP="00D67DF8">
            <w:pPr>
              <w:spacing w:after="0"/>
              <w:ind w:firstLine="0"/>
              <w:jc w:val="left"/>
              <w:rPr>
                <w:rFonts w:ascii="Arial Narrow" w:hAnsi="Arial Narrow" w:cs="Calibri"/>
                <w:lang w:val="es-ES" w:eastAsia="es-ES"/>
              </w:rPr>
            </w:pPr>
            <w:r w:rsidRPr="00DA1DD4">
              <w:rPr>
                <w:rFonts w:ascii="Arial Narrow" w:hAnsi="Arial Narrow" w:cs="Calibri"/>
                <w:lang w:val="es-ES" w:eastAsia="es-ES"/>
              </w:rPr>
              <w:t>Transferencias Elektra</w:t>
            </w:r>
          </w:p>
        </w:tc>
        <w:tc>
          <w:tcPr>
            <w:tcW w:w="993" w:type="dxa"/>
            <w:tcBorders>
              <w:top w:val="single" w:sz="4" w:space="0" w:color="auto"/>
              <w:left w:val="nil"/>
              <w:bottom w:val="single" w:sz="4" w:space="0" w:color="auto"/>
              <w:right w:val="nil"/>
            </w:tcBorders>
            <w:shd w:val="clear" w:color="auto" w:fill="auto"/>
            <w:noWrap/>
            <w:vAlign w:val="center"/>
            <w:hideMark/>
          </w:tcPr>
          <w:p w14:paraId="6C9C05D8"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112.049</w:t>
            </w:r>
          </w:p>
        </w:tc>
        <w:tc>
          <w:tcPr>
            <w:tcW w:w="992" w:type="dxa"/>
            <w:tcBorders>
              <w:top w:val="single" w:sz="4" w:space="0" w:color="auto"/>
              <w:left w:val="nil"/>
              <w:bottom w:val="single" w:sz="4" w:space="0" w:color="auto"/>
              <w:right w:val="nil"/>
            </w:tcBorders>
            <w:shd w:val="clear" w:color="auto" w:fill="auto"/>
            <w:noWrap/>
            <w:vAlign w:val="center"/>
            <w:hideMark/>
          </w:tcPr>
          <w:p w14:paraId="38990EDA"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46.200</w:t>
            </w:r>
          </w:p>
        </w:tc>
        <w:tc>
          <w:tcPr>
            <w:tcW w:w="992" w:type="dxa"/>
            <w:tcBorders>
              <w:top w:val="single" w:sz="4" w:space="0" w:color="auto"/>
              <w:left w:val="nil"/>
              <w:bottom w:val="single" w:sz="4" w:space="0" w:color="auto"/>
              <w:right w:val="nil"/>
            </w:tcBorders>
            <w:shd w:val="clear" w:color="auto" w:fill="auto"/>
            <w:noWrap/>
            <w:vAlign w:val="center"/>
            <w:hideMark/>
          </w:tcPr>
          <w:p w14:paraId="62DBA3E0"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177.489</w:t>
            </w:r>
          </w:p>
        </w:tc>
      </w:tr>
      <w:tr w:rsidR="00641F54" w:rsidRPr="00DA1DD4" w14:paraId="347A0E5A"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42E2BB0A" w14:textId="77777777" w:rsidR="00641F54" w:rsidRPr="00DA1DD4" w:rsidRDefault="00641F54" w:rsidP="00D67DF8">
            <w:pPr>
              <w:spacing w:after="0"/>
              <w:ind w:firstLine="0"/>
              <w:jc w:val="left"/>
              <w:rPr>
                <w:rFonts w:ascii="Arial Narrow" w:hAnsi="Arial Narrow" w:cs="Calibri"/>
                <w:lang w:val="es-ES" w:eastAsia="es-ES"/>
              </w:rPr>
            </w:pPr>
            <w:r w:rsidRPr="00DA1DD4">
              <w:rPr>
                <w:rFonts w:ascii="Arial Narrow" w:hAnsi="Arial Narrow" w:cs="Calibri"/>
                <w:lang w:val="es-ES" w:eastAsia="es-ES"/>
              </w:rPr>
              <w:t>Gestión Sociedad Elektra</w:t>
            </w:r>
          </w:p>
        </w:tc>
        <w:tc>
          <w:tcPr>
            <w:tcW w:w="993" w:type="dxa"/>
            <w:tcBorders>
              <w:top w:val="single" w:sz="4" w:space="0" w:color="auto"/>
              <w:left w:val="nil"/>
              <w:bottom w:val="single" w:sz="4" w:space="0" w:color="auto"/>
              <w:right w:val="nil"/>
            </w:tcBorders>
            <w:shd w:val="clear" w:color="auto" w:fill="auto"/>
            <w:noWrap/>
            <w:vAlign w:val="center"/>
            <w:hideMark/>
          </w:tcPr>
          <w:p w14:paraId="0F2E42B5"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32.227</w:t>
            </w:r>
          </w:p>
        </w:tc>
        <w:tc>
          <w:tcPr>
            <w:tcW w:w="992" w:type="dxa"/>
            <w:tcBorders>
              <w:top w:val="single" w:sz="4" w:space="0" w:color="auto"/>
              <w:left w:val="nil"/>
              <w:bottom w:val="single" w:sz="4" w:space="0" w:color="auto"/>
              <w:right w:val="nil"/>
            </w:tcBorders>
            <w:shd w:val="clear" w:color="auto" w:fill="auto"/>
            <w:noWrap/>
            <w:vAlign w:val="center"/>
            <w:hideMark/>
          </w:tcPr>
          <w:p w14:paraId="7CC1C595"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44.408</w:t>
            </w:r>
          </w:p>
        </w:tc>
        <w:tc>
          <w:tcPr>
            <w:tcW w:w="992" w:type="dxa"/>
            <w:tcBorders>
              <w:top w:val="single" w:sz="4" w:space="0" w:color="auto"/>
              <w:left w:val="nil"/>
              <w:bottom w:val="single" w:sz="4" w:space="0" w:color="auto"/>
              <w:right w:val="nil"/>
            </w:tcBorders>
            <w:shd w:val="clear" w:color="auto" w:fill="auto"/>
            <w:noWrap/>
            <w:vAlign w:val="center"/>
            <w:hideMark/>
          </w:tcPr>
          <w:p w14:paraId="30C5EF4C" w14:textId="77777777" w:rsidR="00641F54" w:rsidRPr="00DA1DD4" w:rsidRDefault="00641F54" w:rsidP="00D67DF8">
            <w:pPr>
              <w:spacing w:after="0"/>
              <w:ind w:firstLine="0"/>
              <w:jc w:val="right"/>
              <w:rPr>
                <w:rFonts w:ascii="Arial Narrow" w:hAnsi="Arial Narrow" w:cs="Calibri"/>
                <w:lang w:val="es-ES" w:eastAsia="es-ES"/>
              </w:rPr>
            </w:pPr>
            <w:r w:rsidRPr="00DA1DD4">
              <w:rPr>
                <w:rFonts w:ascii="Arial Narrow" w:hAnsi="Arial Narrow" w:cs="Calibri"/>
                <w:lang w:val="es-ES" w:eastAsia="es-ES"/>
              </w:rPr>
              <w:t>38.258</w:t>
            </w:r>
          </w:p>
        </w:tc>
      </w:tr>
      <w:tr w:rsidR="00641F54" w:rsidRPr="00DA1DD4" w14:paraId="0C6C5218" w14:textId="77777777" w:rsidTr="00AC15B9">
        <w:trPr>
          <w:trHeight w:val="227"/>
        </w:trPr>
        <w:tc>
          <w:tcPr>
            <w:tcW w:w="5670" w:type="dxa"/>
            <w:tcBorders>
              <w:top w:val="single" w:sz="4" w:space="0" w:color="auto"/>
              <w:left w:val="nil"/>
              <w:bottom w:val="single" w:sz="4" w:space="0" w:color="auto"/>
              <w:right w:val="nil"/>
            </w:tcBorders>
            <w:shd w:val="clear" w:color="auto" w:fill="FFFFFF" w:themeFill="background1"/>
            <w:noWrap/>
            <w:vAlign w:val="center"/>
            <w:hideMark/>
          </w:tcPr>
          <w:p w14:paraId="49856112" w14:textId="77777777" w:rsidR="00641F54" w:rsidRPr="00DA1DD4" w:rsidRDefault="00641F54" w:rsidP="00D67DF8">
            <w:pPr>
              <w:spacing w:after="0"/>
              <w:ind w:firstLine="0"/>
              <w:jc w:val="left"/>
              <w:rPr>
                <w:rFonts w:ascii="Arial" w:hAnsi="Arial" w:cs="Arial"/>
                <w:sz w:val="18"/>
                <w:szCs w:val="18"/>
                <w:lang w:val="es-ES" w:eastAsia="es-ES"/>
              </w:rPr>
            </w:pPr>
            <w:r w:rsidRPr="00DA1DD4">
              <w:rPr>
                <w:rFonts w:ascii="Arial" w:hAnsi="Arial" w:cs="Arial"/>
                <w:sz w:val="18"/>
                <w:szCs w:val="18"/>
                <w:lang w:val="es-ES" w:eastAsia="es-ES"/>
              </w:rPr>
              <w:t>Total Gastos Electricidad</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1CE9C93B"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618.930</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4FD9A02B"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743.903</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6AE27340"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839.891</w:t>
            </w:r>
          </w:p>
        </w:tc>
      </w:tr>
      <w:tr w:rsidR="00641F54" w:rsidRPr="00DA1DD4" w14:paraId="7D3D2591" w14:textId="77777777" w:rsidTr="00D67DF8">
        <w:trPr>
          <w:trHeight w:val="227"/>
        </w:trPr>
        <w:tc>
          <w:tcPr>
            <w:tcW w:w="5670" w:type="dxa"/>
            <w:tcBorders>
              <w:top w:val="single" w:sz="4" w:space="0" w:color="auto"/>
              <w:left w:val="nil"/>
              <w:bottom w:val="single" w:sz="4" w:space="0" w:color="auto"/>
              <w:right w:val="nil"/>
            </w:tcBorders>
            <w:shd w:val="clear" w:color="000000" w:fill="F4B084"/>
            <w:noWrap/>
            <w:vAlign w:val="center"/>
            <w:hideMark/>
          </w:tcPr>
          <w:p w14:paraId="32960F4D" w14:textId="77777777" w:rsidR="00641F54" w:rsidRPr="00DA1DD4" w:rsidRDefault="00641F54" w:rsidP="00D67DF8">
            <w:pPr>
              <w:spacing w:after="0"/>
              <w:ind w:firstLine="0"/>
              <w:jc w:val="left"/>
              <w:rPr>
                <w:rFonts w:ascii="Arial" w:hAnsi="Arial" w:cs="Arial"/>
                <w:sz w:val="18"/>
                <w:szCs w:val="18"/>
                <w:lang w:val="es-ES" w:eastAsia="es-ES"/>
              </w:rPr>
            </w:pPr>
            <w:r w:rsidRPr="00DA1DD4">
              <w:rPr>
                <w:rFonts w:ascii="Arial" w:hAnsi="Arial" w:cs="Arial"/>
                <w:sz w:val="18"/>
                <w:szCs w:val="18"/>
                <w:lang w:val="es-ES" w:eastAsia="es-ES"/>
              </w:rPr>
              <w:t xml:space="preserve">Superávit </w:t>
            </w:r>
          </w:p>
        </w:tc>
        <w:tc>
          <w:tcPr>
            <w:tcW w:w="993" w:type="dxa"/>
            <w:tcBorders>
              <w:top w:val="single" w:sz="4" w:space="0" w:color="auto"/>
              <w:left w:val="nil"/>
              <w:bottom w:val="single" w:sz="4" w:space="0" w:color="auto"/>
              <w:right w:val="nil"/>
            </w:tcBorders>
            <w:shd w:val="clear" w:color="000000" w:fill="F4B084"/>
            <w:noWrap/>
            <w:vAlign w:val="center"/>
            <w:hideMark/>
          </w:tcPr>
          <w:p w14:paraId="41D5D9BC"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553.373</w:t>
            </w:r>
          </w:p>
        </w:tc>
        <w:tc>
          <w:tcPr>
            <w:tcW w:w="992" w:type="dxa"/>
            <w:tcBorders>
              <w:top w:val="single" w:sz="4" w:space="0" w:color="auto"/>
              <w:left w:val="nil"/>
              <w:bottom w:val="single" w:sz="4" w:space="0" w:color="auto"/>
              <w:right w:val="nil"/>
            </w:tcBorders>
            <w:shd w:val="clear" w:color="000000" w:fill="F4B084"/>
            <w:noWrap/>
            <w:vAlign w:val="center"/>
            <w:hideMark/>
          </w:tcPr>
          <w:p w14:paraId="440ED631"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312.970</w:t>
            </w:r>
          </w:p>
        </w:tc>
        <w:tc>
          <w:tcPr>
            <w:tcW w:w="992" w:type="dxa"/>
            <w:tcBorders>
              <w:top w:val="single" w:sz="4" w:space="0" w:color="auto"/>
              <w:left w:val="nil"/>
              <w:bottom w:val="single" w:sz="4" w:space="0" w:color="auto"/>
              <w:right w:val="nil"/>
            </w:tcBorders>
            <w:shd w:val="clear" w:color="000000" w:fill="F4B084"/>
            <w:noWrap/>
            <w:vAlign w:val="center"/>
            <w:hideMark/>
          </w:tcPr>
          <w:p w14:paraId="083BE7ED" w14:textId="77777777" w:rsidR="00641F54" w:rsidRPr="00DA1DD4" w:rsidRDefault="00641F54" w:rsidP="00D67DF8">
            <w:pPr>
              <w:spacing w:after="0"/>
              <w:ind w:firstLine="0"/>
              <w:jc w:val="right"/>
              <w:rPr>
                <w:rFonts w:ascii="Arial" w:hAnsi="Arial" w:cs="Arial"/>
                <w:sz w:val="18"/>
                <w:szCs w:val="18"/>
                <w:lang w:val="es-ES" w:eastAsia="es-ES"/>
              </w:rPr>
            </w:pPr>
            <w:r w:rsidRPr="00DA1DD4">
              <w:rPr>
                <w:rFonts w:ascii="Arial" w:hAnsi="Arial" w:cs="Arial"/>
                <w:sz w:val="18"/>
                <w:szCs w:val="18"/>
                <w:lang w:val="es-ES" w:eastAsia="es-ES"/>
              </w:rPr>
              <w:t>77.113</w:t>
            </w:r>
          </w:p>
        </w:tc>
      </w:tr>
    </w:tbl>
    <w:p w14:paraId="2DD72DE7" w14:textId="77777777" w:rsidR="00641F54" w:rsidRDefault="00641F54" w:rsidP="00641F54">
      <w:pPr>
        <w:pStyle w:val="texto"/>
        <w:tabs>
          <w:tab w:val="clear" w:pos="2835"/>
          <w:tab w:val="clear" w:pos="3969"/>
          <w:tab w:val="clear" w:pos="5103"/>
          <w:tab w:val="clear" w:pos="6237"/>
          <w:tab w:val="clear" w:pos="7371"/>
          <w:tab w:val="left" w:pos="480"/>
        </w:tabs>
        <w:rPr>
          <w:szCs w:val="26"/>
        </w:rPr>
      </w:pPr>
    </w:p>
    <w:p w14:paraId="3308C512" w14:textId="77777777" w:rsidR="00C42002" w:rsidRDefault="0088579E" w:rsidP="00184297">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szCs w:val="26"/>
        </w:rPr>
        <w:t>Del resultad</w:t>
      </w:r>
      <w:r w:rsidR="00A13AE6">
        <w:rPr>
          <w:szCs w:val="26"/>
        </w:rPr>
        <w:t>o</w:t>
      </w:r>
      <w:r w:rsidR="00A13AE6">
        <w:rPr>
          <w:rStyle w:val="Refdenotaalpie"/>
          <w:szCs w:val="26"/>
        </w:rPr>
        <w:footnoteReference w:id="15"/>
      </w:r>
      <w:r>
        <w:rPr>
          <w:szCs w:val="26"/>
        </w:rPr>
        <w:t>de nuestra revisión, entendemos que la ordenación del s</w:t>
      </w:r>
      <w:r w:rsidR="005615C3">
        <w:rPr>
          <w:szCs w:val="26"/>
        </w:rPr>
        <w:t>uministro de energía que se está</w:t>
      </w:r>
      <w:r>
        <w:rPr>
          <w:szCs w:val="26"/>
        </w:rPr>
        <w:t xml:space="preserve"> llevando a cabo en el municipio, debe revisarse y acomodarse a los establecido en el marco regulatorio energético</w:t>
      </w:r>
      <w:r w:rsidR="00A13AE6">
        <w:rPr>
          <w:szCs w:val="26"/>
        </w:rPr>
        <w:t xml:space="preserve"> citado anteriormente.</w:t>
      </w:r>
    </w:p>
    <w:p w14:paraId="727D0852" w14:textId="77777777" w:rsidR="00557EFA" w:rsidRDefault="00557EFA" w:rsidP="00184297">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p>
    <w:p w14:paraId="41B52840" w14:textId="77777777" w:rsidR="00557EFA" w:rsidRDefault="00557EFA" w:rsidP="00184297">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p>
    <w:p w14:paraId="5DD5FFD5" w14:textId="77777777" w:rsidR="005749C5" w:rsidRPr="00CE27A2" w:rsidRDefault="005749C5" w:rsidP="007C4066">
      <w:pPr>
        <w:pStyle w:val="atitulo2"/>
        <w:spacing w:after="120"/>
      </w:pPr>
      <w:bookmarkStart w:id="28" w:name="_Toc41485561"/>
      <w:bookmarkStart w:id="29" w:name="_Toc97455611"/>
      <w:bookmarkStart w:id="30" w:name="_Toc103773743"/>
      <w:r w:rsidRPr="00CE27A2">
        <w:lastRenderedPageBreak/>
        <w:t>IV.</w:t>
      </w:r>
      <w:r w:rsidR="00C42002">
        <w:t>3</w:t>
      </w:r>
      <w:r w:rsidRPr="00CE27A2">
        <w:t xml:space="preserve"> </w:t>
      </w:r>
      <w:bookmarkEnd w:id="28"/>
      <w:r w:rsidRPr="00CE27A2">
        <w:t>Conclusión final</w:t>
      </w:r>
      <w:bookmarkEnd w:id="29"/>
      <w:bookmarkEnd w:id="30"/>
      <w:r w:rsidRPr="00CE27A2">
        <w:t xml:space="preserve"> </w:t>
      </w:r>
    </w:p>
    <w:p w14:paraId="75C46D63" w14:textId="77777777" w:rsidR="005749C5" w:rsidRDefault="005749C5" w:rsidP="002D0837">
      <w:pPr>
        <w:pStyle w:val="texto"/>
        <w:tabs>
          <w:tab w:val="left" w:pos="284"/>
        </w:tabs>
        <w:spacing w:after="240"/>
      </w:pPr>
      <w:r>
        <w:t>El resultado agregado del nivel de cumplimiento de recomendaciones se refleja en el siguiente cuadro:</w:t>
      </w:r>
    </w:p>
    <w:tbl>
      <w:tblPr>
        <w:tblW w:w="8505"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6237"/>
        <w:gridCol w:w="1134"/>
        <w:gridCol w:w="142"/>
        <w:gridCol w:w="992"/>
      </w:tblGrid>
      <w:tr w:rsidR="005749C5" w:rsidRPr="00CE27A2" w14:paraId="663C62C4" w14:textId="77777777" w:rsidTr="002D0837">
        <w:trPr>
          <w:trHeight w:val="255"/>
        </w:trPr>
        <w:tc>
          <w:tcPr>
            <w:tcW w:w="6237" w:type="dxa"/>
            <w:tcBorders>
              <w:top w:val="single" w:sz="4" w:space="0" w:color="auto"/>
              <w:bottom w:val="single" w:sz="2" w:space="0" w:color="auto"/>
            </w:tcBorders>
            <w:shd w:val="clear" w:color="000000" w:fill="F4B084"/>
            <w:noWrap/>
            <w:vAlign w:val="bottom"/>
            <w:hideMark/>
          </w:tcPr>
          <w:p w14:paraId="0BA55518" w14:textId="77777777" w:rsidR="005749C5" w:rsidRPr="00CE27A2" w:rsidRDefault="005749C5" w:rsidP="00FE7991">
            <w:pPr>
              <w:spacing w:after="0"/>
              <w:ind w:firstLine="0"/>
              <w:jc w:val="left"/>
              <w:rPr>
                <w:rFonts w:ascii="Arial" w:hAnsi="Arial" w:cs="Arial"/>
                <w:color w:val="000000"/>
                <w:sz w:val="18"/>
                <w:szCs w:val="18"/>
                <w:lang w:val="es-ES" w:eastAsia="es-ES"/>
              </w:rPr>
            </w:pPr>
          </w:p>
        </w:tc>
        <w:tc>
          <w:tcPr>
            <w:tcW w:w="1134" w:type="dxa"/>
            <w:tcBorders>
              <w:top w:val="single" w:sz="4" w:space="0" w:color="auto"/>
              <w:bottom w:val="single" w:sz="2" w:space="0" w:color="auto"/>
            </w:tcBorders>
            <w:shd w:val="clear" w:color="000000" w:fill="F4B084"/>
            <w:noWrap/>
            <w:vAlign w:val="bottom"/>
            <w:hideMark/>
          </w:tcPr>
          <w:p w14:paraId="60BE435F" w14:textId="77777777" w:rsidR="005749C5" w:rsidRPr="00CE27A2" w:rsidRDefault="005749C5" w:rsidP="008403D8">
            <w:pPr>
              <w:spacing w:after="0"/>
              <w:ind w:firstLine="0"/>
              <w:jc w:val="right"/>
              <w:rPr>
                <w:rFonts w:ascii="Arial" w:hAnsi="Arial" w:cs="Arial"/>
                <w:color w:val="000000"/>
                <w:sz w:val="18"/>
                <w:szCs w:val="18"/>
                <w:lang w:val="es-ES" w:eastAsia="es-ES"/>
              </w:rPr>
            </w:pPr>
            <w:r w:rsidRPr="00CE27A2">
              <w:rPr>
                <w:rFonts w:ascii="Arial" w:hAnsi="Arial" w:cs="Arial"/>
                <w:color w:val="000000"/>
                <w:sz w:val="18"/>
                <w:szCs w:val="18"/>
                <w:lang w:val="es-ES" w:eastAsia="es-ES"/>
              </w:rPr>
              <w:t>Número</w:t>
            </w:r>
          </w:p>
        </w:tc>
        <w:tc>
          <w:tcPr>
            <w:tcW w:w="1134" w:type="dxa"/>
            <w:gridSpan w:val="2"/>
            <w:tcBorders>
              <w:top w:val="single" w:sz="4" w:space="0" w:color="auto"/>
              <w:bottom w:val="single" w:sz="2" w:space="0" w:color="auto"/>
            </w:tcBorders>
            <w:shd w:val="clear" w:color="000000" w:fill="F4B084"/>
            <w:noWrap/>
            <w:vAlign w:val="bottom"/>
            <w:hideMark/>
          </w:tcPr>
          <w:p w14:paraId="7E2B828D" w14:textId="77777777" w:rsidR="005749C5" w:rsidRPr="00CE27A2" w:rsidRDefault="005749C5" w:rsidP="008403D8">
            <w:pPr>
              <w:spacing w:after="0"/>
              <w:ind w:firstLine="0"/>
              <w:jc w:val="right"/>
              <w:rPr>
                <w:rFonts w:ascii="Arial" w:hAnsi="Arial" w:cs="Arial"/>
                <w:color w:val="000000"/>
                <w:sz w:val="18"/>
                <w:szCs w:val="18"/>
                <w:lang w:val="es-ES" w:eastAsia="es-ES"/>
              </w:rPr>
            </w:pPr>
            <w:r w:rsidRPr="00CE27A2">
              <w:rPr>
                <w:rFonts w:ascii="Arial" w:hAnsi="Arial" w:cs="Arial"/>
                <w:color w:val="000000"/>
                <w:sz w:val="18"/>
                <w:szCs w:val="18"/>
                <w:lang w:val="es-ES" w:eastAsia="es-ES"/>
              </w:rPr>
              <w:t>Porcentaje</w:t>
            </w:r>
          </w:p>
        </w:tc>
      </w:tr>
      <w:tr w:rsidR="005749C5" w:rsidRPr="00DA1DD4" w14:paraId="4962900D" w14:textId="77777777" w:rsidTr="002D0837">
        <w:trPr>
          <w:trHeight w:val="198"/>
        </w:trPr>
        <w:tc>
          <w:tcPr>
            <w:tcW w:w="6237" w:type="dxa"/>
            <w:shd w:val="clear" w:color="auto" w:fill="auto"/>
            <w:noWrap/>
            <w:vAlign w:val="bottom"/>
          </w:tcPr>
          <w:p w14:paraId="35A5E9AC" w14:textId="77777777" w:rsidR="005749C5" w:rsidRPr="00DA1DD4" w:rsidRDefault="005749C5" w:rsidP="00FE7991">
            <w:pPr>
              <w:spacing w:after="0"/>
              <w:ind w:firstLine="0"/>
              <w:jc w:val="left"/>
              <w:rPr>
                <w:rFonts w:ascii="Arial Narrow" w:hAnsi="Arial Narrow" w:cs="Calibri"/>
                <w:lang w:val="es-ES" w:eastAsia="es-ES"/>
              </w:rPr>
            </w:pPr>
            <w:r w:rsidRPr="00DA1DD4">
              <w:rPr>
                <w:rFonts w:ascii="Arial Narrow" w:hAnsi="Arial Narrow" w:cs="Calibri"/>
                <w:lang w:val="es-ES" w:eastAsia="es-ES"/>
              </w:rPr>
              <w:t>No aplicadas</w:t>
            </w:r>
          </w:p>
        </w:tc>
        <w:tc>
          <w:tcPr>
            <w:tcW w:w="1276" w:type="dxa"/>
            <w:gridSpan w:val="2"/>
            <w:shd w:val="clear" w:color="auto" w:fill="auto"/>
            <w:noWrap/>
            <w:vAlign w:val="bottom"/>
          </w:tcPr>
          <w:p w14:paraId="3902379D" w14:textId="77777777" w:rsidR="005749C5" w:rsidRPr="00DA1DD4" w:rsidRDefault="00DA1DD4" w:rsidP="008403D8">
            <w:pPr>
              <w:spacing w:after="0"/>
              <w:ind w:firstLine="0"/>
              <w:jc w:val="right"/>
              <w:rPr>
                <w:rFonts w:ascii="Arial Narrow" w:hAnsi="Arial Narrow" w:cs="Calibri"/>
                <w:lang w:val="es-ES" w:eastAsia="es-ES"/>
              </w:rPr>
            </w:pPr>
            <w:r>
              <w:rPr>
                <w:rFonts w:ascii="Arial Narrow" w:hAnsi="Arial Narrow" w:cs="Calibri"/>
                <w:lang w:val="es-ES" w:eastAsia="es-ES"/>
              </w:rPr>
              <w:t>11</w:t>
            </w:r>
          </w:p>
        </w:tc>
        <w:tc>
          <w:tcPr>
            <w:tcW w:w="992" w:type="dxa"/>
            <w:shd w:val="clear" w:color="auto" w:fill="auto"/>
            <w:noWrap/>
            <w:vAlign w:val="bottom"/>
          </w:tcPr>
          <w:p w14:paraId="251C4A7E" w14:textId="77777777" w:rsidR="005749C5" w:rsidRPr="00DA1DD4" w:rsidRDefault="00DA1DD4" w:rsidP="002D0837">
            <w:pPr>
              <w:spacing w:after="0"/>
              <w:ind w:firstLine="0"/>
              <w:jc w:val="right"/>
              <w:rPr>
                <w:rFonts w:ascii="Arial Narrow" w:hAnsi="Arial Narrow"/>
                <w:lang w:val="es-ES" w:eastAsia="es-ES"/>
              </w:rPr>
            </w:pPr>
            <w:r>
              <w:rPr>
                <w:rFonts w:ascii="Arial Narrow" w:hAnsi="Arial Narrow"/>
                <w:lang w:val="es-ES" w:eastAsia="es-ES"/>
              </w:rPr>
              <w:t>28</w:t>
            </w:r>
          </w:p>
        </w:tc>
      </w:tr>
      <w:tr w:rsidR="00DA1DD4" w:rsidRPr="00DA1DD4" w14:paraId="41A8E129" w14:textId="77777777" w:rsidTr="002D0837">
        <w:trPr>
          <w:trHeight w:val="198"/>
        </w:trPr>
        <w:tc>
          <w:tcPr>
            <w:tcW w:w="6237" w:type="dxa"/>
            <w:shd w:val="clear" w:color="auto" w:fill="auto"/>
            <w:noWrap/>
            <w:vAlign w:val="bottom"/>
            <w:hideMark/>
          </w:tcPr>
          <w:p w14:paraId="653D191D" w14:textId="77777777" w:rsidR="005749C5" w:rsidRPr="00DA1DD4" w:rsidRDefault="005749C5" w:rsidP="00FE7991">
            <w:pPr>
              <w:spacing w:after="0"/>
              <w:ind w:firstLine="0"/>
              <w:jc w:val="left"/>
              <w:rPr>
                <w:rFonts w:ascii="Arial Narrow" w:hAnsi="Arial Narrow" w:cs="Calibri"/>
                <w:lang w:val="es-ES" w:eastAsia="es-ES"/>
              </w:rPr>
            </w:pPr>
            <w:r w:rsidRPr="00DA1DD4">
              <w:rPr>
                <w:rFonts w:ascii="Arial Narrow" w:hAnsi="Arial Narrow" w:cs="Calibri"/>
                <w:lang w:val="es-ES" w:eastAsia="es-ES"/>
              </w:rPr>
              <w:t>Aplicadas sustancialmente</w:t>
            </w:r>
          </w:p>
        </w:tc>
        <w:tc>
          <w:tcPr>
            <w:tcW w:w="1276" w:type="dxa"/>
            <w:gridSpan w:val="2"/>
            <w:shd w:val="clear" w:color="auto" w:fill="auto"/>
            <w:noWrap/>
            <w:vAlign w:val="bottom"/>
          </w:tcPr>
          <w:p w14:paraId="73F957EE" w14:textId="77777777" w:rsidR="005749C5" w:rsidRPr="00DA1DD4" w:rsidRDefault="00DA1DD4" w:rsidP="008403D8">
            <w:pPr>
              <w:spacing w:after="0"/>
              <w:ind w:firstLine="0"/>
              <w:jc w:val="right"/>
              <w:rPr>
                <w:rFonts w:ascii="Arial Narrow" w:hAnsi="Arial Narrow" w:cs="Calibri"/>
                <w:lang w:val="es-ES" w:eastAsia="es-ES"/>
              </w:rPr>
            </w:pPr>
            <w:r>
              <w:rPr>
                <w:rFonts w:ascii="Arial Narrow" w:hAnsi="Arial Narrow" w:cs="Calibri"/>
                <w:lang w:val="es-ES" w:eastAsia="es-ES"/>
              </w:rPr>
              <w:t>17</w:t>
            </w:r>
          </w:p>
        </w:tc>
        <w:tc>
          <w:tcPr>
            <w:tcW w:w="992" w:type="dxa"/>
            <w:shd w:val="clear" w:color="auto" w:fill="auto"/>
            <w:noWrap/>
            <w:vAlign w:val="bottom"/>
          </w:tcPr>
          <w:p w14:paraId="3FAF42F7" w14:textId="77777777" w:rsidR="005749C5" w:rsidRPr="00DA1DD4" w:rsidRDefault="00DA1DD4" w:rsidP="002D0837">
            <w:pPr>
              <w:spacing w:after="0"/>
              <w:ind w:firstLine="0"/>
              <w:jc w:val="right"/>
              <w:rPr>
                <w:rFonts w:ascii="Arial Narrow" w:hAnsi="Arial Narrow"/>
                <w:lang w:val="es-ES" w:eastAsia="es-ES"/>
              </w:rPr>
            </w:pPr>
            <w:r>
              <w:rPr>
                <w:rFonts w:ascii="Arial Narrow" w:hAnsi="Arial Narrow"/>
                <w:lang w:val="es-ES" w:eastAsia="es-ES"/>
              </w:rPr>
              <w:t>44</w:t>
            </w:r>
          </w:p>
        </w:tc>
      </w:tr>
      <w:tr w:rsidR="00DA1DD4" w:rsidRPr="00DA1DD4" w14:paraId="6593BA1F" w14:textId="77777777" w:rsidTr="002D0837">
        <w:trPr>
          <w:trHeight w:val="198"/>
        </w:trPr>
        <w:tc>
          <w:tcPr>
            <w:tcW w:w="6237" w:type="dxa"/>
            <w:shd w:val="clear" w:color="auto" w:fill="auto"/>
            <w:noWrap/>
            <w:vAlign w:val="bottom"/>
            <w:hideMark/>
          </w:tcPr>
          <w:p w14:paraId="06D2BD29" w14:textId="77777777" w:rsidR="005749C5" w:rsidRPr="00DA1DD4" w:rsidRDefault="005749C5" w:rsidP="00FE7991">
            <w:pPr>
              <w:spacing w:after="0"/>
              <w:ind w:firstLine="0"/>
              <w:jc w:val="left"/>
              <w:rPr>
                <w:rFonts w:ascii="Arial Narrow" w:hAnsi="Arial Narrow" w:cs="Calibri"/>
                <w:lang w:val="es-ES" w:eastAsia="es-ES"/>
              </w:rPr>
            </w:pPr>
            <w:r w:rsidRPr="00DA1DD4">
              <w:rPr>
                <w:rFonts w:ascii="Arial Narrow" w:hAnsi="Arial Narrow" w:cs="Calibri"/>
                <w:lang w:val="es-ES" w:eastAsia="es-ES"/>
              </w:rPr>
              <w:t>Aplicadas parcialmente</w:t>
            </w:r>
          </w:p>
        </w:tc>
        <w:tc>
          <w:tcPr>
            <w:tcW w:w="1276" w:type="dxa"/>
            <w:gridSpan w:val="2"/>
            <w:shd w:val="clear" w:color="auto" w:fill="auto"/>
            <w:noWrap/>
            <w:vAlign w:val="bottom"/>
          </w:tcPr>
          <w:p w14:paraId="5DAF8A83" w14:textId="77777777" w:rsidR="005749C5" w:rsidRPr="00DA1DD4" w:rsidRDefault="00DA1DD4" w:rsidP="008403D8">
            <w:pPr>
              <w:spacing w:after="0"/>
              <w:ind w:firstLine="0"/>
              <w:jc w:val="right"/>
              <w:rPr>
                <w:rFonts w:ascii="Arial Narrow" w:hAnsi="Arial Narrow" w:cs="Calibri"/>
                <w:lang w:val="es-ES" w:eastAsia="es-ES"/>
              </w:rPr>
            </w:pPr>
            <w:r>
              <w:rPr>
                <w:rFonts w:ascii="Arial Narrow" w:hAnsi="Arial Narrow" w:cs="Calibri"/>
                <w:lang w:val="es-ES" w:eastAsia="es-ES"/>
              </w:rPr>
              <w:t>9</w:t>
            </w:r>
          </w:p>
        </w:tc>
        <w:tc>
          <w:tcPr>
            <w:tcW w:w="992" w:type="dxa"/>
            <w:shd w:val="clear" w:color="auto" w:fill="auto"/>
            <w:noWrap/>
            <w:vAlign w:val="bottom"/>
          </w:tcPr>
          <w:p w14:paraId="32619B68" w14:textId="77777777" w:rsidR="005749C5" w:rsidRPr="00DA1DD4" w:rsidRDefault="00DA1DD4" w:rsidP="002D0837">
            <w:pPr>
              <w:spacing w:after="0"/>
              <w:ind w:firstLine="0"/>
              <w:jc w:val="right"/>
              <w:rPr>
                <w:rFonts w:ascii="Arial Narrow" w:hAnsi="Arial Narrow"/>
                <w:lang w:val="es-ES" w:eastAsia="es-ES"/>
              </w:rPr>
            </w:pPr>
            <w:r>
              <w:rPr>
                <w:rFonts w:ascii="Arial Narrow" w:hAnsi="Arial Narrow"/>
                <w:lang w:val="es-ES" w:eastAsia="es-ES"/>
              </w:rPr>
              <w:t>23</w:t>
            </w:r>
          </w:p>
        </w:tc>
      </w:tr>
      <w:tr w:rsidR="005749C5" w:rsidRPr="00DA1DD4" w14:paraId="7D554D3C" w14:textId="77777777" w:rsidTr="002D0837">
        <w:trPr>
          <w:trHeight w:val="198"/>
        </w:trPr>
        <w:tc>
          <w:tcPr>
            <w:tcW w:w="6237" w:type="dxa"/>
            <w:tcBorders>
              <w:bottom w:val="single" w:sz="4" w:space="0" w:color="auto"/>
            </w:tcBorders>
            <w:shd w:val="clear" w:color="auto" w:fill="auto"/>
            <w:noWrap/>
            <w:vAlign w:val="bottom"/>
          </w:tcPr>
          <w:p w14:paraId="6F583331" w14:textId="77777777" w:rsidR="005749C5" w:rsidRPr="00DA1DD4" w:rsidRDefault="005749C5" w:rsidP="00FE7991">
            <w:pPr>
              <w:spacing w:after="0"/>
              <w:ind w:firstLine="0"/>
              <w:jc w:val="left"/>
              <w:rPr>
                <w:rFonts w:ascii="Arial Narrow" w:hAnsi="Arial Narrow" w:cs="Calibri"/>
                <w:lang w:val="es-ES" w:eastAsia="es-ES"/>
              </w:rPr>
            </w:pPr>
            <w:r w:rsidRPr="00DA1DD4">
              <w:rPr>
                <w:rFonts w:ascii="Arial Narrow" w:hAnsi="Arial Narrow" w:cs="Calibri"/>
                <w:lang w:val="es-ES" w:eastAsia="es-ES"/>
              </w:rPr>
              <w:t xml:space="preserve">Sin validez </w:t>
            </w:r>
          </w:p>
        </w:tc>
        <w:tc>
          <w:tcPr>
            <w:tcW w:w="1276" w:type="dxa"/>
            <w:gridSpan w:val="2"/>
            <w:tcBorders>
              <w:bottom w:val="single" w:sz="4" w:space="0" w:color="auto"/>
            </w:tcBorders>
            <w:shd w:val="clear" w:color="auto" w:fill="auto"/>
            <w:noWrap/>
            <w:vAlign w:val="bottom"/>
          </w:tcPr>
          <w:p w14:paraId="25B0C947" w14:textId="77777777" w:rsidR="005749C5" w:rsidRPr="00DA1DD4" w:rsidRDefault="00DA1DD4" w:rsidP="008403D8">
            <w:pPr>
              <w:spacing w:after="0"/>
              <w:ind w:firstLine="0"/>
              <w:jc w:val="right"/>
              <w:rPr>
                <w:rFonts w:ascii="Arial Narrow" w:hAnsi="Arial Narrow" w:cs="Calibri"/>
                <w:lang w:val="es-ES" w:eastAsia="es-ES"/>
              </w:rPr>
            </w:pPr>
            <w:r>
              <w:rPr>
                <w:rFonts w:ascii="Arial Narrow" w:hAnsi="Arial Narrow" w:cs="Calibri"/>
                <w:lang w:val="es-ES" w:eastAsia="es-ES"/>
              </w:rPr>
              <w:t>2</w:t>
            </w:r>
          </w:p>
        </w:tc>
        <w:tc>
          <w:tcPr>
            <w:tcW w:w="992" w:type="dxa"/>
            <w:tcBorders>
              <w:bottom w:val="single" w:sz="4" w:space="0" w:color="auto"/>
            </w:tcBorders>
            <w:shd w:val="clear" w:color="auto" w:fill="auto"/>
            <w:noWrap/>
            <w:vAlign w:val="bottom"/>
          </w:tcPr>
          <w:p w14:paraId="0A26609E" w14:textId="77777777" w:rsidR="005749C5" w:rsidRPr="00DA1DD4" w:rsidRDefault="00DA1DD4" w:rsidP="002D0837">
            <w:pPr>
              <w:spacing w:after="0"/>
              <w:ind w:firstLine="0"/>
              <w:jc w:val="right"/>
              <w:rPr>
                <w:rFonts w:ascii="Arial Narrow" w:hAnsi="Arial Narrow"/>
                <w:lang w:val="es-ES" w:eastAsia="es-ES"/>
              </w:rPr>
            </w:pPr>
            <w:r>
              <w:rPr>
                <w:rFonts w:ascii="Arial Narrow" w:hAnsi="Arial Narrow"/>
                <w:lang w:val="es-ES" w:eastAsia="es-ES"/>
              </w:rPr>
              <w:t>5</w:t>
            </w:r>
          </w:p>
        </w:tc>
      </w:tr>
      <w:tr w:rsidR="00DA1DD4" w:rsidRPr="00DA1DD4" w14:paraId="7FF99F58" w14:textId="77777777" w:rsidTr="002D0837">
        <w:trPr>
          <w:trHeight w:val="227"/>
        </w:trPr>
        <w:tc>
          <w:tcPr>
            <w:tcW w:w="6237" w:type="dxa"/>
            <w:tcBorders>
              <w:top w:val="single" w:sz="4" w:space="0" w:color="auto"/>
              <w:bottom w:val="single" w:sz="4" w:space="0" w:color="auto"/>
            </w:tcBorders>
            <w:shd w:val="clear" w:color="000000" w:fill="F4B084"/>
            <w:noWrap/>
            <w:vAlign w:val="bottom"/>
            <w:hideMark/>
          </w:tcPr>
          <w:p w14:paraId="4C80EDB5" w14:textId="77777777" w:rsidR="005749C5" w:rsidRPr="00DA1DD4" w:rsidRDefault="005749C5" w:rsidP="00FE7991">
            <w:pPr>
              <w:spacing w:after="0"/>
              <w:ind w:firstLine="0"/>
              <w:jc w:val="left"/>
              <w:rPr>
                <w:rFonts w:ascii="Arial" w:hAnsi="Arial" w:cs="Arial"/>
                <w:sz w:val="18"/>
                <w:szCs w:val="18"/>
                <w:lang w:val="es-ES" w:eastAsia="es-ES"/>
              </w:rPr>
            </w:pPr>
            <w:r w:rsidRPr="00DA1DD4">
              <w:rPr>
                <w:rFonts w:ascii="Arial" w:hAnsi="Arial" w:cs="Arial"/>
                <w:sz w:val="18"/>
                <w:szCs w:val="18"/>
                <w:lang w:val="es-ES" w:eastAsia="es-ES"/>
              </w:rPr>
              <w:t>Total</w:t>
            </w:r>
          </w:p>
        </w:tc>
        <w:tc>
          <w:tcPr>
            <w:tcW w:w="1276" w:type="dxa"/>
            <w:gridSpan w:val="2"/>
            <w:tcBorders>
              <w:top w:val="single" w:sz="4" w:space="0" w:color="auto"/>
              <w:bottom w:val="single" w:sz="4" w:space="0" w:color="auto"/>
            </w:tcBorders>
            <w:shd w:val="clear" w:color="000000" w:fill="F4B084"/>
            <w:noWrap/>
            <w:vAlign w:val="bottom"/>
          </w:tcPr>
          <w:p w14:paraId="092C1CC9" w14:textId="77777777" w:rsidR="005749C5" w:rsidRPr="00DA1DD4" w:rsidRDefault="00DA1DD4" w:rsidP="008403D8">
            <w:pPr>
              <w:spacing w:after="0"/>
              <w:ind w:firstLine="0"/>
              <w:jc w:val="right"/>
              <w:rPr>
                <w:rFonts w:ascii="Arial" w:hAnsi="Arial" w:cs="Arial"/>
                <w:sz w:val="18"/>
                <w:szCs w:val="18"/>
                <w:lang w:val="es-ES" w:eastAsia="es-ES"/>
              </w:rPr>
            </w:pPr>
            <w:r>
              <w:rPr>
                <w:rFonts w:ascii="Arial" w:hAnsi="Arial" w:cs="Arial"/>
                <w:sz w:val="18"/>
                <w:szCs w:val="18"/>
                <w:lang w:val="es-ES" w:eastAsia="es-ES"/>
              </w:rPr>
              <w:t>39</w:t>
            </w:r>
          </w:p>
        </w:tc>
        <w:tc>
          <w:tcPr>
            <w:tcW w:w="992" w:type="dxa"/>
            <w:tcBorders>
              <w:top w:val="single" w:sz="4" w:space="0" w:color="auto"/>
              <w:bottom w:val="single" w:sz="4" w:space="0" w:color="auto"/>
            </w:tcBorders>
            <w:shd w:val="clear" w:color="000000" w:fill="F4B084"/>
            <w:noWrap/>
            <w:vAlign w:val="bottom"/>
          </w:tcPr>
          <w:p w14:paraId="7C59114D" w14:textId="77777777" w:rsidR="005749C5" w:rsidRPr="00DA1DD4" w:rsidRDefault="00DA1DD4" w:rsidP="002D0837">
            <w:pPr>
              <w:spacing w:after="0"/>
              <w:ind w:firstLine="0"/>
              <w:jc w:val="right"/>
              <w:rPr>
                <w:rFonts w:ascii="Arial" w:hAnsi="Arial" w:cs="Arial"/>
                <w:sz w:val="18"/>
                <w:szCs w:val="18"/>
                <w:lang w:val="es-ES" w:eastAsia="es-ES"/>
              </w:rPr>
            </w:pPr>
            <w:r>
              <w:rPr>
                <w:rFonts w:ascii="Arial" w:hAnsi="Arial" w:cs="Arial"/>
                <w:sz w:val="18"/>
                <w:szCs w:val="18"/>
                <w:lang w:val="es-ES" w:eastAsia="es-ES"/>
              </w:rPr>
              <w:t>100</w:t>
            </w:r>
          </w:p>
        </w:tc>
      </w:tr>
    </w:tbl>
    <w:p w14:paraId="2662F439" w14:textId="77777777" w:rsidR="005749C5" w:rsidRDefault="005749C5" w:rsidP="005749C5">
      <w:pPr>
        <w:pStyle w:val="texto"/>
        <w:tabs>
          <w:tab w:val="left" w:pos="284"/>
        </w:tabs>
        <w:spacing w:after="120"/>
      </w:pPr>
    </w:p>
    <w:p w14:paraId="3D3FEEEC" w14:textId="77777777" w:rsidR="005749C5" w:rsidRDefault="005749C5" w:rsidP="005749C5">
      <w:pPr>
        <w:pStyle w:val="texto"/>
        <w:tabs>
          <w:tab w:val="left" w:pos="284"/>
        </w:tabs>
        <w:spacing w:after="120"/>
      </w:pPr>
      <w:r w:rsidRPr="0088579E">
        <w:t xml:space="preserve">Si bien hemos comprobado que determinados aspectos del control interno en materia contable y de tesorería han sido mejorados de forma razonable, no podemos concluir lo mismo en materia de legalidad, principalmente en personal, </w:t>
      </w:r>
      <w:r>
        <w:t xml:space="preserve">contratación pública y </w:t>
      </w:r>
      <w:r w:rsidR="00466CEB">
        <w:t xml:space="preserve">patrimonial, así como </w:t>
      </w:r>
      <w:r>
        <w:t xml:space="preserve">hacendística. En materia hacendística, </w:t>
      </w:r>
      <w:r w:rsidR="00A443A9">
        <w:t>má</w:t>
      </w:r>
      <w:r w:rsidR="00D16954">
        <w:t>s allá de la necesidad de contar con ordenanzas fiscales de tasas y precios públicos, destacamos</w:t>
      </w:r>
      <w:r w:rsidR="00A22403">
        <w:t xml:space="preserve"> </w:t>
      </w:r>
      <w:r>
        <w:t xml:space="preserve">en </w:t>
      </w:r>
      <w:r w:rsidR="00A22403">
        <w:t xml:space="preserve">particular </w:t>
      </w:r>
      <w:r>
        <w:t xml:space="preserve">la necesidad de llevar a cabo en tiempo y forma las correspondientes acciones de seguimiento y reclamación de determinadas deudas, que eviten </w:t>
      </w:r>
      <w:r w:rsidR="00A443A9">
        <w:t xml:space="preserve">o disminuyan el riesgo de </w:t>
      </w:r>
      <w:r>
        <w:t xml:space="preserve">prescripción. </w:t>
      </w:r>
    </w:p>
    <w:p w14:paraId="58BDA0C2" w14:textId="77777777" w:rsidR="007B38A3" w:rsidRDefault="00D66AAB" w:rsidP="00641F54">
      <w:pPr>
        <w:pStyle w:val="texto"/>
        <w:tabs>
          <w:tab w:val="clear" w:pos="2835"/>
          <w:tab w:val="clear" w:pos="3969"/>
          <w:tab w:val="clear" w:pos="5103"/>
          <w:tab w:val="clear" w:pos="6237"/>
          <w:tab w:val="clear" w:pos="7371"/>
          <w:tab w:val="left" w:pos="480"/>
        </w:tabs>
        <w:rPr>
          <w:szCs w:val="26"/>
        </w:rPr>
      </w:pPr>
      <w:r>
        <w:t>Asimismo</w:t>
      </w:r>
      <w:r w:rsidR="00562A79">
        <w:t>,</w:t>
      </w:r>
      <w:r>
        <w:t xml:space="preserve"> </w:t>
      </w:r>
      <w:r w:rsidR="00D16954" w:rsidRPr="00D16954">
        <w:t xml:space="preserve">debe contemplarse </w:t>
      </w:r>
      <w:r w:rsidR="0088579E" w:rsidRPr="00D16954">
        <w:t xml:space="preserve">el efecto que tendría en el presupuesto del ayuntamiento </w:t>
      </w:r>
      <w:r w:rsidR="00D16954" w:rsidRPr="00D16954">
        <w:t xml:space="preserve">la regularización de la actividad comercializadora en favor de la sociedad Comercializadora </w:t>
      </w:r>
      <w:proofErr w:type="spellStart"/>
      <w:r w:rsidR="00D16954" w:rsidRPr="00D16954">
        <w:t>Urdazubi</w:t>
      </w:r>
      <w:proofErr w:type="spellEnd"/>
      <w:r w:rsidR="00D16954" w:rsidRPr="00D16954">
        <w:t xml:space="preserve"> S.L.</w:t>
      </w:r>
      <w:r w:rsidR="00144866" w:rsidRPr="00144866">
        <w:rPr>
          <w:szCs w:val="26"/>
        </w:rPr>
        <w:t xml:space="preserve"> </w:t>
      </w:r>
    </w:p>
    <w:p w14:paraId="7DCD282F" w14:textId="77777777" w:rsidR="00D66AAB" w:rsidRDefault="00D66AAB" w:rsidP="005749C5">
      <w:pPr>
        <w:pStyle w:val="texto"/>
        <w:tabs>
          <w:tab w:val="left" w:pos="284"/>
        </w:tabs>
        <w:spacing w:after="120"/>
      </w:pPr>
      <w:r>
        <w:t>Por lo tanto</w:t>
      </w:r>
      <w:r w:rsidR="00562A79">
        <w:t>,</w:t>
      </w:r>
      <w:r>
        <w:t xml:space="preserve"> y de acuerdo a lo anteriormente expuesto, esta Cámara reitera la conveniencia de adoptar</w:t>
      </w:r>
      <w:r w:rsidR="00B10D20">
        <w:t xml:space="preserve"> </w:t>
      </w:r>
      <w:r>
        <w:t>las oportunas medidas con el objetivo de corregir los incumplimientos, deficiencias y debilidades puestas de manifiesto en el presente trabajo de fiscalización, todo ello en orden a la consecución de una mejora en la gestión pública.</w:t>
      </w:r>
    </w:p>
    <w:p w14:paraId="428BA0FD" w14:textId="77777777" w:rsidR="00B36099" w:rsidRPr="00B876D9" w:rsidRDefault="00B36099" w:rsidP="00B36099">
      <w:pPr>
        <w:pStyle w:val="texto"/>
      </w:pPr>
      <w:r w:rsidRPr="00B876D9">
        <w:t>Informe que se emite a propuesta de</w:t>
      </w:r>
      <w:r>
        <w:t>l</w:t>
      </w:r>
      <w:r w:rsidRPr="00B876D9">
        <w:t xml:space="preserve"> auditor </w:t>
      </w:r>
      <w:r>
        <w:t>Miguel Angel Aurrecoechea Gutiérrez</w:t>
      </w:r>
      <w:r w:rsidRPr="00B876D9">
        <w:t>, responsable de la realización de este trabajo, una vez cumplimentados los trámites previstos por la normativa vigente.</w:t>
      </w:r>
    </w:p>
    <w:p w14:paraId="01ABE4F4" w14:textId="77777777" w:rsidR="00B36099" w:rsidRPr="00166B83" w:rsidRDefault="00B36099" w:rsidP="00B36099">
      <w:pPr>
        <w:tabs>
          <w:tab w:val="center" w:pos="540"/>
          <w:tab w:val="center" w:pos="3969"/>
          <w:tab w:val="center" w:pos="5103"/>
          <w:tab w:val="center" w:pos="6237"/>
          <w:tab w:val="center" w:pos="7371"/>
        </w:tabs>
        <w:spacing w:before="280"/>
        <w:jc w:val="center"/>
        <w:rPr>
          <w:color w:val="000000" w:themeColor="text1"/>
          <w:spacing w:val="6"/>
          <w:sz w:val="26"/>
          <w:szCs w:val="24"/>
        </w:rPr>
      </w:pPr>
      <w:r w:rsidRPr="00166B83">
        <w:rPr>
          <w:color w:val="000000" w:themeColor="text1"/>
          <w:spacing w:val="6"/>
          <w:sz w:val="26"/>
          <w:szCs w:val="24"/>
        </w:rPr>
        <w:t xml:space="preserve">Pamplona, </w:t>
      </w:r>
      <w:r w:rsidR="00FA1E61">
        <w:rPr>
          <w:color w:val="000000" w:themeColor="text1"/>
          <w:spacing w:val="6"/>
          <w:sz w:val="26"/>
          <w:szCs w:val="24"/>
        </w:rPr>
        <w:t>27</w:t>
      </w:r>
      <w:r w:rsidRPr="00166B83">
        <w:rPr>
          <w:color w:val="000000" w:themeColor="text1"/>
          <w:spacing w:val="6"/>
          <w:sz w:val="26"/>
          <w:szCs w:val="24"/>
        </w:rPr>
        <w:t xml:space="preserve"> de </w:t>
      </w:r>
      <w:r w:rsidR="00BE329D">
        <w:rPr>
          <w:color w:val="000000" w:themeColor="text1"/>
          <w:spacing w:val="6"/>
          <w:sz w:val="26"/>
          <w:szCs w:val="24"/>
        </w:rPr>
        <w:t>mayo</w:t>
      </w:r>
      <w:r w:rsidRPr="00166B83">
        <w:rPr>
          <w:color w:val="000000" w:themeColor="text1"/>
          <w:spacing w:val="6"/>
          <w:sz w:val="26"/>
          <w:szCs w:val="24"/>
        </w:rPr>
        <w:t xml:space="preserve"> de 2022</w:t>
      </w:r>
    </w:p>
    <w:p w14:paraId="3A7B0C5A" w14:textId="77777777" w:rsidR="00B36099" w:rsidRPr="007B4C24" w:rsidRDefault="00B36099" w:rsidP="00B36099">
      <w:pPr>
        <w:tabs>
          <w:tab w:val="center" w:pos="6237"/>
          <w:tab w:val="center" w:pos="7371"/>
        </w:tabs>
        <w:spacing w:after="60"/>
        <w:jc w:val="center"/>
        <w:rPr>
          <w:spacing w:val="6"/>
          <w:sz w:val="26"/>
          <w:szCs w:val="24"/>
        </w:rPr>
      </w:pPr>
      <w:r>
        <w:rPr>
          <w:spacing w:val="6"/>
          <w:sz w:val="26"/>
          <w:szCs w:val="24"/>
        </w:rPr>
        <w:t>El presidente</w:t>
      </w:r>
      <w:r w:rsidRPr="007B4C24">
        <w:rPr>
          <w:spacing w:val="6"/>
          <w:sz w:val="26"/>
          <w:szCs w:val="24"/>
        </w:rPr>
        <w:t>,</w:t>
      </w:r>
      <w:r w:rsidR="0025578F">
        <w:rPr>
          <w:spacing w:val="6"/>
          <w:sz w:val="26"/>
          <w:szCs w:val="24"/>
        </w:rPr>
        <w:t xml:space="preserve"> </w:t>
      </w:r>
      <w:r>
        <w:rPr>
          <w:spacing w:val="6"/>
          <w:sz w:val="26"/>
          <w:szCs w:val="24"/>
        </w:rPr>
        <w:t>Ignacio Cabeza del Salvador</w:t>
      </w:r>
      <w:r w:rsidRPr="007B4C24">
        <w:rPr>
          <w:spacing w:val="6"/>
          <w:sz w:val="26"/>
          <w:szCs w:val="24"/>
        </w:rPr>
        <w:t xml:space="preserve"> </w:t>
      </w:r>
    </w:p>
    <w:bookmarkEnd w:id="7"/>
    <w:bookmarkEnd w:id="8"/>
    <w:bookmarkEnd w:id="9"/>
    <w:bookmarkEnd w:id="10"/>
    <w:bookmarkEnd w:id="11"/>
    <w:bookmarkEnd w:id="12"/>
    <w:p w14:paraId="1D95BCE1" w14:textId="77777777" w:rsidR="00B36099" w:rsidRDefault="00B36099" w:rsidP="005749C5">
      <w:pPr>
        <w:pStyle w:val="texto"/>
        <w:tabs>
          <w:tab w:val="left" w:pos="284"/>
        </w:tabs>
        <w:spacing w:after="120"/>
      </w:pPr>
    </w:p>
    <w:p w14:paraId="147BC89A" w14:textId="77777777" w:rsidR="007D5958" w:rsidRDefault="007D5958">
      <w:pPr>
        <w:spacing w:after="0"/>
        <w:ind w:firstLine="0"/>
        <w:jc w:val="left"/>
        <w:rPr>
          <w:spacing w:val="6"/>
          <w:sz w:val="26"/>
          <w:szCs w:val="24"/>
        </w:rPr>
      </w:pPr>
      <w:r>
        <w:br w:type="page"/>
      </w:r>
    </w:p>
    <w:p w14:paraId="6BCB6CA5" w14:textId="77777777" w:rsidR="007D5958" w:rsidRDefault="007D5958" w:rsidP="005749C5">
      <w:pPr>
        <w:pStyle w:val="texto"/>
        <w:tabs>
          <w:tab w:val="left" w:pos="284"/>
        </w:tabs>
        <w:spacing w:after="120"/>
      </w:pPr>
    </w:p>
    <w:p w14:paraId="7613F8B0" w14:textId="77777777" w:rsidR="007D5958" w:rsidRDefault="007D5958" w:rsidP="007D5958">
      <w:pPr>
        <w:pStyle w:val="atitulo1"/>
        <w:rPr>
          <w:rFonts w:eastAsiaTheme="minorHAnsi"/>
          <w:sz w:val="32"/>
          <w:szCs w:val="32"/>
        </w:rPr>
      </w:pPr>
    </w:p>
    <w:p w14:paraId="773876CA" w14:textId="77777777" w:rsidR="007D5958" w:rsidRPr="007D5958" w:rsidRDefault="007D5958" w:rsidP="007D5958">
      <w:pPr>
        <w:pStyle w:val="atitulo1"/>
        <w:rPr>
          <w:rFonts w:eastAsiaTheme="minorHAnsi"/>
        </w:rPr>
      </w:pPr>
      <w:bookmarkStart w:id="31" w:name="_Toc515350040"/>
      <w:bookmarkStart w:id="32" w:name="_Toc103773744"/>
      <w:r w:rsidRPr="007D5958">
        <w:rPr>
          <w:rFonts w:eastAsiaTheme="minorHAnsi"/>
        </w:rPr>
        <w:t>Alegaciones al informe provisional</w:t>
      </w:r>
      <w:bookmarkEnd w:id="31"/>
      <w:bookmarkEnd w:id="32"/>
    </w:p>
    <w:p w14:paraId="4C321127" w14:textId="77777777" w:rsidR="00984031" w:rsidRDefault="00984031">
      <w:pPr>
        <w:spacing w:after="0"/>
        <w:ind w:firstLine="0"/>
        <w:jc w:val="left"/>
        <w:sectPr w:rsidR="00984031" w:rsidSect="00F50A0F">
          <w:headerReference w:type="even" r:id="rId13"/>
          <w:footerReference w:type="default" r:id="rId14"/>
          <w:type w:val="oddPage"/>
          <w:pgSz w:w="11907" w:h="16840" w:code="9"/>
          <w:pgMar w:top="2109" w:right="1758" w:bottom="1644" w:left="1559" w:header="369" w:footer="136" w:gutter="0"/>
          <w:pgNumType w:start="3"/>
          <w:cols w:space="720"/>
          <w:docGrid w:linePitch="360"/>
        </w:sectPr>
      </w:pPr>
    </w:p>
    <w:p w14:paraId="37C8E30E" w14:textId="77777777" w:rsidR="00E503C5" w:rsidRDefault="00E503C5" w:rsidP="00E503C5">
      <w:pPr>
        <w:pStyle w:val="atitulo1"/>
      </w:pPr>
      <w:bookmarkStart w:id="33" w:name="_Toc515350041"/>
      <w:bookmarkStart w:id="34" w:name="_Toc103773745"/>
      <w:r>
        <w:lastRenderedPageBreak/>
        <w:t>Contestación de la Cámara de Comptos a las alegaciones presentadas al informe provisional</w:t>
      </w:r>
      <w:bookmarkEnd w:id="33"/>
      <w:bookmarkEnd w:id="34"/>
    </w:p>
    <w:p w14:paraId="30BB5A6B" w14:textId="77777777" w:rsidR="00E503C5" w:rsidRPr="00E503C5" w:rsidRDefault="00E503C5" w:rsidP="00E503C5">
      <w:pPr>
        <w:ind w:firstLine="336"/>
        <w:rPr>
          <w:sz w:val="26"/>
          <w:szCs w:val="26"/>
        </w:rPr>
      </w:pPr>
      <w:r w:rsidRPr="00E503C5">
        <w:rPr>
          <w:sz w:val="26"/>
          <w:szCs w:val="26"/>
        </w:rPr>
        <w:t xml:space="preserve">Agradecemos al alcalde del Ayuntamiento de </w:t>
      </w:r>
      <w:proofErr w:type="spellStart"/>
      <w:r w:rsidRPr="00E503C5">
        <w:rPr>
          <w:sz w:val="26"/>
          <w:szCs w:val="26"/>
        </w:rPr>
        <w:t>Urdazubi</w:t>
      </w:r>
      <w:proofErr w:type="spellEnd"/>
      <w:r w:rsidRPr="00E503C5">
        <w:rPr>
          <w:sz w:val="26"/>
          <w:szCs w:val="26"/>
        </w:rPr>
        <w:t>-Urdax las alegaciones que nos han presentado. Estas alegaciones se incorporan al informe provisional y se eleva este a definitivo, indicando lo siguiente:</w:t>
      </w:r>
    </w:p>
    <w:p w14:paraId="1E88758B" w14:textId="77777777" w:rsidR="00E503C5" w:rsidRPr="00E503C5" w:rsidRDefault="00E503C5" w:rsidP="00E503C5">
      <w:pPr>
        <w:pStyle w:val="Prrafodelista"/>
        <w:numPr>
          <w:ilvl w:val="0"/>
          <w:numId w:val="6"/>
        </w:numPr>
        <w:spacing w:after="240"/>
        <w:ind w:left="731" w:hanging="357"/>
        <w:rPr>
          <w:sz w:val="26"/>
          <w:szCs w:val="26"/>
        </w:rPr>
      </w:pPr>
      <w:r w:rsidRPr="00E503C5">
        <w:rPr>
          <w:sz w:val="26"/>
          <w:szCs w:val="26"/>
        </w:rPr>
        <w:t>Se ha atendido la alegación 6. Operaciones no presupuestarias en relación al saldo acreedor pendiente de 4.317 euros, modificando el apartado correspondiente del informe.</w:t>
      </w:r>
    </w:p>
    <w:p w14:paraId="74121196" w14:textId="77777777" w:rsidR="00E503C5" w:rsidRPr="00E503C5" w:rsidRDefault="00E503C5" w:rsidP="00E503C5">
      <w:pPr>
        <w:pStyle w:val="Prrafodelista"/>
        <w:numPr>
          <w:ilvl w:val="0"/>
          <w:numId w:val="6"/>
        </w:numPr>
        <w:spacing w:after="240"/>
        <w:ind w:left="731" w:hanging="357"/>
        <w:rPr>
          <w:sz w:val="26"/>
          <w:szCs w:val="26"/>
        </w:rPr>
      </w:pPr>
      <w:r w:rsidRPr="00E503C5">
        <w:rPr>
          <w:sz w:val="26"/>
          <w:szCs w:val="26"/>
        </w:rPr>
        <w:t>Se ha atendido la alegación 9.1 Exacción del Impuesto Especial sobre electricidad, modificando los apartados correspondientes del informe.</w:t>
      </w:r>
    </w:p>
    <w:p w14:paraId="74399B41" w14:textId="77777777" w:rsidR="00E503C5" w:rsidRPr="00E503C5" w:rsidRDefault="00E503C5" w:rsidP="00E503C5">
      <w:pPr>
        <w:pStyle w:val="Prrafodelista"/>
        <w:numPr>
          <w:ilvl w:val="0"/>
          <w:numId w:val="6"/>
        </w:numPr>
        <w:ind w:left="732"/>
        <w:rPr>
          <w:sz w:val="26"/>
          <w:szCs w:val="26"/>
        </w:rPr>
      </w:pPr>
      <w:r w:rsidRPr="00E503C5">
        <w:rPr>
          <w:sz w:val="26"/>
          <w:szCs w:val="26"/>
        </w:rPr>
        <w:t>El resto de alegaciones consideramos que constituyen una explicación de los resultados de la fiscalización realizada y por lo tanto no alteran su contenido.</w:t>
      </w:r>
    </w:p>
    <w:p w14:paraId="6105FEE1" w14:textId="77777777" w:rsidR="00E503C5" w:rsidRPr="00E503C5" w:rsidRDefault="00E503C5" w:rsidP="00E503C5">
      <w:pPr>
        <w:pStyle w:val="texto"/>
        <w:spacing w:before="240" w:after="0"/>
        <w:jc w:val="center"/>
        <w:rPr>
          <w:szCs w:val="26"/>
        </w:rPr>
      </w:pPr>
      <w:r w:rsidRPr="00E503C5">
        <w:rPr>
          <w:szCs w:val="26"/>
        </w:rPr>
        <w:t xml:space="preserve">Pamplona, </w:t>
      </w:r>
      <w:r w:rsidR="00FA1E61">
        <w:rPr>
          <w:szCs w:val="26"/>
        </w:rPr>
        <w:t>27</w:t>
      </w:r>
      <w:r w:rsidRPr="00E503C5">
        <w:rPr>
          <w:szCs w:val="26"/>
        </w:rPr>
        <w:t xml:space="preserve"> de mayo de 2022</w:t>
      </w:r>
    </w:p>
    <w:p w14:paraId="3E0FD7BA" w14:textId="77777777" w:rsidR="00E503C5" w:rsidRPr="00E503C5" w:rsidRDefault="00E503C5" w:rsidP="00E503C5">
      <w:pPr>
        <w:pStyle w:val="texto"/>
        <w:jc w:val="center"/>
        <w:rPr>
          <w:rFonts w:eastAsiaTheme="minorHAnsi"/>
          <w:szCs w:val="26"/>
        </w:rPr>
      </w:pPr>
      <w:r w:rsidRPr="00E503C5">
        <w:rPr>
          <w:szCs w:val="26"/>
        </w:rPr>
        <w:t>El presidente, Ignacio Cabeza del Salvador</w:t>
      </w:r>
    </w:p>
    <w:p w14:paraId="00D3DA2F" w14:textId="77777777" w:rsidR="00E503C5" w:rsidRDefault="00E503C5" w:rsidP="00E503C5">
      <w:pPr>
        <w:pStyle w:val="texto"/>
        <w:jc w:val="center"/>
        <w:rPr>
          <w:rFonts w:eastAsiaTheme="minorHAnsi"/>
          <w:szCs w:val="26"/>
        </w:rPr>
      </w:pPr>
    </w:p>
    <w:p w14:paraId="5A65E7DB" w14:textId="77777777" w:rsidR="00E503C5" w:rsidRDefault="00E503C5" w:rsidP="00E503C5">
      <w:pPr>
        <w:pStyle w:val="texto"/>
        <w:jc w:val="center"/>
        <w:rPr>
          <w:rFonts w:eastAsiaTheme="minorHAnsi"/>
          <w:szCs w:val="26"/>
        </w:rPr>
      </w:pPr>
    </w:p>
    <w:p w14:paraId="127CB1E7" w14:textId="77777777" w:rsidR="007D5958" w:rsidRDefault="007D5958" w:rsidP="005749C5">
      <w:pPr>
        <w:pStyle w:val="texto"/>
        <w:tabs>
          <w:tab w:val="left" w:pos="284"/>
        </w:tabs>
        <w:spacing w:after="120"/>
      </w:pPr>
    </w:p>
    <w:sectPr w:rsidR="007D5958" w:rsidSect="00984031">
      <w:footerReference w:type="default" r:id="rId15"/>
      <w:pgSz w:w="11907" w:h="16840" w:code="9"/>
      <w:pgMar w:top="2109" w:right="1758"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9AAB" w14:textId="77777777" w:rsidR="003F2998" w:rsidRDefault="003F2998">
      <w:r>
        <w:separator/>
      </w:r>
    </w:p>
    <w:p w14:paraId="677F4778" w14:textId="77777777" w:rsidR="003F2998" w:rsidRDefault="003F2998"/>
    <w:p w14:paraId="18E5AD06" w14:textId="77777777" w:rsidR="003F2998" w:rsidRDefault="003F2998"/>
    <w:p w14:paraId="3E2B7E45" w14:textId="77777777" w:rsidR="003F2998" w:rsidRDefault="003F2998"/>
  </w:endnote>
  <w:endnote w:type="continuationSeparator" w:id="0">
    <w:p w14:paraId="5191B7D5" w14:textId="77777777" w:rsidR="003F2998" w:rsidRDefault="003F2998">
      <w:r>
        <w:continuationSeparator/>
      </w:r>
    </w:p>
    <w:p w14:paraId="5E46484F" w14:textId="77777777" w:rsidR="003F2998" w:rsidRDefault="003F2998"/>
    <w:p w14:paraId="4950E80C" w14:textId="77777777" w:rsidR="003F2998" w:rsidRDefault="003F2998"/>
    <w:p w14:paraId="3FE2FD09" w14:textId="77777777" w:rsidR="003F2998" w:rsidRDefault="003F2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variable"/>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rajan">
    <w:altName w:val="Cambria"/>
    <w:panose1 w:val="00000000000000000000"/>
    <w:charset w:val="00"/>
    <w:family w:val="roman"/>
    <w:notTrueType/>
    <w:pitch w:val="variable"/>
    <w:sig w:usb0="00000003" w:usb1="00000000" w:usb2="00000000" w:usb3="00000000" w:csb0="00000001" w:csb1="00000000"/>
  </w:font>
  <w:font w:name="Century-Book">
    <w:altName w:val="Centur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E4F5" w14:textId="77777777" w:rsidR="003F2998" w:rsidRDefault="003F299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134E4" w14:textId="77777777" w:rsidR="003F2998" w:rsidRDefault="003F2998"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7871" w14:textId="77777777" w:rsidR="003F2998" w:rsidRPr="00F03814" w:rsidRDefault="003F299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46E0641" wp14:editId="2BF2AA41">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E0C720D" w14:textId="77777777" w:rsidR="003F2998" w:rsidRPr="00F74E38" w:rsidRDefault="003F2998" w:rsidP="00F03814">
    <w:pPr>
      <w:pStyle w:val="Piedepgina"/>
      <w:tabs>
        <w:tab w:val="clear" w:pos="4252"/>
        <w:tab w:val="clear" w:pos="8504"/>
        <w:tab w:val="center" w:pos="4560"/>
      </w:tabs>
      <w:ind w:right="360"/>
      <w:jc w:val="left"/>
      <w:rPr>
        <w:rStyle w:val="Nmerodepgina"/>
      </w:rPr>
    </w:pPr>
  </w:p>
  <w:p w14:paraId="5E801EE2" w14:textId="77777777" w:rsidR="003F2998" w:rsidRPr="00C13453" w:rsidRDefault="003F2998"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187" w14:textId="77777777" w:rsidR="003F2998" w:rsidRDefault="003F2998"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2AE2" w14:textId="77777777" w:rsidR="003F2998" w:rsidRPr="00F03814" w:rsidRDefault="003F299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D93FD43" wp14:editId="1167CB75">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A1E61">
      <w:rPr>
        <w:rStyle w:val="Nmerodepgina"/>
        <w:noProof/>
        <w:szCs w:val="24"/>
      </w:rPr>
      <w:t>3</w:t>
    </w:r>
    <w:r w:rsidRPr="001D4F09">
      <w:rPr>
        <w:rStyle w:val="Nmerodepgina"/>
        <w:szCs w:val="24"/>
      </w:rPr>
      <w:fldChar w:fldCharType="end"/>
    </w:r>
    <w:r w:rsidRPr="001D4F09">
      <w:rPr>
        <w:rStyle w:val="Nmerodepgina"/>
        <w:szCs w:val="24"/>
      </w:rPr>
      <w:t xml:space="preserve"> -</w:t>
    </w:r>
  </w:p>
  <w:p w14:paraId="6FA3EBDA" w14:textId="77777777" w:rsidR="003F2998" w:rsidRPr="00C13453" w:rsidRDefault="003F2998" w:rsidP="00D2472C">
    <w:pPr>
      <w:pStyle w:val="BorradorProvisional"/>
      <w:ind w:left="0"/>
      <w:jc w:val="center"/>
    </w:pPr>
  </w:p>
  <w:p w14:paraId="7E9BFC88" w14:textId="77777777" w:rsidR="003F2998" w:rsidRDefault="003F299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3F02" w14:textId="77777777" w:rsidR="00984031" w:rsidRPr="00F03814" w:rsidRDefault="0098403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5F5125B" wp14:editId="35CE1882">
          <wp:extent cx="213100"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0BD4DDBC" w14:textId="77777777" w:rsidR="00984031" w:rsidRPr="00C13453" w:rsidRDefault="00984031" w:rsidP="00D2472C">
    <w:pPr>
      <w:pStyle w:val="BorradorProvisional"/>
      <w:ind w:left="0"/>
      <w:jc w:val="center"/>
    </w:pPr>
  </w:p>
  <w:p w14:paraId="004B3D02" w14:textId="77777777" w:rsidR="00984031" w:rsidRDefault="009840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1F47" w14:textId="77777777" w:rsidR="003F2998" w:rsidRDefault="003F2998">
      <w:r>
        <w:separator/>
      </w:r>
    </w:p>
  </w:footnote>
  <w:footnote w:type="continuationSeparator" w:id="0">
    <w:p w14:paraId="5934BB8E" w14:textId="77777777" w:rsidR="003F2998" w:rsidRDefault="003F2998">
      <w:r>
        <w:continuationSeparator/>
      </w:r>
    </w:p>
    <w:p w14:paraId="570C0D94" w14:textId="77777777" w:rsidR="003F2998" w:rsidRDefault="003F2998"/>
    <w:p w14:paraId="0471BC30" w14:textId="77777777" w:rsidR="003F2998" w:rsidRDefault="003F2998"/>
    <w:p w14:paraId="1A4D339D" w14:textId="77777777" w:rsidR="003F2998" w:rsidRDefault="003F2998"/>
  </w:footnote>
  <w:footnote w:id="1">
    <w:p w14:paraId="3E8EF8D6" w14:textId="77777777" w:rsidR="003F2998" w:rsidRDefault="003F2998" w:rsidP="00F80BBF">
      <w:pPr>
        <w:pStyle w:val="Textonotapie"/>
        <w:ind w:firstLine="0"/>
      </w:pPr>
      <w:r>
        <w:rPr>
          <w:rStyle w:val="Refdenotaalpie"/>
        </w:rPr>
        <w:footnoteRef/>
      </w:r>
      <w:r>
        <w:t xml:space="preserve"> Empresa productora hidroeléctrica creada en 1944 y desaparecida en 1991 en un proceso de fusión por absorción mercantil, dando lugar a Iberdrola.</w:t>
      </w:r>
    </w:p>
  </w:footnote>
  <w:footnote w:id="2">
    <w:p w14:paraId="0DECF9C5" w14:textId="77777777" w:rsidR="003F2998" w:rsidRDefault="003F2998" w:rsidP="00F80BBF">
      <w:pPr>
        <w:pStyle w:val="Textonotapie"/>
        <w:tabs>
          <w:tab w:val="left" w:pos="142"/>
        </w:tabs>
        <w:ind w:firstLine="0"/>
      </w:pPr>
      <w:r>
        <w:rPr>
          <w:rStyle w:val="Refdenotaalpie"/>
        </w:rPr>
        <w:footnoteRef/>
      </w:r>
      <w:r>
        <w:t xml:space="preserve"> La compra la realiza a </w:t>
      </w:r>
      <w:r w:rsidRPr="002D4044">
        <w:t xml:space="preserve">una multinacional comercializadora de luz originaria de Francia que genera, suministra y distribuye electricidad en Francia y el resto de Europa, siendo </w:t>
      </w:r>
      <w:r>
        <w:t>e</w:t>
      </w:r>
      <w:r w:rsidRPr="002D4044">
        <w:t>l principal productor de la región.</w:t>
      </w:r>
    </w:p>
    <w:p w14:paraId="5736ADBE" w14:textId="77777777" w:rsidR="003F2998" w:rsidRDefault="003F2998" w:rsidP="005749C5">
      <w:pPr>
        <w:pStyle w:val="Textonotapie"/>
      </w:pPr>
    </w:p>
  </w:footnote>
  <w:footnote w:id="3">
    <w:p w14:paraId="67B42E2F" w14:textId="77777777" w:rsidR="003F2998" w:rsidRDefault="003F2998" w:rsidP="00477EC1">
      <w:pPr>
        <w:pStyle w:val="Textonotapie"/>
        <w:ind w:firstLine="0"/>
      </w:pPr>
      <w:r>
        <w:rPr>
          <w:rStyle w:val="Refdenotaalpie"/>
        </w:rPr>
        <w:footnoteRef/>
      </w:r>
      <w:r>
        <w:t xml:space="preserve"> </w:t>
      </w:r>
      <w:r>
        <w:rPr>
          <w:rFonts w:eastAsia="Calibri"/>
          <w:szCs w:val="26"/>
          <w:lang w:eastAsia="es-ES"/>
        </w:rPr>
        <w:t xml:space="preserve">Modificación integral del abastecimiento de agua potable del Municipio de </w:t>
      </w:r>
      <w:r>
        <w:rPr>
          <w:rFonts w:eastAsia="Calibri"/>
          <w:szCs w:val="26"/>
          <w:lang w:eastAsia="es-ES"/>
        </w:rPr>
        <w:t>Urdazubi-Urdax.</w:t>
      </w:r>
    </w:p>
  </w:footnote>
  <w:footnote w:id="4">
    <w:p w14:paraId="065CAAF4" w14:textId="77777777" w:rsidR="003F2998" w:rsidRDefault="003F2998" w:rsidP="00477EC1">
      <w:pPr>
        <w:pStyle w:val="Textonotapie"/>
        <w:ind w:firstLine="0"/>
      </w:pPr>
      <w:r>
        <w:rPr>
          <w:rStyle w:val="Refdenotaalpie"/>
        </w:rPr>
        <w:footnoteRef/>
      </w:r>
      <w:r>
        <w:t xml:space="preserve"> Ley Foral 18/2016, de 13 de diciembre, reguladora del Plan de Inversiones Locales 2017-2019.</w:t>
      </w:r>
    </w:p>
  </w:footnote>
  <w:footnote w:id="5">
    <w:p w14:paraId="2C16F901" w14:textId="77777777" w:rsidR="003F2998" w:rsidRDefault="003F2998" w:rsidP="00477EC1">
      <w:pPr>
        <w:pStyle w:val="Textonotapie"/>
        <w:ind w:firstLine="0"/>
      </w:pPr>
      <w:r>
        <w:rPr>
          <w:rStyle w:val="Refdenotaalpie"/>
        </w:rPr>
        <w:footnoteRef/>
      </w:r>
      <w:r>
        <w:t xml:space="preserve"> La Ley Foral 22/2020 de 29 de diciembre, con entrada en vigor el 1 de enero de 2021, modifica el citado artículo permitiendo la no publicación en el BON, siempre que se prevea en las Bases de Ejecución del Presupuesto. En las Bases de Ejecución del Presupuesto para 2021, el ayuntamiento ha previsto esta excepción.</w:t>
      </w:r>
    </w:p>
  </w:footnote>
  <w:footnote w:id="6">
    <w:p w14:paraId="085B7535" w14:textId="77777777" w:rsidR="003F2998" w:rsidRDefault="003F2998" w:rsidP="00477EC1">
      <w:pPr>
        <w:pStyle w:val="Textonotapie"/>
        <w:ind w:firstLine="0"/>
      </w:pPr>
      <w:r>
        <w:rPr>
          <w:rStyle w:val="Refdenotaalpie"/>
        </w:rPr>
        <w:footnoteRef/>
      </w:r>
      <w:r>
        <w:t xml:space="preserve"> En la Sentencia se establecía que la exclusión del personal contratado en régimen administrativo en el reconocimiento de la retribución correspondiente al grado incurría en vulneración de la Directiva 1999/70/CE.</w:t>
      </w:r>
    </w:p>
  </w:footnote>
  <w:footnote w:id="7">
    <w:p w14:paraId="37AC1D90" w14:textId="77777777" w:rsidR="003F2998" w:rsidRDefault="003F2998" w:rsidP="00477EC1">
      <w:pPr>
        <w:pStyle w:val="Textonotapie"/>
        <w:ind w:firstLine="0"/>
      </w:pPr>
      <w:r>
        <w:rPr>
          <w:rStyle w:val="Refdenotaalpie"/>
        </w:rPr>
        <w:footnoteRef/>
      </w:r>
      <w:r>
        <w:t xml:space="preserve"> Asesoramiento urbanístico, publicidad institucional y actividades culturales, fontanería y servicios profesionales de abogados.</w:t>
      </w:r>
    </w:p>
  </w:footnote>
  <w:footnote w:id="8">
    <w:p w14:paraId="60F6F6B3" w14:textId="77777777" w:rsidR="003F2998" w:rsidRDefault="003F2998" w:rsidP="002D0837">
      <w:pPr>
        <w:pStyle w:val="Textonotapie"/>
        <w:ind w:firstLine="0"/>
      </w:pPr>
      <w:r>
        <w:rPr>
          <w:rStyle w:val="Refdenotaalpie"/>
        </w:rPr>
        <w:footnoteRef/>
      </w:r>
      <w:r>
        <w:t xml:space="preserve"> Esta obra se licitó en septiembre de 2017 de conformidad con la Ley Foral 6/2006 de Contratos, marco legal vigente en ese momento, si bien su ejecución y liquidación se realizó en 2018</w:t>
      </w:r>
    </w:p>
  </w:footnote>
  <w:footnote w:id="9">
    <w:p w14:paraId="7D63259D" w14:textId="77777777" w:rsidR="003F2998" w:rsidRDefault="003F2998" w:rsidP="002D0837">
      <w:pPr>
        <w:pStyle w:val="Textonotapie"/>
        <w:ind w:firstLine="0"/>
      </w:pPr>
      <w:r>
        <w:rPr>
          <w:rStyle w:val="Refdenotaalpie"/>
        </w:rPr>
        <w:footnoteRef/>
      </w:r>
      <w:r>
        <w:t xml:space="preserve"> El presupuesto inicial era inferior al valor estimado de 40.000 euros para su tramitación inicial como contrato de menor cuantía. </w:t>
      </w:r>
    </w:p>
  </w:footnote>
  <w:footnote w:id="10">
    <w:p w14:paraId="5FA6EA26" w14:textId="77777777" w:rsidR="003F2998" w:rsidRDefault="003F2998" w:rsidP="006C4E60">
      <w:pPr>
        <w:pStyle w:val="Textonotapie"/>
        <w:ind w:firstLine="0"/>
      </w:pPr>
      <w:r>
        <w:rPr>
          <w:rStyle w:val="Refdenotaalpie"/>
        </w:rPr>
        <w:footnoteRef/>
      </w:r>
      <w:r>
        <w:t xml:space="preserve"> Marco legal vigente en el momento de licitación del contrato de obra</w:t>
      </w:r>
    </w:p>
  </w:footnote>
  <w:footnote w:id="11">
    <w:p w14:paraId="2171A639" w14:textId="77777777" w:rsidR="003F2998" w:rsidRPr="00496DC1" w:rsidRDefault="003F2998" w:rsidP="006C4E60">
      <w:pPr>
        <w:pStyle w:val="Textonotapie"/>
        <w:ind w:firstLine="0"/>
      </w:pPr>
      <w:r>
        <w:rPr>
          <w:rStyle w:val="Refdenotaalpie"/>
        </w:rPr>
        <w:footnoteRef/>
      </w:r>
      <w:r>
        <w:t xml:space="preserve"> Posteriormente el Tribunal Constitucional ha vuelto a emitir una nueva </w:t>
      </w:r>
      <w:r w:rsidRPr="00496DC1">
        <w:rPr>
          <w:bCs/>
        </w:rPr>
        <w:t xml:space="preserve">sentencia </w:t>
      </w:r>
      <w:r>
        <w:rPr>
          <w:bCs/>
        </w:rPr>
        <w:t>el 26 de octubre de 2021 (Sentencia</w:t>
      </w:r>
      <w:r w:rsidRPr="00496DC1">
        <w:rPr>
          <w:bCs/>
        </w:rPr>
        <w:t xml:space="preserve"> </w:t>
      </w:r>
      <w:r>
        <w:rPr>
          <w:bCs/>
        </w:rPr>
        <w:t>TC 182/2021).</w:t>
      </w:r>
    </w:p>
  </w:footnote>
  <w:footnote w:id="12">
    <w:p w14:paraId="20029A32" w14:textId="77777777" w:rsidR="003F2998" w:rsidRDefault="003F2998" w:rsidP="006C4E60">
      <w:pPr>
        <w:pStyle w:val="Textonotapie"/>
        <w:ind w:firstLine="0"/>
      </w:pPr>
      <w:r>
        <w:rPr>
          <w:rStyle w:val="Refdenotaalpie"/>
        </w:rPr>
        <w:footnoteRef/>
      </w:r>
      <w:r>
        <w:t xml:space="preserve"> www.ancert.com</w:t>
      </w:r>
    </w:p>
  </w:footnote>
  <w:footnote w:id="13">
    <w:p w14:paraId="1EE24091" w14:textId="77777777" w:rsidR="003F2998" w:rsidRDefault="003F2998" w:rsidP="006C4E60">
      <w:pPr>
        <w:pStyle w:val="Textonotapie"/>
        <w:ind w:firstLine="0"/>
      </w:pPr>
      <w:r>
        <w:rPr>
          <w:rStyle w:val="Refdenotaalpie"/>
        </w:rPr>
        <w:footnoteRef/>
      </w:r>
      <w:r>
        <w:t xml:space="preserve"> Servidor web seguro de la Agencia Notarial de Certificación, empresa tecnológica del Consejo General del Notariado, se procesa con las debidas garantías de certificado digital.</w:t>
      </w:r>
    </w:p>
  </w:footnote>
  <w:footnote w:id="14">
    <w:p w14:paraId="68D3AA54" w14:textId="77777777" w:rsidR="003F2998" w:rsidRDefault="003F2998" w:rsidP="0025578F">
      <w:pPr>
        <w:pStyle w:val="Textonotapie"/>
        <w:ind w:firstLine="0"/>
      </w:pPr>
      <w:r>
        <w:rPr>
          <w:rStyle w:val="Refdenotaalpie"/>
        </w:rPr>
        <w:footnoteRef/>
      </w:r>
      <w:r>
        <w:t xml:space="preserve"> </w:t>
      </w:r>
      <w:r w:rsidRPr="00076CF1">
        <w:rPr>
          <w:szCs w:val="26"/>
        </w:rPr>
        <w:t>Orden HAC/172/2021, de 25 de febrero, por la que se establecen la estructura y el funcionamiento del censo de obligados tributarios por el Impuesto Especial sobre la Electricidad, se aprueba el modelo 560, "Impuesto Especial sobre la Electricidad. Autoliquidación", y se determinan la forma y el procedimiento para su presentación</w:t>
      </w:r>
      <w:r>
        <w:rPr>
          <w:szCs w:val="26"/>
        </w:rPr>
        <w:t>.</w:t>
      </w:r>
    </w:p>
  </w:footnote>
  <w:footnote w:id="15">
    <w:p w14:paraId="1B3A4670" w14:textId="77777777" w:rsidR="003F2998" w:rsidRDefault="003F2998" w:rsidP="002D0837">
      <w:pPr>
        <w:pStyle w:val="Textonotapie"/>
        <w:ind w:firstLine="0"/>
      </w:pPr>
      <w:r>
        <w:rPr>
          <w:rStyle w:val="Refdenotaalpie"/>
        </w:rPr>
        <w:footnoteRef/>
      </w:r>
      <w:r>
        <w:t xml:space="preserve"> Párrafo modificado por el contenido de la alegación 9.1. Exacción del Impuesto Especial sobre la electricidad.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2046" w14:textId="77777777" w:rsidR="003F2998" w:rsidRDefault="003F2998"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C66DAC9" wp14:editId="60E3F655">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24C2C2C0" w14:textId="77777777" w:rsidR="003F2998" w:rsidRDefault="003F2998" w:rsidP="00891D73">
    <w:pPr>
      <w:pStyle w:val="Encabezado"/>
      <w:pBdr>
        <w:bottom w:val="single" w:sz="4" w:space="1" w:color="auto"/>
      </w:pBdr>
      <w:ind w:firstLine="0"/>
      <w:rPr>
        <w:lang w:val="es-ES"/>
      </w:rPr>
    </w:pPr>
    <w:r>
      <w:rPr>
        <w:lang w:val="es-ES"/>
      </w:rPr>
      <w:t xml:space="preserve">informe de fiscalización SOBRE seguimiento de recomendaciones del </w:t>
    </w:r>
  </w:p>
  <w:p w14:paraId="5EB5F563" w14:textId="77777777" w:rsidR="003F2998" w:rsidRPr="0059650E" w:rsidRDefault="003F2998" w:rsidP="00891D73">
    <w:pPr>
      <w:pStyle w:val="Encabezado"/>
      <w:pBdr>
        <w:bottom w:val="single" w:sz="4" w:space="1" w:color="auto"/>
      </w:pBdr>
      <w:ind w:firstLine="0"/>
      <w:rPr>
        <w:lang w:val="es-ES"/>
      </w:rPr>
    </w:pPr>
    <w:r>
      <w:rPr>
        <w:lang w:val="es-ES"/>
      </w:rPr>
      <w:t>ayuntamiento de Urdazubi-urdax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FE7D" w14:textId="77777777" w:rsidR="003F2998" w:rsidRDefault="003F2998" w:rsidP="006A2D41">
    <w:pPr>
      <w:pStyle w:val="Encabezado"/>
      <w:ind w:firstLine="0"/>
      <w:jc w:val="left"/>
    </w:pPr>
    <w:r>
      <w:rPr>
        <w:noProof/>
        <w:lang w:val="es-ES" w:eastAsia="es-ES"/>
      </w:rPr>
      <w:drawing>
        <wp:inline distT="0" distB="0" distL="0" distR="0" wp14:anchorId="177A53C3" wp14:editId="4AEC12A4">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7BB4" w14:textId="77777777" w:rsidR="003F2998" w:rsidRDefault="003F2998"/>
  <w:p w14:paraId="62927AE3" w14:textId="77777777" w:rsidR="003F2998" w:rsidRDefault="003F2998"/>
  <w:p w14:paraId="28812FC8" w14:textId="77777777" w:rsidR="003F2998" w:rsidRDefault="003F29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8B3"/>
    <w:multiLevelType w:val="hybridMultilevel"/>
    <w:tmpl w:val="BCCA166E"/>
    <w:lvl w:ilvl="0" w:tplc="0C0A0017">
      <w:start w:val="1"/>
      <w:numFmt w:val="low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1"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15:restartNumberingAfterBreak="0">
    <w:nsid w:val="147E4AA1"/>
    <w:multiLevelType w:val="hybridMultilevel"/>
    <w:tmpl w:val="24F05FE4"/>
    <w:lvl w:ilvl="0" w:tplc="0F906BE2">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3" w15:restartNumberingAfterBreak="0">
    <w:nsid w:val="25C66021"/>
    <w:multiLevelType w:val="hybridMultilevel"/>
    <w:tmpl w:val="13725E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A71941"/>
    <w:multiLevelType w:val="hybridMultilevel"/>
    <w:tmpl w:val="5CF6B962"/>
    <w:lvl w:ilvl="0" w:tplc="4CDA9F80">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5" w15:restartNumberingAfterBreak="0">
    <w:nsid w:val="525A0EDC"/>
    <w:multiLevelType w:val="hybridMultilevel"/>
    <w:tmpl w:val="36E8CA26"/>
    <w:lvl w:ilvl="0" w:tplc="58005BB2">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num w:numId="1" w16cid:durableId="274799489">
    <w:abstractNumId w:val="1"/>
  </w:num>
  <w:num w:numId="2" w16cid:durableId="1115711040">
    <w:abstractNumId w:val="5"/>
  </w:num>
  <w:num w:numId="3" w16cid:durableId="1759860346">
    <w:abstractNumId w:val="4"/>
  </w:num>
  <w:num w:numId="4" w16cid:durableId="2098670420">
    <w:abstractNumId w:val="3"/>
  </w:num>
  <w:num w:numId="5" w16cid:durableId="2063214350">
    <w:abstractNumId w:val="2"/>
  </w:num>
  <w:num w:numId="6" w16cid:durableId="1853648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C5"/>
    <w:rsid w:val="00000AFB"/>
    <w:rsid w:val="000019D8"/>
    <w:rsid w:val="00006736"/>
    <w:rsid w:val="00006A97"/>
    <w:rsid w:val="0001123B"/>
    <w:rsid w:val="00012A7F"/>
    <w:rsid w:val="00017A3A"/>
    <w:rsid w:val="00020C75"/>
    <w:rsid w:val="00022B46"/>
    <w:rsid w:val="00035A85"/>
    <w:rsid w:val="00035DB8"/>
    <w:rsid w:val="00036E42"/>
    <w:rsid w:val="0004373B"/>
    <w:rsid w:val="000448FA"/>
    <w:rsid w:val="00053A42"/>
    <w:rsid w:val="0005517D"/>
    <w:rsid w:val="0006133D"/>
    <w:rsid w:val="00063585"/>
    <w:rsid w:val="000710E8"/>
    <w:rsid w:val="00071CD0"/>
    <w:rsid w:val="00075677"/>
    <w:rsid w:val="00075692"/>
    <w:rsid w:val="00076571"/>
    <w:rsid w:val="00087B8D"/>
    <w:rsid w:val="00093D67"/>
    <w:rsid w:val="00093E60"/>
    <w:rsid w:val="000A18B7"/>
    <w:rsid w:val="000A2C1E"/>
    <w:rsid w:val="000A4697"/>
    <w:rsid w:val="000A4A50"/>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5795"/>
    <w:rsid w:val="001161D2"/>
    <w:rsid w:val="00127B28"/>
    <w:rsid w:val="00131DF1"/>
    <w:rsid w:val="00132C38"/>
    <w:rsid w:val="00133984"/>
    <w:rsid w:val="001365C4"/>
    <w:rsid w:val="0014147D"/>
    <w:rsid w:val="00141D29"/>
    <w:rsid w:val="00144866"/>
    <w:rsid w:val="0014506A"/>
    <w:rsid w:val="0014728F"/>
    <w:rsid w:val="001521A2"/>
    <w:rsid w:val="00152358"/>
    <w:rsid w:val="00155BFF"/>
    <w:rsid w:val="00157557"/>
    <w:rsid w:val="00160F66"/>
    <w:rsid w:val="001633AF"/>
    <w:rsid w:val="00166A6C"/>
    <w:rsid w:val="001728D0"/>
    <w:rsid w:val="00173EDD"/>
    <w:rsid w:val="0017402B"/>
    <w:rsid w:val="00180C17"/>
    <w:rsid w:val="00181D37"/>
    <w:rsid w:val="001835B7"/>
    <w:rsid w:val="0018426B"/>
    <w:rsid w:val="00184297"/>
    <w:rsid w:val="00184528"/>
    <w:rsid w:val="00185A37"/>
    <w:rsid w:val="00194309"/>
    <w:rsid w:val="0019660E"/>
    <w:rsid w:val="001973BD"/>
    <w:rsid w:val="001A4D38"/>
    <w:rsid w:val="001B39E2"/>
    <w:rsid w:val="001B5EE9"/>
    <w:rsid w:val="001C1FB3"/>
    <w:rsid w:val="001C2B26"/>
    <w:rsid w:val="001C3A32"/>
    <w:rsid w:val="001D4F09"/>
    <w:rsid w:val="001F1482"/>
    <w:rsid w:val="001F20D7"/>
    <w:rsid w:val="001F7744"/>
    <w:rsid w:val="002014EB"/>
    <w:rsid w:val="00202B1A"/>
    <w:rsid w:val="00204979"/>
    <w:rsid w:val="00211D69"/>
    <w:rsid w:val="00215AB3"/>
    <w:rsid w:val="002179DB"/>
    <w:rsid w:val="00217E80"/>
    <w:rsid w:val="00227E48"/>
    <w:rsid w:val="00230577"/>
    <w:rsid w:val="0023159D"/>
    <w:rsid w:val="0023209D"/>
    <w:rsid w:val="002333F8"/>
    <w:rsid w:val="00233D79"/>
    <w:rsid w:val="002369D8"/>
    <w:rsid w:val="00237657"/>
    <w:rsid w:val="00242BA7"/>
    <w:rsid w:val="002437B5"/>
    <w:rsid w:val="00244EF1"/>
    <w:rsid w:val="00246F21"/>
    <w:rsid w:val="00253E78"/>
    <w:rsid w:val="0025578F"/>
    <w:rsid w:val="00262C3C"/>
    <w:rsid w:val="00264C88"/>
    <w:rsid w:val="0026532C"/>
    <w:rsid w:val="0026575D"/>
    <w:rsid w:val="00266C3A"/>
    <w:rsid w:val="002705B0"/>
    <w:rsid w:val="002717A6"/>
    <w:rsid w:val="00272015"/>
    <w:rsid w:val="00273C10"/>
    <w:rsid w:val="00274B4C"/>
    <w:rsid w:val="00276264"/>
    <w:rsid w:val="00281DCA"/>
    <w:rsid w:val="00287455"/>
    <w:rsid w:val="00297B04"/>
    <w:rsid w:val="002A056C"/>
    <w:rsid w:val="002A66A5"/>
    <w:rsid w:val="002A6EBB"/>
    <w:rsid w:val="002B21E9"/>
    <w:rsid w:val="002B2B87"/>
    <w:rsid w:val="002B4E0F"/>
    <w:rsid w:val="002B5754"/>
    <w:rsid w:val="002C3373"/>
    <w:rsid w:val="002C7026"/>
    <w:rsid w:val="002C7E08"/>
    <w:rsid w:val="002D0837"/>
    <w:rsid w:val="002D089F"/>
    <w:rsid w:val="002D5635"/>
    <w:rsid w:val="002D65E8"/>
    <w:rsid w:val="002D7D32"/>
    <w:rsid w:val="002E02E5"/>
    <w:rsid w:val="002E0478"/>
    <w:rsid w:val="002E0791"/>
    <w:rsid w:val="002E1B92"/>
    <w:rsid w:val="002E7B81"/>
    <w:rsid w:val="002F0492"/>
    <w:rsid w:val="002F09FB"/>
    <w:rsid w:val="002F0FE3"/>
    <w:rsid w:val="002F1A67"/>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5627E"/>
    <w:rsid w:val="00363653"/>
    <w:rsid w:val="0036509D"/>
    <w:rsid w:val="0037228C"/>
    <w:rsid w:val="003738FD"/>
    <w:rsid w:val="003810BE"/>
    <w:rsid w:val="003834D1"/>
    <w:rsid w:val="00386F6C"/>
    <w:rsid w:val="00387709"/>
    <w:rsid w:val="00387794"/>
    <w:rsid w:val="00397162"/>
    <w:rsid w:val="003A335E"/>
    <w:rsid w:val="003A3DD2"/>
    <w:rsid w:val="003B0756"/>
    <w:rsid w:val="003B3573"/>
    <w:rsid w:val="003B5813"/>
    <w:rsid w:val="003C03EA"/>
    <w:rsid w:val="003C0D5B"/>
    <w:rsid w:val="003C196B"/>
    <w:rsid w:val="003C6E1D"/>
    <w:rsid w:val="003D03D8"/>
    <w:rsid w:val="003D058C"/>
    <w:rsid w:val="003D76B1"/>
    <w:rsid w:val="003E17A6"/>
    <w:rsid w:val="003E4AA5"/>
    <w:rsid w:val="003F1CEC"/>
    <w:rsid w:val="003F2998"/>
    <w:rsid w:val="003F43BF"/>
    <w:rsid w:val="003F6BE4"/>
    <w:rsid w:val="00403CF8"/>
    <w:rsid w:val="00407459"/>
    <w:rsid w:val="00414D01"/>
    <w:rsid w:val="004170FE"/>
    <w:rsid w:val="00420695"/>
    <w:rsid w:val="004209E6"/>
    <w:rsid w:val="0042324B"/>
    <w:rsid w:val="004234E8"/>
    <w:rsid w:val="00426805"/>
    <w:rsid w:val="00430150"/>
    <w:rsid w:val="004302F9"/>
    <w:rsid w:val="0043229B"/>
    <w:rsid w:val="004349F8"/>
    <w:rsid w:val="00435287"/>
    <w:rsid w:val="00440A22"/>
    <w:rsid w:val="0045550E"/>
    <w:rsid w:val="00456456"/>
    <w:rsid w:val="00460959"/>
    <w:rsid w:val="00462367"/>
    <w:rsid w:val="0046490C"/>
    <w:rsid w:val="00466CEB"/>
    <w:rsid w:val="00470287"/>
    <w:rsid w:val="00470733"/>
    <w:rsid w:val="00474A2D"/>
    <w:rsid w:val="00477C53"/>
    <w:rsid w:val="00477EC1"/>
    <w:rsid w:val="00485380"/>
    <w:rsid w:val="00493D87"/>
    <w:rsid w:val="004950D4"/>
    <w:rsid w:val="0049691D"/>
    <w:rsid w:val="004A0506"/>
    <w:rsid w:val="004A2342"/>
    <w:rsid w:val="004A2F62"/>
    <w:rsid w:val="004B0907"/>
    <w:rsid w:val="004B1DB8"/>
    <w:rsid w:val="004B2F01"/>
    <w:rsid w:val="004B39A5"/>
    <w:rsid w:val="004B4182"/>
    <w:rsid w:val="004B4538"/>
    <w:rsid w:val="004B65C3"/>
    <w:rsid w:val="004B6FB6"/>
    <w:rsid w:val="004C3423"/>
    <w:rsid w:val="004C571D"/>
    <w:rsid w:val="004D35A2"/>
    <w:rsid w:val="004D5FD1"/>
    <w:rsid w:val="004E3D58"/>
    <w:rsid w:val="004F7C93"/>
    <w:rsid w:val="00506105"/>
    <w:rsid w:val="00513162"/>
    <w:rsid w:val="00525809"/>
    <w:rsid w:val="0053438F"/>
    <w:rsid w:val="00535130"/>
    <w:rsid w:val="00537302"/>
    <w:rsid w:val="00552597"/>
    <w:rsid w:val="00555509"/>
    <w:rsid w:val="00557EFA"/>
    <w:rsid w:val="005615C3"/>
    <w:rsid w:val="00561C5B"/>
    <w:rsid w:val="00562A79"/>
    <w:rsid w:val="00564F2D"/>
    <w:rsid w:val="00566CDA"/>
    <w:rsid w:val="0056727E"/>
    <w:rsid w:val="00567BA6"/>
    <w:rsid w:val="00570033"/>
    <w:rsid w:val="00570147"/>
    <w:rsid w:val="0057307E"/>
    <w:rsid w:val="00573A4C"/>
    <w:rsid w:val="00573FAD"/>
    <w:rsid w:val="005749C5"/>
    <w:rsid w:val="00574B79"/>
    <w:rsid w:val="00574D12"/>
    <w:rsid w:val="005800B4"/>
    <w:rsid w:val="0058070B"/>
    <w:rsid w:val="0058296F"/>
    <w:rsid w:val="00592121"/>
    <w:rsid w:val="00595E80"/>
    <w:rsid w:val="0059650E"/>
    <w:rsid w:val="00596953"/>
    <w:rsid w:val="005A6030"/>
    <w:rsid w:val="005B57AD"/>
    <w:rsid w:val="005B722E"/>
    <w:rsid w:val="005C02FE"/>
    <w:rsid w:val="005C50AC"/>
    <w:rsid w:val="005C6406"/>
    <w:rsid w:val="005D2B3A"/>
    <w:rsid w:val="005D69D1"/>
    <w:rsid w:val="005E1B22"/>
    <w:rsid w:val="005E1F7C"/>
    <w:rsid w:val="005E210D"/>
    <w:rsid w:val="005F2425"/>
    <w:rsid w:val="005F5EC7"/>
    <w:rsid w:val="005F7207"/>
    <w:rsid w:val="005F7FCF"/>
    <w:rsid w:val="00607691"/>
    <w:rsid w:val="0061062C"/>
    <w:rsid w:val="006118E5"/>
    <w:rsid w:val="006120D5"/>
    <w:rsid w:val="00613183"/>
    <w:rsid w:val="006133F0"/>
    <w:rsid w:val="00613E8E"/>
    <w:rsid w:val="00616888"/>
    <w:rsid w:val="006176BE"/>
    <w:rsid w:val="006212CB"/>
    <w:rsid w:val="00622832"/>
    <w:rsid w:val="006279F9"/>
    <w:rsid w:val="006369EE"/>
    <w:rsid w:val="00641F54"/>
    <w:rsid w:val="0064700E"/>
    <w:rsid w:val="00650183"/>
    <w:rsid w:val="00650677"/>
    <w:rsid w:val="00653712"/>
    <w:rsid w:val="006736A9"/>
    <w:rsid w:val="00673BC7"/>
    <w:rsid w:val="006746CC"/>
    <w:rsid w:val="00674975"/>
    <w:rsid w:val="00675D39"/>
    <w:rsid w:val="0067675A"/>
    <w:rsid w:val="0068560B"/>
    <w:rsid w:val="006A1277"/>
    <w:rsid w:val="006A2602"/>
    <w:rsid w:val="006A2D41"/>
    <w:rsid w:val="006A67E1"/>
    <w:rsid w:val="006B2FD4"/>
    <w:rsid w:val="006C36FB"/>
    <w:rsid w:val="006C4E60"/>
    <w:rsid w:val="006C7D62"/>
    <w:rsid w:val="006D0B23"/>
    <w:rsid w:val="006D2ED6"/>
    <w:rsid w:val="006D3CAB"/>
    <w:rsid w:val="006D5685"/>
    <w:rsid w:val="006E1987"/>
    <w:rsid w:val="006E1C97"/>
    <w:rsid w:val="006E23B2"/>
    <w:rsid w:val="006E5207"/>
    <w:rsid w:val="006E7CBF"/>
    <w:rsid w:val="006F1FA3"/>
    <w:rsid w:val="006F5C70"/>
    <w:rsid w:val="006F6A20"/>
    <w:rsid w:val="007047B2"/>
    <w:rsid w:val="00704DE7"/>
    <w:rsid w:val="00706868"/>
    <w:rsid w:val="007078B8"/>
    <w:rsid w:val="00715E32"/>
    <w:rsid w:val="007162D1"/>
    <w:rsid w:val="00716463"/>
    <w:rsid w:val="0071706E"/>
    <w:rsid w:val="00727292"/>
    <w:rsid w:val="00735273"/>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38A3"/>
    <w:rsid w:val="007B7A5F"/>
    <w:rsid w:val="007C36BE"/>
    <w:rsid w:val="007C4066"/>
    <w:rsid w:val="007C6B49"/>
    <w:rsid w:val="007D53ED"/>
    <w:rsid w:val="007D5958"/>
    <w:rsid w:val="007D6001"/>
    <w:rsid w:val="007D7F94"/>
    <w:rsid w:val="007E0C17"/>
    <w:rsid w:val="007E1B76"/>
    <w:rsid w:val="007E219A"/>
    <w:rsid w:val="007E37BF"/>
    <w:rsid w:val="007E6593"/>
    <w:rsid w:val="007F1101"/>
    <w:rsid w:val="007F1E75"/>
    <w:rsid w:val="007F2CB1"/>
    <w:rsid w:val="00803D20"/>
    <w:rsid w:val="008112A0"/>
    <w:rsid w:val="008152FA"/>
    <w:rsid w:val="0081696D"/>
    <w:rsid w:val="00816E01"/>
    <w:rsid w:val="008173D0"/>
    <w:rsid w:val="008215C2"/>
    <w:rsid w:val="00823235"/>
    <w:rsid w:val="008249F1"/>
    <w:rsid w:val="00824AF2"/>
    <w:rsid w:val="00826686"/>
    <w:rsid w:val="00831A65"/>
    <w:rsid w:val="00835563"/>
    <w:rsid w:val="00836511"/>
    <w:rsid w:val="00836B02"/>
    <w:rsid w:val="00836EC6"/>
    <w:rsid w:val="0083741E"/>
    <w:rsid w:val="00837985"/>
    <w:rsid w:val="008403D8"/>
    <w:rsid w:val="00840E3D"/>
    <w:rsid w:val="00841D8C"/>
    <w:rsid w:val="00842220"/>
    <w:rsid w:val="00844111"/>
    <w:rsid w:val="00844F74"/>
    <w:rsid w:val="00846382"/>
    <w:rsid w:val="00850F57"/>
    <w:rsid w:val="008536C2"/>
    <w:rsid w:val="008600C7"/>
    <w:rsid w:val="00860B95"/>
    <w:rsid w:val="008617D0"/>
    <w:rsid w:val="00861A60"/>
    <w:rsid w:val="00862357"/>
    <w:rsid w:val="00862D02"/>
    <w:rsid w:val="008637B9"/>
    <w:rsid w:val="00864194"/>
    <w:rsid w:val="00870399"/>
    <w:rsid w:val="008711EC"/>
    <w:rsid w:val="008718FE"/>
    <w:rsid w:val="00872946"/>
    <w:rsid w:val="00883928"/>
    <w:rsid w:val="00883DDE"/>
    <w:rsid w:val="0088579E"/>
    <w:rsid w:val="00887D03"/>
    <w:rsid w:val="00891D73"/>
    <w:rsid w:val="00892993"/>
    <w:rsid w:val="00892A44"/>
    <w:rsid w:val="008A2DE8"/>
    <w:rsid w:val="008A312D"/>
    <w:rsid w:val="008A3E09"/>
    <w:rsid w:val="008A3E57"/>
    <w:rsid w:val="008A77A7"/>
    <w:rsid w:val="008B29CC"/>
    <w:rsid w:val="008B3F34"/>
    <w:rsid w:val="008B693B"/>
    <w:rsid w:val="008C56B9"/>
    <w:rsid w:val="008D05E0"/>
    <w:rsid w:val="008D2600"/>
    <w:rsid w:val="008E0AC0"/>
    <w:rsid w:val="008E221A"/>
    <w:rsid w:val="008E3244"/>
    <w:rsid w:val="008E3FFE"/>
    <w:rsid w:val="008E60BE"/>
    <w:rsid w:val="008E6B74"/>
    <w:rsid w:val="008F0FAF"/>
    <w:rsid w:val="008F46CD"/>
    <w:rsid w:val="008F6480"/>
    <w:rsid w:val="008F75EA"/>
    <w:rsid w:val="008F7740"/>
    <w:rsid w:val="00900CA2"/>
    <w:rsid w:val="00903653"/>
    <w:rsid w:val="00903989"/>
    <w:rsid w:val="009049DF"/>
    <w:rsid w:val="00910A52"/>
    <w:rsid w:val="00911479"/>
    <w:rsid w:val="0091484D"/>
    <w:rsid w:val="00920DC7"/>
    <w:rsid w:val="00925E71"/>
    <w:rsid w:val="009318B5"/>
    <w:rsid w:val="00933265"/>
    <w:rsid w:val="0093329F"/>
    <w:rsid w:val="00937043"/>
    <w:rsid w:val="009445D3"/>
    <w:rsid w:val="00946168"/>
    <w:rsid w:val="00955A8A"/>
    <w:rsid w:val="0096400D"/>
    <w:rsid w:val="009647E9"/>
    <w:rsid w:val="00966600"/>
    <w:rsid w:val="009671D9"/>
    <w:rsid w:val="00971352"/>
    <w:rsid w:val="00972B94"/>
    <w:rsid w:val="00975E5B"/>
    <w:rsid w:val="00977C8F"/>
    <w:rsid w:val="00977F94"/>
    <w:rsid w:val="00981946"/>
    <w:rsid w:val="00984031"/>
    <w:rsid w:val="009863E9"/>
    <w:rsid w:val="00992E20"/>
    <w:rsid w:val="009936FC"/>
    <w:rsid w:val="00993925"/>
    <w:rsid w:val="00993977"/>
    <w:rsid w:val="009A05D1"/>
    <w:rsid w:val="009A28AC"/>
    <w:rsid w:val="009A3909"/>
    <w:rsid w:val="009A3A5B"/>
    <w:rsid w:val="009A3F2A"/>
    <w:rsid w:val="009B2AAC"/>
    <w:rsid w:val="009B3521"/>
    <w:rsid w:val="009B541C"/>
    <w:rsid w:val="009C4460"/>
    <w:rsid w:val="009D3D6A"/>
    <w:rsid w:val="009D7192"/>
    <w:rsid w:val="009E0E38"/>
    <w:rsid w:val="009E1A35"/>
    <w:rsid w:val="009E7B2E"/>
    <w:rsid w:val="009F09AA"/>
    <w:rsid w:val="009F2C16"/>
    <w:rsid w:val="009F2C1B"/>
    <w:rsid w:val="009F335C"/>
    <w:rsid w:val="00A002B5"/>
    <w:rsid w:val="00A0260C"/>
    <w:rsid w:val="00A041B5"/>
    <w:rsid w:val="00A045D0"/>
    <w:rsid w:val="00A04F8C"/>
    <w:rsid w:val="00A05158"/>
    <w:rsid w:val="00A13AE6"/>
    <w:rsid w:val="00A13BF5"/>
    <w:rsid w:val="00A14837"/>
    <w:rsid w:val="00A22403"/>
    <w:rsid w:val="00A225E3"/>
    <w:rsid w:val="00A23A26"/>
    <w:rsid w:val="00A24A8F"/>
    <w:rsid w:val="00A25708"/>
    <w:rsid w:val="00A25BF0"/>
    <w:rsid w:val="00A3026E"/>
    <w:rsid w:val="00A443A9"/>
    <w:rsid w:val="00A4576A"/>
    <w:rsid w:val="00A45AD0"/>
    <w:rsid w:val="00A45EE9"/>
    <w:rsid w:val="00A525FC"/>
    <w:rsid w:val="00A53C14"/>
    <w:rsid w:val="00A57EEC"/>
    <w:rsid w:val="00A61410"/>
    <w:rsid w:val="00A6198A"/>
    <w:rsid w:val="00A61C49"/>
    <w:rsid w:val="00A65108"/>
    <w:rsid w:val="00A7067F"/>
    <w:rsid w:val="00A707A7"/>
    <w:rsid w:val="00A718FD"/>
    <w:rsid w:val="00A72341"/>
    <w:rsid w:val="00A75361"/>
    <w:rsid w:val="00A776ED"/>
    <w:rsid w:val="00A80E50"/>
    <w:rsid w:val="00A8137F"/>
    <w:rsid w:val="00A83663"/>
    <w:rsid w:val="00A83B0F"/>
    <w:rsid w:val="00A84216"/>
    <w:rsid w:val="00A84C5D"/>
    <w:rsid w:val="00A90BFA"/>
    <w:rsid w:val="00A92BF3"/>
    <w:rsid w:val="00A943C8"/>
    <w:rsid w:val="00A950A4"/>
    <w:rsid w:val="00A9520D"/>
    <w:rsid w:val="00A9747D"/>
    <w:rsid w:val="00AA00A6"/>
    <w:rsid w:val="00AA6BA8"/>
    <w:rsid w:val="00AA7F5A"/>
    <w:rsid w:val="00AB2340"/>
    <w:rsid w:val="00AB5FE4"/>
    <w:rsid w:val="00AB659D"/>
    <w:rsid w:val="00AB74FF"/>
    <w:rsid w:val="00AC15B9"/>
    <w:rsid w:val="00AC229F"/>
    <w:rsid w:val="00AD7671"/>
    <w:rsid w:val="00AE53E8"/>
    <w:rsid w:val="00AE6FE4"/>
    <w:rsid w:val="00AF0593"/>
    <w:rsid w:val="00AF2059"/>
    <w:rsid w:val="00AF325B"/>
    <w:rsid w:val="00AF3D84"/>
    <w:rsid w:val="00AF4161"/>
    <w:rsid w:val="00AF499C"/>
    <w:rsid w:val="00AF580B"/>
    <w:rsid w:val="00B007C8"/>
    <w:rsid w:val="00B02999"/>
    <w:rsid w:val="00B0701E"/>
    <w:rsid w:val="00B07FEB"/>
    <w:rsid w:val="00B10D20"/>
    <w:rsid w:val="00B14410"/>
    <w:rsid w:val="00B15E61"/>
    <w:rsid w:val="00B20C94"/>
    <w:rsid w:val="00B24F35"/>
    <w:rsid w:val="00B30971"/>
    <w:rsid w:val="00B32946"/>
    <w:rsid w:val="00B32C88"/>
    <w:rsid w:val="00B34747"/>
    <w:rsid w:val="00B36099"/>
    <w:rsid w:val="00B42E49"/>
    <w:rsid w:val="00B50903"/>
    <w:rsid w:val="00B62FFE"/>
    <w:rsid w:val="00B65013"/>
    <w:rsid w:val="00B7123A"/>
    <w:rsid w:val="00B7435C"/>
    <w:rsid w:val="00B76F38"/>
    <w:rsid w:val="00B8085D"/>
    <w:rsid w:val="00B81EFF"/>
    <w:rsid w:val="00B836BB"/>
    <w:rsid w:val="00B84122"/>
    <w:rsid w:val="00B862B0"/>
    <w:rsid w:val="00B93E95"/>
    <w:rsid w:val="00B9562C"/>
    <w:rsid w:val="00BA2B7C"/>
    <w:rsid w:val="00BB142A"/>
    <w:rsid w:val="00BB34B9"/>
    <w:rsid w:val="00BB35C2"/>
    <w:rsid w:val="00BB553B"/>
    <w:rsid w:val="00BC28D7"/>
    <w:rsid w:val="00BC376C"/>
    <w:rsid w:val="00BC6321"/>
    <w:rsid w:val="00BC7817"/>
    <w:rsid w:val="00BD3819"/>
    <w:rsid w:val="00BD642D"/>
    <w:rsid w:val="00BD6988"/>
    <w:rsid w:val="00BE1A77"/>
    <w:rsid w:val="00BE329D"/>
    <w:rsid w:val="00BE4742"/>
    <w:rsid w:val="00BE7383"/>
    <w:rsid w:val="00BE754D"/>
    <w:rsid w:val="00BF1DB9"/>
    <w:rsid w:val="00BF3BBF"/>
    <w:rsid w:val="00BF5C4D"/>
    <w:rsid w:val="00BF6D10"/>
    <w:rsid w:val="00BF6E79"/>
    <w:rsid w:val="00C03F6C"/>
    <w:rsid w:val="00C04178"/>
    <w:rsid w:val="00C12108"/>
    <w:rsid w:val="00C121D9"/>
    <w:rsid w:val="00C13453"/>
    <w:rsid w:val="00C220F9"/>
    <w:rsid w:val="00C2541C"/>
    <w:rsid w:val="00C26862"/>
    <w:rsid w:val="00C30458"/>
    <w:rsid w:val="00C31DA6"/>
    <w:rsid w:val="00C33260"/>
    <w:rsid w:val="00C42002"/>
    <w:rsid w:val="00C4598F"/>
    <w:rsid w:val="00C45FCD"/>
    <w:rsid w:val="00C50315"/>
    <w:rsid w:val="00C50360"/>
    <w:rsid w:val="00C54E12"/>
    <w:rsid w:val="00C55468"/>
    <w:rsid w:val="00C622C3"/>
    <w:rsid w:val="00C63BD5"/>
    <w:rsid w:val="00C65B5E"/>
    <w:rsid w:val="00C74906"/>
    <w:rsid w:val="00C81B40"/>
    <w:rsid w:val="00C81FEA"/>
    <w:rsid w:val="00C833C3"/>
    <w:rsid w:val="00C83969"/>
    <w:rsid w:val="00C86C95"/>
    <w:rsid w:val="00CA043D"/>
    <w:rsid w:val="00CA05EB"/>
    <w:rsid w:val="00CA109B"/>
    <w:rsid w:val="00CA3515"/>
    <w:rsid w:val="00CA3A05"/>
    <w:rsid w:val="00CA6ED6"/>
    <w:rsid w:val="00CB14E9"/>
    <w:rsid w:val="00CB6D90"/>
    <w:rsid w:val="00CB72C3"/>
    <w:rsid w:val="00CC45E4"/>
    <w:rsid w:val="00CD019F"/>
    <w:rsid w:val="00CD27C5"/>
    <w:rsid w:val="00CE0012"/>
    <w:rsid w:val="00CE27A2"/>
    <w:rsid w:val="00CE4169"/>
    <w:rsid w:val="00CE7894"/>
    <w:rsid w:val="00CF06A1"/>
    <w:rsid w:val="00CF1467"/>
    <w:rsid w:val="00CF48D6"/>
    <w:rsid w:val="00CF57D6"/>
    <w:rsid w:val="00CF6C1B"/>
    <w:rsid w:val="00D019D5"/>
    <w:rsid w:val="00D040FE"/>
    <w:rsid w:val="00D168FD"/>
    <w:rsid w:val="00D16954"/>
    <w:rsid w:val="00D16F64"/>
    <w:rsid w:val="00D2472C"/>
    <w:rsid w:val="00D279BA"/>
    <w:rsid w:val="00D37889"/>
    <w:rsid w:val="00D404B5"/>
    <w:rsid w:val="00D447CB"/>
    <w:rsid w:val="00D47D16"/>
    <w:rsid w:val="00D505F4"/>
    <w:rsid w:val="00D51CE1"/>
    <w:rsid w:val="00D562F2"/>
    <w:rsid w:val="00D61B93"/>
    <w:rsid w:val="00D66AAB"/>
    <w:rsid w:val="00D67DF8"/>
    <w:rsid w:val="00D67E4A"/>
    <w:rsid w:val="00D763FD"/>
    <w:rsid w:val="00D90AD1"/>
    <w:rsid w:val="00D941F7"/>
    <w:rsid w:val="00DA1DD4"/>
    <w:rsid w:val="00DA4DDF"/>
    <w:rsid w:val="00DB0804"/>
    <w:rsid w:val="00DB2FC4"/>
    <w:rsid w:val="00DB454A"/>
    <w:rsid w:val="00DB50B8"/>
    <w:rsid w:val="00DC1465"/>
    <w:rsid w:val="00DC382A"/>
    <w:rsid w:val="00DD0837"/>
    <w:rsid w:val="00DE1923"/>
    <w:rsid w:val="00DE1A94"/>
    <w:rsid w:val="00DE2AB4"/>
    <w:rsid w:val="00DE2B33"/>
    <w:rsid w:val="00DE323D"/>
    <w:rsid w:val="00DE638B"/>
    <w:rsid w:val="00DE72EE"/>
    <w:rsid w:val="00DF1348"/>
    <w:rsid w:val="00DF37E5"/>
    <w:rsid w:val="00E034FE"/>
    <w:rsid w:val="00E041E5"/>
    <w:rsid w:val="00E04888"/>
    <w:rsid w:val="00E074D6"/>
    <w:rsid w:val="00E0763B"/>
    <w:rsid w:val="00E10302"/>
    <w:rsid w:val="00E10322"/>
    <w:rsid w:val="00E17EC5"/>
    <w:rsid w:val="00E21A42"/>
    <w:rsid w:val="00E234E2"/>
    <w:rsid w:val="00E2448D"/>
    <w:rsid w:val="00E26BFD"/>
    <w:rsid w:val="00E27E90"/>
    <w:rsid w:val="00E32C80"/>
    <w:rsid w:val="00E33D02"/>
    <w:rsid w:val="00E34F2C"/>
    <w:rsid w:val="00E35D79"/>
    <w:rsid w:val="00E36872"/>
    <w:rsid w:val="00E4641E"/>
    <w:rsid w:val="00E503C5"/>
    <w:rsid w:val="00E51708"/>
    <w:rsid w:val="00E519AE"/>
    <w:rsid w:val="00E53AAC"/>
    <w:rsid w:val="00E57AF7"/>
    <w:rsid w:val="00E6241B"/>
    <w:rsid w:val="00E64FCC"/>
    <w:rsid w:val="00E703B6"/>
    <w:rsid w:val="00E70CD4"/>
    <w:rsid w:val="00E72200"/>
    <w:rsid w:val="00E72B1B"/>
    <w:rsid w:val="00E75D47"/>
    <w:rsid w:val="00E766F5"/>
    <w:rsid w:val="00E82948"/>
    <w:rsid w:val="00E90218"/>
    <w:rsid w:val="00E90DB8"/>
    <w:rsid w:val="00E913BB"/>
    <w:rsid w:val="00E95F2E"/>
    <w:rsid w:val="00EA1508"/>
    <w:rsid w:val="00EA1541"/>
    <w:rsid w:val="00EA32E4"/>
    <w:rsid w:val="00EA7E36"/>
    <w:rsid w:val="00EB0898"/>
    <w:rsid w:val="00EB5007"/>
    <w:rsid w:val="00EB627B"/>
    <w:rsid w:val="00EB6D94"/>
    <w:rsid w:val="00EB7B1C"/>
    <w:rsid w:val="00EC4183"/>
    <w:rsid w:val="00EC6468"/>
    <w:rsid w:val="00EC6708"/>
    <w:rsid w:val="00ED207C"/>
    <w:rsid w:val="00ED325A"/>
    <w:rsid w:val="00ED3F41"/>
    <w:rsid w:val="00ED5615"/>
    <w:rsid w:val="00ED692E"/>
    <w:rsid w:val="00ED69AF"/>
    <w:rsid w:val="00EE03B1"/>
    <w:rsid w:val="00EE1847"/>
    <w:rsid w:val="00EE240E"/>
    <w:rsid w:val="00EE688E"/>
    <w:rsid w:val="00EE6A6D"/>
    <w:rsid w:val="00EF03E2"/>
    <w:rsid w:val="00EF7F8B"/>
    <w:rsid w:val="00F03814"/>
    <w:rsid w:val="00F07A09"/>
    <w:rsid w:val="00F1390C"/>
    <w:rsid w:val="00F144F3"/>
    <w:rsid w:val="00F14D98"/>
    <w:rsid w:val="00F16EB7"/>
    <w:rsid w:val="00F205AE"/>
    <w:rsid w:val="00F20C5E"/>
    <w:rsid w:val="00F36A1D"/>
    <w:rsid w:val="00F37C40"/>
    <w:rsid w:val="00F44278"/>
    <w:rsid w:val="00F50A0F"/>
    <w:rsid w:val="00F51B65"/>
    <w:rsid w:val="00F52AAB"/>
    <w:rsid w:val="00F52EB6"/>
    <w:rsid w:val="00F5513F"/>
    <w:rsid w:val="00F55260"/>
    <w:rsid w:val="00F6316B"/>
    <w:rsid w:val="00F64DC9"/>
    <w:rsid w:val="00F65AE0"/>
    <w:rsid w:val="00F74E38"/>
    <w:rsid w:val="00F76D6F"/>
    <w:rsid w:val="00F778B0"/>
    <w:rsid w:val="00F80BBF"/>
    <w:rsid w:val="00F83BC2"/>
    <w:rsid w:val="00F85028"/>
    <w:rsid w:val="00F92EC1"/>
    <w:rsid w:val="00F94C47"/>
    <w:rsid w:val="00FA0421"/>
    <w:rsid w:val="00FA1E61"/>
    <w:rsid w:val="00FA3389"/>
    <w:rsid w:val="00FA3476"/>
    <w:rsid w:val="00FA495F"/>
    <w:rsid w:val="00FB0C10"/>
    <w:rsid w:val="00FB3C36"/>
    <w:rsid w:val="00FB4280"/>
    <w:rsid w:val="00FB4D00"/>
    <w:rsid w:val="00FB7CCE"/>
    <w:rsid w:val="00FC01C8"/>
    <w:rsid w:val="00FC5027"/>
    <w:rsid w:val="00FC50C7"/>
    <w:rsid w:val="00FC511D"/>
    <w:rsid w:val="00FC68BC"/>
    <w:rsid w:val="00FD11D4"/>
    <w:rsid w:val="00FD1236"/>
    <w:rsid w:val="00FD225D"/>
    <w:rsid w:val="00FD2384"/>
    <w:rsid w:val="00FD2706"/>
    <w:rsid w:val="00FD31F1"/>
    <w:rsid w:val="00FE452E"/>
    <w:rsid w:val="00FE45A5"/>
    <w:rsid w:val="00FE7991"/>
    <w:rsid w:val="00FF133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21"/>
    <o:shapelayout v:ext="edit">
      <o:idmap v:ext="edit" data="1"/>
    </o:shapelayout>
  </w:shapeDefaults>
  <w:decimalSymbol w:val=","/>
  <w:listSeparator w:val=";"/>
  <w14:docId w14:val="00AC1729"/>
  <w15:docId w15:val="{BCDA32A5-4F7C-4FA5-9BCC-F2919203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749C5"/>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5749C5"/>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5749C5"/>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5749C5"/>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5749C5"/>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5749C5"/>
    <w:rPr>
      <w:b/>
      <w:bCs/>
      <w:sz w:val="28"/>
      <w:szCs w:val="28"/>
    </w:rPr>
  </w:style>
  <w:style w:type="character" w:customStyle="1" w:styleId="Ttulo6Car">
    <w:name w:val="Título 6 Car"/>
    <w:basedOn w:val="Fuentedeprrafopredeter"/>
    <w:link w:val="Ttulo6"/>
    <w:rsid w:val="005749C5"/>
    <w:rPr>
      <w:b/>
      <w:bCs/>
      <w:sz w:val="22"/>
      <w:szCs w:val="22"/>
    </w:rPr>
  </w:style>
  <w:style w:type="character" w:customStyle="1" w:styleId="Ttulo7Car">
    <w:name w:val="Título 7 Car"/>
    <w:basedOn w:val="Fuentedeprrafopredeter"/>
    <w:link w:val="Ttulo7"/>
    <w:rsid w:val="005749C5"/>
    <w:rPr>
      <w:sz w:val="52"/>
    </w:rPr>
  </w:style>
  <w:style w:type="character" w:customStyle="1" w:styleId="Ttulo8Car">
    <w:name w:val="Título 8 Car"/>
    <w:basedOn w:val="Fuentedeprrafopredeter"/>
    <w:link w:val="Ttulo8"/>
    <w:rsid w:val="005749C5"/>
    <w:rPr>
      <w:i/>
      <w:iCs/>
      <w:sz w:val="24"/>
      <w:szCs w:val="24"/>
    </w:rPr>
  </w:style>
  <w:style w:type="character" w:customStyle="1" w:styleId="Ttulo9Car">
    <w:name w:val="Título 9 Car"/>
    <w:basedOn w:val="Fuentedeprrafopredeter"/>
    <w:link w:val="Ttulo9"/>
    <w:rsid w:val="005749C5"/>
    <w:rPr>
      <w:rFonts w:ascii="Arial" w:hAnsi="Arial" w:cs="Arial"/>
      <w:sz w:val="22"/>
      <w:szCs w:val="22"/>
    </w:rPr>
  </w:style>
  <w:style w:type="character" w:customStyle="1" w:styleId="atitulo1Car">
    <w:name w:val="atitulo1 Car"/>
    <w:basedOn w:val="Fuentedeprrafopredeter"/>
    <w:link w:val="atitulo1"/>
    <w:locked/>
    <w:rsid w:val="005749C5"/>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5749C5"/>
    <w:pPr>
      <w:spacing w:after="0"/>
    </w:pPr>
  </w:style>
  <w:style w:type="character" w:customStyle="1" w:styleId="TextonotapieCar">
    <w:name w:val="Texto nota pie Car"/>
    <w:basedOn w:val="Fuentedeprrafopredeter"/>
    <w:link w:val="Textonotapie"/>
    <w:rsid w:val="005749C5"/>
    <w:rPr>
      <w:lang w:val="es-ES_tradnl" w:eastAsia="en-US"/>
    </w:rPr>
  </w:style>
  <w:style w:type="character" w:styleId="Refdenotaalpie">
    <w:name w:val="footnote reference"/>
    <w:basedOn w:val="Fuentedeprrafopredeter"/>
    <w:uiPriority w:val="99"/>
    <w:unhideWhenUsed/>
    <w:rsid w:val="005749C5"/>
    <w:rPr>
      <w:vertAlign w:val="superscript"/>
    </w:rPr>
  </w:style>
  <w:style w:type="paragraph" w:styleId="NormalWeb">
    <w:name w:val="Normal (Web)"/>
    <w:basedOn w:val="Normal"/>
    <w:uiPriority w:val="99"/>
    <w:unhideWhenUsed/>
    <w:rsid w:val="005749C5"/>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5749C5"/>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5749C5"/>
    <w:pPr>
      <w:ind w:left="720"/>
      <w:contextualSpacing/>
    </w:pPr>
  </w:style>
  <w:style w:type="character" w:customStyle="1" w:styleId="Ttulo1Car">
    <w:name w:val="Título 1 Car"/>
    <w:link w:val="Ttulo1"/>
    <w:locked/>
    <w:rsid w:val="005749C5"/>
    <w:rPr>
      <w:rFonts w:ascii="Arial" w:hAnsi="Arial" w:cs="Arial"/>
      <w:b/>
      <w:bCs/>
      <w:kern w:val="32"/>
      <w:sz w:val="32"/>
      <w:szCs w:val="32"/>
      <w:lang w:val="es-ES_tradnl" w:eastAsia="en-US"/>
    </w:rPr>
  </w:style>
  <w:style w:type="character" w:customStyle="1" w:styleId="Ttulo2Car">
    <w:name w:val="Título 2 Car"/>
    <w:link w:val="Ttulo2"/>
    <w:locked/>
    <w:rsid w:val="005749C5"/>
    <w:rPr>
      <w:rFonts w:ascii="Arial" w:hAnsi="Arial" w:cs="Arial"/>
      <w:b/>
      <w:bCs/>
      <w:i/>
      <w:iCs/>
      <w:sz w:val="28"/>
      <w:szCs w:val="28"/>
      <w:lang w:val="es-ES_tradnl" w:eastAsia="en-US"/>
    </w:rPr>
  </w:style>
  <w:style w:type="character" w:customStyle="1" w:styleId="Ttulo3Car">
    <w:name w:val="Título 3 Car"/>
    <w:link w:val="Ttulo3"/>
    <w:locked/>
    <w:rsid w:val="005749C5"/>
    <w:rPr>
      <w:rFonts w:ascii="Arial" w:hAnsi="Arial" w:cs="Arial"/>
      <w:b/>
      <w:bCs/>
      <w:szCs w:val="26"/>
      <w:lang w:val="es-ES_tradnl" w:eastAsia="en-US"/>
    </w:rPr>
  </w:style>
  <w:style w:type="character" w:customStyle="1" w:styleId="Ttulo5Car">
    <w:name w:val="Título 5 Car"/>
    <w:link w:val="Ttulo5"/>
    <w:locked/>
    <w:rsid w:val="005749C5"/>
    <w:rPr>
      <w:b/>
      <w:sz w:val="28"/>
      <w:lang w:eastAsia="en-US"/>
    </w:rPr>
  </w:style>
  <w:style w:type="character" w:customStyle="1" w:styleId="TextodegloboCar">
    <w:name w:val="Texto de globo Car"/>
    <w:link w:val="Textodeglobo"/>
    <w:semiHidden/>
    <w:locked/>
    <w:rsid w:val="005749C5"/>
    <w:rPr>
      <w:rFonts w:ascii="Tahoma" w:hAnsi="Tahoma" w:cs="Tahoma"/>
      <w:sz w:val="16"/>
      <w:szCs w:val="16"/>
      <w:lang w:val="es-ES_tradnl" w:eastAsia="en-US"/>
    </w:rPr>
  </w:style>
  <w:style w:type="character" w:customStyle="1" w:styleId="EncabezadoCar">
    <w:name w:val="Encabezado Car"/>
    <w:link w:val="Encabezado"/>
    <w:locked/>
    <w:rsid w:val="005749C5"/>
    <w:rPr>
      <w:bCs/>
      <w:caps/>
      <w:sz w:val="14"/>
      <w:szCs w:val="12"/>
      <w:lang w:val="es-ES_tradnl" w:eastAsia="en-US"/>
    </w:rPr>
  </w:style>
  <w:style w:type="character" w:customStyle="1" w:styleId="PiedepginaCar">
    <w:name w:val="Pie de página Car"/>
    <w:link w:val="Piedepgina"/>
    <w:uiPriority w:val="99"/>
    <w:locked/>
    <w:rsid w:val="005749C5"/>
    <w:rPr>
      <w:spacing w:val="6"/>
      <w:lang w:val="es-ES_tradnl" w:eastAsia="en-US"/>
    </w:rPr>
  </w:style>
  <w:style w:type="paragraph" w:customStyle="1" w:styleId="cuatitul">
    <w:name w:val="cuatitul"/>
    <w:basedOn w:val="Normal"/>
    <w:rsid w:val="005749C5"/>
    <w:pPr>
      <w:spacing w:after="60"/>
      <w:ind w:firstLine="0"/>
      <w:jc w:val="center"/>
    </w:pPr>
    <w:rPr>
      <w:rFonts w:ascii="GillSans" w:eastAsia="Calibri" w:hAnsi="GillSans"/>
      <w:sz w:val="22"/>
      <w:lang w:eastAsia="es-ES"/>
    </w:rPr>
  </w:style>
  <w:style w:type="paragraph" w:customStyle="1" w:styleId="TablaCC">
    <w:name w:val="TablaCC"/>
    <w:basedOn w:val="Normal"/>
    <w:rsid w:val="005749C5"/>
    <w:pPr>
      <w:spacing w:before="200" w:after="0"/>
      <w:ind w:firstLine="0"/>
      <w:jc w:val="left"/>
    </w:pPr>
    <w:rPr>
      <w:rFonts w:ascii="Arial" w:eastAsia="Calibri" w:hAnsi="Arial"/>
      <w:b/>
      <w:sz w:val="24"/>
      <w:szCs w:val="24"/>
      <w:lang w:val="es-ES"/>
    </w:rPr>
  </w:style>
  <w:style w:type="paragraph" w:customStyle="1" w:styleId="xl25">
    <w:name w:val="xl25"/>
    <w:basedOn w:val="Normal"/>
    <w:rsid w:val="005749C5"/>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5749C5"/>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5749C5"/>
    <w:rPr>
      <w:rFonts w:ascii="Arial" w:eastAsia="Calibri" w:hAnsi="Arial"/>
      <w:sz w:val="24"/>
      <w:lang w:val="es-ES_tradnl"/>
    </w:rPr>
  </w:style>
  <w:style w:type="character" w:customStyle="1" w:styleId="AyuntamientoCar">
    <w:name w:val="Ayuntamiento Car"/>
    <w:link w:val="Ayuntamiento"/>
    <w:locked/>
    <w:rsid w:val="005749C5"/>
    <w:rPr>
      <w:rFonts w:ascii="Arial" w:hAnsi="Arial"/>
      <w:sz w:val="24"/>
      <w:lang w:val="x-none"/>
    </w:rPr>
  </w:style>
  <w:style w:type="paragraph" w:customStyle="1" w:styleId="Ayuntamiento">
    <w:name w:val="Ayuntamiento"/>
    <w:basedOn w:val="Normal"/>
    <w:link w:val="AyuntamientoCar"/>
    <w:rsid w:val="005749C5"/>
    <w:pPr>
      <w:spacing w:after="0"/>
      <w:ind w:firstLine="0"/>
    </w:pPr>
    <w:rPr>
      <w:rFonts w:ascii="Arial" w:hAnsi="Arial"/>
      <w:sz w:val="24"/>
      <w:lang w:val="x-none" w:eastAsia="es-ES"/>
    </w:rPr>
  </w:style>
  <w:style w:type="character" w:customStyle="1" w:styleId="JavierCar">
    <w:name w:val="Javier Car"/>
    <w:link w:val="Javier"/>
    <w:locked/>
    <w:rsid w:val="005749C5"/>
    <w:rPr>
      <w:rFonts w:ascii="Arial" w:hAnsi="Arial"/>
      <w:sz w:val="24"/>
      <w:lang w:val="x-none"/>
    </w:rPr>
  </w:style>
  <w:style w:type="paragraph" w:customStyle="1" w:styleId="Javier">
    <w:name w:val="Javier"/>
    <w:basedOn w:val="Normal"/>
    <w:link w:val="JavierCar"/>
    <w:rsid w:val="005749C5"/>
    <w:pPr>
      <w:spacing w:after="0"/>
      <w:ind w:firstLine="0"/>
    </w:pPr>
    <w:rPr>
      <w:rFonts w:ascii="Arial" w:hAnsi="Arial"/>
      <w:sz w:val="24"/>
      <w:lang w:val="x-none" w:eastAsia="es-ES"/>
    </w:rPr>
  </w:style>
  <w:style w:type="character" w:styleId="Textoennegrita">
    <w:name w:val="Strong"/>
    <w:uiPriority w:val="22"/>
    <w:qFormat/>
    <w:rsid w:val="005749C5"/>
    <w:rPr>
      <w:b/>
    </w:rPr>
  </w:style>
  <w:style w:type="paragraph" w:customStyle="1" w:styleId="foral-f-parrafo-c">
    <w:name w:val="foral-f-parrafo-c"/>
    <w:basedOn w:val="Normal"/>
    <w:rsid w:val="005749C5"/>
    <w:pPr>
      <w:spacing w:after="240"/>
      <w:ind w:firstLine="0"/>
      <w:jc w:val="left"/>
    </w:pPr>
    <w:rPr>
      <w:rFonts w:eastAsia="Calibri"/>
      <w:sz w:val="24"/>
      <w:szCs w:val="24"/>
      <w:lang w:val="es-ES" w:eastAsia="es-ES"/>
    </w:rPr>
  </w:style>
  <w:style w:type="paragraph" w:customStyle="1" w:styleId="Estndar">
    <w:name w:val="Estándar"/>
    <w:rsid w:val="005749C5"/>
    <w:pPr>
      <w:snapToGrid w:val="0"/>
    </w:pPr>
    <w:rPr>
      <w:rFonts w:ascii="CG Omega" w:hAnsi="CG Omega"/>
      <w:color w:val="000000"/>
      <w:sz w:val="22"/>
    </w:rPr>
  </w:style>
  <w:style w:type="paragraph" w:styleId="Textoindependiente2">
    <w:name w:val="Body Text 2"/>
    <w:basedOn w:val="Normal"/>
    <w:link w:val="Textoindependiente2Car"/>
    <w:rsid w:val="005749C5"/>
    <w:pPr>
      <w:spacing w:after="120" w:line="480" w:lineRule="auto"/>
    </w:pPr>
    <w:rPr>
      <w:rFonts w:eastAsia="Calibri"/>
    </w:rPr>
  </w:style>
  <w:style w:type="character" w:customStyle="1" w:styleId="Textoindependiente2Car">
    <w:name w:val="Texto independiente 2 Car"/>
    <w:basedOn w:val="Fuentedeprrafopredeter"/>
    <w:link w:val="Textoindependiente2"/>
    <w:rsid w:val="005749C5"/>
    <w:rPr>
      <w:rFonts w:eastAsia="Calibri"/>
      <w:lang w:val="es-ES_tradnl" w:eastAsia="en-US"/>
    </w:rPr>
  </w:style>
  <w:style w:type="paragraph" w:styleId="Textoindependiente3">
    <w:name w:val="Body Text 3"/>
    <w:basedOn w:val="Normal"/>
    <w:link w:val="Textoindependiente3Car"/>
    <w:rsid w:val="005749C5"/>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5749C5"/>
    <w:rPr>
      <w:rFonts w:ascii="ITCCentury Book" w:hAnsi="ITCCentury Book"/>
      <w:b/>
      <w:sz w:val="96"/>
    </w:rPr>
  </w:style>
  <w:style w:type="paragraph" w:customStyle="1" w:styleId="c22">
    <w:name w:val="c22"/>
    <w:basedOn w:val="Normal"/>
    <w:rsid w:val="005749C5"/>
    <w:pPr>
      <w:spacing w:before="100" w:beforeAutospacing="1" w:after="100" w:afterAutospacing="1"/>
      <w:ind w:firstLine="0"/>
      <w:jc w:val="left"/>
    </w:pPr>
    <w:rPr>
      <w:sz w:val="24"/>
      <w:szCs w:val="24"/>
      <w:lang w:val="es-ES" w:eastAsia="es-ES"/>
    </w:rPr>
  </w:style>
  <w:style w:type="paragraph" w:customStyle="1" w:styleId="np">
    <w:name w:val="np"/>
    <w:basedOn w:val="Normal"/>
    <w:rsid w:val="005749C5"/>
    <w:pPr>
      <w:spacing w:before="100" w:beforeAutospacing="1" w:after="100" w:afterAutospacing="1"/>
      <w:ind w:firstLine="0"/>
      <w:jc w:val="left"/>
    </w:pPr>
    <w:rPr>
      <w:sz w:val="24"/>
      <w:szCs w:val="24"/>
      <w:lang w:val="es-ES" w:eastAsia="es-ES"/>
    </w:rPr>
  </w:style>
  <w:style w:type="paragraph" w:customStyle="1" w:styleId="Default">
    <w:name w:val="Default"/>
    <w:rsid w:val="005749C5"/>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5749C5"/>
    <w:pPr>
      <w:overflowPunct w:val="0"/>
      <w:adjustRightInd w:val="0"/>
      <w:spacing w:before="240" w:after="0"/>
      <w:ind w:firstLine="0"/>
    </w:pPr>
    <w:rPr>
      <w:sz w:val="22"/>
      <w:lang w:eastAsia="es-ES"/>
    </w:rPr>
  </w:style>
  <w:style w:type="paragraph" w:customStyle="1" w:styleId="xa1">
    <w:name w:val="xa1"/>
    <w:basedOn w:val="Normal"/>
    <w:rsid w:val="005749C5"/>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5749C5"/>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5749C5"/>
  </w:style>
  <w:style w:type="paragraph" w:customStyle="1" w:styleId="pie">
    <w:name w:val="pie"/>
    <w:basedOn w:val="Normal"/>
    <w:rsid w:val="005749C5"/>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5749C5"/>
  </w:style>
  <w:style w:type="character" w:customStyle="1" w:styleId="spelle">
    <w:name w:val="spelle"/>
    <w:rsid w:val="005749C5"/>
  </w:style>
  <w:style w:type="character" w:customStyle="1" w:styleId="grame">
    <w:name w:val="grame"/>
    <w:rsid w:val="005749C5"/>
  </w:style>
  <w:style w:type="paragraph" w:customStyle="1" w:styleId="Informal2">
    <w:name w:val="Informal2"/>
    <w:basedOn w:val="Normal"/>
    <w:rsid w:val="005749C5"/>
    <w:pPr>
      <w:spacing w:before="60" w:after="60"/>
      <w:ind w:firstLine="0"/>
      <w:jc w:val="left"/>
    </w:pPr>
    <w:rPr>
      <w:rFonts w:ascii="Arial" w:hAnsi="Arial"/>
      <w:b/>
      <w:lang w:eastAsia="es-ES"/>
    </w:rPr>
  </w:style>
  <w:style w:type="paragraph" w:customStyle="1" w:styleId="xdef">
    <w:name w:val="xdef"/>
    <w:basedOn w:val="Normal"/>
    <w:rsid w:val="005749C5"/>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rsid w:val="005749C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5749C5"/>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rsid w:val="005749C5"/>
    <w:pPr>
      <w:spacing w:after="0"/>
    </w:pPr>
  </w:style>
  <w:style w:type="character" w:customStyle="1" w:styleId="TextonotaalfinalCar">
    <w:name w:val="Texto nota al final Car"/>
    <w:basedOn w:val="Fuentedeprrafopredeter"/>
    <w:link w:val="Textonotaalfinal"/>
    <w:rsid w:val="005749C5"/>
    <w:rPr>
      <w:lang w:val="es-ES_tradnl" w:eastAsia="en-US"/>
    </w:rPr>
  </w:style>
  <w:style w:type="character" w:styleId="Refdenotaalfinal">
    <w:name w:val="endnote reference"/>
    <w:basedOn w:val="Fuentedeprrafopredeter"/>
    <w:rsid w:val="005749C5"/>
    <w:rPr>
      <w:vertAlign w:val="superscript"/>
    </w:rPr>
  </w:style>
  <w:style w:type="character" w:styleId="Hipervnculovisitado">
    <w:name w:val="FollowedHyperlink"/>
    <w:basedOn w:val="Fuentedeprrafopredeter"/>
    <w:uiPriority w:val="99"/>
    <w:unhideWhenUsed/>
    <w:rsid w:val="005749C5"/>
    <w:rPr>
      <w:color w:val="800080"/>
      <w:u w:val="single"/>
    </w:rPr>
  </w:style>
  <w:style w:type="paragraph" w:customStyle="1" w:styleId="xl66">
    <w:name w:val="xl66"/>
    <w:basedOn w:val="Normal"/>
    <w:rsid w:val="005749C5"/>
    <w:pPr>
      <w:spacing w:before="100" w:beforeAutospacing="1" w:after="100" w:afterAutospacing="1"/>
      <w:ind w:firstLine="0"/>
      <w:jc w:val="left"/>
    </w:pPr>
    <w:rPr>
      <w:lang w:val="es-ES" w:eastAsia="es-ES"/>
    </w:rPr>
  </w:style>
  <w:style w:type="paragraph" w:customStyle="1" w:styleId="xl67">
    <w:name w:val="xl67"/>
    <w:basedOn w:val="Normal"/>
    <w:rsid w:val="005749C5"/>
    <w:pPr>
      <w:shd w:val="clear" w:color="000000" w:fill="F2F2F2"/>
      <w:spacing w:before="100" w:beforeAutospacing="1" w:after="100" w:afterAutospacing="1"/>
      <w:ind w:firstLine="0"/>
      <w:jc w:val="left"/>
    </w:pPr>
    <w:rPr>
      <w:lang w:val="es-ES" w:eastAsia="es-ES"/>
    </w:rPr>
  </w:style>
  <w:style w:type="paragraph" w:customStyle="1" w:styleId="xl68">
    <w:name w:val="xl68"/>
    <w:basedOn w:val="Normal"/>
    <w:rsid w:val="005749C5"/>
    <w:pPr>
      <w:shd w:val="clear" w:color="000000" w:fill="F2F2F2"/>
      <w:spacing w:before="100" w:beforeAutospacing="1" w:after="100" w:afterAutospacing="1"/>
      <w:ind w:firstLine="0"/>
      <w:jc w:val="left"/>
    </w:pPr>
    <w:rPr>
      <w:sz w:val="36"/>
      <w:szCs w:val="36"/>
      <w:lang w:val="es-ES" w:eastAsia="es-ES"/>
    </w:rPr>
  </w:style>
  <w:style w:type="paragraph" w:customStyle="1" w:styleId="xl69">
    <w:name w:val="xl69"/>
    <w:basedOn w:val="Normal"/>
    <w:rsid w:val="005749C5"/>
    <w:pPr>
      <w:shd w:val="clear" w:color="000000" w:fill="EBF1DE"/>
      <w:spacing w:before="100" w:beforeAutospacing="1" w:after="100" w:afterAutospacing="1"/>
      <w:ind w:firstLine="0"/>
      <w:jc w:val="left"/>
    </w:pPr>
    <w:rPr>
      <w:lang w:val="es-ES" w:eastAsia="es-ES"/>
    </w:rPr>
  </w:style>
  <w:style w:type="paragraph" w:customStyle="1" w:styleId="xl70">
    <w:name w:val="xl70"/>
    <w:basedOn w:val="Normal"/>
    <w:rsid w:val="005749C5"/>
    <w:pPr>
      <w:shd w:val="clear" w:color="000000" w:fill="E4DFEC"/>
      <w:spacing w:before="100" w:beforeAutospacing="1" w:after="100" w:afterAutospacing="1"/>
      <w:ind w:firstLine="0"/>
      <w:jc w:val="left"/>
    </w:pPr>
    <w:rPr>
      <w:lang w:val="es-ES" w:eastAsia="es-ES"/>
    </w:rPr>
  </w:style>
  <w:style w:type="paragraph" w:customStyle="1" w:styleId="xl71">
    <w:name w:val="xl71"/>
    <w:basedOn w:val="Normal"/>
    <w:rsid w:val="005749C5"/>
    <w:pPr>
      <w:shd w:val="clear" w:color="000000" w:fill="E4DFEC"/>
      <w:spacing w:before="100" w:beforeAutospacing="1" w:after="100" w:afterAutospacing="1"/>
      <w:ind w:firstLine="0"/>
      <w:jc w:val="left"/>
    </w:pPr>
    <w:rPr>
      <w:b/>
      <w:bCs/>
      <w:lang w:val="es-ES" w:eastAsia="es-ES"/>
    </w:rPr>
  </w:style>
  <w:style w:type="paragraph" w:customStyle="1" w:styleId="xl72">
    <w:name w:val="xl72"/>
    <w:basedOn w:val="Normal"/>
    <w:rsid w:val="005749C5"/>
    <w:pPr>
      <w:shd w:val="clear" w:color="000000" w:fill="DAEEF3"/>
      <w:spacing w:before="100" w:beforeAutospacing="1" w:after="100" w:afterAutospacing="1"/>
      <w:ind w:firstLine="0"/>
      <w:jc w:val="left"/>
    </w:pPr>
    <w:rPr>
      <w:lang w:val="es-ES" w:eastAsia="es-ES"/>
    </w:rPr>
  </w:style>
  <w:style w:type="paragraph" w:customStyle="1" w:styleId="xl73">
    <w:name w:val="xl73"/>
    <w:basedOn w:val="Normal"/>
    <w:rsid w:val="005749C5"/>
    <w:pPr>
      <w:shd w:val="clear" w:color="000000" w:fill="DAEEF3"/>
      <w:spacing w:before="100" w:beforeAutospacing="1" w:after="100" w:afterAutospacing="1"/>
      <w:ind w:firstLine="0"/>
      <w:jc w:val="center"/>
    </w:pPr>
    <w:rPr>
      <w:lang w:val="es-ES" w:eastAsia="es-ES"/>
    </w:rPr>
  </w:style>
  <w:style w:type="paragraph" w:customStyle="1" w:styleId="xl74">
    <w:name w:val="xl74"/>
    <w:basedOn w:val="Normal"/>
    <w:rsid w:val="005749C5"/>
    <w:pPr>
      <w:shd w:val="clear" w:color="000000" w:fill="FDE9D9"/>
      <w:spacing w:before="100" w:beforeAutospacing="1" w:after="100" w:afterAutospacing="1"/>
      <w:ind w:firstLine="0"/>
      <w:jc w:val="left"/>
    </w:pPr>
    <w:rPr>
      <w:lang w:val="es-ES" w:eastAsia="es-ES"/>
    </w:rPr>
  </w:style>
  <w:style w:type="paragraph" w:customStyle="1" w:styleId="xl75">
    <w:name w:val="xl75"/>
    <w:basedOn w:val="Normal"/>
    <w:rsid w:val="005749C5"/>
    <w:pPr>
      <w:shd w:val="clear" w:color="000000" w:fill="FDE9D9"/>
      <w:spacing w:before="100" w:beforeAutospacing="1" w:after="100" w:afterAutospacing="1"/>
      <w:ind w:firstLine="0"/>
      <w:jc w:val="left"/>
    </w:pPr>
    <w:rPr>
      <w:sz w:val="36"/>
      <w:szCs w:val="36"/>
      <w:lang w:val="es-ES" w:eastAsia="es-ES"/>
    </w:rPr>
  </w:style>
  <w:style w:type="paragraph" w:styleId="Sinespaciado">
    <w:name w:val="No Spacing"/>
    <w:link w:val="SinespaciadoCar"/>
    <w:uiPriority w:val="1"/>
    <w:qFormat/>
    <w:rsid w:val="005749C5"/>
    <w:rPr>
      <w:rFonts w:ascii="EYInterstate Light" w:hAnsi="EYInterstate Light"/>
      <w:szCs w:val="24"/>
      <w:lang w:val="en-US" w:eastAsia="en-US"/>
    </w:rPr>
  </w:style>
  <w:style w:type="character" w:customStyle="1" w:styleId="SinespaciadoCar">
    <w:name w:val="Sin espaciado Car"/>
    <w:basedOn w:val="Fuentedeprrafopredeter"/>
    <w:link w:val="Sinespaciado"/>
    <w:uiPriority w:val="1"/>
    <w:rsid w:val="005749C5"/>
    <w:rPr>
      <w:rFonts w:ascii="EYInterstate Light" w:hAnsi="EYInterstate Light"/>
      <w:szCs w:val="24"/>
      <w:lang w:val="en-US" w:eastAsia="en-US"/>
    </w:rPr>
  </w:style>
  <w:style w:type="character" w:styleId="Refdecomentario">
    <w:name w:val="annotation reference"/>
    <w:basedOn w:val="Fuentedeprrafopredeter"/>
    <w:semiHidden/>
    <w:unhideWhenUsed/>
    <w:rsid w:val="005749C5"/>
    <w:rPr>
      <w:sz w:val="16"/>
      <w:szCs w:val="16"/>
    </w:rPr>
  </w:style>
  <w:style w:type="paragraph" w:styleId="Textocomentario">
    <w:name w:val="annotation text"/>
    <w:basedOn w:val="Normal"/>
    <w:link w:val="TextocomentarioCar"/>
    <w:unhideWhenUsed/>
    <w:rsid w:val="005749C5"/>
  </w:style>
  <w:style w:type="character" w:customStyle="1" w:styleId="TextocomentarioCar">
    <w:name w:val="Texto comentario Car"/>
    <w:basedOn w:val="Fuentedeprrafopredeter"/>
    <w:link w:val="Textocomentario"/>
    <w:rsid w:val="005749C5"/>
    <w:rPr>
      <w:lang w:val="es-ES_tradnl" w:eastAsia="en-US"/>
    </w:rPr>
  </w:style>
  <w:style w:type="paragraph" w:styleId="Asuntodelcomentario">
    <w:name w:val="annotation subject"/>
    <w:basedOn w:val="Textocomentario"/>
    <w:next w:val="Textocomentario"/>
    <w:link w:val="AsuntodelcomentarioCar"/>
    <w:semiHidden/>
    <w:unhideWhenUsed/>
    <w:rsid w:val="005749C5"/>
    <w:rPr>
      <w:b/>
      <w:bCs/>
    </w:rPr>
  </w:style>
  <w:style w:type="character" w:customStyle="1" w:styleId="AsuntodelcomentarioCar">
    <w:name w:val="Asunto del comentario Car"/>
    <w:basedOn w:val="TextocomentarioCar"/>
    <w:link w:val="Asuntodelcomentario"/>
    <w:semiHidden/>
    <w:rsid w:val="005749C5"/>
    <w:rPr>
      <w:b/>
      <w:bCs/>
      <w:lang w:val="es-ES_tradnl" w:eastAsia="en-US"/>
    </w:rPr>
  </w:style>
  <w:style w:type="paragraph" w:styleId="Revisin">
    <w:name w:val="Revision"/>
    <w:hidden/>
    <w:uiPriority w:val="99"/>
    <w:semiHidden/>
    <w:rsid w:val="005749C5"/>
    <w:rPr>
      <w:lang w:val="es-ES_tradnl" w:eastAsia="en-US"/>
    </w:rPr>
  </w:style>
  <w:style w:type="character" w:customStyle="1" w:styleId="jselectarea">
    <w:name w:val="jselectarea"/>
    <w:basedOn w:val="Fuentedeprrafopredeter"/>
    <w:rsid w:val="005749C5"/>
  </w:style>
  <w:style w:type="character" w:customStyle="1" w:styleId="atitulo3Car">
    <w:name w:val="atitulo3 Car"/>
    <w:link w:val="atitulo3"/>
    <w:rsid w:val="005749C5"/>
    <w:rPr>
      <w:rFonts w:ascii="Arial" w:hAnsi="Arial"/>
      <w:i/>
      <w:iCs/>
      <w:color w:val="000000"/>
      <w:spacing w:val="10"/>
      <w:kern w:val="28"/>
      <w:sz w:val="25"/>
      <w:szCs w:val="26"/>
      <w:lang w:val="es-ES_tradnl" w:eastAsia="en-US"/>
    </w:rPr>
  </w:style>
  <w:style w:type="paragraph" w:customStyle="1" w:styleId="doc-ti">
    <w:name w:val="doc-ti"/>
    <w:basedOn w:val="Normal"/>
    <w:rsid w:val="005749C5"/>
    <w:pPr>
      <w:spacing w:before="100" w:beforeAutospacing="1" w:after="100" w:afterAutospacing="1"/>
      <w:ind w:firstLine="0"/>
      <w:jc w:val="left"/>
    </w:pPr>
    <w:rPr>
      <w:sz w:val="24"/>
      <w:szCs w:val="24"/>
      <w:lang w:val="es-ES" w:eastAsia="es-ES"/>
    </w:rPr>
  </w:style>
  <w:style w:type="character" w:customStyle="1" w:styleId="markedcontent">
    <w:name w:val="markedcontent"/>
    <w:basedOn w:val="Fuentedeprrafopredeter"/>
    <w:rsid w:val="005749C5"/>
  </w:style>
  <w:style w:type="table" w:customStyle="1" w:styleId="Tablaconcuadrcula2">
    <w:name w:val="Tabla con cuadrícula2"/>
    <w:basedOn w:val="Tablanormal"/>
    <w:next w:val="Tablaconcuadrcula"/>
    <w:uiPriority w:val="39"/>
    <w:rsid w:val="005749C5"/>
    <w:rPr>
      <w:rFonts w:ascii="Calibri" w:eastAsia="DengXia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5749C5"/>
    <w:pPr>
      <w:spacing w:before="100" w:beforeAutospacing="1" w:after="100" w:afterAutospacing="1"/>
      <w:ind w:firstLine="0"/>
      <w:jc w:val="left"/>
    </w:pPr>
    <w:rPr>
      <w:sz w:val="24"/>
      <w:szCs w:val="24"/>
      <w:lang w:val="es-ES" w:eastAsia="es-ES"/>
    </w:rPr>
  </w:style>
  <w:style w:type="character" w:customStyle="1" w:styleId="cuerpotexto100">
    <w:name w:val="cuerpo_texto100"/>
    <w:basedOn w:val="Fuentedeprrafopredeter"/>
    <w:rsid w:val="005749C5"/>
  </w:style>
  <w:style w:type="character" w:customStyle="1" w:styleId="category">
    <w:name w:val="category"/>
    <w:basedOn w:val="Fuentedeprrafopredeter"/>
    <w:rsid w:val="005749C5"/>
  </w:style>
  <w:style w:type="paragraph" w:customStyle="1" w:styleId="parrafo2">
    <w:name w:val="parrafo_2"/>
    <w:basedOn w:val="Normal"/>
    <w:rsid w:val="005749C5"/>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8443">
      <w:bodyDiv w:val="1"/>
      <w:marLeft w:val="0"/>
      <w:marRight w:val="0"/>
      <w:marTop w:val="0"/>
      <w:marBottom w:val="0"/>
      <w:divBdr>
        <w:top w:val="none" w:sz="0" w:space="0" w:color="auto"/>
        <w:left w:val="none" w:sz="0" w:space="0" w:color="auto"/>
        <w:bottom w:val="none" w:sz="0" w:space="0" w:color="auto"/>
        <w:right w:val="none" w:sz="0" w:space="0" w:color="auto"/>
      </w:divBdr>
    </w:div>
    <w:div w:id="127941212">
      <w:bodyDiv w:val="1"/>
      <w:marLeft w:val="0"/>
      <w:marRight w:val="0"/>
      <w:marTop w:val="0"/>
      <w:marBottom w:val="0"/>
      <w:divBdr>
        <w:top w:val="none" w:sz="0" w:space="0" w:color="auto"/>
        <w:left w:val="none" w:sz="0" w:space="0" w:color="auto"/>
        <w:bottom w:val="none" w:sz="0" w:space="0" w:color="auto"/>
        <w:right w:val="none" w:sz="0" w:space="0" w:color="auto"/>
      </w:divBdr>
    </w:div>
    <w:div w:id="559942751">
      <w:bodyDiv w:val="1"/>
      <w:marLeft w:val="0"/>
      <w:marRight w:val="0"/>
      <w:marTop w:val="0"/>
      <w:marBottom w:val="0"/>
      <w:divBdr>
        <w:top w:val="none" w:sz="0" w:space="0" w:color="auto"/>
        <w:left w:val="none" w:sz="0" w:space="0" w:color="auto"/>
        <w:bottom w:val="none" w:sz="0" w:space="0" w:color="auto"/>
        <w:right w:val="none" w:sz="0" w:space="0" w:color="auto"/>
      </w:divBdr>
    </w:div>
    <w:div w:id="669915338">
      <w:bodyDiv w:val="1"/>
      <w:marLeft w:val="0"/>
      <w:marRight w:val="0"/>
      <w:marTop w:val="0"/>
      <w:marBottom w:val="0"/>
      <w:divBdr>
        <w:top w:val="none" w:sz="0" w:space="0" w:color="auto"/>
        <w:left w:val="none" w:sz="0" w:space="0" w:color="auto"/>
        <w:bottom w:val="none" w:sz="0" w:space="0" w:color="auto"/>
        <w:right w:val="none" w:sz="0" w:space="0" w:color="auto"/>
      </w:divBdr>
    </w:div>
    <w:div w:id="929119488">
      <w:bodyDiv w:val="1"/>
      <w:marLeft w:val="0"/>
      <w:marRight w:val="0"/>
      <w:marTop w:val="0"/>
      <w:marBottom w:val="0"/>
      <w:divBdr>
        <w:top w:val="none" w:sz="0" w:space="0" w:color="auto"/>
        <w:left w:val="none" w:sz="0" w:space="0" w:color="auto"/>
        <w:bottom w:val="none" w:sz="0" w:space="0" w:color="auto"/>
        <w:right w:val="none" w:sz="0" w:space="0" w:color="auto"/>
      </w:divBdr>
    </w:div>
    <w:div w:id="991719500">
      <w:bodyDiv w:val="1"/>
      <w:marLeft w:val="0"/>
      <w:marRight w:val="0"/>
      <w:marTop w:val="0"/>
      <w:marBottom w:val="0"/>
      <w:divBdr>
        <w:top w:val="none" w:sz="0" w:space="0" w:color="auto"/>
        <w:left w:val="none" w:sz="0" w:space="0" w:color="auto"/>
        <w:bottom w:val="none" w:sz="0" w:space="0" w:color="auto"/>
        <w:right w:val="none" w:sz="0" w:space="0" w:color="auto"/>
      </w:divBdr>
    </w:div>
    <w:div w:id="1114860811">
      <w:bodyDiv w:val="1"/>
      <w:marLeft w:val="0"/>
      <w:marRight w:val="0"/>
      <w:marTop w:val="0"/>
      <w:marBottom w:val="0"/>
      <w:divBdr>
        <w:top w:val="none" w:sz="0" w:space="0" w:color="auto"/>
        <w:left w:val="none" w:sz="0" w:space="0" w:color="auto"/>
        <w:bottom w:val="none" w:sz="0" w:space="0" w:color="auto"/>
        <w:right w:val="none" w:sz="0" w:space="0" w:color="auto"/>
      </w:divBdr>
    </w:div>
    <w:div w:id="1395932490">
      <w:bodyDiv w:val="1"/>
      <w:marLeft w:val="0"/>
      <w:marRight w:val="0"/>
      <w:marTop w:val="0"/>
      <w:marBottom w:val="0"/>
      <w:divBdr>
        <w:top w:val="none" w:sz="0" w:space="0" w:color="auto"/>
        <w:left w:val="none" w:sz="0" w:space="0" w:color="auto"/>
        <w:bottom w:val="none" w:sz="0" w:space="0" w:color="auto"/>
        <w:right w:val="none" w:sz="0" w:space="0" w:color="auto"/>
      </w:divBdr>
    </w:div>
    <w:div w:id="1637030257">
      <w:bodyDiv w:val="1"/>
      <w:marLeft w:val="0"/>
      <w:marRight w:val="0"/>
      <w:marTop w:val="0"/>
      <w:marBottom w:val="0"/>
      <w:divBdr>
        <w:top w:val="none" w:sz="0" w:space="0" w:color="auto"/>
        <w:left w:val="none" w:sz="0" w:space="0" w:color="auto"/>
        <w:bottom w:val="none" w:sz="0" w:space="0" w:color="auto"/>
        <w:right w:val="none" w:sz="0" w:space="0" w:color="auto"/>
      </w:divBdr>
    </w:div>
    <w:div w:id="1642885006">
      <w:bodyDiv w:val="1"/>
      <w:marLeft w:val="0"/>
      <w:marRight w:val="0"/>
      <w:marTop w:val="0"/>
      <w:marBottom w:val="0"/>
      <w:divBdr>
        <w:top w:val="none" w:sz="0" w:space="0" w:color="auto"/>
        <w:left w:val="none" w:sz="0" w:space="0" w:color="auto"/>
        <w:bottom w:val="none" w:sz="0" w:space="0" w:color="auto"/>
        <w:right w:val="none" w:sz="0" w:space="0" w:color="auto"/>
      </w:divBdr>
    </w:div>
    <w:div w:id="1880244227">
      <w:bodyDiv w:val="1"/>
      <w:marLeft w:val="0"/>
      <w:marRight w:val="0"/>
      <w:marTop w:val="0"/>
      <w:marBottom w:val="0"/>
      <w:divBdr>
        <w:top w:val="none" w:sz="0" w:space="0" w:color="auto"/>
        <w:left w:val="none" w:sz="0" w:space="0" w:color="auto"/>
        <w:bottom w:val="none" w:sz="0" w:space="0" w:color="auto"/>
        <w:right w:val="none" w:sz="0" w:space="0" w:color="auto"/>
      </w:divBdr>
    </w:div>
    <w:div w:id="2027250936">
      <w:bodyDiv w:val="1"/>
      <w:marLeft w:val="0"/>
      <w:marRight w:val="0"/>
      <w:marTop w:val="0"/>
      <w:marBottom w:val="0"/>
      <w:divBdr>
        <w:top w:val="none" w:sz="0" w:space="0" w:color="auto"/>
        <w:left w:val="none" w:sz="0" w:space="0" w:color="auto"/>
        <w:bottom w:val="none" w:sz="0" w:space="0" w:color="auto"/>
        <w:right w:val="none" w:sz="0" w:space="0" w:color="auto"/>
      </w:divBdr>
    </w:div>
    <w:div w:id="2085686922">
      <w:bodyDiv w:val="1"/>
      <w:marLeft w:val="0"/>
      <w:marRight w:val="0"/>
      <w:marTop w:val="0"/>
      <w:marBottom w:val="0"/>
      <w:divBdr>
        <w:top w:val="none" w:sz="0" w:space="0" w:color="auto"/>
        <w:left w:val="none" w:sz="0" w:space="0" w:color="auto"/>
        <w:bottom w:val="none" w:sz="0" w:space="0" w:color="auto"/>
        <w:right w:val="none" w:sz="0" w:space="0" w:color="auto"/>
      </w:divBdr>
    </w:div>
    <w:div w:id="21316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AFCF-988B-4056-8A3E-1BACD37C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8915</Words>
  <Characters>50546</Characters>
  <Application>Microsoft Office Word</Application>
  <DocSecurity>4</DocSecurity>
  <Lines>421</Lines>
  <Paragraphs>118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d206815</dc:creator>
  <cp:keywords/>
  <dc:description/>
  <cp:lastModifiedBy>De Santiago, Iñaki</cp:lastModifiedBy>
  <cp:revision>2</cp:revision>
  <cp:lastPrinted>2022-05-11T07:25:00Z</cp:lastPrinted>
  <dcterms:created xsi:type="dcterms:W3CDTF">2022-06-03T11:35:00Z</dcterms:created>
  <dcterms:modified xsi:type="dcterms:W3CDTF">2022-06-03T11:35:00Z</dcterms:modified>
</cp:coreProperties>
</file>