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berezko funtsak edo Europako funtsak ez dituzten Migrazio Politiketako eta Justiziako Departamentuaren proiektuei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 egin du (10-20/PES-00335) Nafarroako Gobernuko Migrazio Politiketako eta Justiziako kontseilariak idatziz erantzun dezan:</w:t>
      </w:r>
    </w:p>
    <w:p>
      <w:pPr>
        <w:pStyle w:val="0"/>
        <w:suppressAutoHyphens w:val="false"/>
        <w:rPr>
          <w:rStyle w:val="1"/>
        </w:rPr>
      </w:pPr>
      <w:r>
        <w:rPr>
          <w:rStyle w:val="1"/>
        </w:rPr>
        <w:t xml:space="preserve">Nola aurreikusten duzu betetzea Migrazio Politiketako eta Justiziako Departamentuak aurkeztutako proiektuak, funts berekirik edo Next Generation esparrukorik eduki ez baina gure adimen kolektiboaren zati bat izanen direnak?</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Agian parlamentari jaunak beste kontzeptu batzuekin nahasi du "adimen kolektiboa". Kropotkinek aipatu zuen lehenengoz adimen kolektiboa, erlea edo inurria bezalako animalia txikien komunitateen portaeran oinarrituta. Pierre Levyk honela definitzen du adimen kolektiboa: "nonahi barreiatutako adimena, etenik gabe balioztatua, denbora errealean koordinatua, gaitasunen mobilizazio eraginkorrera daramana. Adimen kolektiboaren helburua pertsonek elkar ezagutzea eta elkar aberastea da". George Pór-ek honela definitu zuen: "giza komunitateek konplexutasun eta harmonia handiagoko antolamendu baterantz eboluzionatzeko duten gaitasuna, berrikuntza-mekanismoen bidez nahiz desberdintze-, integrazio-, lehia- eta lankidetza-mekanismoen bidez gauzatzen dena". María Hidalgok uste du adimen kolektiboak osagai dituela "prozesu batzuk, talde bati bide ematen diotenak ikasteko, ulertzeko, arrazoitzeko eta erabakiak hartzeko kideek bakarka eginen luketen moduaz bestera (horretaz jakitun nahiz oharkabean)", eta ''sinergien antzeko dinamika" eragiten duela: "balio handiagoa sortzen da atalak konektatuz atalak batuz baino".</w:t>
      </w:r>
    </w:p>
    <w:p>
      <w:pPr>
        <w:pStyle w:val="0"/>
        <w:suppressAutoHyphens w:val="false"/>
        <w:rPr>
          <w:rStyle w:val="1"/>
        </w:rPr>
      </w:pPr>
      <w:r>
        <w:rPr>
          <w:rStyle w:val="1"/>
        </w:rPr>
        <w:t xml:space="preserve">Esan liteke, beraz, adimen kolektiboa gizabanako askoren arteko lankidetzatik sortzen den adimena dela. Eta kontzeptu horrek ez du zentzu handirik parlamentari jaunaren galderan, zeinak aipagai baitu (ulertzen dut) gizarte giza gure osotasunean geureganatutako ezagutza multzo bat, eta ez talde-ekintza bat eraginkortasunez egiteko baliatzen den sinergien prozesu bat.</w:t>
      </w:r>
    </w:p>
    <w:p>
      <w:pPr>
        <w:pStyle w:val="0"/>
        <w:suppressAutoHyphens w:val="false"/>
        <w:rPr>
          <w:rStyle w:val="1"/>
        </w:rPr>
      </w:pPr>
      <w:r>
        <w:rPr>
          <w:rStyle w:val="1"/>
        </w:rPr>
        <w:t xml:space="preserve">Uste dut, hortaz, parlamentari jaunak zera adierazi nahi izan duela: aipatutako proiektuak dagoeneko gure "iruditeria kolektiboaren" parte direla, hura adiera zabal eta arruntean ulerturik, eta ez Edgar Morinek 1960an ezarritako ezaugarriei erreparatuta. Izan ere, egile horrek, hain zuzen ere kontzeptua sortu zuenak, uste zuen iruditeria kolektiboaren sorkuntzak ezaugarri erlijiosoak, magiazkoak edo antzekoak dituela. Ez da gure asmoa inork sineste-ariketarik egitea gure proiektuekin.</w:t>
      </w:r>
    </w:p>
    <w:p>
      <w:pPr>
        <w:pStyle w:val="0"/>
        <w:suppressAutoHyphens w:val="false"/>
        <w:rPr>
          <w:rStyle w:val="1"/>
        </w:rPr>
      </w:pPr>
      <w:r>
        <w:rPr>
          <w:rStyle w:val="1"/>
        </w:rPr>
        <w:t xml:space="preserve">Eskerrak ematen dizkiot parlamentari jaunari, uste duelako dagoeneko gure iruditeria kolektiboaren parte direla Next Generation UE programarako aurkeztutako proiektu horiek (orain arte behin baino aurkeztu ez zaizkienak herritarrei, eta izena bakarrik aipatuta). Eskerrak ematen dizkiot, horrek esan nahi duelako herritarrek oro har proiektu horiek nahi dituztela; eta horrek esan nahi luke benetako kezka bati erantzuten dietela. Arazoen diagnostikoan behintzat asmatu egin dugun seinale litzateke, beraz.</w:t>
      </w:r>
    </w:p>
    <w:p>
      <w:pPr>
        <w:pStyle w:val="0"/>
        <w:suppressAutoHyphens w:val="false"/>
        <w:rPr>
          <w:rStyle w:val="1"/>
        </w:rPr>
      </w:pPr>
      <w:r>
        <w:rPr>
          <w:rStyle w:val="1"/>
        </w:rPr>
        <w:t xml:space="preserve">Asmatu dugulakoan geunden lehendik ere, eta orain egiaztatzen dugu parlamentari jaunak ere hala uste duela. Hala, bada, berretsi egin behar ditut zure idatzizko galdera hauei erantzunez esandakoak: 10-20 PES-00325, 10-20 PES-00326, 10-20 PES-00327, 10-20 PES-00328, 10-20 PES-003290, 10- 20 PES-00330, 10-20 PES-00331, 10-20 PES-00332, 10-20 PES-00333 eta 10-20 PES- 00334.</w:t>
      </w:r>
    </w:p>
    <w:p>
      <w:pPr>
        <w:pStyle w:val="0"/>
        <w:suppressAutoHyphens w:val="false"/>
        <w:rPr>
          <w:rStyle w:val="1"/>
        </w:rPr>
      </w:pPr>
      <w:r>
        <w:rPr>
          <w:rStyle w:val="1"/>
        </w:rPr>
        <w:t xml:space="preserve">Beraz, baita proiektu horietarako Europako funtsik jasotzen ez bada ere, Nafarroako Gobernuak uste du haiek jorratzen dituzten lan arloak egokiak, beharrezkoak eta kasu askotan gakoak direla. Horregatik, gure asmoa da haiek lehenbailehen eta ahalik eta baldintzarik onenetan gauzatzea.</w:t>
      </w:r>
    </w:p>
    <w:p>
      <w:pPr>
        <w:pStyle w:val="0"/>
        <w:suppressAutoHyphens w:val="false"/>
        <w:rPr>
          <w:rStyle w:val="1"/>
        </w:rPr>
      </w:pPr>
      <w:r>
        <w:rPr>
          <w:rStyle w:val="1"/>
        </w:rPr>
        <w:t xml:space="preserve">Parlamentari jaunak zehaztasun gehiago nahi baditu, eman eginen dizkiot: garrantziaren araberako hierarkia ezarriko da beste jarduketa batzuekin alderatuta, eta behar adinako aurrekontu-esleipena eginen da ahal den unean. Legeari jarraituz jokatuko da, abiaburutzat harturik lehentasunen hierarkizazioa, aurrekontua egiteko zuhurtzia, gardentasuna, parte-hartze publikoa, gizarte-entitateekiko koordinazioa eta herritarrekiko lankidetza. Behar diren administrazio-izapideak eginen dira jada egindako diagnostikoa osatzeko, beharrezkoa balitz, eta aipatu proiektuetan jaso diren neurriak garatzeko.</w:t>
      </w:r>
    </w:p>
    <w:p>
      <w:pPr>
        <w:pStyle w:val="0"/>
        <w:suppressAutoHyphens w:val="false"/>
        <w:rPr>
          <w:rStyle w:val="1"/>
        </w:rPr>
      </w:pPr>
      <w:r>
        <w:rPr>
          <w:rStyle w:val="1"/>
        </w:rPr>
        <w:t xml:space="preserve">Alegia, gobernu honetako departamentuen beste edozein proiektu edo lan-ildorekin bezala jokatuko da.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