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proyectos presentados por el Departamento de Políticas Migratorias y Justicia que no cuenten con fondos propios o europeos,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al amparo de lo dispuesto en el Reglamento de la Cámara, realiza la siguiente pregunta escrita al consejero de Políticas Migratorias y Justicia:</w:t>
      </w:r>
    </w:p>
    <w:p>
      <w:pPr>
        <w:pStyle w:val="0"/>
        <w:suppressAutoHyphens w:val="false"/>
        <w:rPr>
          <w:rStyle w:val="1"/>
        </w:rPr>
      </w:pPr>
      <w:r>
        <w:rPr>
          <w:rStyle w:val="1"/>
        </w:rPr>
        <w:t xml:space="preserve">¿De qué manera tiene previsto que se hagan realidad aquellos proyectos presentados por el Departamento de Políticas Migratorias y Justicia que no cuenten con fondos propios o europeos en el marco del Next Generation pero que ya formarán parte de nuestra inteligencia colectiva?</w:t>
      </w:r>
    </w:p>
    <w:p>
      <w:pPr>
        <w:pStyle w:val="0"/>
        <w:suppressAutoHyphens w:val="false"/>
        <w:rPr>
          <w:rStyle w:val="1"/>
        </w:rPr>
      </w:pPr>
      <w:r>
        <w:rPr>
          <w:rStyle w:val="1"/>
        </w:rPr>
        <w:t xml:space="preserve">Pamplona, 26 de noviembre de 2020</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