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junio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compensación económica de personas afectadas por expedientes de regulación de empleo de suspensión o reducción que no lleguen a percibir el SMI,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junio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E.H. Bildu Nafarroa, ante la Mesa de la Cámara, presenta para su tramitación las siguientes preguntas para su respuesta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Ayer, en el seno del Consejo Económico y Social, se adoptó un acuerdo que contó con el visto bueno del Gobierno –la propia Presidenta firmó el documento con los representantes de la asociación de empresarios, CEN, y los sindicatos UGT y CCOO– en el que se indica lo siguiente: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“Compensación económica a aquellas personas afectadas por expedientes de regulación de empleo de suspensión o reducción y que no vean completado por parte de la empresa su salario al 100 % y como consecuencia de ello no lleguen a percibir el SMI: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 – Las partes se comprometen a evaluar una actuación en ese terreno con efectos a partir de 1 de julio de 2020 y con el compromiso de llegar a un acuerdo antes del 31 de julio, que deberá aprobarse en una reunión del Consejo del Diálogo Social convocada al efecto”.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la vista de lo anterior se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¿De qué información dispone el Gobierno sobre el número de personas que pudieran estar afectadas por la posible implantación de esta medida?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coste ha calculado el Gobierno que podría tener la aprobación de esta medida?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¿De qué medios dispone el Gobierno para financiar la posible implantación de esta medida? ¿De dónde pretende financiar el Gobierno esa medida?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¿Considera el Gobierno que la implantación de esta medida comportaría la modificación de los vigentes presupuestos y sería precisa la aprobación de esa modificación por el Parlamento?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Iruñea/Pamplona a 17 de junio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