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Marta Álvarez Alonso andreak aurkezturiko galdera, mendekotasuna eta desgaitasunen bat duten pertsonentzako laguntzetan emandako aldaketak malgutzeari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Marta Álvarez Alonso andreak, Legebiltzarreko Erregelamenduko 188. artikuluan eta hurrengoetan ezarritakoaren babesean, galdera hau aurkezten du, idatziz erantzun dakion:</w:t>
      </w:r>
    </w:p>
    <w:p>
      <w:pPr>
        <w:pStyle w:val="0"/>
        <w:suppressAutoHyphens w:val="false"/>
        <w:rPr>
          <w:rStyle w:val="1"/>
        </w:rPr>
      </w:pPr>
      <w:r>
        <w:rPr>
          <w:rStyle w:val="1"/>
        </w:rPr>
        <w:t xml:space="preserve">Apirilaren 21eko Osoko Bilkuran –non onetsi egin baitzen 3/2020 Foru Lege-dekretua, apirilaren 15ekoa, premiazko neurriak onesten dituena koronabirusaren (COVID-19) osasun krisiak eragindako inpaktuari aurre egiteko– Navarra Suma talde parlamentarioak eskatu zuen foru lege proiektu gisa izapidetu zedin, zuzenketak egin ahal izateko. Zuzenketa horietan besteak beste eskatzen zen abian jar zitezen berariazko laguntzak (familia-inguruneko zainketetarako laguntzen zenbateko bertsukoak), eguneko zentroa edo zentro okupazionala itxi delako zerbitzu hori utzi behar izan dutenentzat edo, zuhurtziagatik, egoitzako laguntza-zerbitzua aldi baterako utzi eta bere etxera itzultzea erabaki dutenentzat, mendekotasuna eduki nahiz mendekotasunik eduki ez. Laguntza horiek ez lirateke mendekotasun-sistemarekin lotuta egonen, medekotasunik ez daukaten adineko pertsonak eta desgaituak sartuko bailirateke bertan, eta askoz ere zaluagoak izatea bilatzen zen, ez bailuke banakako arreta programa aldatzea eskatuko.</w:t>
      </w:r>
    </w:p>
    <w:p>
      <w:pPr>
        <w:pStyle w:val="0"/>
        <w:suppressAutoHyphens w:val="false"/>
        <w:rPr>
          <w:rStyle w:val="1"/>
        </w:rPr>
      </w:pPr>
      <w:r>
        <w:rPr>
          <w:rStyle w:val="1"/>
        </w:rPr>
        <w:t xml:space="preserve">Osoko bilkura hartan PSNko eledun Alzórriz jaunak, Nafarroako Gobernuko lehendakariak eta Eskubide Sozialetako kontseilariak hitz egin zuten, eta hirurek adierazi zuten Navarra Sumak egin nahi zuen zuzenketak birtualtasunik ez zeukala, laguntza horiek egon bazeudelako. Zehazki, kontseilariak aipatu zuen mendekotasunen bat duten pertsonek badutela prestazioz aldatzeko aukera.</w:t>
      </w:r>
    </w:p>
    <w:p>
      <w:pPr>
        <w:pStyle w:val="0"/>
        <w:suppressAutoHyphens w:val="false"/>
        <w:rPr>
          <w:rStyle w:val="1"/>
        </w:rPr>
      </w:pPr>
      <w:r>
        <w:rPr>
          <w:rStyle w:val="1"/>
        </w:rPr>
        <w:t xml:space="preserve">Iragan maiatzaren 6an, Eskubide Sozialetako kontseilariak prentsaurreko batean iragarri zuen malgutu eginen zela mendekotasunen bat duten pertsonentzako eta desgaituentzako laguntzen prestazio-aldaketa, neurri hori Eskubide Sozialetako kontseilariaren maiatzaren 6ko 158/2020 Foru Aginduan jasotzen baita (foru aginduak Eskubide Sozialetako kontseilariaren martxoaren 17ko 132/2020 Foru Agindua aldatzen du; haren bidez, prebentzio neurriak eta gomendioak ezartzen dira adinekoen, desgaitasuna dutenen eta adingabeen esparruan, koronabirusaren (COVID-19) eboluzio epidemiologikoak eragin duen alarma egoerak irauten duen bitartean).</w:t>
      </w:r>
    </w:p>
    <w:p>
      <w:pPr>
        <w:pStyle w:val="0"/>
        <w:suppressAutoHyphens w:val="false"/>
        <w:rPr>
          <w:rStyle w:val="1"/>
        </w:rPr>
      </w:pPr>
      <w:r>
        <w:rPr>
          <w:rStyle w:val="1"/>
        </w:rPr>
        <w:t xml:space="preserve">Horri buruz, parlamentari honek hauxe jakin nahi du:</w:t>
      </w:r>
    </w:p>
    <w:p>
      <w:pPr>
        <w:pStyle w:val="0"/>
        <w:suppressAutoHyphens w:val="false"/>
        <w:rPr>
          <w:rStyle w:val="1"/>
        </w:rPr>
      </w:pPr>
      <w:r>
        <w:rPr>
          <w:rStyle w:val="1"/>
        </w:rPr>
        <w:t xml:space="preserve">1. Zergatik onetsi da malgutze-neurri hori, baldin eta prestazio-aldaketa egiteko aukera badago, apirilaren 21eko Osoko Bilkuran esan zen bezala?</w:t>
      </w:r>
    </w:p>
    <w:p>
      <w:pPr>
        <w:pStyle w:val="0"/>
        <w:suppressAutoHyphens w:val="false"/>
        <w:rPr>
          <w:rStyle w:val="1"/>
        </w:rPr>
      </w:pPr>
      <w:r>
        <w:rPr>
          <w:rStyle w:val="1"/>
        </w:rPr>
        <w:t xml:space="preserve">2. Malgutze-neurria, mendekotasun egoeran egonik prestazio bat aitorturik daukaten pertsonei soilik aplikatzen zaie ala zerbitzua edo prestazioa aitor dakien zain daudenei, mendekotasunik gabeko desgaituei eta mendekotasunik gabeko adineko pertsonei ere aplikatzen zaie? Zehaztu zeini aplikatuko litzaiokeen.</w:t>
      </w:r>
    </w:p>
    <w:p>
      <w:pPr>
        <w:pStyle w:val="0"/>
        <w:suppressAutoHyphens w:val="false"/>
        <w:rPr>
          <w:rStyle w:val="1"/>
        </w:rPr>
      </w:pPr>
      <w:r>
        <w:rPr>
          <w:rStyle w:val="1"/>
        </w:rPr>
        <w:t xml:space="preserve">Pertsona horiei aplikatuz gero, zehaztu zer arautan oinarrituta eginen den prestazio-aldaketa.</w:t>
      </w:r>
    </w:p>
    <w:p>
      <w:pPr>
        <w:pStyle w:val="0"/>
        <w:suppressAutoHyphens w:val="false"/>
        <w:rPr>
          <w:rStyle w:val="1"/>
        </w:rPr>
      </w:pPr>
      <w:r>
        <w:rPr>
          <w:rStyle w:val="1"/>
        </w:rPr>
        <w:t xml:space="preserve">3. Malgutze-neurriak banakako arreta programa aldatzea al dakar nahitaez?</w:t>
      </w:r>
    </w:p>
    <w:p>
      <w:pPr>
        <w:pStyle w:val="0"/>
        <w:suppressAutoHyphens w:val="false"/>
        <w:rPr>
          <w:rStyle w:val="1"/>
        </w:rPr>
      </w:pPr>
      <w:r>
        <w:rPr>
          <w:rStyle w:val="1"/>
        </w:rPr>
        <w:t xml:space="preserve">4. Banakako arreta programa aldatuz gero, galdu egiten al da egoitza-tokia edo eguneko zentroko tokia eta zainketen prestazioa familia-ingurunean esleitzea?</w:t>
      </w:r>
    </w:p>
    <w:p>
      <w:pPr>
        <w:pStyle w:val="0"/>
        <w:suppressAutoHyphens w:val="false"/>
        <w:rPr>
          <w:rStyle w:val="1"/>
        </w:rPr>
      </w:pPr>
      <w:r>
        <w:rPr>
          <w:rStyle w:val="1"/>
        </w:rPr>
        <w:t xml:space="preserve">Tokia galtzea eragiten ez badu, zehaztu zer arautan oinarrituta egiten den hori.</w:t>
      </w:r>
    </w:p>
    <w:p>
      <w:pPr>
        <w:pStyle w:val="0"/>
        <w:suppressAutoHyphens w:val="false"/>
        <w:rPr>
          <w:rStyle w:val="1"/>
        </w:rPr>
      </w:pPr>
      <w:r>
        <w:rPr>
          <w:rStyle w:val="1"/>
        </w:rPr>
        <w:t xml:space="preserve">5. Maiatzaren 7ko prentsaurrekoan, kontseilariak adierazi zuen eguneko zentroko zerbitzuaren hartzaileen kasuan ofizioz eginen dela prestazio-aldaketa. 158/2020 Foru Aginduak ez du horri buruz ezer esaten. Hori horrela al da? Zer arauditan oinarrituta eginen da ofizioz?</w:t>
      </w:r>
    </w:p>
    <w:p>
      <w:pPr>
        <w:pStyle w:val="0"/>
        <w:suppressAutoHyphens w:val="false"/>
        <w:rPr>
          <w:rStyle w:val="1"/>
        </w:rPr>
      </w:pPr>
      <w:r>
        <w:rPr>
          <w:rStyle w:val="1"/>
        </w:rPr>
        <w:t xml:space="preserve">6. Eguneko zentroa, zentro okupazionala edo egoitza utzitako zenbat pertsonak aurkeztu zuten prestazioa aldatzeko eskabidea martxoaren 17tik maiatzaren 7ra bitarte? Zehaztu horietako bakoitzaren data eta zer prestazio eskatu zen, lehenago jasotzen zenaren ordez.</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