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marzo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viviendas de la Ripa de Erripagaina, formulada por la Ilma. Sra. D.ª Uxue Barkos Berruezo.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para que sea respondida en el Pleno del próximo 5 de marzo por el Vicepresidente segundo y Consejero de Ordenación del Territorio, Vivienda, Paisaje y Proyectos  Estratégicos del Gobierno de Navarra.</w:t>
      </w:r>
    </w:p>
    <w:p>
      <w:pPr>
        <w:pStyle w:val="0"/>
        <w:suppressAutoHyphens w:val="false"/>
        <w:rPr>
          <w:rStyle w:val="1"/>
        </w:rPr>
      </w:pPr>
      <w:r>
        <w:rPr>
          <w:rStyle w:val="1"/>
        </w:rPr>
        <w:t xml:space="preserve">¿Cuál es el objetivo del acuerdo aprobado por parte del Gobierno de Navarra en sesión celebrada el pasado 26 de febrero en torno a las viviendas de la Ripa de Erripagaina?</w:t>
      </w:r>
    </w:p>
    <w:p>
      <w:pPr>
        <w:pStyle w:val="0"/>
        <w:suppressAutoHyphens w:val="false"/>
        <w:rPr>
          <w:rStyle w:val="1"/>
        </w:rPr>
      </w:pPr>
      <w:r>
        <w:rPr>
          <w:rStyle w:val="1"/>
        </w:rPr>
        <w:t xml:space="preserve">Pamplona-lruña a 27 de febrero de 2020</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