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A4FE" w14:textId="77777777" w:rsidR="00925A59" w:rsidRDefault="00925A59" w:rsidP="00925A59">
      <w:pPr>
        <w:pStyle w:val="DICTA-TITULO"/>
        <w:spacing w:before="0" w:after="240"/>
      </w:pPr>
    </w:p>
    <w:p w14:paraId="41EAC38B" w14:textId="77777777" w:rsidR="00A6243C" w:rsidRDefault="00A6243C" w:rsidP="00925A59">
      <w:pPr>
        <w:pStyle w:val="DICTA-TITULO"/>
        <w:spacing w:before="0" w:after="240"/>
      </w:pPr>
    </w:p>
    <w:p w14:paraId="07097F31" w14:textId="77777777" w:rsidR="00A6243C" w:rsidRDefault="00A6243C" w:rsidP="00925A59">
      <w:pPr>
        <w:pStyle w:val="DICTA-TITULO"/>
        <w:spacing w:before="0" w:after="240"/>
      </w:pPr>
    </w:p>
    <w:p w14:paraId="002F726E" w14:textId="40954B48" w:rsidR="00925A59" w:rsidRDefault="00925A59" w:rsidP="00925A59">
      <w:pPr>
        <w:pStyle w:val="DICTA-TITULO"/>
      </w:pPr>
      <w:r>
        <w:t xml:space="preserve">Foru Legea, Pertsona </w:t>
      </w:r>
      <w:r w:rsidR="00292725">
        <w:t>F</w:t>
      </w:r>
      <w:r>
        <w:t xml:space="preserve">isikoen </w:t>
      </w:r>
      <w:r w:rsidR="00292725">
        <w:t>E</w:t>
      </w:r>
      <w:r>
        <w:t xml:space="preserve">rrentaren gaineko </w:t>
      </w:r>
      <w:r w:rsidR="00292725">
        <w:t>Z</w:t>
      </w:r>
      <w:r>
        <w:t>ergari buruzko Foru Legearen testu bategina onesten duen ekainaren 2ko 4/2008 Legegintzako Foru Dekretua</w:t>
      </w:r>
      <w:r w:rsidR="00292725" w:rsidRPr="00292725">
        <w:t xml:space="preserve"> </w:t>
      </w:r>
      <w:r w:rsidR="00292725">
        <w:t>aldatzen duena</w:t>
      </w:r>
    </w:p>
    <w:p w14:paraId="37458462" w14:textId="77777777" w:rsidR="00925A59" w:rsidRPr="00277F6B" w:rsidRDefault="00925A59" w:rsidP="00925A59">
      <w:pPr>
        <w:pStyle w:val="DICTA-TITULO"/>
        <w:rPr>
          <w:b w:val="0"/>
          <w:bCs/>
        </w:rPr>
      </w:pPr>
      <w:r>
        <w:rPr>
          <w:b w:val="0"/>
          <w:sz w:val="24"/>
        </w:rPr>
        <w:t>HITZAURREA</w:t>
      </w:r>
    </w:p>
    <w:p w14:paraId="00F473B5" w14:textId="6323CA6A" w:rsidR="00925A59" w:rsidRDefault="00925A59" w:rsidP="00925A59">
      <w:pPr>
        <w:pStyle w:val="DICTA-TEXTO"/>
      </w:pPr>
      <w:r>
        <w:t xml:space="preserve">Auzitegi Gorenaren 2023ko otsailaren 28ko epaiaren ondoren nafar mutualisten eskaerei soluzio bat emate aldera, foru lege honek aldatu egiten du Pertsona Fisikoen Errentaren gaineko Zergari buruzko Foru Legearen testu </w:t>
      </w:r>
      <w:proofErr w:type="spellStart"/>
      <w:r>
        <w:t>bateginaren</w:t>
      </w:r>
      <w:proofErr w:type="spellEnd"/>
      <w:r>
        <w:t xml:space="preserve"> bigarren xedapen iragankorra, halako moldez non, 2024ko urtarrilaren 1etik aurrera, gizarte-aurreikuspeneko mutualitateei eginiko ekarpenetatik eratorritako Gizarte Segurantzako erretiro- edo baliaezintasun-prestazioak ez baitira geratuko aipatu xedapenaren aplikaziotik salbuetsita. </w:t>
      </w:r>
    </w:p>
    <w:p w14:paraId="3D0788EC" w14:textId="77777777" w:rsidR="00925A59" w:rsidRDefault="00925A59" w:rsidP="00925A59">
      <w:pPr>
        <w:pStyle w:val="DICTA-TEXTO"/>
      </w:pPr>
      <w:r>
        <w:t xml:space="preserve">Halaber, 2024ko zergaldian aplikatzekoa den aparteko kenkari bat arautzen du Gizarte </w:t>
      </w:r>
      <w:proofErr w:type="spellStart"/>
      <w:r>
        <w:t>Segurantzarengandik</w:t>
      </w:r>
      <w:proofErr w:type="spellEnd"/>
      <w:r>
        <w:t xml:space="preserve"> 2020-2023 zergaldietan erretiro- edo baliaezintasun-prestazioak jaso zituzten subjektu pasiboentzat, harako prestazioak zeinak eratorriak baitziren gizarte-aurreikuspeneko mutualitateekin hitzarturiko aseguru-kontratuetara 1979ko urtarrilaren 1a baino lehenago egin eta </w:t>
      </w:r>
      <w:proofErr w:type="spellStart"/>
      <w:r>
        <w:t>fiskalki</w:t>
      </w:r>
      <w:proofErr w:type="spellEnd"/>
      <w:r>
        <w:t xml:space="preserve"> kengarriak izan ez ziren ekarpenetatik. Kenkariaren zenbatekoa banaka zehazten da subjektu pasibo bakoitzarentzat, Gizarte </w:t>
      </w:r>
      <w:proofErr w:type="spellStart"/>
      <w:r>
        <w:t>Segurantzarengandik</w:t>
      </w:r>
      <w:proofErr w:type="spellEnd"/>
      <w:r>
        <w:t xml:space="preserve"> jasotako erretiro- edo baliaezintasun-prestazioen eta 2020-2023 epeko zergaldietan eginiko </w:t>
      </w:r>
      <w:proofErr w:type="spellStart"/>
      <w:r>
        <w:t>autolikidazioen</w:t>
      </w:r>
      <w:proofErr w:type="spellEnd"/>
      <w:r>
        <w:t xml:space="preserve"> arabera. </w:t>
      </w:r>
    </w:p>
    <w:p w14:paraId="651C98FB" w14:textId="36EF517B" w:rsidR="00925A59" w:rsidRDefault="00925A59" w:rsidP="00925A59">
      <w:pPr>
        <w:pStyle w:val="DICTA-TEXTO"/>
      </w:pPr>
      <w:r>
        <w:t>Hori horrela, aldatu egiten da Pertsona Fisikoen Errentaren gaineko Zergari buruzko Foru Legearen testu bategina.</w:t>
      </w:r>
    </w:p>
    <w:p w14:paraId="1525B2EC" w14:textId="77777777" w:rsidR="00925A59" w:rsidRDefault="00925A59" w:rsidP="00925A59">
      <w:pPr>
        <w:pStyle w:val="DICTA-TEXTO"/>
      </w:pPr>
      <w:r>
        <w:rPr>
          <w:b/>
        </w:rPr>
        <w:t>Artikulu bakarra</w:t>
      </w:r>
      <w:r>
        <w:t xml:space="preserve">. Pertsona Fisikoen Errentaren gaineko Zergari buruzko Foru Legearen testu </w:t>
      </w:r>
      <w:proofErr w:type="spellStart"/>
      <w:r>
        <w:t>bateginaren</w:t>
      </w:r>
      <w:proofErr w:type="spellEnd"/>
      <w:r>
        <w:t xml:space="preserve"> aldaketa.</w:t>
      </w:r>
    </w:p>
    <w:p w14:paraId="624DC420" w14:textId="77777777" w:rsidR="00925A59" w:rsidRDefault="00925A59" w:rsidP="00925A59">
      <w:pPr>
        <w:pStyle w:val="DICTA-TEXTO"/>
      </w:pPr>
      <w:r>
        <w:lastRenderedPageBreak/>
        <w:t xml:space="preserve">Ekainaren 2ko 4/2008 Legegintzako Foru Dekretuaren bidez onetsitako Pertsona Fisikoen Errentaren gaineko Zergari buruzko Foru Legearen testu </w:t>
      </w:r>
      <w:proofErr w:type="spellStart"/>
      <w:r>
        <w:t>bateginaren</w:t>
      </w:r>
      <w:proofErr w:type="spellEnd"/>
      <w:r>
        <w:t xml:space="preserve"> manu hauek honako testu hau izanen dute:</w:t>
      </w:r>
    </w:p>
    <w:p w14:paraId="5C69E8E6" w14:textId="6E51C788" w:rsidR="00925A59" w:rsidRDefault="00925A59" w:rsidP="00925A59">
      <w:pPr>
        <w:pStyle w:val="DICTA-TEXTO"/>
      </w:pPr>
      <w:r>
        <w:t>Bat. Bigarren xedapen iragankorra, 2024ko urtarrilaren 1etik aurrerako eraginarekin.</w:t>
      </w:r>
    </w:p>
    <w:p w14:paraId="6618A142" w14:textId="77777777" w:rsidR="00925A59" w:rsidRDefault="00925A59" w:rsidP="00925A59">
      <w:pPr>
        <w:pStyle w:val="DICTA-TEXTO"/>
      </w:pPr>
      <w:r>
        <w:t xml:space="preserve">"Bigarren xedapen iragankorra. Gizarte aurreikuspeneko mutualitateei ezarriko zaien araubide iragankorra. </w:t>
      </w:r>
    </w:p>
    <w:p w14:paraId="59EF5BC8" w14:textId="77777777" w:rsidR="00925A59" w:rsidRDefault="00925A59" w:rsidP="00925A59">
      <w:pPr>
        <w:pStyle w:val="DICTA-TEXTO"/>
      </w:pPr>
      <w:r>
        <w:t xml:space="preserve">1. Gizarte-aurreikuspeneko mutualitateekin itundutako aseguru-kontratuetatik eratorritako erretiro- eta baliaezintasun-prestazioak lan-etekin gisa sartuak izan beharko dira zerga-oinarrian, baldin kontratu haietarako 1999ko urtarrilaren 1a baino lehenago eginiko ekarpenekin zerga-oinarria parte batez behintzat minoratua izan bazen. </w:t>
      </w:r>
    </w:p>
    <w:p w14:paraId="4EA0FCB2" w14:textId="77777777" w:rsidR="00925A59" w:rsidRDefault="00925A59" w:rsidP="00925A59">
      <w:pPr>
        <w:pStyle w:val="DICTA-TEXTO"/>
      </w:pPr>
      <w:r>
        <w:t xml:space="preserve">2. Zerga-oinarrian sartze hori halako neurrian eginen da non jasotako zenbatekoak gainditu egiten baititu unean uneko lege indardunen poderioz zerga-oinarrian murriztu edo minoratu ahal izan ez diren mutualitatearentzako ekarpenak, zeinak, beraz, jada zergapetuak izan baitira. </w:t>
      </w:r>
    </w:p>
    <w:p w14:paraId="110B07DE" w14:textId="77777777" w:rsidR="00925A59" w:rsidRDefault="00925A59" w:rsidP="00925A59">
      <w:pPr>
        <w:pStyle w:val="DICTA-TEXTO"/>
      </w:pPr>
      <w:r>
        <w:t>3. Baldin ezin bada frogatu zerga-oinarrian murriztu edo minoratu ahal izan ez diren ekarpenen zenbatekoa, jasotako erretiro- edo baliaezintasun-prestazioen ehuneko 75 sartuko da zerga-oinarrian".</w:t>
      </w:r>
    </w:p>
    <w:p w14:paraId="6F3982E6" w14:textId="7EA064CD" w:rsidR="00925A59" w:rsidRDefault="00925A59" w:rsidP="00925A59">
      <w:pPr>
        <w:pStyle w:val="DICTA-TEXTO"/>
      </w:pPr>
      <w:r>
        <w:t xml:space="preserve">Bi. </w:t>
      </w:r>
      <w:r w:rsidR="00886693">
        <w:t xml:space="preserve">Hirurogeita hamargarren xedapen gehigarria </w:t>
      </w:r>
      <w:r>
        <w:t>gehitzea, eragina 2024an izanen duena.</w:t>
      </w:r>
    </w:p>
    <w:p w14:paraId="0C5F94B0" w14:textId="77777777" w:rsidR="00925A59" w:rsidRDefault="00925A59" w:rsidP="00925A59">
      <w:pPr>
        <w:pStyle w:val="DICTA-TEXTO"/>
      </w:pPr>
      <w:r>
        <w:t xml:space="preserve">"Hirurogeita hamargarren xedapen gehigarria. Aparteko kenkaria, gizarte-aurreikuspeneko mutualitateei eginiko ekarpenen ondorioz 2020tik 2023ra bitartean Gizarte </w:t>
      </w:r>
      <w:proofErr w:type="spellStart"/>
      <w:r>
        <w:t>Segurantzarengandik</w:t>
      </w:r>
      <w:proofErr w:type="spellEnd"/>
      <w:r>
        <w:t xml:space="preserve"> jasotako erretiro- edo baliaezintasun-prestazioen ondoriozkoa. </w:t>
      </w:r>
    </w:p>
    <w:p w14:paraId="49D7E367" w14:textId="77777777" w:rsidR="00925A59" w:rsidRDefault="00925A59" w:rsidP="00925A59">
      <w:pPr>
        <w:pStyle w:val="DICTA-TEXTO"/>
      </w:pPr>
      <w:r>
        <w:t xml:space="preserve">1 Kasuko kuota diferentziala zehaztu ondoren, baldin subjektu pasibo batek 1979ko urtarrilaren 1a baino lehenago ekarpenak egin bazituen gizarte-aurreikuspeneko mutualitateekin hitzarturiko aseguru-kontratuetara, harako ekarpenak zeinek, </w:t>
      </w:r>
      <w:proofErr w:type="spellStart"/>
      <w:r>
        <w:t>fiskalki</w:t>
      </w:r>
      <w:proofErr w:type="spellEnd"/>
      <w:r>
        <w:t xml:space="preserve"> kengarriak ez izateaz gainera, Gizarte </w:t>
      </w:r>
      <w:proofErr w:type="spellStart"/>
      <w:r>
        <w:t>Segurantzarengandik</w:t>
      </w:r>
      <w:proofErr w:type="spellEnd"/>
      <w:r>
        <w:t xml:space="preserve"> 2020, 2021, 2022 edo 2023ko zergaldietan erretiro- edo baliaezintasun-prestazio bat jasotzeko eskubidea sorrarazi baitzuten, orduan </w:t>
      </w:r>
      <w:r>
        <w:lastRenderedPageBreak/>
        <w:t xml:space="preserve">zilegi izanen du 2024ko zergaldiari dagokion Pertsona Fisikoen Errentaren gaineko Zergaren </w:t>
      </w:r>
      <w:proofErr w:type="spellStart"/>
      <w:r>
        <w:t>autolikidazioan</w:t>
      </w:r>
      <w:proofErr w:type="spellEnd"/>
      <w:r>
        <w:t xml:space="preserve"> aparteko kenkari bat aplikatzea, honako apartatu hauek xedatzen dutenaren arabera zehaztua. </w:t>
      </w:r>
    </w:p>
    <w:p w14:paraId="7A3BBA7C" w14:textId="77777777" w:rsidR="00925A59" w:rsidRDefault="00925A59" w:rsidP="00925A59">
      <w:pPr>
        <w:pStyle w:val="DICTA-TEXTO"/>
      </w:pPr>
      <w:r>
        <w:t xml:space="preserve">2. Kenkariaren zenbatekoa aipatu zergaldietan subjektu pasiboak ordainduko ez zukeen kuota diferentzialaren arabera zehaztuko da, ez-ordaintze horren zenbatekoa izanik gizarte-aurreikuspeneko mutualitateekin eginiko aseguru-kontratuengatik 1979ko urtarrilaren 1a baino lehenago eginiko ekarpenei zegokien Gizarte </w:t>
      </w:r>
      <w:proofErr w:type="spellStart"/>
      <w:r>
        <w:t>Segurantzarengandiko</w:t>
      </w:r>
      <w:proofErr w:type="spellEnd"/>
      <w:r>
        <w:t xml:space="preserve"> erretiro- edo baliaezintasun-prestazioaren parteari ehuneko 25eko murrizketa aplikatu izan balio suertatuko zatekeena. </w:t>
      </w:r>
    </w:p>
    <w:p w14:paraId="606E1F9B" w14:textId="77777777" w:rsidR="00925A59" w:rsidRDefault="00925A59" w:rsidP="00925A59">
      <w:pPr>
        <w:pStyle w:val="DICTA-TEXTO"/>
      </w:pPr>
      <w:r>
        <w:t xml:space="preserve">Ondorio horietarako, murriztuko den partea izanen da 2020, 2021, 2022 eta 2023an jasotako prestazioaren zenbatekoari koefiziente bat aplikatzearen emaitza, harako koefizientea zeina suertatuko baita 1979ko urtarrilaren 1a baino lehenagoko kotizazio-egunen kopurua zatitzetik prestaziorako eskubidea eman duten egun kotizatuen guztizko kopuruaren artean. </w:t>
      </w:r>
    </w:p>
    <w:p w14:paraId="7BBF612F" w14:textId="77777777" w:rsidR="00925A59" w:rsidRDefault="00925A59" w:rsidP="00925A59">
      <w:pPr>
        <w:pStyle w:val="DICTA-TEXTO"/>
      </w:pPr>
      <w:r>
        <w:t xml:space="preserve">3. Baldin eta, familia-unitateko kide bat baino gehiagok izanik kenkaria aplikatzeko eskubidea, familia-unitateko kideek aukeratu bazuten baterako aitorpena egitea prestazioak jaso ziren zergaldietan, orduan, 2024an kenkariaren zenbatekoa banaka zehaztuko zaie, aipatu zergaldietako bakoitzean familia-unitateko kide bakoitzak jasotako prestazioaren proportzioan. </w:t>
      </w:r>
    </w:p>
    <w:p w14:paraId="78004D25" w14:textId="77777777" w:rsidR="00925A59" w:rsidRDefault="00925A59" w:rsidP="00925A59">
      <w:pPr>
        <w:pStyle w:val="DICTA-TEXTO"/>
      </w:pPr>
      <w:r>
        <w:t xml:space="preserve">4. Kenkaria aplikatu ahalko da baldin eta subjektu pasiboa Nafarroako Foru Ogasunarekin zergapetu bada berak Gizarte </w:t>
      </w:r>
      <w:proofErr w:type="spellStart"/>
      <w:r>
        <w:t>Segurantzarengandik</w:t>
      </w:r>
      <w:proofErr w:type="spellEnd"/>
      <w:r>
        <w:t xml:space="preserve"> aipatu zergaldietan jasotako erretiro- edo baliaezintasun-prestazioen osoko zenbatekoaz, eta kasu horretan bakarrik".</w:t>
      </w:r>
    </w:p>
    <w:p w14:paraId="3E9C750F" w14:textId="77777777" w:rsidR="00925A59" w:rsidRDefault="00925A59" w:rsidP="00925A59">
      <w:pPr>
        <w:pStyle w:val="DICTA-TEXTO"/>
      </w:pPr>
      <w:r>
        <w:rPr>
          <w:b/>
        </w:rPr>
        <w:t>Azken xedapen bakarra.</w:t>
      </w:r>
      <w:r>
        <w:t xml:space="preserve"> Indarra hartzea.</w:t>
      </w:r>
    </w:p>
    <w:p w14:paraId="13439A97" w14:textId="77777777" w:rsidR="00925A59" w:rsidRDefault="00925A59" w:rsidP="00925A59">
      <w:pPr>
        <w:pStyle w:val="DICTA-TEXTO"/>
      </w:pPr>
      <w:r>
        <w:t>Foru lege honek Nafarroako Aldizkari Ofizialean argitaratua izan eta biharamunean hartuko du indarra, legean bertan aurreikusitako efektuekin.</w:t>
      </w:r>
    </w:p>
    <w:p w14:paraId="238E5A0A" w14:textId="77777777" w:rsidR="00C451FF" w:rsidRDefault="00C451FF"/>
    <w:sectPr w:rsidR="00C451FF" w:rsidSect="00925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155" w:right="1418" w:bottom="1418" w:left="2268" w:header="1134" w:footer="1134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5D89D" w14:textId="77777777" w:rsidR="001B5220" w:rsidRDefault="001B5220" w:rsidP="00925A59">
      <w:pPr>
        <w:spacing w:after="0" w:line="240" w:lineRule="auto"/>
      </w:pPr>
      <w:r>
        <w:separator/>
      </w:r>
    </w:p>
  </w:endnote>
  <w:endnote w:type="continuationSeparator" w:id="0">
    <w:p w14:paraId="09B2408E" w14:textId="77777777" w:rsidR="001B5220" w:rsidRDefault="001B5220" w:rsidP="0092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83776" w14:textId="77777777" w:rsidR="00925A59" w:rsidRDefault="00925A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9E79C" w14:textId="77777777" w:rsidR="00925A59" w:rsidRDefault="00925A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FA404" w14:textId="77777777" w:rsidR="00925A59" w:rsidRDefault="00925A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518AB" w14:textId="77777777" w:rsidR="001B5220" w:rsidRDefault="001B5220" w:rsidP="00925A59">
      <w:pPr>
        <w:spacing w:after="0" w:line="240" w:lineRule="auto"/>
      </w:pPr>
      <w:r>
        <w:separator/>
      </w:r>
    </w:p>
  </w:footnote>
  <w:footnote w:type="continuationSeparator" w:id="0">
    <w:p w14:paraId="649CE2B0" w14:textId="77777777" w:rsidR="001B5220" w:rsidRDefault="001B5220" w:rsidP="0092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2E73" w14:textId="77777777" w:rsidR="00925A59" w:rsidRDefault="00925A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9DB8E" w14:textId="77777777" w:rsidR="00925A59" w:rsidRDefault="00925A59">
    <w:pPr>
      <w:jc w:val="right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AC614" w14:textId="77777777" w:rsidR="00925A59" w:rsidRDefault="00925A59">
    <w:r>
      <w:rPr>
        <w:noProof/>
      </w:rPr>
      <w:drawing>
        <wp:anchor distT="0" distB="0" distL="114300" distR="114300" simplePos="0" relativeHeight="251661312" behindDoc="0" locked="0" layoutInCell="1" allowOverlap="1" wp14:anchorId="00355606" wp14:editId="1931DBEE">
          <wp:simplePos x="0" y="0"/>
          <wp:positionH relativeFrom="column">
            <wp:posOffset>-792480</wp:posOffset>
          </wp:positionH>
          <wp:positionV relativeFrom="paragraph">
            <wp:posOffset>-153035</wp:posOffset>
          </wp:positionV>
          <wp:extent cx="1579880" cy="1223645"/>
          <wp:effectExtent l="0" t="0" r="0" b="0"/>
          <wp:wrapNone/>
          <wp:docPr id="1781914362" name="Imagen 1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332E"/>
    <w:multiLevelType w:val="hybridMultilevel"/>
    <w:tmpl w:val="5AF4B714"/>
    <w:lvl w:ilvl="0" w:tplc="FC9C86F8">
      <w:start w:val="1"/>
      <w:numFmt w:val="bullet"/>
      <w:pStyle w:val="PUNTO"/>
      <w:lvlText w:val="–"/>
      <w:lvlJc w:val="left"/>
      <w:pPr>
        <w:tabs>
          <w:tab w:val="num" w:pos="1400"/>
        </w:tabs>
        <w:ind w:left="140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1">
    <w:nsid w:val="3BA73966"/>
    <w:multiLevelType w:val="hybridMultilevel"/>
    <w:tmpl w:val="6F2A3272"/>
    <w:lvl w:ilvl="0" w:tplc="78E2EED2">
      <w:start w:val="1"/>
      <w:numFmt w:val="bullet"/>
      <w:lvlText w:val=""/>
      <w:lvlJc w:val="left"/>
      <w:pPr>
        <w:tabs>
          <w:tab w:val="num" w:pos="927"/>
        </w:tabs>
        <w:ind w:left="0" w:firstLine="567"/>
      </w:pPr>
      <w:rPr>
        <w:rFonts w:ascii="Symbol" w:eastAsia="MS Mincho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21C91"/>
    <w:multiLevelType w:val="hybridMultilevel"/>
    <w:tmpl w:val="028061FC"/>
    <w:lvl w:ilvl="0" w:tplc="854669D8">
      <w:start w:val="1"/>
      <w:numFmt w:val="bullet"/>
      <w:pStyle w:val="GUION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48934">
    <w:abstractNumId w:val="2"/>
  </w:num>
  <w:num w:numId="2" w16cid:durableId="1188368992">
    <w:abstractNumId w:val="0"/>
  </w:num>
  <w:num w:numId="3" w16cid:durableId="143054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A59"/>
    <w:rsid w:val="001B5220"/>
    <w:rsid w:val="001F2AE4"/>
    <w:rsid w:val="00292725"/>
    <w:rsid w:val="002E09AF"/>
    <w:rsid w:val="00402778"/>
    <w:rsid w:val="00480647"/>
    <w:rsid w:val="004F3F6A"/>
    <w:rsid w:val="00616A38"/>
    <w:rsid w:val="006B6500"/>
    <w:rsid w:val="007506AD"/>
    <w:rsid w:val="00792A8E"/>
    <w:rsid w:val="00886693"/>
    <w:rsid w:val="00911B26"/>
    <w:rsid w:val="00925A59"/>
    <w:rsid w:val="00A466AD"/>
    <w:rsid w:val="00A6243C"/>
    <w:rsid w:val="00B235C5"/>
    <w:rsid w:val="00B34AF3"/>
    <w:rsid w:val="00BA0AEF"/>
    <w:rsid w:val="00C451FF"/>
    <w:rsid w:val="00C61EAB"/>
    <w:rsid w:val="00DA167F"/>
    <w:rsid w:val="00E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89EB"/>
  <w15:chartTrackingRefBased/>
  <w15:docId w15:val="{534BEC2C-F5B9-4ED7-9677-AAC2A51A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5A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5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5A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5A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5A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5A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5A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5A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5A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RTICULOS">
    <w:name w:val="ARTICULOS"/>
    <w:basedOn w:val="Normal"/>
    <w:rsid w:val="00911B26"/>
    <w:pPr>
      <w:overflowPunct w:val="0"/>
      <w:autoSpaceDE w:val="0"/>
      <w:autoSpaceDN w:val="0"/>
      <w:adjustRightInd w:val="0"/>
      <w:spacing w:before="120" w:after="100" w:line="440" w:lineRule="exact"/>
      <w:jc w:val="both"/>
      <w:textAlignment w:val="baseline"/>
    </w:pPr>
    <w:rPr>
      <w:rFonts w:ascii="Arial" w:eastAsia="Times New Roman" w:hAnsi="Arial" w:cs="Arial"/>
      <w:sz w:val="28"/>
      <w:szCs w:val="20"/>
      <w:u w:val="single"/>
      <w:lang w:eastAsia="es-ES"/>
    </w:rPr>
  </w:style>
  <w:style w:type="paragraph" w:customStyle="1" w:styleId="GUION">
    <w:name w:val="GUION"/>
    <w:basedOn w:val="Normal"/>
    <w:rsid w:val="00911B26"/>
    <w:pPr>
      <w:numPr>
        <w:numId w:val="1"/>
      </w:numPr>
      <w:overflowPunct w:val="0"/>
      <w:autoSpaceDE w:val="0"/>
      <w:autoSpaceDN w:val="0"/>
      <w:adjustRightInd w:val="0"/>
      <w:spacing w:after="100" w:line="440" w:lineRule="exact"/>
      <w:jc w:val="both"/>
      <w:textAlignment w:val="baseline"/>
    </w:pPr>
    <w:rPr>
      <w:rFonts w:ascii="Arial" w:eastAsia="Times New Roman" w:hAnsi="Arial" w:cs="Arial"/>
      <w:sz w:val="24"/>
      <w:szCs w:val="20"/>
      <w:lang w:eastAsia="es-ES"/>
    </w:rPr>
  </w:style>
  <w:style w:type="paragraph" w:customStyle="1" w:styleId="TEXTOSINGUION">
    <w:name w:val="TEXTO SIN GUION"/>
    <w:basedOn w:val="GUION"/>
    <w:rsid w:val="00911B26"/>
    <w:pPr>
      <w:ind w:left="284" w:firstLine="0"/>
    </w:pPr>
  </w:style>
  <w:style w:type="paragraph" w:customStyle="1" w:styleId="TEXTO">
    <w:name w:val="TEXTO"/>
    <w:basedOn w:val="Normal"/>
    <w:rsid w:val="00911B26"/>
    <w:pPr>
      <w:widowControl w:val="0"/>
      <w:overflowPunct w:val="0"/>
      <w:autoSpaceDE w:val="0"/>
      <w:autoSpaceDN w:val="0"/>
      <w:adjustRightInd w:val="0"/>
      <w:spacing w:after="240" w:line="440" w:lineRule="exact"/>
      <w:ind w:firstLine="567"/>
      <w:jc w:val="both"/>
      <w:textAlignment w:val="baseline"/>
    </w:pPr>
    <w:rPr>
      <w:rFonts w:ascii="Arial (W1)" w:eastAsia="Times New Roman" w:hAnsi="Arial (W1)" w:cs="Times New Roman"/>
      <w:sz w:val="24"/>
      <w:szCs w:val="20"/>
      <w:lang w:eastAsia="es-ES"/>
    </w:rPr>
  </w:style>
  <w:style w:type="paragraph" w:customStyle="1" w:styleId="DICTA-ART">
    <w:name w:val="DICTA-ART"/>
    <w:rsid w:val="001F2AE4"/>
    <w:pPr>
      <w:tabs>
        <w:tab w:val="left" w:pos="1361"/>
      </w:tabs>
      <w:spacing w:after="0" w:line="240" w:lineRule="auto"/>
      <w:ind w:left="1361" w:hanging="1361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CAPITULO">
    <w:name w:val="DICTA-CAPITULO"/>
    <w:rsid w:val="001F2AE4"/>
    <w:pPr>
      <w:spacing w:before="240" w:after="120" w:line="240" w:lineRule="auto"/>
      <w:jc w:val="center"/>
    </w:pPr>
    <w:rPr>
      <w:rFonts w:ascii="Arial (W1)" w:eastAsia="Times New Roman" w:hAnsi="Arial (W1)" w:cs="Times New Roman"/>
      <w:b/>
      <w:caps/>
      <w:sz w:val="24"/>
      <w:szCs w:val="20"/>
      <w:lang w:eastAsia="es-ES"/>
    </w:rPr>
  </w:style>
  <w:style w:type="paragraph" w:customStyle="1" w:styleId="DICTA-DICTAMEN">
    <w:name w:val="DICTA-DICTAMEN"/>
    <w:rsid w:val="001F2AE4"/>
    <w:pPr>
      <w:spacing w:before="360" w:after="48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es-ES"/>
    </w:rPr>
  </w:style>
  <w:style w:type="paragraph" w:customStyle="1" w:styleId="DICTA-DISPO">
    <w:name w:val="DICTA-DISPO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ICTA-ENMIENDA">
    <w:name w:val="DICTA-ENMIENDA"/>
    <w:basedOn w:val="Normal"/>
    <w:rsid w:val="001F2AE4"/>
    <w:pPr>
      <w:tabs>
        <w:tab w:val="left" w:pos="567"/>
        <w:tab w:val="left" w:pos="992"/>
      </w:tabs>
      <w:spacing w:after="300" w:line="340" w:lineRule="exact"/>
      <w:ind w:hanging="1559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ECHA1">
    <w:name w:val="DICTA-FECHA1"/>
    <w:rsid w:val="001F2AE4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FIRMA1">
    <w:name w:val="DICTA-FIRMA1"/>
    <w:rsid w:val="001F2AE4"/>
    <w:pPr>
      <w:spacing w:after="1100" w:line="240" w:lineRule="auto"/>
      <w:jc w:val="center"/>
    </w:pPr>
    <w:rPr>
      <w:rFonts w:ascii="Arial (W1)" w:eastAsia="Times New Roman" w:hAnsi="Arial (W1)" w:cs="Times New Roman"/>
      <w:smallCaps/>
      <w:sz w:val="28"/>
      <w:szCs w:val="20"/>
      <w:lang w:eastAsia="es-ES"/>
    </w:rPr>
  </w:style>
  <w:style w:type="paragraph" w:customStyle="1" w:styleId="DICTA-FIRMA2">
    <w:name w:val="DICTA-FIRMA2"/>
    <w:basedOn w:val="Normal"/>
    <w:rsid w:val="001F2A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SECCION">
    <w:name w:val="DICTA-SECCION"/>
    <w:rsid w:val="001F2AE4"/>
    <w:pPr>
      <w:spacing w:before="240" w:after="12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es-ES"/>
    </w:rPr>
  </w:style>
  <w:style w:type="paragraph" w:customStyle="1" w:styleId="DICTA-SUBTITULO">
    <w:name w:val="DICTA-SUBTITULO"/>
    <w:rsid w:val="001F2AE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SUBTITULO2">
    <w:name w:val="DICTA-SUBTITULO2"/>
    <w:rsid w:val="001F2AE4"/>
    <w:pPr>
      <w:spacing w:after="40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DICTA-TEXTO">
    <w:name w:val="DICTA-TEXTO"/>
    <w:rsid w:val="001F2AE4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DICTA-TITULO">
    <w:name w:val="DICTA-TITULO"/>
    <w:rsid w:val="001F2AE4"/>
    <w:pPr>
      <w:spacing w:before="360" w:after="60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es-ES"/>
    </w:rPr>
  </w:style>
  <w:style w:type="paragraph" w:customStyle="1" w:styleId="DICTA-TITULO1">
    <w:name w:val="DICTA-TITULO1"/>
    <w:rsid w:val="001F2AE4"/>
    <w:pPr>
      <w:spacing w:before="360" w:after="12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es-ES"/>
    </w:rPr>
  </w:style>
  <w:style w:type="paragraph" w:customStyle="1" w:styleId="DesaPlenoPar1">
    <w:name w:val="DesaPlenoPar1"/>
    <w:basedOn w:val="Normal"/>
    <w:rsid w:val="002E09AF"/>
    <w:pPr>
      <w:tabs>
        <w:tab w:val="left" w:pos="432"/>
        <w:tab w:val="center" w:pos="4176"/>
      </w:tabs>
      <w:overflowPunct w:val="0"/>
      <w:autoSpaceDE w:val="0"/>
      <w:autoSpaceDN w:val="0"/>
      <w:adjustRightInd w:val="0"/>
      <w:spacing w:after="360" w:line="480" w:lineRule="exact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2">
    <w:name w:val="DesaPlenoPar2"/>
    <w:basedOn w:val="Normal"/>
    <w:qFormat/>
    <w:rsid w:val="002E09AF"/>
    <w:pPr>
      <w:tabs>
        <w:tab w:val="center" w:pos="4176"/>
      </w:tabs>
      <w:overflowPunct w:val="0"/>
      <w:autoSpaceDE w:val="0"/>
      <w:autoSpaceDN w:val="0"/>
      <w:adjustRightInd w:val="0"/>
      <w:spacing w:before="120" w:after="480" w:line="240" w:lineRule="auto"/>
      <w:ind w:left="709" w:firstLine="142"/>
      <w:jc w:val="both"/>
      <w:textAlignment w:val="baseline"/>
    </w:pPr>
    <w:rPr>
      <w:rFonts w:ascii="Arial Narrow" w:eastAsia="Times New Roman" w:hAnsi="Arial Narrow" w:cs="Times New Roman"/>
      <w:spacing w:val="12"/>
      <w:kern w:val="0"/>
      <w:sz w:val="28"/>
      <w:szCs w:val="20"/>
      <w:lang w:eastAsia="es-ES"/>
      <w14:ligatures w14:val="none"/>
    </w:rPr>
  </w:style>
  <w:style w:type="paragraph" w:customStyle="1" w:styleId="DesaPlenoPar3">
    <w:name w:val="DesaPlenoPar3"/>
    <w:basedOn w:val="DesaPlenoPar2"/>
    <w:qFormat/>
    <w:rsid w:val="002E09AF"/>
    <w:pPr>
      <w:ind w:left="1985" w:firstLine="0"/>
    </w:pPr>
    <w:rPr>
      <w:noProof/>
    </w:rPr>
  </w:style>
  <w:style w:type="paragraph" w:customStyle="1" w:styleId="DesaPlenoPar4">
    <w:name w:val="DesaPlenoPar4"/>
    <w:qFormat/>
    <w:rsid w:val="002E09AF"/>
    <w:pPr>
      <w:spacing w:after="200" w:line="276" w:lineRule="auto"/>
      <w:ind w:left="284"/>
    </w:pPr>
    <w:rPr>
      <w:rFonts w:ascii="Arial Narrow" w:eastAsia="Times New Roman" w:hAnsi="Arial Narrow" w:cs="Times New Roman"/>
      <w:b/>
      <w:noProof/>
      <w:spacing w:val="12"/>
      <w:kern w:val="0"/>
      <w:sz w:val="28"/>
      <w:szCs w:val="20"/>
      <w:lang w:eastAsia="es-ES"/>
      <w14:ligatures w14:val="none"/>
    </w:rPr>
  </w:style>
  <w:style w:type="paragraph" w:customStyle="1" w:styleId="OrdiaCuerpo">
    <w:name w:val="OrdiaCuerpo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OrdiaCuerpoPleno">
    <w:name w:val="OrdiaCuerpoPleno"/>
    <w:next w:val="Normal"/>
    <w:rsid w:val="002E09AF"/>
    <w:pPr>
      <w:spacing w:before="240" w:after="0" w:line="240" w:lineRule="atLeast"/>
      <w:ind w:left="425" w:hanging="425"/>
      <w:jc w:val="both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paragraph" w:customStyle="1" w:styleId="PUNTO">
    <w:name w:val="PUNTO"/>
    <w:basedOn w:val="Normal"/>
    <w:rsid w:val="002E09AF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0"/>
      <w:lang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25A5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u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5A5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u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5A59"/>
    <w:rPr>
      <w:rFonts w:eastAsiaTheme="majorEastAsia" w:cstheme="majorBidi"/>
      <w:color w:val="0F4761" w:themeColor="accent1" w:themeShade="BF"/>
      <w:sz w:val="28"/>
      <w:szCs w:val="28"/>
      <w:lang w:val="eu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5A59"/>
    <w:rPr>
      <w:rFonts w:eastAsiaTheme="majorEastAsia" w:cstheme="majorBidi"/>
      <w:i/>
      <w:iCs/>
      <w:color w:val="0F4761" w:themeColor="accent1" w:themeShade="BF"/>
      <w:lang w:val="eu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5A59"/>
    <w:rPr>
      <w:rFonts w:eastAsiaTheme="majorEastAsia" w:cstheme="majorBidi"/>
      <w:color w:val="0F4761" w:themeColor="accent1" w:themeShade="BF"/>
      <w:lang w:val="eu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5A59"/>
    <w:rPr>
      <w:rFonts w:eastAsiaTheme="majorEastAsia" w:cstheme="majorBidi"/>
      <w:i/>
      <w:iCs/>
      <w:color w:val="595959" w:themeColor="text1" w:themeTint="A6"/>
      <w:lang w:val="eu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5A59"/>
    <w:rPr>
      <w:rFonts w:eastAsiaTheme="majorEastAsia" w:cstheme="majorBidi"/>
      <w:color w:val="595959" w:themeColor="text1" w:themeTint="A6"/>
      <w:lang w:val="eu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5A59"/>
    <w:rPr>
      <w:rFonts w:eastAsiaTheme="majorEastAsia" w:cstheme="majorBidi"/>
      <w:i/>
      <w:iCs/>
      <w:color w:val="272727" w:themeColor="text1" w:themeTint="D8"/>
      <w:lang w:val="eu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5A59"/>
    <w:rPr>
      <w:rFonts w:eastAsiaTheme="majorEastAsia" w:cstheme="majorBidi"/>
      <w:color w:val="272727" w:themeColor="text1" w:themeTint="D8"/>
      <w:lang w:val="eu-ES"/>
    </w:rPr>
  </w:style>
  <w:style w:type="paragraph" w:styleId="Ttulo">
    <w:name w:val="Title"/>
    <w:basedOn w:val="Normal"/>
    <w:next w:val="Normal"/>
    <w:link w:val="TtuloCar"/>
    <w:uiPriority w:val="10"/>
    <w:qFormat/>
    <w:rsid w:val="00925A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5A59"/>
    <w:rPr>
      <w:rFonts w:asciiTheme="majorHAnsi" w:eastAsiaTheme="majorEastAsia" w:hAnsiTheme="majorHAnsi" w:cstheme="majorBidi"/>
      <w:spacing w:val="-10"/>
      <w:kern w:val="28"/>
      <w:sz w:val="56"/>
      <w:szCs w:val="56"/>
      <w:lang w:val="eu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A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5A59"/>
    <w:rPr>
      <w:rFonts w:eastAsiaTheme="majorEastAsia" w:cstheme="majorBidi"/>
      <w:color w:val="595959" w:themeColor="text1" w:themeTint="A6"/>
      <w:spacing w:val="15"/>
      <w:sz w:val="28"/>
      <w:szCs w:val="28"/>
      <w:lang w:val="eu-ES"/>
    </w:rPr>
  </w:style>
  <w:style w:type="paragraph" w:styleId="Cita">
    <w:name w:val="Quote"/>
    <w:basedOn w:val="Normal"/>
    <w:next w:val="Normal"/>
    <w:link w:val="CitaCar"/>
    <w:uiPriority w:val="29"/>
    <w:qFormat/>
    <w:rsid w:val="00925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5A59"/>
    <w:rPr>
      <w:i/>
      <w:iCs/>
      <w:color w:val="404040" w:themeColor="text1" w:themeTint="BF"/>
      <w:lang w:val="eu-ES"/>
    </w:rPr>
  </w:style>
  <w:style w:type="paragraph" w:styleId="Prrafodelista">
    <w:name w:val="List Paragraph"/>
    <w:basedOn w:val="Normal"/>
    <w:uiPriority w:val="34"/>
    <w:qFormat/>
    <w:rsid w:val="00925A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5A5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5A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5A59"/>
    <w:rPr>
      <w:i/>
      <w:iCs/>
      <w:color w:val="0F4761" w:themeColor="accent1" w:themeShade="BF"/>
      <w:lang w:val="eu-ES"/>
    </w:rPr>
  </w:style>
  <w:style w:type="character" w:styleId="Referenciaintensa">
    <w:name w:val="Intense Reference"/>
    <w:basedOn w:val="Fuentedeprrafopredeter"/>
    <w:uiPriority w:val="32"/>
    <w:qFormat/>
    <w:rsid w:val="00925A5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2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5A59"/>
    <w:rPr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925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A59"/>
    <w:rPr>
      <w:lang w:val="eu-ES"/>
    </w:rPr>
  </w:style>
  <w:style w:type="paragraph" w:styleId="Revisin">
    <w:name w:val="Revision"/>
    <w:hidden/>
    <w:uiPriority w:val="99"/>
    <w:semiHidden/>
    <w:rsid w:val="00A466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Atozqui Hualde, Vanessa</dc:creator>
  <cp:keywords/>
  <dc:description/>
  <cp:lastModifiedBy>Martin Cestao, Nerea</cp:lastModifiedBy>
  <cp:revision>8</cp:revision>
  <dcterms:created xsi:type="dcterms:W3CDTF">2024-10-28T07:50:00Z</dcterms:created>
  <dcterms:modified xsi:type="dcterms:W3CDTF">2024-10-29T12:54:00Z</dcterms:modified>
</cp:coreProperties>
</file>