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E211" w14:textId="77777777" w:rsidR="002B000E" w:rsidRPr="00281CC4" w:rsidRDefault="002B000E" w:rsidP="002B000E">
      <w:pPr>
        <w:pStyle w:val="OFI-FIRMA3"/>
        <w:rPr>
          <w:sz w:val="16"/>
          <w:szCs w:val="16"/>
        </w:rPr>
      </w:pPr>
    </w:p>
    <w:p w14:paraId="64334E43" w14:textId="25FB99E3" w:rsidR="002B000E" w:rsidRDefault="002B000E" w:rsidP="002B000E">
      <w:pPr>
        <w:pStyle w:val="OFI-TITULO1"/>
      </w:pPr>
      <w:r>
        <w:t>I SAILA: PLANAK, KOMUNIKAZIOAK ETA PROGRAMAK</w:t>
      </w:r>
    </w:p>
    <w:p w14:paraId="1F4E4100" w14:textId="33D7B8BB" w:rsidR="002B000E" w:rsidRPr="00040711" w:rsidRDefault="00756A39" w:rsidP="002B000E">
      <w:pPr>
        <w:pStyle w:val="OFI-TITULO2"/>
        <w:rPr>
          <w:caps w:val="0"/>
        </w:rPr>
      </w:pPr>
      <w:r w:rsidRPr="00756A39">
        <w:t>—11-24/CDP-00003</w:t>
      </w:r>
      <w:r>
        <w:t xml:space="preserve">. </w:t>
      </w:r>
      <w:r>
        <w:rPr>
          <w:caps w:val="0"/>
        </w:rPr>
        <w:t>Irisgarritasun Unibertsalari buruzko 2024ko Plan Operatiboa</w:t>
      </w:r>
    </w:p>
    <w:p w14:paraId="18205C9E" w14:textId="58C4900D" w:rsidR="002B000E" w:rsidRDefault="00BE1765" w:rsidP="002B000E">
      <w:pPr>
        <w:pStyle w:val="OFI-TITULO3"/>
      </w:pPr>
      <w:r>
        <w:rPr>
          <w:caps w:val="0"/>
        </w:rPr>
        <w:t>Lehendakaritza eta Berdintasun Batzordeak onetsi du</w:t>
      </w:r>
    </w:p>
    <w:p w14:paraId="2C8DD50B" w14:textId="0665AA47" w:rsidR="002B000E" w:rsidRDefault="002B000E" w:rsidP="002B000E">
      <w:pPr>
        <w:pStyle w:val="OFI-TEXTO"/>
      </w:pPr>
      <w:r>
        <w:t>Nafarroako Parlamentuko Lehendakaritza eta Berdintasun Batzordeak, 2024ko urriaren 9an egindako bilkuran, igorritako Planarekin ados zegoela adierazi zuen, eta honako erabaki hauek onetsi zituen Irisgarritasun Unibertsalari buruzko 2024ko Plan Operatiboari dagokionez, proposamen hauek gehituta:</w:t>
      </w:r>
    </w:p>
    <w:p w14:paraId="5BD8A2FA" w14:textId="56302CC5" w:rsidR="00503160" w:rsidRPr="00503160" w:rsidRDefault="002B000E" w:rsidP="00503160">
      <w:pPr>
        <w:spacing w:after="240" w:line="380" w:lineRule="exact"/>
        <w:ind w:firstLine="600"/>
        <w:jc w:val="both"/>
        <w:rPr>
          <w:rFonts w:ascii="Arial" w:hAnsi="Arial" w:cs="Arial"/>
        </w:rPr>
      </w:pPr>
      <w:r>
        <w:rPr>
          <w:rFonts w:ascii="Arial" w:hAnsi="Arial"/>
          <w:b/>
          <w:sz w:val="28"/>
        </w:rPr>
        <w:t>Lehenbizikoa.</w:t>
      </w:r>
      <w:r>
        <w:rPr>
          <w:rFonts w:ascii="Arial" w:hAnsi="Arial"/>
          <w:b/>
        </w:rPr>
        <w:t xml:space="preserve"> </w:t>
      </w:r>
      <w:r>
        <w:rPr>
          <w:rFonts w:ascii="Arial" w:hAnsi="Arial"/>
        </w:rPr>
        <w:t>Sarreraren hirugarren gidoia aldatu da. Hona testua:</w:t>
      </w:r>
    </w:p>
    <w:p w14:paraId="20F13DC5" w14:textId="77777777" w:rsidR="00503160" w:rsidRPr="00503160" w:rsidRDefault="00503160" w:rsidP="00503160">
      <w:pPr>
        <w:spacing w:after="240" w:line="380" w:lineRule="exact"/>
        <w:ind w:firstLine="600"/>
        <w:jc w:val="both"/>
        <w:rPr>
          <w:rFonts w:ascii="Arial" w:hAnsi="Arial" w:cs="Arial"/>
        </w:rPr>
      </w:pPr>
      <w:r>
        <w:rPr>
          <w:rFonts w:ascii="Arial" w:hAnsi="Arial"/>
        </w:rPr>
        <w:t>“- eta irisgarritasun unibertsala espazio fisikoaren irisgarritasunetik haratago doala, ingurune, prozesu, ondasun, produktu eta zerbitzuen irisgarritasunaz ari gara, baita objektu, baliabide, tresna eta gailuenaz ere”.</w:t>
      </w:r>
    </w:p>
    <w:p w14:paraId="61DB6616" w14:textId="77777777" w:rsidR="00503160" w:rsidRPr="00503160" w:rsidRDefault="00503160" w:rsidP="00503160">
      <w:pPr>
        <w:spacing w:after="240" w:line="380" w:lineRule="exact"/>
        <w:ind w:firstLine="600"/>
        <w:jc w:val="both"/>
        <w:rPr>
          <w:rFonts w:ascii="Arial" w:hAnsi="Arial" w:cs="Arial"/>
        </w:rPr>
      </w:pPr>
      <w:r>
        <w:rPr>
          <w:rFonts w:ascii="Arial" w:hAnsi="Arial"/>
          <w:b/>
          <w:sz w:val="28"/>
        </w:rPr>
        <w:t>Bigarrena.</w:t>
      </w:r>
      <w:r>
        <w:rPr>
          <w:rFonts w:ascii="Arial" w:hAnsi="Arial"/>
          <w:sz w:val="28"/>
        </w:rPr>
        <w:t xml:space="preserve"> </w:t>
      </w:r>
      <w:r>
        <w:rPr>
          <w:rFonts w:ascii="Arial" w:hAnsi="Arial"/>
        </w:rPr>
        <w:t>Paragrafo bat gehitu da sarreraren amaieran. Hona testua:</w:t>
      </w:r>
    </w:p>
    <w:p w14:paraId="5832D0F3" w14:textId="38E84AAF" w:rsidR="002B000E" w:rsidRPr="00503160" w:rsidRDefault="00503160" w:rsidP="00503160">
      <w:pPr>
        <w:spacing w:after="240" w:line="380" w:lineRule="exact"/>
        <w:ind w:firstLine="600"/>
        <w:jc w:val="both"/>
        <w:rPr>
          <w:rFonts w:ascii="Arial" w:hAnsi="Arial" w:cs="Arial"/>
        </w:rPr>
      </w:pPr>
      <w:r>
        <w:rPr>
          <w:rFonts w:ascii="Arial" w:hAnsi="Arial"/>
        </w:rPr>
        <w:t>“Hala ere, plangintza operatiboaren lau urte hauetako esperientziak agerian utzi du ezinbestekoa dela Foru Komunitateko Administrazioak eskaintzen dituen ingurune, prozesu, zerbitzu, ondasun, produktu, tresna, baliabide eta gailuen egoeraren diagnostikoa izatea, bai eta epe ertainerako plangintza estrategikoa ere, zeinak, diagnostikotik abiatuta, aurreikusitako xedeak eta aldaketak ezarriko baititu, bai eta horiek lortzeko neurriak ere, kronograma eta aurrekontu zehatz batekin eta denbora-tarte errealista batean”.</w:t>
      </w:r>
    </w:p>
    <w:p w14:paraId="3086DED5" w14:textId="77777777" w:rsidR="002B000E" w:rsidRDefault="002B000E" w:rsidP="002B000E">
      <w:pPr>
        <w:pStyle w:val="OFI-TEXTO"/>
      </w:pPr>
    </w:p>
    <w:p w14:paraId="411F6214" w14:textId="77777777" w:rsidR="002B000E" w:rsidRDefault="002B000E" w:rsidP="002B000E">
      <w:pPr>
        <w:pStyle w:val="OFI-TEXTO"/>
      </w:pPr>
    </w:p>
    <w:p w14:paraId="6C0264CA" w14:textId="77777777" w:rsidR="002B000E" w:rsidRDefault="002B000E" w:rsidP="002B000E">
      <w:pPr>
        <w:pStyle w:val="OFI-TEXTO"/>
      </w:pPr>
    </w:p>
    <w:p w14:paraId="32E19D2F" w14:textId="77777777" w:rsidR="002B000E" w:rsidRDefault="002B000E" w:rsidP="002B000E">
      <w:pPr>
        <w:pStyle w:val="OFI-TEXTO"/>
      </w:pPr>
      <w:r>
        <w:t>Legebiltzarreko Erregelamenduko 125. artikuluan ezarritakoa betez, argitara dadin agintzen da.</w:t>
      </w:r>
    </w:p>
    <w:p w14:paraId="1457DB09" w14:textId="77777777" w:rsidR="002B000E" w:rsidRDefault="002B000E" w:rsidP="002B000E">
      <w:pPr>
        <w:pStyle w:val="OFI-FECHA"/>
      </w:pPr>
      <w:r>
        <w:t>Iruñean, 2024ko urriaren 14an</w:t>
      </w:r>
    </w:p>
    <w:p w14:paraId="097A9C46" w14:textId="77777777" w:rsidR="002B000E" w:rsidRDefault="002B000E" w:rsidP="002B000E">
      <w:pPr>
        <w:pStyle w:val="OFI-FIRMA3"/>
      </w:pPr>
      <w:r>
        <w:t>Lehendakaria:  Unai Hualde Iglesias</w:t>
      </w:r>
    </w:p>
    <w:p w14:paraId="3FC9DF27" w14:textId="77777777" w:rsidR="00C451FF" w:rsidRDefault="00C451FF"/>
    <w:sectPr w:rsidR="00C451FF" w:rsidSect="002B000E">
      <w:headerReference w:type="even" r:id="rId7"/>
      <w:headerReference w:type="default" r:id="rId8"/>
      <w:footerReference w:type="even" r:id="rId9"/>
      <w:footerReference w:type="default" r:id="rId10"/>
      <w:headerReference w:type="first" r:id="rId11"/>
      <w:footerReference w:type="first" r:id="rId12"/>
      <w:pgSz w:w="11907" w:h="16839"/>
      <w:pgMar w:top="3686" w:right="1418" w:bottom="1134" w:left="2552" w:header="1134" w:footer="567"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9F88" w14:textId="77777777" w:rsidR="002B000E" w:rsidRDefault="002B000E" w:rsidP="002B000E">
      <w:pPr>
        <w:spacing w:after="0" w:line="240" w:lineRule="auto"/>
      </w:pPr>
      <w:r>
        <w:separator/>
      </w:r>
    </w:p>
  </w:endnote>
  <w:endnote w:type="continuationSeparator" w:id="0">
    <w:p w14:paraId="1DED606B" w14:textId="77777777" w:rsidR="002B000E" w:rsidRDefault="002B000E" w:rsidP="002B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91E6" w14:textId="77777777" w:rsidR="002B000E" w:rsidRDefault="002B00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2ACA" w14:textId="77777777" w:rsidR="002B000E" w:rsidRDefault="002B000E">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7365" w14:textId="77777777" w:rsidR="002B000E" w:rsidRDefault="002B0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2AFC0" w14:textId="77777777" w:rsidR="002B000E" w:rsidRDefault="002B000E" w:rsidP="002B000E">
      <w:pPr>
        <w:spacing w:after="0" w:line="240" w:lineRule="auto"/>
      </w:pPr>
      <w:r>
        <w:separator/>
      </w:r>
    </w:p>
  </w:footnote>
  <w:footnote w:type="continuationSeparator" w:id="0">
    <w:p w14:paraId="03DC3D2E" w14:textId="77777777" w:rsidR="002B000E" w:rsidRDefault="002B000E" w:rsidP="002B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5FF6" w14:textId="77777777" w:rsidR="002B000E" w:rsidRDefault="002B00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60C5" w14:textId="77777777" w:rsidR="002B000E" w:rsidRDefault="002B000E">
    <w:pPr>
      <w:pStyle w:val="OFI-EXPTE"/>
    </w:pPr>
    <w:r>
      <w:rPr>
        <w:noProof/>
      </w:rPr>
      <w:drawing>
        <wp:anchor distT="0" distB="0" distL="114300" distR="114300" simplePos="0" relativeHeight="251661312" behindDoc="0" locked="0" layoutInCell="1" allowOverlap="1" wp14:anchorId="6845F99F" wp14:editId="5F862AB1">
          <wp:simplePos x="0" y="0"/>
          <wp:positionH relativeFrom="column">
            <wp:posOffset>-1049655</wp:posOffset>
          </wp:positionH>
          <wp:positionV relativeFrom="paragraph">
            <wp:posOffset>-266700</wp:posOffset>
          </wp:positionV>
          <wp:extent cx="1579880" cy="1223645"/>
          <wp:effectExtent l="0" t="0" r="1270" b="0"/>
          <wp:wrapNone/>
          <wp:docPr id="730529959"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Espedientea: (11-24/CDP-00003).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51D2" w14:textId="77777777" w:rsidR="002B000E" w:rsidRDefault="002B000E">
    <w:pP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42631812"/>
    <w:multiLevelType w:val="singleLevel"/>
    <w:tmpl w:val="2C2CE622"/>
    <w:lvl w:ilvl="0">
      <w:start w:val="1"/>
      <w:numFmt w:val="decimal"/>
      <w:lvlText w:val="%1."/>
      <w:legacy w:legacy="1" w:legacySpace="0" w:legacyIndent="397"/>
      <w:lvlJc w:val="left"/>
      <w:pPr>
        <w:ind w:left="397" w:hanging="397"/>
      </w:pPr>
      <w:rPr>
        <w:rFonts w:ascii="Arial Narrow" w:hAnsi="Arial Narrow" w:hint="default"/>
        <w:b/>
        <w:i w:val="0"/>
        <w:sz w:val="26"/>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8631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0E"/>
    <w:rsid w:val="001F2AE4"/>
    <w:rsid w:val="00214A2A"/>
    <w:rsid w:val="00245972"/>
    <w:rsid w:val="002B000E"/>
    <w:rsid w:val="002E09AF"/>
    <w:rsid w:val="002F5EEB"/>
    <w:rsid w:val="00503160"/>
    <w:rsid w:val="005D43BE"/>
    <w:rsid w:val="006B6500"/>
    <w:rsid w:val="00756A39"/>
    <w:rsid w:val="007F423F"/>
    <w:rsid w:val="008717DC"/>
    <w:rsid w:val="0089036D"/>
    <w:rsid w:val="00911B26"/>
    <w:rsid w:val="009244FA"/>
    <w:rsid w:val="00932D31"/>
    <w:rsid w:val="00BE1765"/>
    <w:rsid w:val="00C451FF"/>
    <w:rsid w:val="00D779DC"/>
    <w:rsid w:val="00DF4276"/>
    <w:rsid w:val="00E91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15FB"/>
  <w15:chartTrackingRefBased/>
  <w15:docId w15:val="{AE725300-757A-44A5-A85D-6EF3740E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0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0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00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00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00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00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00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00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00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2B000E"/>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2B000E"/>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2B000E"/>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2B000E"/>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2B000E"/>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2B000E"/>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2B000E"/>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2B000E"/>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2B000E"/>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2B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000E"/>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2B00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000E"/>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2B000E"/>
    <w:pPr>
      <w:spacing w:before="160"/>
      <w:jc w:val="center"/>
    </w:pPr>
    <w:rPr>
      <w:i/>
      <w:iCs/>
      <w:color w:val="404040" w:themeColor="text1" w:themeTint="BF"/>
    </w:rPr>
  </w:style>
  <w:style w:type="character" w:customStyle="1" w:styleId="CitaCar">
    <w:name w:val="Cita Car"/>
    <w:basedOn w:val="Fuentedeprrafopredeter"/>
    <w:link w:val="Cita"/>
    <w:uiPriority w:val="29"/>
    <w:rsid w:val="002B000E"/>
    <w:rPr>
      <w:i/>
      <w:iCs/>
      <w:color w:val="404040" w:themeColor="text1" w:themeTint="BF"/>
      <w:lang w:val="eu-ES"/>
    </w:rPr>
  </w:style>
  <w:style w:type="paragraph" w:styleId="Prrafodelista">
    <w:name w:val="List Paragraph"/>
    <w:basedOn w:val="Normal"/>
    <w:uiPriority w:val="34"/>
    <w:qFormat/>
    <w:rsid w:val="002B000E"/>
    <w:pPr>
      <w:ind w:left="720"/>
      <w:contextualSpacing/>
    </w:pPr>
  </w:style>
  <w:style w:type="character" w:styleId="nfasisintenso">
    <w:name w:val="Intense Emphasis"/>
    <w:basedOn w:val="Fuentedeprrafopredeter"/>
    <w:uiPriority w:val="21"/>
    <w:qFormat/>
    <w:rsid w:val="002B000E"/>
    <w:rPr>
      <w:i/>
      <w:iCs/>
      <w:color w:val="0F4761" w:themeColor="accent1" w:themeShade="BF"/>
    </w:rPr>
  </w:style>
  <w:style w:type="paragraph" w:styleId="Citadestacada">
    <w:name w:val="Intense Quote"/>
    <w:basedOn w:val="Normal"/>
    <w:next w:val="Normal"/>
    <w:link w:val="CitadestacadaCar"/>
    <w:uiPriority w:val="30"/>
    <w:qFormat/>
    <w:rsid w:val="002B0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000E"/>
    <w:rPr>
      <w:i/>
      <w:iCs/>
      <w:color w:val="0F4761" w:themeColor="accent1" w:themeShade="BF"/>
      <w:lang w:val="eu-ES"/>
    </w:rPr>
  </w:style>
  <w:style w:type="character" w:styleId="Referenciaintensa">
    <w:name w:val="Intense Reference"/>
    <w:basedOn w:val="Fuentedeprrafopredeter"/>
    <w:uiPriority w:val="32"/>
    <w:qFormat/>
    <w:rsid w:val="002B000E"/>
    <w:rPr>
      <w:b/>
      <w:bCs/>
      <w:smallCaps/>
      <w:color w:val="0F4761" w:themeColor="accent1" w:themeShade="BF"/>
      <w:spacing w:val="5"/>
    </w:rPr>
  </w:style>
  <w:style w:type="paragraph" w:customStyle="1" w:styleId="OFI-TITULO1">
    <w:name w:val="OFI-TITULO1"/>
    <w:rsid w:val="002B000E"/>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2B000E"/>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3">
    <w:name w:val="OFI-TITULO3"/>
    <w:rsid w:val="002B000E"/>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
    <w:name w:val="OFI-TEXTO"/>
    <w:rsid w:val="002B000E"/>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EXPTE">
    <w:name w:val="OFI-EXPTE"/>
    <w:rsid w:val="002B000E"/>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FECHA">
    <w:name w:val="OFI-FECHA"/>
    <w:rsid w:val="002B000E"/>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2B000E"/>
    <w:pPr>
      <w:spacing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2B000E"/>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s-ES"/>
      <w14:ligatures w14:val="none"/>
    </w:rPr>
  </w:style>
  <w:style w:type="character" w:customStyle="1" w:styleId="PiedepginaCar">
    <w:name w:val="Pie de página Car"/>
    <w:basedOn w:val="Fuentedeprrafopredeter"/>
    <w:link w:val="Piedepgina"/>
    <w:semiHidden/>
    <w:rsid w:val="002B000E"/>
    <w:rPr>
      <w:rFonts w:ascii="Times New Roman" w:eastAsia="Times New Roman" w:hAnsi="Times New Roman" w:cs="Times New Roman"/>
      <w:kern w:val="0"/>
      <w:sz w:val="20"/>
      <w:szCs w:val="20"/>
      <w:lang w:val="eu-ES" w:eastAsia="es-ES"/>
      <w14:ligatures w14:val="none"/>
    </w:rPr>
  </w:style>
  <w:style w:type="paragraph" w:styleId="Encabezado">
    <w:name w:val="header"/>
    <w:basedOn w:val="Normal"/>
    <w:link w:val="EncabezadoCar"/>
    <w:uiPriority w:val="99"/>
    <w:unhideWhenUsed/>
    <w:rsid w:val="002B00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00E"/>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Martin Cestao, Nerea</cp:lastModifiedBy>
  <cp:revision>5</cp:revision>
  <dcterms:created xsi:type="dcterms:W3CDTF">2024-10-15T06:16:00Z</dcterms:created>
  <dcterms:modified xsi:type="dcterms:W3CDTF">2024-10-17T08:11:00Z</dcterms:modified>
</cp:coreProperties>
</file>