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97EA" w14:textId="77777777" w:rsidR="0085246F" w:rsidRDefault="0085246F" w:rsidP="0085246F">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5CC50DDD" w14:textId="122696BD" w:rsidR="0085246F" w:rsidRDefault="0085246F" w:rsidP="0085246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24MOC-110</w:t>
      </w:r>
    </w:p>
    <w:p w14:paraId="516C2FBA" w14:textId="25B43A3B" w:rsid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parlamentarioari atxikitako Kevin Lucero Domingues jaunak, Legebiltzarreko Erregelamenduan ezarritakoaren babesean, honako mozio hau aurkezten du, Osoko Bilkuran eztabaidatzeko: Nafarroako Gobernua premiatzen da gobernuaren jardunaren arlo guztietan instituzionaliza dezan gazteen ikuspegiaren ebaluazioa.</w:t>
      </w:r>
      <w:r>
        <w:rPr>
          <w:sz w:val="22"/>
          <w:rFonts w:ascii="Calibri" w:hAnsi="Calibri"/>
        </w:rPr>
        <w:t xml:space="preserve"> </w:t>
      </w:r>
    </w:p>
    <w:p w14:paraId="64E188B5" w14:textId="7B579908" w:rsidR="0085246F" w:rsidRPr="0085246F" w:rsidRDefault="0085246F" w:rsidP="0085246F">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2808936B" w14:textId="2EDC26DA" w:rsidR="00B50EC2" w:rsidRP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Gazteriaren arloko politikak Espainiako Konstituzioaren 48. artikuluaren baitan gauzatzen dira. Bertan xedatzen denez, botere publikoek baldintza egokiak sustatuko dituzte gazteriak garapen politiko, sozial, ekonomiko eta kulturalean askatasunez eta eraginkortasunez parte har dezan.</w:t>
      </w:r>
      <w:r>
        <w:rPr>
          <w:sz w:val="22"/>
          <w:rFonts w:ascii="Calibri" w:hAnsi="Calibri"/>
        </w:rPr>
        <w:t xml:space="preserve"> </w:t>
      </w:r>
      <w:r>
        <w:rPr>
          <w:sz w:val="22"/>
          <w:rFonts w:ascii="Calibri" w:hAnsi="Calibri"/>
        </w:rPr>
        <w:t xml:space="preserve">Gazteria gizarteratzeari buruzko konstituzio-agindua arau, entitate eta politika publikoen bidez gauzatu da demokrazia-garaian, betiere autonomia-erkidegoekin batera.</w:t>
      </w:r>
      <w:r>
        <w:rPr>
          <w:sz w:val="22"/>
          <w:rFonts w:ascii="Calibri" w:hAnsi="Calibri"/>
        </w:rPr>
        <w:t xml:space="preserve"> </w:t>
      </w:r>
    </w:p>
    <w:p w14:paraId="6C0C2F42" w14:textId="483F6D48" w:rsidR="00B50EC2" w:rsidRP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Gazteriaren arloko politika publikoetan topaketa, elkarrizketa, parte-hartze eta aholkularitzarako bideak sortzeko, izan dira, alde batetik, eskumenak egikaritzeko legezko edo erregelamenduzko esparru bat, eta bestetik, horiek betetzeko erabakitasuna, gazteek gizartean behar bezala parte har dezaten, Nafarroako Gazteriaren Institutuaren eta Nafarroako Gazteriaren Kontseiluaren bitartez.</w:t>
      </w:r>
      <w:r>
        <w:rPr>
          <w:sz w:val="22"/>
          <w:rFonts w:ascii="Calibri" w:hAnsi="Calibri"/>
        </w:rPr>
        <w:t xml:space="preserve"> </w:t>
      </w:r>
      <w:r>
        <w:rPr>
          <w:sz w:val="22"/>
          <w:rFonts w:ascii="Calibri" w:hAnsi="Calibri"/>
        </w:rPr>
        <w:t xml:space="preserve">Kogobernantza horrek parte hartzeko bideak ireki ditu pixkanaka azken hamarkadetan finantza-merkatuarekin, pandemiarekin edo gerren ondorio ekonomikoekin loturiko krisiek gehien kaltetutako izan den belaunaldiarentzat.</w:t>
      </w:r>
      <w:r>
        <w:rPr>
          <w:sz w:val="22"/>
          <w:rFonts w:ascii="Calibri" w:hAnsi="Calibri"/>
        </w:rPr>
        <w:t xml:space="preserve"> </w:t>
      </w:r>
    </w:p>
    <w:p w14:paraId="2A7DEA71" w14:textId="5543B42E" w:rsidR="00B50EC2" w:rsidRP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Gazteriaren egoera ekonomikoa nabarmen prekarizatu da 2008ko krisiaz geroztik.</w:t>
      </w:r>
      <w:r>
        <w:rPr>
          <w:sz w:val="22"/>
          <w:rFonts w:ascii="Calibri" w:hAnsi="Calibri"/>
        </w:rPr>
        <w:t xml:space="preserve"> </w:t>
      </w:r>
      <w:r>
        <w:rPr>
          <w:sz w:val="22"/>
          <w:rFonts w:ascii="Calibri" w:hAnsi="Calibri"/>
        </w:rPr>
        <w:t xml:space="preserve">Emantzipazioari buruz ari bagara, lan merkatuak iraupen laburreko enpleguak, enplegu prekarioak edo lanaldi partzialekoak eta babes eskasekoak dituzten langileen taldean kokatzen ditu gazteak; eta, etxebizitza arloan, Espainiako Gazteria Batzordeko Emantzipazio Behatokiak dioenez, 2023an soilik gazte nafarren % 16,2k lortua zuen ekonomikoki gurasoen mende ez egotea eta emantzipatzeko batez besteko adina 30 urte ingurukoa da.</w:t>
      </w:r>
      <w:r>
        <w:rPr>
          <w:sz w:val="22"/>
          <w:rFonts w:ascii="Calibri" w:hAnsi="Calibri"/>
        </w:rPr>
        <w:t xml:space="preserve"> </w:t>
      </w:r>
    </w:p>
    <w:p w14:paraId="3B97C772" w14:textId="2FF632AD" w:rsidR="00B50EC2" w:rsidRP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Azken urteotan bada borondate politikoa gazteen aldi baterakotasunari buruzko zenbateko kezkagarriak alderantzikatzeko, esaterako, Espainiako Gobernuak 2022an onetsitako lan erreformaren bidez, bai eta soldata baxuei muga jartzeko ere, gutxieneko soldataren igoera jarraituen bidez –736 eurokoa zen 2017 eta 1.134 eurokoa da 2024an–.</w:t>
      </w:r>
      <w:r>
        <w:rPr>
          <w:sz w:val="22"/>
          <w:rFonts w:ascii="Calibri" w:hAnsi="Calibri"/>
        </w:rPr>
        <w:t xml:space="preserve"> </w:t>
      </w:r>
    </w:p>
    <w:p w14:paraId="7FDB9FA2" w14:textId="6F26AC28" w:rsid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Gazteak Nafarroako herritarren % 20 inguru dira; hala ere, haiengan eragina duten politikak taxutu eta gauzatzerakoan gazteen ikuspegia ez da behar beste aintzat hartzen.</w:t>
      </w:r>
      <w:r>
        <w:rPr>
          <w:sz w:val="22"/>
          <w:rFonts w:ascii="Calibri" w:hAnsi="Calibri"/>
        </w:rPr>
        <w:t xml:space="preserve"> </w:t>
      </w:r>
      <w:r>
        <w:rPr>
          <w:sz w:val="22"/>
          <w:rFonts w:ascii="Calibri" w:hAnsi="Calibri"/>
        </w:rPr>
        <w:t xml:space="preserve">Hori dela eta, bada garaia gazteen ikuspegia instituzionalizatzeko gobernu-jarduketaren alor guztietan, gazte nafarren arazoei erantzun eraginkorra eman ahal izateko.</w:t>
      </w:r>
      <w:r>
        <w:rPr>
          <w:sz w:val="22"/>
          <w:rFonts w:ascii="Calibri" w:hAnsi="Calibri"/>
        </w:rPr>
        <w:t xml:space="preserve"> </w:t>
      </w:r>
    </w:p>
    <w:p w14:paraId="0DA2B4DD" w14:textId="5D8985B7" w:rsidR="00B50EC2" w:rsidRP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Eskaera hori Europaren Etorkizunari buruzko Konferentziatik ateratako ondorioetan oinarritzen da. Konferentzia hori Europako Parlamentuaren, Europar Batasuneko Kontseiluaren eta Europako Batzordearen ekimen bateratua izan zen eta proposatu zuen gazteriarenganako inpaktua ebaluatzeko tresnak ezartzea. European Youth Forum-ek –Europako gazte kontseilu nazionalak eta nazioarteko gobernuz kanpoko gazte erakundeak biltzen dituen plataforma– “EU Youth Test” edo “Test gaztea” gisa zehaztu zuen neurri hori, eta Europako Ekonomia eta Gizarte Kontseiluak jada aplikatzen duen ekintza da. Europako Eskualdeetako Komiteak eta Gazteriaren Europako Urtearen baitan onetsitako Ebazpenak ere eskatzen dute haren aplikazioa.</w:t>
      </w:r>
      <w:r>
        <w:rPr>
          <w:sz w:val="22"/>
          <w:rFonts w:ascii="Calibri" w:hAnsi="Calibri"/>
        </w:rPr>
        <w:t xml:space="preserve"> </w:t>
      </w:r>
    </w:p>
    <w:p w14:paraId="3601365C" w14:textId="1CFA10B4" w:rsidR="00B50EC2" w:rsidRP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Adierazle hori Nafarroara ekartzeak gazteriaren egoerari buruzko azterketa zehatza eman ahalko liguke, eta horrela sustatuko litzake, besteak beste, inpaktu-txosten bat egiteari buruzko araudia, halako moduz non aztertuko litzatekeen nolako eragina duten gastu-politikek gazteriarengan, eskubideen subjektu gisa ulertuta, populazioaren beste sektore batzuekin egiten den gisara.</w:t>
      </w:r>
      <w:r>
        <w:rPr>
          <w:sz w:val="22"/>
          <w:rFonts w:ascii="Calibri" w:hAnsi="Calibri"/>
        </w:rPr>
        <w:t xml:space="preserve"> </w:t>
      </w:r>
    </w:p>
    <w:p w14:paraId="644F2207" w14:textId="6FB0AAA9" w:rsidR="00B50EC2" w:rsidRPr="0085246F" w:rsidRDefault="00176EDA" w:rsidP="008524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Azaldutako guztiagatik, Nafarroako Alderdi Sozialista talde parlamentarioak honako erabaki proposamen hau aurkezten du:</w:t>
      </w:r>
    </w:p>
    <w:p w14:paraId="6E0666BE" w14:textId="77777777" w:rsidR="00873B66" w:rsidRPr="00873B66" w:rsidRDefault="00176EDA" w:rsidP="00873B66">
      <w:pPr>
        <w:pStyle w:val="Style"/>
        <w:numPr>
          <w:ilvl w:val="0"/>
          <w:numId w:val="3"/>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Nafarroako Parlamentuak Nafarroako Gobernua premiatzen du gazteen ikuspegia instituzionaliza dezan Gobernuaren jarduketa-eremu guztietan, erantzun eraginkorra eman ahal izateko Nafarroako gazteriak dituen arazoei, neurri hauek behintzat sustatuta:</w:t>
      </w:r>
      <w:r>
        <w:rPr>
          <w:sz w:val="22"/>
          <w:rFonts w:ascii="Calibri" w:hAnsi="Calibri"/>
        </w:rPr>
        <w:t xml:space="preserve"> </w:t>
      </w:r>
    </w:p>
    <w:p w14:paraId="4AD962D9" w14:textId="06A07672" w:rsidR="00B50EC2" w:rsidRPr="0085246F" w:rsidRDefault="00176EDA" w:rsidP="00873B66">
      <w:pPr>
        <w:pStyle w:val="Style"/>
        <w:spacing w:before="100" w:beforeAutospacing="1" w:after="200" w:line="276" w:lineRule="auto"/>
        <w:ind w:left="1905" w:rightChars="567" w:right="1247"/>
        <w:jc w:val="both"/>
        <w:textAlignment w:val="baseline"/>
        <w:rPr>
          <w:sz w:val="22"/>
          <w:szCs w:val="22"/>
          <w:rFonts w:ascii="Calibri" w:hAnsi="Calibri" w:cs="Calibri"/>
        </w:rPr>
      </w:pPr>
      <w:r>
        <w:rPr>
          <w:sz w:val="22"/>
          <w:rFonts w:ascii="Calibri" w:hAnsi="Calibri"/>
        </w:rPr>
        <w:t xml:space="preserve"> </w:t>
      </w:r>
    </w:p>
    <w:p w14:paraId="10B205C9" w14:textId="77777777" w:rsidR="00B50EC2" w:rsidRPr="0085246F" w:rsidRDefault="00176EDA" w:rsidP="0085246F">
      <w:pPr>
        <w:pStyle w:val="Style"/>
        <w:numPr>
          <w:ilvl w:val="0"/>
          <w:numId w:val="2"/>
        </w:numPr>
        <w:spacing w:before="100" w:beforeAutospacing="1" w:after="200" w:line="276" w:lineRule="auto"/>
        <w:ind w:leftChars="567" w:left="1554" w:rightChars="567" w:right="1247" w:hanging="307"/>
        <w:jc w:val="both"/>
        <w:textAlignment w:val="baseline"/>
        <w:rPr>
          <w:sz w:val="22"/>
          <w:szCs w:val="22"/>
          <w:rFonts w:ascii="Calibri" w:hAnsi="Calibri" w:cs="Calibri"/>
        </w:rPr>
      </w:pPr>
      <w:r>
        <w:rPr>
          <w:sz w:val="22"/>
          <w:rFonts w:ascii="Calibri" w:hAnsi="Calibri"/>
        </w:rPr>
        <w:t xml:space="preserve">Administrazioak bultzaturiko politika eta neurri guztiek gazteengan duten inpaktua ebaluatzeko tresnak sortzea, EU Youth Test-aren inplementazioaren esparruan.</w:t>
      </w:r>
      <w:r>
        <w:rPr>
          <w:sz w:val="22"/>
          <w:rFonts w:ascii="Calibri" w:hAnsi="Calibri"/>
        </w:rPr>
        <w:t xml:space="preserve"> </w:t>
      </w:r>
    </w:p>
    <w:p w14:paraId="6DC0A27D" w14:textId="1660C3C7" w:rsidR="0085246F" w:rsidRDefault="00176EDA" w:rsidP="0085246F">
      <w:pPr>
        <w:pStyle w:val="Style"/>
        <w:numPr>
          <w:ilvl w:val="0"/>
          <w:numId w:val="2"/>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Beharrezkoak diren arau-aldaketak egitea Foru Administrazioaren politika publikoen </w:t>
      </w:r>
      <w:r>
        <w:rPr>
          <w:sz w:val="22"/>
          <w:i/>
          <w:iCs/>
          <w:rFonts w:ascii="Calibri" w:hAnsi="Calibri"/>
        </w:rPr>
        <w:t xml:space="preserve">ex ante</w:t>
      </w:r>
      <w:r>
        <w:rPr>
          <w:sz w:val="22"/>
          <w:rFonts w:ascii="Calibri" w:hAnsi="Calibri"/>
        </w:rPr>
        <w:t xml:space="preserve"> ebaluazioa ezartzeko, gazte ikuspegitik, eta gai bakoitzeko erakunde eta ministerio eskudunek gazteriari buruzko adierazle espezifikoak prestatzea.</w:t>
      </w:r>
      <w:r>
        <w:rPr>
          <w:sz w:val="22"/>
          <w:rFonts w:ascii="Calibri" w:hAnsi="Calibri"/>
        </w:rPr>
        <w:t xml:space="preserve"> </w:t>
      </w:r>
    </w:p>
    <w:p w14:paraId="7ADC4A71" w14:textId="19436C35" w:rsidR="00B50EC2" w:rsidRDefault="00176EDA" w:rsidP="0085246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26an</w:t>
      </w:r>
    </w:p>
    <w:p w14:paraId="33DA0A07" w14:textId="5DF4CAE2" w:rsidR="00873B66" w:rsidRPr="0085246F" w:rsidRDefault="00873B66" w:rsidP="0085246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Kevin Lucero Domingues</w:t>
      </w:r>
    </w:p>
    <w:sectPr w:rsidR="00873B66" w:rsidRPr="0085246F">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65BEA"/>
    <w:multiLevelType w:val="hybridMultilevel"/>
    <w:tmpl w:val="39CA7444"/>
    <w:lvl w:ilvl="0" w:tplc="F2CC2EC2">
      <w:start w:val="1"/>
      <w:numFmt w:val="decimal"/>
      <w:lvlText w:val="%1."/>
      <w:lvlJc w:val="left"/>
      <w:pPr>
        <w:ind w:left="1905" w:hanging="360"/>
      </w:pPr>
      <w:rPr>
        <w:rFonts w:eastAsia="Arial" w:hint="default"/>
      </w:rPr>
    </w:lvl>
    <w:lvl w:ilvl="1" w:tplc="0C0A0019" w:tentative="1">
      <w:start w:val="1"/>
      <w:numFmt w:val="lowerLetter"/>
      <w:lvlText w:val="%2."/>
      <w:lvlJc w:val="left"/>
      <w:pPr>
        <w:ind w:left="2625" w:hanging="360"/>
      </w:pPr>
    </w:lvl>
    <w:lvl w:ilvl="2" w:tplc="0C0A001B" w:tentative="1">
      <w:start w:val="1"/>
      <w:numFmt w:val="lowerRoman"/>
      <w:lvlText w:val="%3."/>
      <w:lvlJc w:val="right"/>
      <w:pPr>
        <w:ind w:left="3345" w:hanging="180"/>
      </w:pPr>
    </w:lvl>
    <w:lvl w:ilvl="3" w:tplc="0C0A000F" w:tentative="1">
      <w:start w:val="1"/>
      <w:numFmt w:val="decimal"/>
      <w:lvlText w:val="%4."/>
      <w:lvlJc w:val="left"/>
      <w:pPr>
        <w:ind w:left="4065" w:hanging="360"/>
      </w:pPr>
    </w:lvl>
    <w:lvl w:ilvl="4" w:tplc="0C0A0019" w:tentative="1">
      <w:start w:val="1"/>
      <w:numFmt w:val="lowerLetter"/>
      <w:lvlText w:val="%5."/>
      <w:lvlJc w:val="left"/>
      <w:pPr>
        <w:ind w:left="4785" w:hanging="360"/>
      </w:pPr>
    </w:lvl>
    <w:lvl w:ilvl="5" w:tplc="0C0A001B" w:tentative="1">
      <w:start w:val="1"/>
      <w:numFmt w:val="lowerRoman"/>
      <w:lvlText w:val="%6."/>
      <w:lvlJc w:val="right"/>
      <w:pPr>
        <w:ind w:left="5505" w:hanging="180"/>
      </w:pPr>
    </w:lvl>
    <w:lvl w:ilvl="6" w:tplc="0C0A000F" w:tentative="1">
      <w:start w:val="1"/>
      <w:numFmt w:val="decimal"/>
      <w:lvlText w:val="%7."/>
      <w:lvlJc w:val="left"/>
      <w:pPr>
        <w:ind w:left="6225" w:hanging="360"/>
      </w:pPr>
    </w:lvl>
    <w:lvl w:ilvl="7" w:tplc="0C0A0019" w:tentative="1">
      <w:start w:val="1"/>
      <w:numFmt w:val="lowerLetter"/>
      <w:lvlText w:val="%8."/>
      <w:lvlJc w:val="left"/>
      <w:pPr>
        <w:ind w:left="6945" w:hanging="360"/>
      </w:pPr>
    </w:lvl>
    <w:lvl w:ilvl="8" w:tplc="0C0A001B" w:tentative="1">
      <w:start w:val="1"/>
      <w:numFmt w:val="lowerRoman"/>
      <w:lvlText w:val="%9."/>
      <w:lvlJc w:val="right"/>
      <w:pPr>
        <w:ind w:left="7665" w:hanging="180"/>
      </w:pPr>
    </w:lvl>
  </w:abstractNum>
  <w:abstractNum w:abstractNumId="1" w15:restartNumberingAfterBreak="0">
    <w:nsid w:val="25F43DED"/>
    <w:multiLevelType w:val="singleLevel"/>
    <w:tmpl w:val="E31067E6"/>
    <w:lvl w:ilvl="0">
      <w:numFmt w:val="bullet"/>
      <w:lvlText w:val=""/>
      <w:legacy w:legacy="1" w:legacySpace="0" w:legacyIndent="0"/>
      <w:lvlJc w:val="left"/>
      <w:rPr>
        <w:rFonts w:ascii="Symbol" w:hAnsi="Symbol" w:cs="Symbol" w:hint="default"/>
        <w:sz w:val="18"/>
        <w:szCs w:val="18"/>
      </w:rPr>
    </w:lvl>
  </w:abstractNum>
  <w:abstractNum w:abstractNumId="2" w15:restartNumberingAfterBreak="0">
    <w:nsid w:val="36B466DA"/>
    <w:multiLevelType w:val="singleLevel"/>
    <w:tmpl w:val="0598D52A"/>
    <w:lvl w:ilvl="0">
      <w:start w:val="1"/>
      <w:numFmt w:val="decimal"/>
      <w:lvlText w:val="%1."/>
      <w:legacy w:legacy="1" w:legacySpace="0" w:legacyIndent="0"/>
      <w:lvlJc w:val="left"/>
      <w:rPr>
        <w:rFonts w:ascii="Arial" w:hAnsi="Arial" w:cs="Arial" w:hint="default"/>
        <w:sz w:val="18"/>
        <w:szCs w:val="18"/>
      </w:rPr>
    </w:lvl>
  </w:abstractNum>
  <w:num w:numId="1" w16cid:durableId="1731073363">
    <w:abstractNumId w:val="2"/>
  </w:num>
  <w:num w:numId="2" w16cid:durableId="781462299">
    <w:abstractNumId w:val="1"/>
  </w:num>
  <w:num w:numId="3" w16cid:durableId="19979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50EC2"/>
    <w:rsid w:val="00176EDA"/>
    <w:rsid w:val="0085246F"/>
    <w:rsid w:val="00873B66"/>
    <w:rsid w:val="00B50EC2"/>
    <w:rsid w:val="00CE0E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14E9"/>
  <w15:docId w15:val="{305A3D46-220A-475F-8F0D-0CA47379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744</Words>
  <Characters>4096</Characters>
  <Application>Microsoft Office Word</Application>
  <DocSecurity>0</DocSecurity>
  <Lines>34</Lines>
  <Paragraphs>9</Paragraphs>
  <ScaleCrop>false</ScaleCrop>
  <Company>HP Inc.</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24MOC-110</dc:title>
  <dc:creator>informatica</dc:creator>
  <cp:keywords>CreatedByIRIS_Readiris_17.0</cp:keywords>
  <cp:lastModifiedBy>Mauleón, Fernando</cp:lastModifiedBy>
  <cp:revision>4</cp:revision>
  <dcterms:created xsi:type="dcterms:W3CDTF">2024-09-27T06:51:00Z</dcterms:created>
  <dcterms:modified xsi:type="dcterms:W3CDTF">2024-09-27T07:01:00Z</dcterms:modified>
</cp:coreProperties>
</file>