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2ECC" w14:textId="20AFC6F6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El Consejero del Departamento de Salud del Gobierno de Navarra, en relación con la pregunta para su contestación por escrito formulada por la Parlamentaria Foral Ilma. Sra. D</w:t>
      </w:r>
      <w:r w:rsidR="00067A30">
        <w:rPr>
          <w:rFonts w:cs="Arial"/>
          <w:sz w:val="22"/>
          <w:szCs w:val="22"/>
          <w:lang w:val="es-ES_tradnl"/>
        </w:rPr>
        <w:t>.</w:t>
      </w:r>
      <w:r w:rsidRPr="00304F75">
        <w:rPr>
          <w:rFonts w:cs="Arial"/>
          <w:sz w:val="22"/>
          <w:szCs w:val="22"/>
          <w:lang w:val="es-ES_tradnl"/>
        </w:rPr>
        <w:t>ª Leticia San Martín Rodríguez,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 xml:space="preserve">adscrita al Grupo Parlamentario Unión del Pueblo Navarro (UPN), sobre ¿qué indicadores de calidad utiliza actualmente el Departamento de Salud para valorar el servicio de transporte sanitario en Navarra y cuáles piensa utilizar en la nueva </w:t>
      </w:r>
      <w:r w:rsidRPr="00304F75">
        <w:rPr>
          <w:rFonts w:eastAsia="Georgia" w:cs="Arial"/>
          <w:sz w:val="22"/>
          <w:szCs w:val="22"/>
          <w:lang w:val="es-ES_tradnl"/>
        </w:rPr>
        <w:t>empresa pública de transporte sanitario “</w:t>
      </w:r>
      <w:proofErr w:type="spellStart"/>
      <w:r w:rsidRPr="00304F75">
        <w:rPr>
          <w:rFonts w:eastAsia="Georgia" w:cs="Arial"/>
          <w:sz w:val="22"/>
          <w:szCs w:val="22"/>
          <w:lang w:val="es-ES_tradnl"/>
        </w:rPr>
        <w:t>Bidean</w:t>
      </w:r>
      <w:proofErr w:type="spellEnd"/>
      <w:r w:rsidRPr="00304F75">
        <w:rPr>
          <w:rFonts w:eastAsia="Georgia" w:cs="Arial"/>
          <w:sz w:val="22"/>
          <w:szCs w:val="22"/>
          <w:lang w:val="es-ES_tradnl"/>
        </w:rPr>
        <w:t xml:space="preserve">”? </w:t>
      </w:r>
      <w:r w:rsidRPr="00304F75">
        <w:rPr>
          <w:rFonts w:cs="Arial"/>
          <w:sz w:val="22"/>
          <w:szCs w:val="22"/>
          <w:lang w:val="es-ES_tradnl"/>
        </w:rPr>
        <w:t>(11-24/PES-00-297)</w:t>
      </w:r>
      <w:r w:rsidR="00304F75">
        <w:rPr>
          <w:rFonts w:cs="Arial"/>
          <w:sz w:val="22"/>
          <w:szCs w:val="22"/>
          <w:lang w:val="es-ES_tradnl"/>
        </w:rPr>
        <w:t>,</w:t>
      </w:r>
      <w:r w:rsidRPr="00304F75">
        <w:rPr>
          <w:rFonts w:cs="Arial"/>
          <w:sz w:val="22"/>
          <w:szCs w:val="22"/>
          <w:lang w:val="es-ES_tradnl"/>
        </w:rPr>
        <w:t xml:space="preserve"> informa lo siguiente:</w:t>
      </w:r>
    </w:p>
    <w:p w14:paraId="05848EFF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Para su contestación, es necesario tener en cuenta las siguientes consideraciones acerca de la situación actual del transporte sanitario en Navarra:</w:t>
      </w:r>
    </w:p>
    <w:p w14:paraId="4220548D" w14:textId="469BAA3D" w:rsidR="00F30159" w:rsidRPr="00304F75" w:rsidRDefault="00FF0E4F" w:rsidP="00067A30">
      <w:pPr>
        <w:pStyle w:val="Textoindependiente"/>
        <w:numPr>
          <w:ilvl w:val="0"/>
          <w:numId w:val="8"/>
        </w:numPr>
        <w:tabs>
          <w:tab w:val="left" w:pos="851"/>
        </w:tabs>
        <w:spacing w:beforeLines="40" w:before="96" w:afterLines="40" w:after="96" w:line="280" w:lineRule="exact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El modelo de Transporte Sanitario en </w:t>
      </w:r>
      <w:proofErr w:type="gramStart"/>
      <w:r w:rsidRPr="00304F75">
        <w:rPr>
          <w:rFonts w:cs="Arial"/>
          <w:sz w:val="22"/>
          <w:szCs w:val="22"/>
          <w:lang w:val="es-ES_tradnl"/>
        </w:rPr>
        <w:t>Navarra,</w:t>
      </w:r>
      <w:proofErr w:type="gramEnd"/>
      <w:r w:rsidRPr="00304F75">
        <w:rPr>
          <w:rFonts w:cs="Arial"/>
          <w:sz w:val="22"/>
          <w:szCs w:val="22"/>
          <w:lang w:val="es-ES_tradnl"/>
        </w:rPr>
        <w:t xml:space="preserve"> incluye dos tipologías:</w:t>
      </w:r>
    </w:p>
    <w:p w14:paraId="070C9809" w14:textId="36421B50" w:rsidR="00A83700" w:rsidRPr="00304F75" w:rsidRDefault="00304F75" w:rsidP="00FF0E4F">
      <w:pPr>
        <w:pStyle w:val="Textoindependiente"/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0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– </w:t>
      </w:r>
      <w:r w:rsidR="00FF0E4F" w:rsidRPr="00304F75">
        <w:rPr>
          <w:rFonts w:cs="Arial"/>
          <w:sz w:val="22"/>
          <w:szCs w:val="22"/>
          <w:lang w:val="es-ES_tradnl"/>
        </w:rPr>
        <w:t>Transporte sanitario urgente, cuya responsabilidad está compartida entre el Servicio Navarro de Salud-</w:t>
      </w:r>
      <w:proofErr w:type="spellStart"/>
      <w:r w:rsidR="00FF0E4F" w:rsidRPr="00304F75">
        <w:rPr>
          <w:rFonts w:cs="Arial"/>
          <w:sz w:val="22"/>
          <w:szCs w:val="22"/>
          <w:lang w:val="es-ES_tradnl"/>
        </w:rPr>
        <w:t>Osasunbidea</w:t>
      </w:r>
      <w:proofErr w:type="spellEnd"/>
      <w:r w:rsidR="00FF0E4F" w:rsidRPr="00304F75">
        <w:rPr>
          <w:rFonts w:cs="Arial"/>
          <w:sz w:val="22"/>
          <w:szCs w:val="22"/>
          <w:lang w:val="es-ES_tradnl"/>
        </w:rPr>
        <w:t xml:space="preserve"> y la Dirección General de Interior del Gobierno de Navarra, desde donde se pone a disposición del transporte sanitario urgente, las ambulancias de los parques de bomberos y el helicóptero de emergencias.</w:t>
      </w:r>
    </w:p>
    <w:p w14:paraId="2D94DCF6" w14:textId="490B9829" w:rsidR="00F30159" w:rsidRPr="00304F75" w:rsidRDefault="00304F75" w:rsidP="00FF0E4F">
      <w:pPr>
        <w:pStyle w:val="Textoindependiente"/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0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– </w:t>
      </w:r>
      <w:r w:rsidR="00FF0E4F" w:rsidRPr="00304F75">
        <w:rPr>
          <w:rFonts w:cs="Arial"/>
          <w:sz w:val="22"/>
          <w:szCs w:val="22"/>
          <w:lang w:val="es-ES_tradnl"/>
        </w:rPr>
        <w:t>Transporte sanitario programado, cuya responsabilidad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="00FF0E4F" w:rsidRPr="00304F75">
        <w:rPr>
          <w:rFonts w:cs="Arial"/>
          <w:sz w:val="22"/>
          <w:szCs w:val="22"/>
          <w:lang w:val="es-ES_tradnl"/>
        </w:rPr>
        <w:t>está íntegramente en el SNS-O.</w:t>
      </w:r>
    </w:p>
    <w:p w14:paraId="1CC35A6D" w14:textId="3C28453B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2.</w:t>
      </w:r>
      <w:r w:rsidR="00067A30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El transporte sanitario público, gestionado por el SNS-O (con el Servicio de Gestión de Prestaciones y Conciertos como unidad gestora), actualmente sigue siendo prestado por las empresas de Ambulancias Baztán Bidasoa, S.L. (BB) y la de Servicios Sociosanitarios Generales, S.L. (SSG), incluye el servicio de transporte sanitario no urgente (programado y no programado) y urgente con vehículos de soporte vital básico (SVB) y con vehículos de soporte vital avanzado o UVI móvil (SVA-UVI móvil).</w:t>
      </w:r>
    </w:p>
    <w:p w14:paraId="6D87F66A" w14:textId="46E9E5D1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3.</w:t>
      </w:r>
      <w:r w:rsidR="00067A30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Las empresas BB y SSG han sido los adjudicatarios de las últimas licitaciones llevadas a cabo por parte del SNS-O, y aunque dichos contratos finalizaron, se ha mantenido la relación y prestación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del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servicio,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en condiciones técnicas similares a las recogidas en los últimos contratos, adaptadas las mismas a la situación actual y normativa vigente, así como a las diferentes instrucciones que de uso interno se formalizan para el uso adecuado del servicio de transporte sanitario.</w:t>
      </w:r>
    </w:p>
    <w:p w14:paraId="2928B0F0" w14:textId="2C5DE64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4.</w:t>
      </w:r>
      <w:r w:rsidR="00067A30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 xml:space="preserve">El 26 de junio de 2023 se constituye la empresa pública de transporte sanitario, con la denominación de Transporte Sanitario de Navarra, </w:t>
      </w:r>
      <w:proofErr w:type="spellStart"/>
      <w:r w:rsidRPr="00304F75">
        <w:rPr>
          <w:rFonts w:cs="Arial"/>
          <w:sz w:val="22"/>
          <w:szCs w:val="22"/>
          <w:lang w:val="es-ES_tradnl"/>
        </w:rPr>
        <w:t>Bidean</w:t>
      </w:r>
      <w:proofErr w:type="spellEnd"/>
      <w:r w:rsidRPr="00304F75">
        <w:rPr>
          <w:rFonts w:cs="Arial"/>
          <w:sz w:val="22"/>
          <w:szCs w:val="22"/>
          <w:lang w:val="es-ES_tradnl"/>
        </w:rPr>
        <w:t>, S.L., teniendo como misión prestar el servicio de traslado sanitario de los pacientes del Sistema Público de Salud de Navarra que lo precisen, en condiciones de seguridad, accesibilidad y adecuación a las necesidades del paciente, en coordinación con el resto de dispositivos públicos intervinientes en dicha prestación, de acuerdo a los estándares de servicio vigentes en cada momento.</w:t>
      </w:r>
    </w:p>
    <w:p w14:paraId="61A449E6" w14:textId="254414D2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5.</w:t>
      </w:r>
      <w:r w:rsidR="00067A30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En tanto la empresa pública no comience a ejecutar el servicio, la actividad será realizada por las mismas empresas ya nombradas.</w:t>
      </w:r>
    </w:p>
    <w:p w14:paraId="709E5F89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Teniendo en cuenta las anteriores consideraciones, </w:t>
      </w:r>
      <w:proofErr w:type="gramStart"/>
      <w:r w:rsidRPr="00304F75">
        <w:rPr>
          <w:rFonts w:cs="Arial"/>
          <w:sz w:val="22"/>
          <w:szCs w:val="22"/>
          <w:lang w:val="es-ES_tradnl"/>
        </w:rPr>
        <w:t>decir</w:t>
      </w:r>
      <w:proofErr w:type="gramEnd"/>
      <w:r w:rsidRPr="00304F75">
        <w:rPr>
          <w:rFonts w:cs="Arial"/>
          <w:sz w:val="22"/>
          <w:szCs w:val="22"/>
          <w:lang w:val="es-ES_tradnl"/>
        </w:rPr>
        <w:t xml:space="preserve"> que, aun no aplicándose indicadores de calidad como tal, se actúa de forma similar a lo recogido en los últimos pliegos vigentes, en cuanto a la coordinación necesaria entre las empresas y el SNS-O, para la vigilancia, aplicación y cumplimiento de las condiciones técnicas, además del conocimiento de las incidencias que puedan surgir.</w:t>
      </w:r>
    </w:p>
    <w:p w14:paraId="3ADC4185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Así, los responsables de los Servicios de Admisión y de Urgencias de cada centro hospitalario, ejercen de interlocutores únicos, en cuanto a transporte sanitario no urgente, entre las empresas y los servicios asistenciales, de cuya coordinación deriva una mayor eficacia de los servicios contratados.</w:t>
      </w:r>
    </w:p>
    <w:p w14:paraId="3CD62C75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Igualmente, las empresas prestadoras del servicio están comprometidas a colaborar, </w:t>
      </w:r>
      <w:r w:rsidRPr="00304F75">
        <w:rPr>
          <w:rFonts w:cs="Arial"/>
          <w:sz w:val="22"/>
          <w:szCs w:val="22"/>
          <w:lang w:val="es-ES_tradnl"/>
        </w:rPr>
        <w:lastRenderedPageBreak/>
        <w:t>tanto con los centros sanitarios prescriptores como entre ellas, para conseguir el mejor aprovechamiento y coordinación de los recursos disponibles de cara a la comodidad de los pacientes y la agilidad de los traslados.</w:t>
      </w:r>
    </w:p>
    <w:p w14:paraId="2E850572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Además de ello, existe compromiso por parte de las empresas para la gestión de las reclamaciones y sugerencias de los usuarios y establecer medidas correctoras, así como de facilitar al SNS-O toda la información relativa a las mismas. Esta medida se ha visto como eficaz a la hora de detectar los problemas de los usuarios y poder buscar las medidas para solucionarlos.</w:t>
      </w:r>
    </w:p>
    <w:p w14:paraId="57C406A3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Además del seguimiento de las reclamaciones y su corrección, el SNS-O ejercerá el derecho de inspección (como así lo ha sido en varias ocasiones), todo ello como herramientas que lleven a asegurar un servicio de calidad. En condiciones de seguridad y adecuación a las necesidades de los pacientes.</w:t>
      </w:r>
    </w:p>
    <w:p w14:paraId="1B46AE17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En cuanto a los indicadores de calidad que se van a considerar en </w:t>
      </w:r>
      <w:proofErr w:type="spellStart"/>
      <w:r w:rsidRPr="00304F75">
        <w:rPr>
          <w:rFonts w:cs="Arial"/>
          <w:sz w:val="22"/>
          <w:szCs w:val="22"/>
          <w:lang w:val="es-ES_tradnl"/>
        </w:rPr>
        <w:t>Bidean</w:t>
      </w:r>
      <w:proofErr w:type="spellEnd"/>
      <w:r w:rsidRPr="00304F75">
        <w:rPr>
          <w:rFonts w:cs="Arial"/>
          <w:sz w:val="22"/>
          <w:szCs w:val="22"/>
          <w:lang w:val="es-ES_tradnl"/>
        </w:rPr>
        <w:t>, los indicadores relacionados con la calidad en el servicio se asociaran a cada uno de los ejes y sus estrategias.</w:t>
      </w:r>
    </w:p>
    <w:p w14:paraId="4009D139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Eje 1: Integración con el Sistema de Salud</w:t>
      </w:r>
    </w:p>
    <w:p w14:paraId="1664F21E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Establecimiento de Protocolos y Coordinación de Emergencias:</w:t>
      </w:r>
    </w:p>
    <w:p w14:paraId="283F3A36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Tasa de Adherencia a Protocolos de Coordinación: Porcentaje de solicitudes de transporte que siguen los protocolos establecidos.</w:t>
      </w:r>
    </w:p>
    <w:p w14:paraId="1961236A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Tiempo de Respuesta en Emergencias: Tiempo medio desde la solicitud de emergencia hasta la llegada del transporte.</w:t>
      </w:r>
    </w:p>
    <w:p w14:paraId="25A300B0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Frecuencia de Comunicación con Instituciones de Salud: Número de comunicaciones mensuales entre el transporte y las instituciones de salud.</w:t>
      </w:r>
    </w:p>
    <w:p w14:paraId="32913AAA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76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Desarrollo de un Sistema de Información Compartido</w:t>
      </w:r>
    </w:p>
    <w:p w14:paraId="58493221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Porcentaje de Registros Digitales Actualizados: Proporción de registros de transporte que se actualizan en tiempo real.</w:t>
      </w:r>
    </w:p>
    <w:p w14:paraId="3DE40AB1" w14:textId="250279C6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Tasa de Acceso a Información Médica Relevante: Porcentaje de traslados en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los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que el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personal de transporte tiene acceso a información médica relevante del paciente.</w:t>
      </w:r>
    </w:p>
    <w:p w14:paraId="36BB1708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Satisfacción del Personal Médico con el Sistema de Información: Nivel de satisfacción del personal sanitario respecto al acceso y uso del sistema compartido.</w:t>
      </w:r>
    </w:p>
    <w:p w14:paraId="45B56A07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Servicios Especializados de Transporte</w:t>
      </w:r>
    </w:p>
    <w:p w14:paraId="3DA2A46F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Disponibilidad de Ambulancias de urgencia: Porcentaje de tiempo en que las ambulancias especializadas están disponibles y operativas.</w:t>
      </w:r>
    </w:p>
    <w:p w14:paraId="265D0AEF" w14:textId="70C93E72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Nivel de Equipamiento de Ambulancias: Porcentaje de ambulancias que cumplen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con los estándares de equipamiento necesario.</w:t>
      </w:r>
    </w:p>
    <w:p w14:paraId="79FAAD60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Frecuencia de Capacitación del Personal: Número de sesiones de capacitación realizadas para el personal de transporte en el uso de equipos especializados.</w:t>
      </w:r>
    </w:p>
    <w:p w14:paraId="6ED821AA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Formación y Capacitación Conjunta</w:t>
      </w:r>
    </w:p>
    <w:p w14:paraId="65672ABB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Tasa de Participación en Programas de Capacitación: Proporción del personal que participa en programas de formación conjunta.</w:t>
      </w:r>
    </w:p>
    <w:p w14:paraId="29EB65E9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Evaluación de Competencias Post-Capacitación: Resultados de evaluaciones de competencias del personal después de las sesiones de capacitación.</w:t>
      </w:r>
    </w:p>
    <w:p w14:paraId="2C51B632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Índice de Mejora en Habilidades de Comunicación: Porcentaje de mejora en las </w:t>
      </w:r>
      <w:r w:rsidRPr="00304F75">
        <w:rPr>
          <w:rFonts w:cs="Arial"/>
          <w:sz w:val="22"/>
          <w:szCs w:val="22"/>
          <w:lang w:val="es-ES_tradnl"/>
        </w:rPr>
        <w:lastRenderedPageBreak/>
        <w:t>habilidades de comunicación del personal de transporte, basado en evaluaciones antes y después de la capacitación.</w:t>
      </w:r>
    </w:p>
    <w:p w14:paraId="26E44D72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Eje 2: Cobertura Universal Efectiva: Sostenibilidad Social</w:t>
      </w:r>
    </w:p>
    <w:p w14:paraId="6E508561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Facilitar el Acceso Geográfico y Evaluación de Necesidades Locales</w:t>
      </w:r>
    </w:p>
    <w:p w14:paraId="532066C4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Cobertura Geográfica del Servicio: Porcentaje de áreas urbanas y rurales cubiertas por el servicio de transporte.</w:t>
      </w:r>
    </w:p>
    <w:p w14:paraId="0B453862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Frecuencia de Evaluaciones de Necesidades Locales: Número de estudios y evaluaciones realizados anualmente para adaptar el servicio.</w:t>
      </w:r>
    </w:p>
    <w:p w14:paraId="3F99A91F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Satisfacción de Usuarios en Zonas Rurales: Nivel de satisfacción de los usuarios en áreas rurales respecto al acceso al servicio.</w:t>
      </w:r>
    </w:p>
    <w:p w14:paraId="7F7D2476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Coordinación con Otros Servicios de Salud</w:t>
      </w:r>
    </w:p>
    <w:p w14:paraId="5C439870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Tasa de Coordinación con Servicios de Salud: Porcentaje de traslados coordinados eficazmente con clínicas y hospitales.</w:t>
      </w:r>
    </w:p>
    <w:p w14:paraId="1FE1492D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Índice de Optimización de Recursos: Nivel de eficiencia en la asignación de recursos de transporte basado en las necesidades médicas de los pacientes.</w:t>
      </w:r>
    </w:p>
    <w:p w14:paraId="28C0AC2F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Satisfacción de Pacientes con la Coordinación de Traslados: Nivel de satisfacción de los pacientes respecto a la coordinación de sus traslados médicos.</w:t>
      </w:r>
    </w:p>
    <w:p w14:paraId="75629B40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Atención a Grupos Vulnerables</w:t>
      </w:r>
    </w:p>
    <w:p w14:paraId="652280A5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Disponibilidad de Servicios Adaptados: Porcentaje de vehículos equipados para atender necesidades especiales.</w:t>
      </w:r>
    </w:p>
    <w:p w14:paraId="710AD9D8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Tasa de Acceso Prioritario para Grupos Vulnerables: Proporción de traslados prioritarios realizados para personas mayores, discapacitadas o con enfermedades crónicas.</w:t>
      </w:r>
    </w:p>
    <w:p w14:paraId="2DE52427" w14:textId="3446FCC5" w:rsidR="00F30159" w:rsidRPr="00441546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441546">
        <w:rPr>
          <w:rFonts w:cs="Arial"/>
          <w:sz w:val="22"/>
          <w:szCs w:val="22"/>
          <w:lang w:val="es-ES_tradnl"/>
        </w:rPr>
        <w:t>Satisfacción de Grupos Vulnerables: Nivel de satisfacción de los grupos vulnerables con el servicio de transporte.</w:t>
      </w:r>
    </w:p>
    <w:p w14:paraId="3E80A09C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Educación, Concienciación y Monitoreo</w:t>
      </w:r>
    </w:p>
    <w:p w14:paraId="42E60F89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Alcance de Campañas Informativas: Número de personas alcanzadas por campañas informativas.</w:t>
      </w:r>
    </w:p>
    <w:p w14:paraId="7B08FA38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Participación en Programas de Educación Comunitaria: Proporción de comunidades que participan en programas educativos sobre el servicio.</w:t>
      </w:r>
    </w:p>
    <w:p w14:paraId="6093DCA3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Frecuencia y Eficiencia del Monitoreo: Número de monitoreos realizados y el tiempo medio de respuesta a las retroalimentaciones de los usuarios.</w:t>
      </w:r>
    </w:p>
    <w:p w14:paraId="24EBEC20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Eje 3: Sostenibilidad Económica</w:t>
      </w:r>
    </w:p>
    <w:p w14:paraId="4BEE55E1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Desarrollo de una Gestión Eficiente de Flota</w:t>
      </w:r>
    </w:p>
    <w:p w14:paraId="61FF8EBD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Costo por Traslado: Costo medio de cada traslado realizado.</w:t>
      </w:r>
    </w:p>
    <w:p w14:paraId="275B402E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Eficiencia del Mantenimiento Preventivo: Porcentaje de reducción en costos de reparación debido al mantenimiento preventivo.</w:t>
      </w:r>
    </w:p>
    <w:p w14:paraId="60EF00DB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Índice de Ahorro de Combustible: Porcentaje de reducción en el consumo de combustible tras la implementación de prácticas de conducción eficiente.</w:t>
      </w:r>
    </w:p>
    <w:p w14:paraId="51CA6D92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Uso de Tecnología y Programación Eficiente</w:t>
      </w:r>
    </w:p>
    <w:p w14:paraId="1B2FB7A8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Eficiencia en la Utilización de Sistemas GPS: Nivel de optimización de rutas basado en datos de GPS.</w:t>
      </w:r>
    </w:p>
    <w:p w14:paraId="32BA1BA4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lastRenderedPageBreak/>
        <w:t>Reducción de Tiempos de Espera: Porcentaje de reducción en los tiempos de espera de traslados tras la implementación de software de programación.</w:t>
      </w:r>
    </w:p>
    <w:p w14:paraId="7CEFD39B" w14:textId="7B9EF062" w:rsidR="00F30159" w:rsidRPr="00441546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441546">
        <w:rPr>
          <w:rFonts w:cs="Arial"/>
          <w:sz w:val="22"/>
          <w:szCs w:val="22"/>
          <w:lang w:val="es-ES_tradnl"/>
        </w:rPr>
        <w:t xml:space="preserve">Mejora en la Asignación de Recursos: Eficiencia en la asignación de personal y vehículos </w:t>
      </w:r>
      <w:proofErr w:type="spellStart"/>
      <w:r w:rsidRPr="00441546">
        <w:rPr>
          <w:rFonts w:cs="Arial"/>
          <w:sz w:val="22"/>
          <w:szCs w:val="22"/>
          <w:lang w:val="es-ES_tradnl"/>
        </w:rPr>
        <w:t>post-implementación</w:t>
      </w:r>
      <w:proofErr w:type="spellEnd"/>
      <w:r w:rsidRPr="00441546">
        <w:rPr>
          <w:rFonts w:cs="Arial"/>
          <w:sz w:val="22"/>
          <w:szCs w:val="22"/>
          <w:lang w:val="es-ES_tradnl"/>
        </w:rPr>
        <w:t xml:space="preserve"> de tecnología avanzada.</w:t>
      </w:r>
    </w:p>
    <w:p w14:paraId="3F061840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Compras y Adquisiciones Estratégicas</w:t>
      </w:r>
    </w:p>
    <w:p w14:paraId="2A2DACA6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Ahorro en Compras y Suministros: Porcentaje de reducción en costos mediante acuerdos con proveedores.</w:t>
      </w:r>
    </w:p>
    <w:p w14:paraId="3B353B5F" w14:textId="4CB8E803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Evaluación de Eficiencia de Vehículos: Rendimiento de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los vehículos en términos de consumo de combustible y costos de mantenimiento.</w:t>
      </w:r>
    </w:p>
    <w:p w14:paraId="48BA91EB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Índice de Adopción de Vehículos Eficientes: Proporción de la flota compuesta por vehículos híbridos o eléctricos.</w:t>
      </w:r>
    </w:p>
    <w:p w14:paraId="238BBB73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76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Capacitación y Desarrollo del Personal</w:t>
      </w:r>
    </w:p>
    <w:p w14:paraId="7DB3AF97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Participación en Entrenamiento en Conducción Eficiente: Proporción de conductores capacitados en técnicas de conducción eficiente.</w:t>
      </w:r>
    </w:p>
    <w:p w14:paraId="2DAF23DE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Impacto de la Capacitación en Eficiencia Operativa: Medición del impacto de la formación continua en la reducción de errores e incidentes.</w:t>
      </w:r>
    </w:p>
    <w:p w14:paraId="1A663CD4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Evaluación del Desarrollo Profesional: Nivel de mejora en habilidades técnicas y de atención al paciente tras la capacitación.</w:t>
      </w:r>
    </w:p>
    <w:p w14:paraId="0E0157EE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Eje 4: Tecnología y Eficiencia</w:t>
      </w:r>
    </w:p>
    <w:p w14:paraId="0887600F" w14:textId="5F384D7B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  <w:tab w:val="left" w:pos="4513"/>
          <w:tab w:val="left" w:pos="5020"/>
          <w:tab w:val="left" w:pos="6144"/>
          <w:tab w:val="left" w:pos="6651"/>
          <w:tab w:val="left" w:pos="8251"/>
          <w:tab w:val="left" w:pos="9530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Implementación</w:t>
      </w:r>
      <w:r w:rsidRPr="00304F75">
        <w:rPr>
          <w:rFonts w:cs="Arial"/>
          <w:sz w:val="22"/>
          <w:szCs w:val="22"/>
          <w:lang w:val="es-ES_tradnl"/>
        </w:rPr>
        <w:tab/>
        <w:t>de</w:t>
      </w:r>
      <w:r w:rsidRPr="00304F75">
        <w:rPr>
          <w:rFonts w:cs="Arial"/>
          <w:sz w:val="22"/>
          <w:szCs w:val="22"/>
          <w:lang w:val="es-ES_tradnl"/>
        </w:rPr>
        <w:tab/>
        <w:t>Sistemas</w:t>
      </w:r>
      <w:r w:rsidRPr="00304F75">
        <w:rPr>
          <w:rFonts w:cs="Arial"/>
          <w:sz w:val="22"/>
          <w:szCs w:val="22"/>
          <w:lang w:val="es-ES_tradnl"/>
        </w:rPr>
        <w:tab/>
        <w:t>de</w:t>
      </w:r>
      <w:r w:rsidRPr="00304F75">
        <w:rPr>
          <w:rFonts w:cs="Arial"/>
          <w:sz w:val="22"/>
          <w:szCs w:val="22"/>
          <w:lang w:val="es-ES_tradnl"/>
        </w:rPr>
        <w:tab/>
        <w:t>Programación</w:t>
      </w:r>
      <w:r w:rsidRPr="00304F75">
        <w:rPr>
          <w:rFonts w:cs="Arial"/>
          <w:sz w:val="22"/>
          <w:szCs w:val="22"/>
          <w:lang w:val="es-ES_tradnl"/>
        </w:rPr>
        <w:tab/>
        <w:t>Avanzados</w:t>
      </w:r>
      <w:r w:rsidRPr="00304F75">
        <w:rPr>
          <w:rFonts w:cs="Arial"/>
          <w:sz w:val="22"/>
          <w:szCs w:val="22"/>
          <w:lang w:val="es-ES_tradnl"/>
        </w:rPr>
        <w:tab/>
        <w:t>y Automatización</w:t>
      </w:r>
    </w:p>
    <w:p w14:paraId="0F689A65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Eficiencia de Algoritmos de IA: Nivel de optimización de rutas y recursos mediante IA.</w:t>
      </w:r>
    </w:p>
    <w:p w14:paraId="5253426D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Reducción en Tiempos de Tareas Administrativas: Porcentaje de reducción en el tiempo dedicado a tareas administrativas tras la automatización.</w:t>
      </w:r>
    </w:p>
    <w:p w14:paraId="207B0939" w14:textId="4B5E4D37" w:rsidR="00F30159" w:rsidRPr="00441546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441546">
        <w:rPr>
          <w:rFonts w:cs="Arial"/>
          <w:sz w:val="22"/>
          <w:szCs w:val="22"/>
          <w:lang w:val="es-ES_tradnl"/>
        </w:rPr>
        <w:t>Precisión en la Generación de Informes: Nivel de precisión y eficiencia en la generación automatizada de informes.</w:t>
      </w:r>
    </w:p>
    <w:p w14:paraId="709CB540" w14:textId="77777777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Seguimiento en Tiempo Real y Comunicación Efectiva</w:t>
      </w:r>
    </w:p>
    <w:p w14:paraId="73629794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Precisión del Seguimiento en Tiempo Real: Nivel de precisión en el seguimiento de la ubicación de los vehículos.</w:t>
      </w:r>
    </w:p>
    <w:p w14:paraId="392F1391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Tiempo de Respuesta en Emergencias: Reducción en el tiempo de respuesta a emergencias gracias al seguimiento en tiempo real.</w:t>
      </w:r>
    </w:p>
    <w:p w14:paraId="68E813B0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Eficiencia de la Comunicación Bidireccional: Nivel de efectividad y rapidez en la comunicación entre el personal de transporte y las instituciones de salud.</w:t>
      </w:r>
    </w:p>
    <w:p w14:paraId="307C71A9" w14:textId="77777777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Registro, Gestión, Evaluación y Análisis de Datos</w:t>
      </w:r>
    </w:p>
    <w:p w14:paraId="5E2C365D" w14:textId="7A66E745" w:rsidR="00F30159" w:rsidRPr="00304F75" w:rsidRDefault="00FF0E4F" w:rsidP="00FF0E4F">
      <w:pPr>
        <w:pStyle w:val="Textoindependiente"/>
        <w:numPr>
          <w:ilvl w:val="0"/>
          <w:numId w:val="2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Exactitud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Registros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Electrónicos: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Precisión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y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actualización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los registros electrónicos.</w:t>
      </w:r>
    </w:p>
    <w:p w14:paraId="4BDA1BD7" w14:textId="76ED635A" w:rsidR="00F30159" w:rsidRPr="00304F75" w:rsidRDefault="00FF0E4F" w:rsidP="00FF0E4F">
      <w:pPr>
        <w:pStyle w:val="Textoindependiente"/>
        <w:numPr>
          <w:ilvl w:val="0"/>
          <w:numId w:val="2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Integración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con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Registros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Médicos: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Nivel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integración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y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acceso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a información médica crítica durante los traslados.</w:t>
      </w:r>
    </w:p>
    <w:p w14:paraId="654A09D1" w14:textId="77777777" w:rsidR="00F30159" w:rsidRPr="00304F75" w:rsidRDefault="00FF0E4F" w:rsidP="00FF0E4F">
      <w:pPr>
        <w:pStyle w:val="Textoindependiente"/>
        <w:numPr>
          <w:ilvl w:val="0"/>
          <w:numId w:val="2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Impacto del Análisis de Datos en la Operatividad: Eficiencia operativa mejorada mediante el uso de análisis de datos avanzados.</w:t>
      </w:r>
    </w:p>
    <w:p w14:paraId="709732C7" w14:textId="77777777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Desarrollo de Aplicaciones Móviles y Alianzas Estratégicas</w:t>
      </w:r>
    </w:p>
    <w:p w14:paraId="2555B5AE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lastRenderedPageBreak/>
        <w:t>Uso de Aplicaciones Móviles por Personal y Pacientes: Tasa de adopción y satisfacción con las aplicaciones móviles desarrolladas.</w:t>
      </w:r>
    </w:p>
    <w:p w14:paraId="61417AE9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Impacto de las Alianzas con Centros Tecnológicos: Resultados obtenidos de proyectos de innovación y desarrollo conjuntos.</w:t>
      </w:r>
    </w:p>
    <w:p w14:paraId="4E73890B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Frecuencia de Capacitación en Nuevas Tecnologías: Número de programas de formación en nuevas tecnologías ofrecidos al personal.</w:t>
      </w:r>
    </w:p>
    <w:p w14:paraId="3226976A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Eje 5: Comunicación e Integración Comunitaria</w:t>
      </w:r>
    </w:p>
    <w:p w14:paraId="21676ACE" w14:textId="6580704E" w:rsidR="00F30159" w:rsidRPr="00441546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441546">
        <w:rPr>
          <w:rFonts w:cs="Arial"/>
          <w:sz w:val="22"/>
          <w:szCs w:val="22"/>
          <w:lang w:val="es-ES_tradnl"/>
        </w:rPr>
        <w:t>Establecimiento de Comités Asesores Locales</w:t>
      </w:r>
    </w:p>
    <w:p w14:paraId="210AA125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Frecuencia y Asistencia a Reuniones de Comités: Número de reuniones realizadas y nivel de asistencia de los representantes.</w:t>
      </w:r>
    </w:p>
    <w:p w14:paraId="14307EE2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Implementación de Sugerencias Comunitarias: Porcentaje de sugerencias de comités asesores implementadas en el servicio.</w:t>
      </w:r>
    </w:p>
    <w:p w14:paraId="1097F8D1" w14:textId="5E62F652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Satisfacción Comunitaria con la Participación: Nivel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 satisfacción de la comunidad con su participación en los comités asesores.</w:t>
      </w:r>
    </w:p>
    <w:p w14:paraId="44980636" w14:textId="77777777" w:rsidR="00F30159" w:rsidRPr="00304F75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Encuestas y Consultas Públicas</w:t>
      </w:r>
    </w:p>
    <w:p w14:paraId="1DF1ACB2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Tasa de Respuesta a Encuestas Públicas: Proporción de respuestas recibidas en encuestas y consultas.</w:t>
      </w:r>
    </w:p>
    <w:p w14:paraId="1869A88E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Adaptación de Estrategias Basadas en </w:t>
      </w:r>
      <w:proofErr w:type="spellStart"/>
      <w:r w:rsidRPr="00304F75">
        <w:rPr>
          <w:rFonts w:cs="Arial"/>
          <w:sz w:val="22"/>
          <w:szCs w:val="22"/>
          <w:lang w:val="es-ES_tradnl"/>
        </w:rPr>
        <w:t>Feedback</w:t>
      </w:r>
      <w:proofErr w:type="spellEnd"/>
      <w:r w:rsidRPr="00304F75">
        <w:rPr>
          <w:rFonts w:cs="Arial"/>
          <w:sz w:val="22"/>
          <w:szCs w:val="22"/>
          <w:lang w:val="es-ES_tradnl"/>
        </w:rPr>
        <w:t>: Número de cambios implementados basados en retroalimentación pública.</w:t>
      </w:r>
    </w:p>
    <w:p w14:paraId="0960A38D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Transparencia en la Toma de Decisiones: Nivel de transparencia percibido por la comunidad en el proceso de toma de decisiones.</w:t>
      </w:r>
    </w:p>
    <w:p w14:paraId="4FFDCE3B" w14:textId="77777777" w:rsidR="00F30159" w:rsidRPr="00304F75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Educación y Sensibilización Comunitaria</w:t>
      </w:r>
    </w:p>
    <w:p w14:paraId="0C814FC2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Alcance de Campañas Educativas: Número de personas alcanzadas por campañas educativas.</w:t>
      </w:r>
    </w:p>
    <w:p w14:paraId="68BAA030" w14:textId="681C7D5E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Participación en Sesiones Informativas: Proporción</w:t>
      </w:r>
      <w:r w:rsidR="00F30159" w:rsidRPr="00304F75"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 comunidades que asisten a sesiones informativas.</w:t>
      </w:r>
    </w:p>
    <w:p w14:paraId="4F528153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Impacto de Materiales Educativos: Nivel de comprensión y uso del servicio tras la distribución de materiales educativos.</w:t>
      </w:r>
    </w:p>
    <w:p w14:paraId="24C0EA00" w14:textId="27338562" w:rsidR="00F30159" w:rsidRPr="00304F75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  <w:tab w:val="left" w:pos="4199"/>
          <w:tab w:val="left" w:pos="4770"/>
          <w:tab w:val="left" w:pos="6462"/>
          <w:tab w:val="left" w:pos="7411"/>
          <w:tab w:val="left" w:pos="7754"/>
          <w:tab w:val="left" w:pos="8997"/>
          <w:tab w:val="left" w:pos="9463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Colaboración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con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Organizaciones</w:t>
      </w:r>
      <w:r w:rsidRPr="00304F75">
        <w:rPr>
          <w:rFonts w:cs="Arial"/>
          <w:sz w:val="22"/>
          <w:szCs w:val="22"/>
          <w:lang w:val="es-ES_tradnl"/>
        </w:rPr>
        <w:tab/>
        <w:t>Locales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y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Promoción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la Responsabilidad Compartida</w:t>
      </w:r>
    </w:p>
    <w:p w14:paraId="3DB6C349" w14:textId="6E375B46" w:rsidR="00F30159" w:rsidRPr="00441546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rFonts w:cs="Arial"/>
          <w:sz w:val="22"/>
          <w:szCs w:val="22"/>
          <w:lang w:val="es-ES_tradnl"/>
        </w:rPr>
      </w:pPr>
      <w:r w:rsidRPr="00441546">
        <w:rPr>
          <w:rFonts w:cs="Arial"/>
          <w:sz w:val="22"/>
          <w:szCs w:val="22"/>
          <w:lang w:val="es-ES_tradnl"/>
        </w:rPr>
        <w:t>Número de Asociaciones Estratégicas Formadas: Cantidad de asociaciones formadas con organizaciones locales.</w:t>
      </w:r>
    </w:p>
    <w:p w14:paraId="4BADBE28" w14:textId="1F706C64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  <w:tab w:val="left" w:pos="4277"/>
          <w:tab w:val="left" w:pos="4708"/>
          <w:tab w:val="left" w:pos="5833"/>
          <w:tab w:val="left" w:pos="7048"/>
          <w:tab w:val="left" w:pos="8284"/>
          <w:tab w:val="left" w:pos="9404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Eficacia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Proyectos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Conjuntos: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Resultados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obtenidos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 proyectos desarrollados en conjunto con organizaciones locales.</w:t>
      </w:r>
    </w:p>
    <w:p w14:paraId="33C79781" w14:textId="22934981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  <w:tab w:val="left" w:pos="4784"/>
          <w:tab w:val="left" w:pos="5232"/>
          <w:tab w:val="left" w:pos="6475"/>
          <w:tab w:val="left" w:pos="6925"/>
          <w:tab w:val="left" w:pos="8420"/>
          <w:tab w:val="left" w:pos="9406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Participación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en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Programas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Voluntariado:</w:t>
      </w:r>
      <w:r w:rsidRPr="00304F75">
        <w:rPr>
          <w:rFonts w:cs="Arial"/>
          <w:sz w:val="22"/>
          <w:szCs w:val="22"/>
          <w:lang w:val="es-ES_tradnl"/>
        </w:rPr>
        <w:tab/>
        <w:t>Número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304F75">
        <w:rPr>
          <w:rFonts w:cs="Arial"/>
          <w:sz w:val="22"/>
          <w:szCs w:val="22"/>
          <w:lang w:val="es-ES_tradnl"/>
        </w:rPr>
        <w:t>de voluntarios activos y su impacto en el servicio de transporte.</w:t>
      </w:r>
    </w:p>
    <w:p w14:paraId="2E40E4DE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Es cuanto informo en cumplimiento de lo dispuesto en el </w:t>
      </w:r>
      <w:r w:rsidRPr="00304F75">
        <w:rPr>
          <w:rFonts w:cs="Arial"/>
          <w:b/>
          <w:sz w:val="22"/>
          <w:szCs w:val="22"/>
          <w:lang w:val="es-ES_tradnl"/>
        </w:rPr>
        <w:t xml:space="preserve">artículo 215 </w:t>
      </w:r>
      <w:r w:rsidRPr="00304F75">
        <w:rPr>
          <w:rFonts w:cs="Arial"/>
          <w:sz w:val="22"/>
          <w:szCs w:val="22"/>
          <w:lang w:val="es-ES_tradnl"/>
        </w:rPr>
        <w:t>del Reglamento del Parlamento de Navarra.</w:t>
      </w:r>
    </w:p>
    <w:p w14:paraId="48F57534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center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>Pamplona-</w:t>
      </w:r>
      <w:proofErr w:type="spellStart"/>
      <w:r w:rsidRPr="00304F75">
        <w:rPr>
          <w:rFonts w:cs="Arial"/>
          <w:sz w:val="22"/>
          <w:szCs w:val="22"/>
          <w:lang w:val="es-ES_tradnl"/>
        </w:rPr>
        <w:t>Iruñea</w:t>
      </w:r>
      <w:proofErr w:type="spellEnd"/>
      <w:r w:rsidRPr="00304F75">
        <w:rPr>
          <w:rFonts w:cs="Arial"/>
          <w:sz w:val="22"/>
          <w:szCs w:val="22"/>
          <w:lang w:val="es-ES_tradnl"/>
        </w:rPr>
        <w:t>, 1 de julio de 2024</w:t>
      </w:r>
    </w:p>
    <w:p w14:paraId="0EA47D85" w14:textId="00BD29D0" w:rsidR="00F30159" w:rsidRPr="00304F75" w:rsidRDefault="00F30159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center"/>
        <w:rPr>
          <w:rFonts w:cs="Arial"/>
          <w:sz w:val="22"/>
          <w:szCs w:val="22"/>
          <w:lang w:val="es-ES_tradnl"/>
        </w:rPr>
      </w:pPr>
      <w:r w:rsidRPr="00304F75">
        <w:rPr>
          <w:rFonts w:cs="Arial"/>
          <w:sz w:val="22"/>
          <w:szCs w:val="22"/>
          <w:lang w:val="es-ES_tradnl"/>
        </w:rPr>
        <w:t xml:space="preserve">El Consejero del Departamento de Salud: Fernando Domínguez </w:t>
      </w:r>
      <w:proofErr w:type="spellStart"/>
      <w:r w:rsidRPr="00304F75">
        <w:rPr>
          <w:rFonts w:cs="Arial"/>
          <w:sz w:val="22"/>
          <w:szCs w:val="22"/>
          <w:lang w:val="es-ES_tradnl"/>
        </w:rPr>
        <w:t>Cunchillos</w:t>
      </w:r>
      <w:proofErr w:type="spellEnd"/>
      <w:r w:rsidRPr="00304F75">
        <w:rPr>
          <w:rFonts w:cs="Arial"/>
          <w:sz w:val="22"/>
          <w:szCs w:val="22"/>
          <w:lang w:val="es-ES_tradnl"/>
        </w:rPr>
        <w:t xml:space="preserve"> </w:t>
      </w:r>
    </w:p>
    <w:p w14:paraId="5C5798A2" w14:textId="16AD3A5B" w:rsidR="00FF0E4F" w:rsidRPr="00304F75" w:rsidRDefault="00FF0E4F" w:rsidP="00FF0E4F">
      <w:pPr>
        <w:tabs>
          <w:tab w:val="left" w:pos="851"/>
        </w:tabs>
        <w:spacing w:beforeLines="40" w:before="96" w:afterLines="40" w:after="96" w:line="280" w:lineRule="exact"/>
        <w:ind w:firstLine="425"/>
        <w:rPr>
          <w:rFonts w:ascii="Arial" w:hAnsi="Arial" w:cs="Arial"/>
          <w:lang w:val="es-ES_tradnl"/>
        </w:rPr>
      </w:pPr>
    </w:p>
    <w:sectPr w:rsidR="00FF0E4F" w:rsidRPr="00304F75" w:rsidSect="00FF0E4F">
      <w:headerReference w:type="default" r:id="rId7"/>
      <w:pgSz w:w="11900" w:h="16840"/>
      <w:pgMar w:top="1500" w:right="1268" w:bottom="1134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55D3" w14:textId="77777777" w:rsidR="00FF0E4F" w:rsidRDefault="00FF0E4F">
      <w:r>
        <w:separator/>
      </w:r>
    </w:p>
  </w:endnote>
  <w:endnote w:type="continuationSeparator" w:id="0">
    <w:p w14:paraId="04DAB795" w14:textId="77777777" w:rsidR="00FF0E4F" w:rsidRDefault="00FF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CD07" w14:textId="77777777" w:rsidR="00FF0E4F" w:rsidRDefault="00FF0E4F">
      <w:r>
        <w:separator/>
      </w:r>
    </w:p>
  </w:footnote>
  <w:footnote w:type="continuationSeparator" w:id="0">
    <w:p w14:paraId="704D0D78" w14:textId="77777777" w:rsidR="00FF0E4F" w:rsidRDefault="00FF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A334" w14:textId="59087B12" w:rsidR="00A83700" w:rsidRDefault="00A8370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901"/>
    <w:multiLevelType w:val="hybridMultilevel"/>
    <w:tmpl w:val="19808EBE"/>
    <w:lvl w:ilvl="0" w:tplc="B7A48280">
      <w:start w:val="1"/>
      <w:numFmt w:val="bullet"/>
      <w:lvlText w:val=""/>
      <w:lvlJc w:val="left"/>
      <w:pPr>
        <w:ind w:left="2720" w:hanging="301"/>
      </w:pPr>
      <w:rPr>
        <w:rFonts w:ascii="Symbol" w:eastAsia="Symbol" w:hAnsi="Symbol" w:hint="default"/>
        <w:w w:val="102"/>
        <w:sz w:val="20"/>
        <w:szCs w:val="20"/>
      </w:rPr>
    </w:lvl>
    <w:lvl w:ilvl="1" w:tplc="000AEEE2">
      <w:start w:val="1"/>
      <w:numFmt w:val="bullet"/>
      <w:lvlText w:val="•"/>
      <w:lvlJc w:val="left"/>
      <w:pPr>
        <w:ind w:left="3598" w:hanging="301"/>
      </w:pPr>
      <w:rPr>
        <w:rFonts w:hint="default"/>
      </w:rPr>
    </w:lvl>
    <w:lvl w:ilvl="2" w:tplc="D4205F6A">
      <w:start w:val="1"/>
      <w:numFmt w:val="bullet"/>
      <w:lvlText w:val="•"/>
      <w:lvlJc w:val="left"/>
      <w:pPr>
        <w:ind w:left="4476" w:hanging="301"/>
      </w:pPr>
      <w:rPr>
        <w:rFonts w:hint="default"/>
      </w:rPr>
    </w:lvl>
    <w:lvl w:ilvl="3" w:tplc="FDEE3AB4">
      <w:start w:val="1"/>
      <w:numFmt w:val="bullet"/>
      <w:lvlText w:val="•"/>
      <w:lvlJc w:val="left"/>
      <w:pPr>
        <w:ind w:left="5354" w:hanging="301"/>
      </w:pPr>
      <w:rPr>
        <w:rFonts w:hint="default"/>
      </w:rPr>
    </w:lvl>
    <w:lvl w:ilvl="4" w:tplc="6B0AE660">
      <w:start w:val="1"/>
      <w:numFmt w:val="bullet"/>
      <w:lvlText w:val="•"/>
      <w:lvlJc w:val="left"/>
      <w:pPr>
        <w:ind w:left="6232" w:hanging="301"/>
      </w:pPr>
      <w:rPr>
        <w:rFonts w:hint="default"/>
      </w:rPr>
    </w:lvl>
    <w:lvl w:ilvl="5" w:tplc="A81844B0">
      <w:start w:val="1"/>
      <w:numFmt w:val="bullet"/>
      <w:lvlText w:val="•"/>
      <w:lvlJc w:val="left"/>
      <w:pPr>
        <w:ind w:left="7110" w:hanging="301"/>
      </w:pPr>
      <w:rPr>
        <w:rFonts w:hint="default"/>
      </w:rPr>
    </w:lvl>
    <w:lvl w:ilvl="6" w:tplc="9FBA2664">
      <w:start w:val="1"/>
      <w:numFmt w:val="bullet"/>
      <w:lvlText w:val="•"/>
      <w:lvlJc w:val="left"/>
      <w:pPr>
        <w:ind w:left="7988" w:hanging="301"/>
      </w:pPr>
      <w:rPr>
        <w:rFonts w:hint="default"/>
      </w:rPr>
    </w:lvl>
    <w:lvl w:ilvl="7" w:tplc="3BB87770">
      <w:start w:val="1"/>
      <w:numFmt w:val="bullet"/>
      <w:lvlText w:val="•"/>
      <w:lvlJc w:val="left"/>
      <w:pPr>
        <w:ind w:left="8866" w:hanging="301"/>
      </w:pPr>
      <w:rPr>
        <w:rFonts w:hint="default"/>
      </w:rPr>
    </w:lvl>
    <w:lvl w:ilvl="8" w:tplc="850CB3CE">
      <w:start w:val="1"/>
      <w:numFmt w:val="bullet"/>
      <w:lvlText w:val="•"/>
      <w:lvlJc w:val="left"/>
      <w:pPr>
        <w:ind w:left="9744" w:hanging="301"/>
      </w:pPr>
      <w:rPr>
        <w:rFonts w:hint="default"/>
      </w:rPr>
    </w:lvl>
  </w:abstractNum>
  <w:abstractNum w:abstractNumId="1" w15:restartNumberingAfterBreak="0">
    <w:nsid w:val="02F17CA0"/>
    <w:multiLevelType w:val="hybridMultilevel"/>
    <w:tmpl w:val="B6FC9140"/>
    <w:lvl w:ilvl="0" w:tplc="B0B22144">
      <w:start w:val="1"/>
      <w:numFmt w:val="decimal"/>
      <w:lvlText w:val="%1."/>
      <w:lvlJc w:val="left"/>
      <w:pPr>
        <w:ind w:left="271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73087A5E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F2A44894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D3BC696C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B25C267E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21869E14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D0DAF2F8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AC8849A0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F208B4D8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2" w15:restartNumberingAfterBreak="0">
    <w:nsid w:val="07E17BA1"/>
    <w:multiLevelType w:val="hybridMultilevel"/>
    <w:tmpl w:val="255A3184"/>
    <w:lvl w:ilvl="0" w:tplc="F7565C0A">
      <w:start w:val="1"/>
      <w:numFmt w:val="decimal"/>
      <w:lvlText w:val="%1."/>
      <w:lvlJc w:val="left"/>
      <w:pPr>
        <w:ind w:left="271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8126309E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9566D676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1F4C2D12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9368A104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8594FF96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C7FA5D9C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89D2A254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101C6EBA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3" w15:restartNumberingAfterBreak="0">
    <w:nsid w:val="2A111989"/>
    <w:multiLevelType w:val="hybridMultilevel"/>
    <w:tmpl w:val="9A82E78E"/>
    <w:lvl w:ilvl="0" w:tplc="CBC61EFA">
      <w:start w:val="1"/>
      <w:numFmt w:val="decimal"/>
      <w:lvlText w:val="%1."/>
      <w:lvlJc w:val="left"/>
      <w:pPr>
        <w:ind w:left="271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B7D85D30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5222592C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5CC8CE22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795AE5C2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FC341780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E47E4134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C7AEDF78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A89E3C72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4" w15:restartNumberingAfterBreak="0">
    <w:nsid w:val="4E276906"/>
    <w:multiLevelType w:val="hybridMultilevel"/>
    <w:tmpl w:val="C4CA1736"/>
    <w:lvl w:ilvl="0" w:tplc="D8A02E1E">
      <w:start w:val="1"/>
      <w:numFmt w:val="decimal"/>
      <w:lvlText w:val="%1."/>
      <w:lvlJc w:val="left"/>
      <w:pPr>
        <w:ind w:left="272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9E98CA7A">
      <w:start w:val="1"/>
      <w:numFmt w:val="bullet"/>
      <w:lvlText w:val=""/>
      <w:lvlJc w:val="left"/>
      <w:pPr>
        <w:ind w:left="3342" w:hanging="288"/>
      </w:pPr>
      <w:rPr>
        <w:rFonts w:ascii="Symbol" w:eastAsia="Symbol" w:hAnsi="Symbol" w:hint="default"/>
        <w:w w:val="102"/>
        <w:sz w:val="20"/>
        <w:szCs w:val="20"/>
      </w:rPr>
    </w:lvl>
    <w:lvl w:ilvl="2" w:tplc="45A06160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03B82BC0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AA92502C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305C95AE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B11AB5F8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6E1C9944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4782D604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5" w15:restartNumberingAfterBreak="0">
    <w:nsid w:val="625B1535"/>
    <w:multiLevelType w:val="hybridMultilevel"/>
    <w:tmpl w:val="B96E397E"/>
    <w:lvl w:ilvl="0" w:tplc="3C645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364464B"/>
    <w:multiLevelType w:val="hybridMultilevel"/>
    <w:tmpl w:val="CA3CFBDC"/>
    <w:lvl w:ilvl="0" w:tplc="EA4279BA">
      <w:start w:val="1"/>
      <w:numFmt w:val="decimal"/>
      <w:lvlText w:val="%1."/>
      <w:lvlJc w:val="left"/>
      <w:pPr>
        <w:ind w:left="272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714C0A56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F0D482C0">
      <w:start w:val="1"/>
      <w:numFmt w:val="bullet"/>
      <w:lvlText w:val="•"/>
      <w:lvlJc w:val="left"/>
      <w:pPr>
        <w:ind w:left="3342" w:hanging="288"/>
      </w:pPr>
      <w:rPr>
        <w:rFonts w:hint="default"/>
      </w:rPr>
    </w:lvl>
    <w:lvl w:ilvl="3" w:tplc="9404FD6C">
      <w:start w:val="1"/>
      <w:numFmt w:val="bullet"/>
      <w:lvlText w:val="•"/>
      <w:lvlJc w:val="left"/>
      <w:pPr>
        <w:ind w:left="4362" w:hanging="288"/>
      </w:pPr>
      <w:rPr>
        <w:rFonts w:hint="default"/>
      </w:rPr>
    </w:lvl>
    <w:lvl w:ilvl="4" w:tplc="B2CE332C">
      <w:start w:val="1"/>
      <w:numFmt w:val="bullet"/>
      <w:lvlText w:val="•"/>
      <w:lvlJc w:val="left"/>
      <w:pPr>
        <w:ind w:left="5382" w:hanging="288"/>
      </w:pPr>
      <w:rPr>
        <w:rFonts w:hint="default"/>
      </w:rPr>
    </w:lvl>
    <w:lvl w:ilvl="5" w:tplc="9DDA5336">
      <w:start w:val="1"/>
      <w:numFmt w:val="bullet"/>
      <w:lvlText w:val="•"/>
      <w:lvlJc w:val="left"/>
      <w:pPr>
        <w:ind w:left="6401" w:hanging="288"/>
      </w:pPr>
      <w:rPr>
        <w:rFonts w:hint="default"/>
      </w:rPr>
    </w:lvl>
    <w:lvl w:ilvl="6" w:tplc="AAFAE214">
      <w:start w:val="1"/>
      <w:numFmt w:val="bullet"/>
      <w:lvlText w:val="•"/>
      <w:lvlJc w:val="left"/>
      <w:pPr>
        <w:ind w:left="7421" w:hanging="288"/>
      </w:pPr>
      <w:rPr>
        <w:rFonts w:hint="default"/>
      </w:rPr>
    </w:lvl>
    <w:lvl w:ilvl="7" w:tplc="A48280E6">
      <w:start w:val="1"/>
      <w:numFmt w:val="bullet"/>
      <w:lvlText w:val="•"/>
      <w:lvlJc w:val="left"/>
      <w:pPr>
        <w:ind w:left="8441" w:hanging="288"/>
      </w:pPr>
      <w:rPr>
        <w:rFonts w:hint="default"/>
      </w:rPr>
    </w:lvl>
    <w:lvl w:ilvl="8" w:tplc="8D9C088C">
      <w:start w:val="1"/>
      <w:numFmt w:val="bullet"/>
      <w:lvlText w:val="•"/>
      <w:lvlJc w:val="left"/>
      <w:pPr>
        <w:ind w:left="9460" w:hanging="288"/>
      </w:pPr>
      <w:rPr>
        <w:rFonts w:hint="default"/>
      </w:rPr>
    </w:lvl>
  </w:abstractNum>
  <w:abstractNum w:abstractNumId="7" w15:restartNumberingAfterBreak="0">
    <w:nsid w:val="75563364"/>
    <w:multiLevelType w:val="hybridMultilevel"/>
    <w:tmpl w:val="A650E78A"/>
    <w:lvl w:ilvl="0" w:tplc="600065C6">
      <w:start w:val="1"/>
      <w:numFmt w:val="bullet"/>
      <w:lvlText w:val="•"/>
      <w:lvlJc w:val="left"/>
      <w:pPr>
        <w:ind w:left="3022" w:hanging="298"/>
      </w:pPr>
      <w:rPr>
        <w:rFonts w:ascii="Georgia" w:eastAsia="Georgia" w:hAnsi="Georgia" w:hint="default"/>
        <w:w w:val="138"/>
        <w:sz w:val="20"/>
        <w:szCs w:val="20"/>
      </w:rPr>
    </w:lvl>
    <w:lvl w:ilvl="1" w:tplc="FCB66AD0">
      <w:start w:val="1"/>
      <w:numFmt w:val="bullet"/>
      <w:lvlText w:val="•"/>
      <w:lvlJc w:val="left"/>
      <w:pPr>
        <w:ind w:left="3870" w:hanging="298"/>
      </w:pPr>
      <w:rPr>
        <w:rFonts w:hint="default"/>
      </w:rPr>
    </w:lvl>
    <w:lvl w:ilvl="2" w:tplc="421EF624">
      <w:start w:val="1"/>
      <w:numFmt w:val="bullet"/>
      <w:lvlText w:val="•"/>
      <w:lvlJc w:val="left"/>
      <w:pPr>
        <w:ind w:left="4717" w:hanging="298"/>
      </w:pPr>
      <w:rPr>
        <w:rFonts w:hint="default"/>
      </w:rPr>
    </w:lvl>
    <w:lvl w:ilvl="3" w:tplc="7DD27E3C">
      <w:start w:val="1"/>
      <w:numFmt w:val="bullet"/>
      <w:lvlText w:val="•"/>
      <w:lvlJc w:val="left"/>
      <w:pPr>
        <w:ind w:left="5565" w:hanging="298"/>
      </w:pPr>
      <w:rPr>
        <w:rFonts w:hint="default"/>
      </w:rPr>
    </w:lvl>
    <w:lvl w:ilvl="4" w:tplc="4E5EEBEA">
      <w:start w:val="1"/>
      <w:numFmt w:val="bullet"/>
      <w:lvlText w:val="•"/>
      <w:lvlJc w:val="left"/>
      <w:pPr>
        <w:ind w:left="6413" w:hanging="298"/>
      </w:pPr>
      <w:rPr>
        <w:rFonts w:hint="default"/>
      </w:rPr>
    </w:lvl>
    <w:lvl w:ilvl="5" w:tplc="0F28E810">
      <w:start w:val="1"/>
      <w:numFmt w:val="bullet"/>
      <w:lvlText w:val="•"/>
      <w:lvlJc w:val="left"/>
      <w:pPr>
        <w:ind w:left="7261" w:hanging="298"/>
      </w:pPr>
      <w:rPr>
        <w:rFonts w:hint="default"/>
      </w:rPr>
    </w:lvl>
    <w:lvl w:ilvl="6" w:tplc="34ECC518">
      <w:start w:val="1"/>
      <w:numFmt w:val="bullet"/>
      <w:lvlText w:val="•"/>
      <w:lvlJc w:val="left"/>
      <w:pPr>
        <w:ind w:left="8108" w:hanging="298"/>
      </w:pPr>
      <w:rPr>
        <w:rFonts w:hint="default"/>
      </w:rPr>
    </w:lvl>
    <w:lvl w:ilvl="7" w:tplc="B86C9D60">
      <w:start w:val="1"/>
      <w:numFmt w:val="bullet"/>
      <w:lvlText w:val="•"/>
      <w:lvlJc w:val="left"/>
      <w:pPr>
        <w:ind w:left="8956" w:hanging="298"/>
      </w:pPr>
      <w:rPr>
        <w:rFonts w:hint="default"/>
      </w:rPr>
    </w:lvl>
    <w:lvl w:ilvl="8" w:tplc="19FEA848">
      <w:start w:val="1"/>
      <w:numFmt w:val="bullet"/>
      <w:lvlText w:val="•"/>
      <w:lvlJc w:val="left"/>
      <w:pPr>
        <w:ind w:left="9804" w:hanging="298"/>
      </w:pPr>
      <w:rPr>
        <w:rFonts w:hint="default"/>
      </w:rPr>
    </w:lvl>
  </w:abstractNum>
  <w:num w:numId="1" w16cid:durableId="1315640654">
    <w:abstractNumId w:val="4"/>
  </w:num>
  <w:num w:numId="2" w16cid:durableId="1182236600">
    <w:abstractNumId w:val="7"/>
  </w:num>
  <w:num w:numId="3" w16cid:durableId="998574890">
    <w:abstractNumId w:val="6"/>
  </w:num>
  <w:num w:numId="4" w16cid:durableId="75129155">
    <w:abstractNumId w:val="2"/>
  </w:num>
  <w:num w:numId="5" w16cid:durableId="2124301632">
    <w:abstractNumId w:val="1"/>
  </w:num>
  <w:num w:numId="6" w16cid:durableId="1736932451">
    <w:abstractNumId w:val="3"/>
  </w:num>
  <w:num w:numId="7" w16cid:durableId="1817449345">
    <w:abstractNumId w:val="0"/>
  </w:num>
  <w:num w:numId="8" w16cid:durableId="682170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700"/>
    <w:rsid w:val="00067A30"/>
    <w:rsid w:val="00292615"/>
    <w:rsid w:val="00304F75"/>
    <w:rsid w:val="00441546"/>
    <w:rsid w:val="0077625E"/>
    <w:rsid w:val="00A83700"/>
    <w:rsid w:val="00F30159"/>
    <w:rsid w:val="00F31ED9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9A8D"/>
  <w15:docId w15:val="{BDD1B281-AD53-4BB7-BA16-235B85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342" w:hanging="30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0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159"/>
  </w:style>
  <w:style w:type="paragraph" w:styleId="Piedepgina">
    <w:name w:val="footer"/>
    <w:basedOn w:val="Normal"/>
    <w:link w:val="PiedepginaCar"/>
    <w:uiPriority w:val="99"/>
    <w:unhideWhenUsed/>
    <w:rsid w:val="00F30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2094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6</cp:revision>
  <dcterms:created xsi:type="dcterms:W3CDTF">2024-07-16T14:19:00Z</dcterms:created>
  <dcterms:modified xsi:type="dcterms:W3CDTF">2024-07-29T12:03:00Z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2024-07-16T00:00:00Z</vt:filetime>
  </property>
</Properties>
</file>