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B5E1" w14:textId="260224B8" w:rsidR="005B1ED5" w:rsidRDefault="005B1ED5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26 de febrero de 2024</w:t>
      </w:r>
    </w:p>
    <w:p w14:paraId="2B1FC34B" w14:textId="5809BBCA" w:rsidR="005B1ED5" w:rsidRDefault="00DE685E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 w:rsidRPr="00BD420D">
        <w:rPr>
          <w:rFonts w:ascii="DejaVu Serif Condensed" w:hAnsi="DejaVu Serif Condensed"/>
        </w:rPr>
        <w:t>El Consejero</w:t>
      </w:r>
      <w:r w:rsidR="00380E41">
        <w:rPr>
          <w:rFonts w:ascii="DejaVu Serif Condensed" w:hAnsi="DejaVu Serif Condensed"/>
        </w:rPr>
        <w:t xml:space="preserve"> </w:t>
      </w:r>
      <w:r w:rsidRPr="00BD420D">
        <w:rPr>
          <w:rFonts w:ascii="DejaVu Serif Condensed" w:hAnsi="DejaVu Serif Condensed"/>
        </w:rPr>
        <w:t xml:space="preserve">de Salud del Gobierno de Navarra, en relación con la pregunta para su contestación por escrito formulada por </w:t>
      </w:r>
      <w:r w:rsidR="00C42AB4">
        <w:rPr>
          <w:rFonts w:ascii="DejaVu Serif Condensed" w:hAnsi="DejaVu Serif Condensed"/>
        </w:rPr>
        <w:t>e</w:t>
      </w:r>
      <w:r w:rsidR="002F0951">
        <w:rPr>
          <w:rFonts w:ascii="DejaVu Serif Condensed" w:hAnsi="DejaVu Serif Condensed"/>
        </w:rPr>
        <w:t>l Parlamentario</w:t>
      </w:r>
      <w:r w:rsidRPr="00BD420D">
        <w:rPr>
          <w:rFonts w:ascii="DejaVu Serif Condensed" w:hAnsi="DejaVu Serif Condensed"/>
        </w:rPr>
        <w:t xml:space="preserve"> Foral </w:t>
      </w:r>
      <w:r w:rsidRPr="00DE685E">
        <w:rPr>
          <w:rFonts w:ascii="DejaVu Serif Condensed" w:hAnsi="DejaVu Serif Condensed"/>
        </w:rPr>
        <w:t>Ilmo. S</w:t>
      </w:r>
      <w:r w:rsidR="00C42AB4">
        <w:rPr>
          <w:rFonts w:ascii="DejaVu Serif Condensed" w:hAnsi="DejaVu Serif Condensed"/>
        </w:rPr>
        <w:t xml:space="preserve">r. D. </w:t>
      </w:r>
      <w:r w:rsidR="002F0951">
        <w:rPr>
          <w:rFonts w:ascii="DejaVu Serif Condensed" w:hAnsi="DejaVu Serif Condensed"/>
        </w:rPr>
        <w:t>González Martínez</w:t>
      </w:r>
      <w:r w:rsidRPr="00BD420D">
        <w:rPr>
          <w:rFonts w:ascii="DejaVu Serif Condensed" w:hAnsi="DejaVu Serif Condensed"/>
        </w:rPr>
        <w:t>, adscrit</w:t>
      </w:r>
      <w:r w:rsidR="002F0951">
        <w:rPr>
          <w:rFonts w:ascii="DejaVu Serif Condensed" w:hAnsi="DejaVu Serif Condensed"/>
        </w:rPr>
        <w:t>o</w:t>
      </w:r>
      <w:r w:rsidRPr="00BD420D">
        <w:rPr>
          <w:rFonts w:ascii="DejaVu Serif Condensed" w:hAnsi="DejaVu Serif Condensed"/>
        </w:rPr>
        <w:t xml:space="preserve"> al Grupo </w:t>
      </w:r>
      <w:r>
        <w:rPr>
          <w:rFonts w:ascii="DejaVu Serif Condensed" w:hAnsi="DejaVu Serif Condensed"/>
        </w:rPr>
        <w:t xml:space="preserve">EH </w:t>
      </w:r>
      <w:r w:rsidR="005B1ED5">
        <w:rPr>
          <w:rFonts w:ascii="DejaVu Serif Condensed" w:hAnsi="DejaVu Serif Condensed"/>
        </w:rPr>
        <w:t>Bildu Nafarroa</w:t>
      </w:r>
      <w:r w:rsidR="005B1ED5" w:rsidRPr="00BD420D">
        <w:rPr>
          <w:rFonts w:ascii="DejaVu Serif Condensed" w:hAnsi="DejaVu Serif Condensed"/>
        </w:rPr>
        <w:t xml:space="preserve">, </w:t>
      </w:r>
      <w:r w:rsidR="002F0951">
        <w:rPr>
          <w:rFonts w:ascii="DejaVu Serif Condensed" w:hAnsi="DejaVu Serif Condensed"/>
        </w:rPr>
        <w:t xml:space="preserve">sobre </w:t>
      </w:r>
      <w:r w:rsidR="00C42AB4">
        <w:rPr>
          <w:rFonts w:ascii="DejaVu Serif Condensed" w:hAnsi="DejaVu Serif Condensed"/>
        </w:rPr>
        <w:t>e</w:t>
      </w:r>
      <w:r w:rsidR="002F0951">
        <w:rPr>
          <w:rFonts w:ascii="DejaVu Serif Condensed" w:hAnsi="DejaVu Serif Condensed"/>
        </w:rPr>
        <w:t xml:space="preserve">l </w:t>
      </w:r>
      <w:r w:rsidR="00C42AB4">
        <w:rPr>
          <w:rFonts w:ascii="DejaVu Serif Condensed" w:hAnsi="DejaVu Serif Condensed"/>
        </w:rPr>
        <w:t>convenio de atención sanitaria con Aragón</w:t>
      </w:r>
      <w:r w:rsidR="002F0951">
        <w:rPr>
          <w:rFonts w:ascii="DejaVu Serif Condensed" w:hAnsi="DejaVu Serif Condensed"/>
        </w:rPr>
        <w:t xml:space="preserve"> </w:t>
      </w:r>
      <w:r w:rsidRPr="00BD420D">
        <w:rPr>
          <w:rFonts w:ascii="DejaVu Serif Condensed" w:hAnsi="DejaVu Serif Condensed"/>
        </w:rPr>
        <w:t>(11-24-</w:t>
      </w:r>
      <w:r w:rsidRPr="002F0951">
        <w:rPr>
          <w:rFonts w:ascii="DejaVu Serif Condensed" w:hAnsi="DejaVu Serif Condensed"/>
        </w:rPr>
        <w:t xml:space="preserve"> PES-000</w:t>
      </w:r>
      <w:r w:rsidR="00C42AB4">
        <w:rPr>
          <w:rFonts w:ascii="DejaVu Serif Condensed" w:hAnsi="DejaVu Serif Condensed"/>
        </w:rPr>
        <w:t>22</w:t>
      </w:r>
      <w:r w:rsidR="002F0951">
        <w:rPr>
          <w:rFonts w:ascii="DejaVu Serif Condensed" w:hAnsi="DejaVu Serif Condensed"/>
        </w:rPr>
        <w:t>)</w:t>
      </w:r>
      <w:r>
        <w:rPr>
          <w:rFonts w:ascii="DejaVu Serif Condensed" w:hAnsi="DejaVu Serif Condensed"/>
        </w:rPr>
        <w:t xml:space="preserve">, se </w:t>
      </w:r>
      <w:r w:rsidRPr="00BD420D">
        <w:rPr>
          <w:rFonts w:ascii="DejaVu Serif Condensed" w:hAnsi="DejaVu Serif Condensed"/>
        </w:rPr>
        <w:t>informa lo siguiente</w:t>
      </w:r>
      <w:r w:rsidR="00380E41">
        <w:rPr>
          <w:rFonts w:ascii="DejaVu Serif Condensed" w:hAnsi="DejaVu Serif Condensed"/>
        </w:rPr>
        <w:t>:</w:t>
      </w:r>
    </w:p>
    <w:p w14:paraId="4DF163E7" w14:textId="7FD62D41" w:rsidR="005B1ED5" w:rsidRPr="005B1ED5" w:rsidRDefault="00C42AB4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  <w:bCs/>
        </w:rPr>
      </w:pPr>
      <w:r w:rsidRPr="005B1ED5">
        <w:rPr>
          <w:rFonts w:ascii="DejaVu Serif Condensed" w:hAnsi="DejaVu Serif Condensed"/>
          <w:bCs/>
        </w:rPr>
        <w:t xml:space="preserve">- </w:t>
      </w:r>
      <w:r w:rsidR="001D06B8" w:rsidRPr="005B1ED5">
        <w:rPr>
          <w:rFonts w:ascii="DejaVu Serif Condensed" w:hAnsi="DejaVu Serif Condensed"/>
          <w:bCs/>
        </w:rPr>
        <w:t>¿</w:t>
      </w:r>
      <w:r w:rsidRPr="005B1ED5">
        <w:rPr>
          <w:rFonts w:ascii="DejaVu Serif Condensed" w:hAnsi="DejaVu Serif Condensed"/>
          <w:bCs/>
        </w:rPr>
        <w:t>Está en vigor el convenio de atención sanitaria con Aragón, para la zona básica de Tarazona y/o la zona básica de Sos de</w:t>
      </w:r>
      <w:r w:rsidR="00774DE5" w:rsidRPr="005B1ED5">
        <w:rPr>
          <w:rFonts w:ascii="DejaVu Serif Condensed" w:hAnsi="DejaVu Serif Condensed"/>
          <w:bCs/>
        </w:rPr>
        <w:t>l</w:t>
      </w:r>
      <w:r w:rsidRPr="005B1ED5">
        <w:rPr>
          <w:rFonts w:ascii="DejaVu Serif Condensed" w:hAnsi="DejaVu Serif Condensed"/>
          <w:bCs/>
        </w:rPr>
        <w:t xml:space="preserve"> Rey Católico, </w:t>
      </w:r>
      <w:r w:rsidR="00F9737C" w:rsidRPr="005B1ED5">
        <w:rPr>
          <w:rFonts w:ascii="DejaVu Serif Condensed" w:hAnsi="DejaVu Serif Condensed"/>
          <w:bCs/>
        </w:rPr>
        <w:t>y si no está en vigor, hasta cuá</w:t>
      </w:r>
      <w:r w:rsidRPr="005B1ED5">
        <w:rPr>
          <w:rFonts w:ascii="DejaVu Serif Condensed" w:hAnsi="DejaVu Serif Condensed"/>
          <w:bCs/>
        </w:rPr>
        <w:t>ndo ha estado vigente?</w:t>
      </w:r>
    </w:p>
    <w:p w14:paraId="5D502884" w14:textId="7C93D222" w:rsidR="005B1ED5" w:rsidRDefault="00646CDB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El </w:t>
      </w:r>
      <w:r w:rsidR="00C42AB4">
        <w:rPr>
          <w:rFonts w:ascii="DejaVu Serif Condensed" w:hAnsi="DejaVu Serif Condensed"/>
        </w:rPr>
        <w:t xml:space="preserve">convenio </w:t>
      </w:r>
      <w:r>
        <w:rPr>
          <w:rFonts w:ascii="DejaVu Serif Condensed" w:hAnsi="DejaVu Serif Condensed"/>
        </w:rPr>
        <w:t xml:space="preserve">se actualizó en abril de </w:t>
      </w:r>
      <w:r w:rsidR="00C42AB4">
        <w:rPr>
          <w:rFonts w:ascii="DejaVu Serif Condensed" w:hAnsi="DejaVu Serif Condensed"/>
        </w:rPr>
        <w:t>2023</w:t>
      </w:r>
      <w:r>
        <w:rPr>
          <w:rFonts w:ascii="DejaVu Serif Condensed" w:hAnsi="DejaVu Serif Condensed"/>
        </w:rPr>
        <w:t xml:space="preserve"> con una duración de 4 años</w:t>
      </w:r>
      <w:r w:rsidR="00C42AB4">
        <w:rPr>
          <w:rFonts w:ascii="DejaVu Serif Condensed" w:hAnsi="DejaVu Serif Condensed"/>
        </w:rPr>
        <w:t>.</w:t>
      </w:r>
    </w:p>
    <w:p w14:paraId="1865D6C8" w14:textId="0A0F1646" w:rsidR="005B1ED5" w:rsidRPr="004D653C" w:rsidRDefault="00C42AB4" w:rsidP="00C42AB4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  <w:bCs/>
        </w:rPr>
      </w:pPr>
      <w:r w:rsidRPr="004D653C">
        <w:rPr>
          <w:rFonts w:ascii="DejaVu Serif Condensed" w:hAnsi="DejaVu Serif Condensed"/>
          <w:bCs/>
        </w:rPr>
        <w:t>- ¿</w:t>
      </w:r>
      <w:r w:rsidR="00774DE5" w:rsidRPr="004D653C">
        <w:rPr>
          <w:rFonts w:ascii="DejaVu Serif Condensed" w:hAnsi="DejaVu Serif Condensed"/>
          <w:bCs/>
        </w:rPr>
        <w:t>Cuántos años ha esta</w:t>
      </w:r>
      <w:r w:rsidR="00F9737C" w:rsidRPr="004D653C">
        <w:rPr>
          <w:rFonts w:ascii="DejaVu Serif Condensed" w:hAnsi="DejaVu Serif Condensed"/>
          <w:bCs/>
        </w:rPr>
        <w:t>do en vigor dicho convenio y cuá</w:t>
      </w:r>
      <w:r w:rsidR="00774DE5" w:rsidRPr="004D653C">
        <w:rPr>
          <w:rFonts w:ascii="DejaVu Serif Condensed" w:hAnsi="DejaVu Serif Condensed"/>
          <w:bCs/>
        </w:rPr>
        <w:t>ntas atenciones sanitarias se han prestado a personas pertenecientes a la Comunidad de Aragón cada año de vigencia</w:t>
      </w:r>
      <w:r w:rsidRPr="004D653C">
        <w:rPr>
          <w:rFonts w:ascii="DejaVu Serif Condensed" w:hAnsi="DejaVu Serif Condensed"/>
          <w:bCs/>
        </w:rPr>
        <w:t>?</w:t>
      </w:r>
    </w:p>
    <w:p w14:paraId="51E4D6D0" w14:textId="77777777" w:rsidR="005B1ED5" w:rsidRDefault="00774DE5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Los convenios de colaboración para la atención entre comunidades limítrofes son anteriores a las transferencias de competencias sanitarias a las CCAA.</w:t>
      </w:r>
    </w:p>
    <w:p w14:paraId="6DA43F84" w14:textId="77777777" w:rsidR="005B1ED5" w:rsidRDefault="00646CDB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Se va actualizando de forma periódica.</w:t>
      </w:r>
    </w:p>
    <w:p w14:paraId="24DFF0BC" w14:textId="5311D1A3" w:rsidR="00774DE5" w:rsidRDefault="00646CDB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L</w:t>
      </w:r>
      <w:r w:rsidR="00774DE5">
        <w:rPr>
          <w:rFonts w:ascii="DejaVu Serif Condensed" w:hAnsi="DejaVu Serif Condensed"/>
        </w:rPr>
        <w:t>as asistencias realizadas a las personas de las comarcas de Tarazona y Sos del Rey Católico en el SNS-O desde 20</w:t>
      </w:r>
      <w:r w:rsidR="00AA0757">
        <w:rPr>
          <w:rFonts w:ascii="DejaVu Serif Condensed" w:hAnsi="DejaVu Serif Condensed"/>
        </w:rPr>
        <w:t>23</w:t>
      </w:r>
      <w:r w:rsidR="00774DE5">
        <w:rPr>
          <w:rFonts w:ascii="DejaVu Serif Condensed" w:hAnsi="DejaVu Serif Condensed"/>
        </w:rPr>
        <w:t xml:space="preserve"> hasta la actualidad se resumen en las siguientes tablas:</w:t>
      </w:r>
    </w:p>
    <w:p w14:paraId="3E231BD6" w14:textId="77777777" w:rsidR="00774DE5" w:rsidRPr="00C42AB4" w:rsidRDefault="00774DE5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tbl>
      <w:tblPr>
        <w:tblW w:w="3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20"/>
      </w:tblGrid>
      <w:tr w:rsidR="00351150" w:rsidRPr="00351150" w14:paraId="4C5FAB1D" w14:textId="77777777" w:rsidTr="0041622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BC7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año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5BA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Consultas externas</w:t>
            </w:r>
          </w:p>
        </w:tc>
      </w:tr>
      <w:tr w:rsidR="00351150" w:rsidRPr="00351150" w14:paraId="0A41B558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4BD5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EB1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3292</w:t>
            </w:r>
          </w:p>
        </w:tc>
      </w:tr>
      <w:tr w:rsidR="00351150" w:rsidRPr="00351150" w14:paraId="443E73CE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37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1CC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507</w:t>
            </w:r>
          </w:p>
        </w:tc>
      </w:tr>
    </w:tbl>
    <w:p w14:paraId="3A91F572" w14:textId="77777777" w:rsidR="00351150" w:rsidRPr="00351150" w:rsidRDefault="00351150" w:rsidP="00351150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tbl>
      <w:tblPr>
        <w:tblW w:w="79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14"/>
        <w:gridCol w:w="2780"/>
      </w:tblGrid>
      <w:tr w:rsidR="00351150" w:rsidRPr="00351150" w14:paraId="3A7A4609" w14:textId="77777777" w:rsidTr="0035115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0A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año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EA3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Hospital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E5D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Hospitalizaciones</w:t>
            </w:r>
          </w:p>
        </w:tc>
      </w:tr>
      <w:tr w:rsidR="00351150" w:rsidRPr="00351150" w14:paraId="07CFE10A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F5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F7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Reina Sofía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FDA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370</w:t>
            </w:r>
          </w:p>
        </w:tc>
      </w:tr>
      <w:tr w:rsidR="00351150" w:rsidRPr="00351150" w14:paraId="175A0C35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1D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53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Universitario de Navarra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6F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108</w:t>
            </w:r>
          </w:p>
        </w:tc>
      </w:tr>
      <w:tr w:rsidR="00351150" w:rsidRPr="00351150" w14:paraId="03FA7A5A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C0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FC1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Reina Sofía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FA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75</w:t>
            </w:r>
          </w:p>
        </w:tc>
      </w:tr>
      <w:tr w:rsidR="00351150" w:rsidRPr="00351150" w14:paraId="6DDC46E6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E2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EF6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Universitario de Navarra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BEC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16</w:t>
            </w:r>
          </w:p>
        </w:tc>
      </w:tr>
    </w:tbl>
    <w:p w14:paraId="226298D9" w14:textId="77777777" w:rsidR="00AA0757" w:rsidRDefault="00AA0757" w:rsidP="00351150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p w14:paraId="62AB8F6F" w14:textId="77777777" w:rsidR="004D653C" w:rsidRDefault="004D653C" w:rsidP="00351150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p w14:paraId="2A3D6FFD" w14:textId="77777777" w:rsidR="004D653C" w:rsidRPr="00351150" w:rsidRDefault="004D653C" w:rsidP="00351150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tbl>
      <w:tblPr>
        <w:tblW w:w="7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00"/>
        <w:gridCol w:w="1800"/>
      </w:tblGrid>
      <w:tr w:rsidR="00351150" w:rsidRPr="00351150" w14:paraId="38F0A798" w14:textId="77777777" w:rsidTr="0041622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720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lastRenderedPageBreak/>
              <w:t>año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C9A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Urgencias hospitalarias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1F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 w:rsidRPr="00351150">
              <w:rPr>
                <w:rFonts w:ascii="DejaVu Serif Condensed" w:hAnsi="DejaVu Serif Condensed" w:cs="Calibri"/>
                <w:b/>
                <w:bCs/>
                <w:color w:val="000000"/>
              </w:rPr>
              <w:t>Urgencias</w:t>
            </w:r>
          </w:p>
        </w:tc>
      </w:tr>
      <w:tr w:rsidR="00351150" w:rsidRPr="00351150" w14:paraId="2E5A3CE4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6C7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AA1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Reina Sofía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E0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3173</w:t>
            </w:r>
          </w:p>
        </w:tc>
      </w:tr>
      <w:tr w:rsidR="00351150" w:rsidRPr="00351150" w14:paraId="5A12A3A4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DB6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283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Universitario de Navarra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BCD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268</w:t>
            </w:r>
          </w:p>
        </w:tc>
      </w:tr>
      <w:tr w:rsidR="00351150" w:rsidRPr="00351150" w14:paraId="469E2AE3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EF3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7FC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Reina Sofía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71D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457</w:t>
            </w:r>
          </w:p>
        </w:tc>
      </w:tr>
      <w:tr w:rsidR="00351150" w:rsidRPr="00351150" w14:paraId="1C0E5FCD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D1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2024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BE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Hospital Universitario de Navarra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B6B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 w:rsidRPr="00351150">
              <w:rPr>
                <w:rFonts w:ascii="DejaVu Serif Condensed" w:hAnsi="DejaVu Serif Condensed" w:cs="Calibri"/>
                <w:color w:val="000000"/>
              </w:rPr>
              <w:t>31</w:t>
            </w:r>
          </w:p>
        </w:tc>
      </w:tr>
    </w:tbl>
    <w:p w14:paraId="6E7DEC79" w14:textId="77777777" w:rsidR="00C42AB4" w:rsidRPr="00774DE5" w:rsidRDefault="00C42AB4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p w14:paraId="4B35FEC4" w14:textId="11FE01D9" w:rsidR="005B1ED5" w:rsidRPr="004D653C" w:rsidRDefault="00774DE5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  <w:bCs/>
        </w:rPr>
      </w:pPr>
      <w:r w:rsidRPr="004D653C">
        <w:rPr>
          <w:rFonts w:ascii="DejaVu Serif Condensed" w:hAnsi="DejaVu Serif Condensed"/>
          <w:bCs/>
        </w:rPr>
        <w:t>- ¿Cuál es el motivo de no facturar esta atención sanitaria directamente a la Comunidad de Aragón, o cuando menos su inclusión en SFICO?</w:t>
      </w:r>
    </w:p>
    <w:p w14:paraId="2C88BADB" w14:textId="77777777" w:rsidR="005B1ED5" w:rsidRDefault="00351150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El convenio de </w:t>
      </w:r>
      <w:r w:rsidR="000D1163">
        <w:rPr>
          <w:rFonts w:ascii="DejaVu Serif Condensed" w:hAnsi="DejaVu Serif Condensed"/>
        </w:rPr>
        <w:t>atención sanitaria entre comunidades limítrofes no puede dar lugar a compensación económica bilateral y no son objeto de compensación vía SIFCO.</w:t>
      </w:r>
    </w:p>
    <w:p w14:paraId="6E3D60B1" w14:textId="77777777" w:rsidR="005B1ED5" w:rsidRDefault="000D1163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El Ministerio de Sanidad está revisando las posibilidades de compensación entre comunidades de estas atenciones por otros mecanismos.</w:t>
      </w:r>
    </w:p>
    <w:p w14:paraId="54BAF13F" w14:textId="77777777" w:rsidR="005B1ED5" w:rsidRDefault="00AA0757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Los procesos susceptibles de registrar y compensar vía SIFCO se están incluyendo en este procedimiento.</w:t>
      </w:r>
    </w:p>
    <w:p w14:paraId="330B12A4" w14:textId="58999981" w:rsidR="00AA0757" w:rsidRDefault="000D1163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Desde la Comunidad Autónoma de Aragón se han solicitado </w:t>
      </w:r>
      <w:r w:rsidR="00AA0757">
        <w:rPr>
          <w:rFonts w:ascii="DejaVu Serif Condensed" w:hAnsi="DejaVu Serif Condensed"/>
        </w:rPr>
        <w:t xml:space="preserve">durante 2023 </w:t>
      </w:r>
      <w:r>
        <w:rPr>
          <w:rFonts w:ascii="DejaVu Serif Condensed" w:hAnsi="DejaVu Serif Condensed"/>
        </w:rPr>
        <w:t>vía SIFCO</w:t>
      </w:r>
      <w:r w:rsidR="00AA0757">
        <w:rPr>
          <w:rFonts w:ascii="DejaVu Serif Condensed" w:hAnsi="DejaVu Serif Condensed"/>
        </w:rPr>
        <w:t>,</w:t>
      </w:r>
      <w:r>
        <w:rPr>
          <w:rFonts w:ascii="DejaVu Serif Condensed" w:hAnsi="DejaVu Serif Condensed"/>
        </w:rPr>
        <w:t xml:space="preserve"> </w:t>
      </w:r>
      <w:r w:rsidR="00AA0757">
        <w:rPr>
          <w:rFonts w:ascii="DejaVu Serif Condensed" w:hAnsi="DejaVu Serif Condensed"/>
        </w:rPr>
        <w:t>6</w:t>
      </w:r>
      <w:r>
        <w:rPr>
          <w:rFonts w:ascii="DejaVu Serif Condensed" w:hAnsi="DejaVu Serif Condensed"/>
        </w:rPr>
        <w:t>3 atenciones al Hospital Universitario de Navarra, relativas a los procedimientos y modelos de atención regulados por dicho sistema.</w:t>
      </w:r>
    </w:p>
    <w:p w14:paraId="6127A1D7" w14:textId="77777777" w:rsidR="005B1ED5" w:rsidRDefault="00DE685E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 w:rsidRPr="007C0BA1">
        <w:rPr>
          <w:rFonts w:ascii="DejaVu Serif Condensed" w:hAnsi="DejaVu Serif Condensed"/>
        </w:rPr>
        <w:t xml:space="preserve">Es cuanto informo en cumplimiento de lo dispuesto en el </w:t>
      </w:r>
      <w:r w:rsidRPr="00BC5E61">
        <w:rPr>
          <w:rFonts w:ascii="DejaVu Serif Condensed" w:hAnsi="DejaVu Serif Condensed"/>
        </w:rPr>
        <w:t>artículo 215</w:t>
      </w:r>
      <w:r w:rsidRPr="007C0BA1">
        <w:rPr>
          <w:rFonts w:ascii="DejaVu Serif Condensed" w:hAnsi="DejaVu Serif Condensed"/>
        </w:rPr>
        <w:t xml:space="preserve"> del Reglamento del Parlamento de Navarra.</w:t>
      </w:r>
    </w:p>
    <w:p w14:paraId="6C688528" w14:textId="17A2C222" w:rsidR="005B1ED5" w:rsidRDefault="00DE685E" w:rsidP="004D653C">
      <w:pPr>
        <w:tabs>
          <w:tab w:val="left" w:pos="3780"/>
        </w:tabs>
        <w:spacing w:line="360" w:lineRule="auto"/>
        <w:jc w:val="center"/>
        <w:rPr>
          <w:rFonts w:ascii="DejaVu Serif Condensed" w:hAnsi="DejaVu Serif Condensed"/>
        </w:rPr>
      </w:pPr>
      <w:r w:rsidRPr="007C0BA1">
        <w:rPr>
          <w:rFonts w:ascii="DejaVu Serif Condensed" w:hAnsi="DejaVu Serif Condensed"/>
        </w:rPr>
        <w:t>Pamplona-</w:t>
      </w:r>
      <w:r w:rsidRPr="00BD420D">
        <w:rPr>
          <w:rFonts w:ascii="DejaVu Serif Condensed" w:hAnsi="DejaVu Serif Condensed"/>
        </w:rPr>
        <w:t xml:space="preserve">Iruñea, </w:t>
      </w:r>
      <w:r w:rsidR="00861345">
        <w:rPr>
          <w:rFonts w:ascii="DejaVu Serif Condensed" w:hAnsi="DejaVu Serif Condensed"/>
        </w:rPr>
        <w:t>23</w:t>
      </w:r>
      <w:r w:rsidRPr="00BD420D">
        <w:rPr>
          <w:rFonts w:ascii="DejaVu Serif Condensed" w:hAnsi="DejaVu Serif Condensed"/>
        </w:rPr>
        <w:t xml:space="preserve"> de febrero de 2024</w:t>
      </w:r>
    </w:p>
    <w:p w14:paraId="59EAEE82" w14:textId="348432F3" w:rsidR="000D1163" w:rsidRPr="000D1163" w:rsidRDefault="004D653C" w:rsidP="004D653C">
      <w:pPr>
        <w:spacing w:line="360" w:lineRule="auto"/>
        <w:jc w:val="center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El Consejero de Salud: Fernando Domínguez Cunchillos</w:t>
      </w:r>
    </w:p>
    <w:sectPr w:rsidR="000D1163" w:rsidRPr="000D1163" w:rsidSect="002F0951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6146" w14:textId="77777777" w:rsidR="00DE685E" w:rsidRDefault="00DE685E" w:rsidP="00DE685E">
      <w:r>
        <w:separator/>
      </w:r>
    </w:p>
  </w:endnote>
  <w:endnote w:type="continuationSeparator" w:id="0">
    <w:p w14:paraId="683FD7E0" w14:textId="77777777" w:rsidR="00DE685E" w:rsidRDefault="00DE685E" w:rsidP="00D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8056" w14:textId="77777777" w:rsidR="00DE685E" w:rsidRDefault="00DE685E" w:rsidP="00DE685E">
      <w:r>
        <w:separator/>
      </w:r>
    </w:p>
  </w:footnote>
  <w:footnote w:type="continuationSeparator" w:id="0">
    <w:p w14:paraId="5EC90575" w14:textId="77777777" w:rsidR="00DE685E" w:rsidRDefault="00DE685E" w:rsidP="00DE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6510"/>
    <w:multiLevelType w:val="hybridMultilevel"/>
    <w:tmpl w:val="96FE2A84"/>
    <w:lvl w:ilvl="0" w:tplc="A8B8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1E60"/>
    <w:multiLevelType w:val="hybridMultilevel"/>
    <w:tmpl w:val="FB129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70F1"/>
    <w:multiLevelType w:val="hybridMultilevel"/>
    <w:tmpl w:val="6DDE4D26"/>
    <w:lvl w:ilvl="0" w:tplc="99144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0443"/>
    <w:multiLevelType w:val="hybridMultilevel"/>
    <w:tmpl w:val="3C9A6AEE"/>
    <w:lvl w:ilvl="0" w:tplc="A8B8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54EF"/>
    <w:multiLevelType w:val="hybridMultilevel"/>
    <w:tmpl w:val="3A100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B47"/>
    <w:multiLevelType w:val="hybridMultilevel"/>
    <w:tmpl w:val="DE82D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C33B7"/>
    <w:multiLevelType w:val="hybridMultilevel"/>
    <w:tmpl w:val="1384FA26"/>
    <w:lvl w:ilvl="0" w:tplc="BD76D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50352">
    <w:abstractNumId w:val="6"/>
  </w:num>
  <w:num w:numId="2" w16cid:durableId="341007096">
    <w:abstractNumId w:val="2"/>
  </w:num>
  <w:num w:numId="3" w16cid:durableId="1043215342">
    <w:abstractNumId w:val="5"/>
  </w:num>
  <w:num w:numId="4" w16cid:durableId="160588194">
    <w:abstractNumId w:val="1"/>
  </w:num>
  <w:num w:numId="5" w16cid:durableId="1691250269">
    <w:abstractNumId w:val="0"/>
  </w:num>
  <w:num w:numId="6" w16cid:durableId="273174485">
    <w:abstractNumId w:val="4"/>
  </w:num>
  <w:num w:numId="7" w16cid:durableId="176359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087951"/>
    <w:rsid w:val="000D1163"/>
    <w:rsid w:val="001D06B8"/>
    <w:rsid w:val="002F0951"/>
    <w:rsid w:val="0033522E"/>
    <w:rsid w:val="00351150"/>
    <w:rsid w:val="00380E41"/>
    <w:rsid w:val="003E05A4"/>
    <w:rsid w:val="00471C2E"/>
    <w:rsid w:val="004D653C"/>
    <w:rsid w:val="0059791A"/>
    <w:rsid w:val="005B1ED5"/>
    <w:rsid w:val="005D1C49"/>
    <w:rsid w:val="006272E4"/>
    <w:rsid w:val="00646CDB"/>
    <w:rsid w:val="00695179"/>
    <w:rsid w:val="00774DE5"/>
    <w:rsid w:val="007A171A"/>
    <w:rsid w:val="00861345"/>
    <w:rsid w:val="008627AD"/>
    <w:rsid w:val="00862E8C"/>
    <w:rsid w:val="008D552F"/>
    <w:rsid w:val="00A51721"/>
    <w:rsid w:val="00A711C6"/>
    <w:rsid w:val="00AA0757"/>
    <w:rsid w:val="00BC5E61"/>
    <w:rsid w:val="00C42AB4"/>
    <w:rsid w:val="00CA5F0E"/>
    <w:rsid w:val="00CC3F2D"/>
    <w:rsid w:val="00DE685E"/>
    <w:rsid w:val="00E0683D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534"/>
  <w15:docId w15:val="{74A37124-0450-4A4F-8D20-54E85ED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59791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Prrafodelista">
    <w:name w:val="List Paragraph"/>
    <w:basedOn w:val="Normal"/>
    <w:uiPriority w:val="34"/>
    <w:qFormat/>
    <w:rsid w:val="001D06B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E6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8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68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8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E685E"/>
    <w:pPr>
      <w:tabs>
        <w:tab w:val="left" w:pos="720"/>
        <w:tab w:val="center" w:pos="3888"/>
      </w:tabs>
      <w:spacing w:line="360" w:lineRule="atLeast"/>
      <w:jc w:val="both"/>
    </w:pPr>
    <w:rPr>
      <w:sz w:val="2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E685E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E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E61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basedOn w:val="Normal"/>
    <w:uiPriority w:val="99"/>
    <w:rsid w:val="00C42AB4"/>
    <w:pPr>
      <w:autoSpaceDE w:val="0"/>
      <w:autoSpaceDN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BEE7-E3CB-4C6F-A511-9B15F659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Mauleón, Fernando</cp:lastModifiedBy>
  <cp:revision>3</cp:revision>
  <cp:lastPrinted>2024-02-08T09:30:00Z</cp:lastPrinted>
  <dcterms:created xsi:type="dcterms:W3CDTF">2024-03-04T07:21:00Z</dcterms:created>
  <dcterms:modified xsi:type="dcterms:W3CDTF">2024-03-04T09:33:00Z</dcterms:modified>
</cp:coreProperties>
</file>