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CE14" w14:textId="77777777" w:rsidR="001C3A32" w:rsidRDefault="00FA495F" w:rsidP="00075677">
      <w:pPr>
        <w:pStyle w:val="cuadroCabe"/>
      </w:pPr>
      <w:r>
        <w:rPr>
          <w:noProof/>
        </w:rPr>
        <mc:AlternateContent>
          <mc:Choice Requires="wps">
            <w:drawing>
              <wp:anchor distT="0" distB="0" distL="114300" distR="114300" simplePos="0" relativeHeight="251657728" behindDoc="0" locked="0" layoutInCell="1" allowOverlap="1" wp14:anchorId="5F04B11E" wp14:editId="520BC369">
                <wp:simplePos x="0" y="0"/>
                <wp:positionH relativeFrom="column">
                  <wp:posOffset>-156588</wp:posOffset>
                </wp:positionH>
                <wp:positionV relativeFrom="paragraph">
                  <wp:posOffset>-816377</wp:posOffset>
                </wp:positionV>
                <wp:extent cx="1157469" cy="1145894"/>
                <wp:effectExtent l="0" t="0" r="508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469" cy="1145894"/>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CBCA413" w14:textId="77777777" w:rsidR="004E2CFD" w:rsidRPr="003A7956" w:rsidRDefault="004E2CFD" w:rsidP="004C3423">
                            <w:pPr>
                              <w:spacing w:after="0"/>
                              <w:ind w:firstLine="0"/>
                              <w:jc w:val="center"/>
                              <w:rPr>
                                <w:sz w:val="18"/>
                                <w:szCs w:val="18"/>
                              </w:rPr>
                            </w:pPr>
                            <w:r>
                              <w:rPr>
                                <w:sz w:val="18"/>
                              </w:rPr>
                              <w:t>CAMARA DE</w:t>
                            </w:r>
                          </w:p>
                          <w:p w14:paraId="4BEF4F35" w14:textId="77777777" w:rsidR="004E2CFD" w:rsidRPr="003A7956" w:rsidRDefault="004E2CFD" w:rsidP="004C3423">
                            <w:pPr>
                              <w:spacing w:after="0"/>
                              <w:ind w:firstLine="0"/>
                              <w:jc w:val="center"/>
                              <w:rPr>
                                <w:sz w:val="18"/>
                                <w:szCs w:val="18"/>
                              </w:rPr>
                            </w:pPr>
                            <w:r>
                              <w:rPr>
                                <w:sz w:val="18"/>
                              </w:rPr>
                              <w:t>COMPTOS</w:t>
                            </w:r>
                          </w:p>
                          <w:p w14:paraId="36BE8A15" w14:textId="77777777" w:rsidR="004E2CFD" w:rsidRPr="003A7956" w:rsidRDefault="004E2CFD" w:rsidP="004C3423">
                            <w:pPr>
                              <w:spacing w:after="0"/>
                              <w:ind w:firstLine="0"/>
                              <w:jc w:val="center"/>
                              <w:rPr>
                                <w:sz w:val="18"/>
                                <w:szCs w:val="18"/>
                              </w:rPr>
                            </w:pPr>
                            <w:r>
                              <w:rPr>
                                <w:sz w:val="18"/>
                              </w:rPr>
                              <w:t>DE NAVARRA</w:t>
                            </w:r>
                          </w:p>
                          <w:p w14:paraId="46C41BB3" w14:textId="77777777" w:rsidR="004E2CFD" w:rsidRPr="003A7956" w:rsidRDefault="004E2CFD" w:rsidP="004C3423">
                            <w:pPr>
                              <w:spacing w:after="0"/>
                              <w:ind w:firstLine="0"/>
                              <w:jc w:val="center"/>
                              <w:rPr>
                                <w:color w:val="808080"/>
                                <w:sz w:val="18"/>
                                <w:szCs w:val="18"/>
                              </w:rPr>
                            </w:pPr>
                            <w:r>
                              <w:rPr>
                                <w:color w:val="808080"/>
                                <w:sz w:val="18"/>
                              </w:rPr>
                              <w:t>NAFARROAKO</w:t>
                            </w:r>
                          </w:p>
                          <w:p w14:paraId="6C677439" w14:textId="77777777" w:rsidR="004E2CFD" w:rsidRPr="003A7956" w:rsidRDefault="004E2CFD" w:rsidP="004C3423">
                            <w:pPr>
                              <w:spacing w:after="0"/>
                              <w:ind w:firstLine="0"/>
                              <w:jc w:val="center"/>
                              <w:rPr>
                                <w:color w:val="808080"/>
                                <w:sz w:val="18"/>
                                <w:szCs w:val="18"/>
                              </w:rPr>
                            </w:pPr>
                            <w:r>
                              <w:rPr>
                                <w:color w:val="808080"/>
                                <w:sz w:val="18"/>
                              </w:rPr>
                              <w:t>KONTUEN</w:t>
                            </w:r>
                          </w:p>
                          <w:p w14:paraId="57E29283" w14:textId="77777777" w:rsidR="004E2CFD" w:rsidRPr="003A7956" w:rsidRDefault="004E2CFD" w:rsidP="004C3423">
                            <w:pPr>
                              <w:spacing w:after="0"/>
                              <w:ind w:firstLine="0"/>
                              <w:jc w:val="center"/>
                              <w:rPr>
                                <w:color w:val="808080"/>
                                <w:sz w:val="18"/>
                                <w:szCs w:val="18"/>
                              </w:rPr>
                            </w:pPr>
                            <w:r>
                              <w:rPr>
                                <w:color w:val="808080"/>
                                <w:sz w:val="18"/>
                              </w:rPr>
                              <w:t>GANBERA</w:t>
                            </w:r>
                          </w:p>
                          <w:p w14:paraId="2A1B8355" w14:textId="77777777" w:rsidR="004E2CFD" w:rsidRPr="002C7026" w:rsidRDefault="004E2CFD"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4B11E" id="_x0000_t202" coordsize="21600,21600" o:spt="202" path="m,l,21600r21600,l21600,xe">
                <v:stroke joinstyle="miter"/>
                <v:path gradientshapeok="t" o:connecttype="rect"/>
              </v:shapetype>
              <v:shape id="Text Box 7" o:spid="_x0000_s1026" type="#_x0000_t202" style="position:absolute;left:0;text-align:left;margin-left:-12.35pt;margin-top:-64.3pt;width:91.15pt;height:9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" stroked="f" strokecolor="white">
                <v:textbox>
                  <w:txbxContent>
                    <w:p w14:paraId="5CBCA413" w14:textId="77777777" w:rsidR="004E2CFD" w:rsidRPr="003A7956" w:rsidRDefault="004E2CFD" w:rsidP="004C3423">
                      <w:pPr>
                        <w:spacing w:after="0"/>
                        <w:ind w:firstLine="0"/>
                        <w:jc w:val="center"/>
                        <w:rPr>
                          <w:sz w:val="18"/>
                          <w:szCs w:val="18"/>
                        </w:rPr>
                      </w:pPr>
                      <w:r>
                        <w:rPr>
                          <w:sz w:val="18"/>
                        </w:rPr>
                        <w:t>CAMARA DE</w:t>
                      </w:r>
                    </w:p>
                    <w:p w14:paraId="4BEF4F35" w14:textId="77777777" w:rsidR="004E2CFD" w:rsidRPr="003A7956" w:rsidRDefault="004E2CFD" w:rsidP="004C3423">
                      <w:pPr>
                        <w:spacing w:after="0"/>
                        <w:ind w:firstLine="0"/>
                        <w:jc w:val="center"/>
                        <w:rPr>
                          <w:sz w:val="18"/>
                          <w:szCs w:val="18"/>
                        </w:rPr>
                      </w:pPr>
                      <w:r>
                        <w:rPr>
                          <w:sz w:val="18"/>
                        </w:rPr>
                        <w:t>COMPTOS</w:t>
                      </w:r>
                    </w:p>
                    <w:p w14:paraId="36BE8A15" w14:textId="77777777" w:rsidR="004E2CFD" w:rsidRPr="003A7956" w:rsidRDefault="004E2CFD" w:rsidP="004C3423">
                      <w:pPr>
                        <w:spacing w:after="0"/>
                        <w:ind w:firstLine="0"/>
                        <w:jc w:val="center"/>
                        <w:rPr>
                          <w:sz w:val="18"/>
                          <w:szCs w:val="18"/>
                        </w:rPr>
                      </w:pPr>
                      <w:r>
                        <w:rPr>
                          <w:sz w:val="18"/>
                        </w:rPr>
                        <w:t>DE NAVARRA</w:t>
                      </w:r>
                    </w:p>
                    <w:p w14:paraId="46C41BB3" w14:textId="77777777" w:rsidR="004E2CFD" w:rsidRPr="003A7956" w:rsidRDefault="004E2CFD" w:rsidP="004C3423">
                      <w:pPr>
                        <w:spacing w:after="0"/>
                        <w:ind w:firstLine="0"/>
                        <w:jc w:val="center"/>
                        <w:rPr>
                          <w:color w:val="808080"/>
                          <w:sz w:val="18"/>
                          <w:szCs w:val="18"/>
                        </w:rPr>
                      </w:pPr>
                      <w:r>
                        <w:rPr>
                          <w:color w:val="808080"/>
                          <w:sz w:val="18"/>
                        </w:rPr>
                        <w:t>NAFARROAKO</w:t>
                      </w:r>
                    </w:p>
                    <w:p w14:paraId="6C677439" w14:textId="77777777" w:rsidR="004E2CFD" w:rsidRPr="003A7956" w:rsidRDefault="004E2CFD" w:rsidP="004C3423">
                      <w:pPr>
                        <w:spacing w:after="0"/>
                        <w:ind w:firstLine="0"/>
                        <w:jc w:val="center"/>
                        <w:rPr>
                          <w:color w:val="808080"/>
                          <w:sz w:val="18"/>
                          <w:szCs w:val="18"/>
                        </w:rPr>
                      </w:pPr>
                      <w:r>
                        <w:rPr>
                          <w:color w:val="808080"/>
                          <w:sz w:val="18"/>
                        </w:rPr>
                        <w:t>KONTUEN</w:t>
                      </w:r>
                    </w:p>
                    <w:p w14:paraId="57E29283" w14:textId="77777777" w:rsidR="004E2CFD" w:rsidRPr="003A7956" w:rsidRDefault="004E2CFD" w:rsidP="004C3423">
                      <w:pPr>
                        <w:spacing w:after="0"/>
                        <w:ind w:firstLine="0"/>
                        <w:jc w:val="center"/>
                        <w:rPr>
                          <w:color w:val="808080"/>
                          <w:sz w:val="18"/>
                          <w:szCs w:val="18"/>
                        </w:rPr>
                      </w:pPr>
                      <w:r>
                        <w:rPr>
                          <w:color w:val="808080"/>
                          <w:sz w:val="18"/>
                        </w:rPr>
                        <w:t>GANBERA</w:t>
                      </w:r>
                    </w:p>
                    <w:p w14:paraId="2A1B8355" w14:textId="77777777" w:rsidR="004E2CFD" w:rsidRPr="002C7026" w:rsidRDefault="004E2CFD" w:rsidP="002C7026">
                      <w:pPr>
                        <w:spacing w:after="0"/>
                        <w:ind w:firstLine="0"/>
                        <w:jc w:val="center"/>
                        <w:rPr>
                          <w:rFonts w:ascii="Trajan" w:hAnsi="Trajan"/>
                          <w:color w:val="808080"/>
                          <w:sz w:val="18"/>
                          <w:szCs w:val="18"/>
                          <w:lang w:val="es-ES"/>
                        </w:rPr>
                      </w:pPr>
                    </w:p>
                  </w:txbxContent>
                </v:textbox>
              </v:shape>
            </w:pict>
          </mc:Fallback>
        </mc:AlternateContent>
      </w:r>
      <w:r>
        <w:t>Azken zirriborroa</w:t>
      </w:r>
    </w:p>
    <w:p w14:paraId="02078646" w14:textId="77777777" w:rsidR="00345C6C" w:rsidRDefault="00345C6C" w:rsidP="00075677">
      <w:pPr>
        <w:pStyle w:val="cuadroCabe"/>
      </w:pPr>
    </w:p>
    <w:p w14:paraId="75B6D6F6" w14:textId="77777777" w:rsidR="00345C6C" w:rsidRPr="00204979" w:rsidRDefault="00345C6C" w:rsidP="00075677">
      <w:pPr>
        <w:pStyle w:val="cuadroCabe"/>
      </w:pPr>
    </w:p>
    <w:p w14:paraId="72EB17B2" w14:textId="75A2B765" w:rsidR="00345C6C" w:rsidRPr="00B81E61" w:rsidRDefault="00345C6C" w:rsidP="00345C6C">
      <w:pPr>
        <w:pStyle w:val="EstiloPortada"/>
        <w:ind w:left="3780"/>
        <w:rPr>
          <w:color w:val="000000" w:themeColor="text1"/>
        </w:rPr>
      </w:pPr>
      <w:r>
        <w:rPr>
          <w:color w:val="000000" w:themeColor="text1"/>
        </w:rPr>
        <w:t>Nafarroako toki sektore publikoa, 2020</w:t>
      </w:r>
    </w:p>
    <w:p w14:paraId="3FF8F8CF" w14:textId="77777777" w:rsidR="00345C6C" w:rsidRPr="00B81E61" w:rsidRDefault="00345C6C" w:rsidP="00345C6C">
      <w:pPr>
        <w:pStyle w:val="EstiloPortada"/>
        <w:ind w:left="3780"/>
        <w:rPr>
          <w:color w:val="000000" w:themeColor="text1"/>
        </w:rPr>
      </w:pPr>
    </w:p>
    <w:p w14:paraId="4D6DF264" w14:textId="77777777" w:rsidR="001C3A32" w:rsidRPr="00204979" w:rsidRDefault="001C3A32" w:rsidP="00891D73">
      <w:pPr>
        <w:pStyle w:val="texto"/>
      </w:pPr>
    </w:p>
    <w:p w14:paraId="0DF8D454" w14:textId="77777777" w:rsidR="001C3A32" w:rsidRPr="00204979" w:rsidRDefault="001C3A32" w:rsidP="00891D73">
      <w:pPr>
        <w:pStyle w:val="texto"/>
      </w:pPr>
    </w:p>
    <w:p w14:paraId="1DF64082" w14:textId="77777777" w:rsidR="002F2530" w:rsidRPr="00204979" w:rsidRDefault="002F2530" w:rsidP="00891D73">
      <w:pPr>
        <w:pStyle w:val="texto"/>
      </w:pPr>
    </w:p>
    <w:p w14:paraId="0B15723A" w14:textId="77777777" w:rsidR="002F2530" w:rsidRPr="00204979" w:rsidRDefault="002F2530" w:rsidP="00891D73">
      <w:pPr>
        <w:pStyle w:val="texto"/>
      </w:pPr>
    </w:p>
    <w:p w14:paraId="50CBDAFC" w14:textId="77777777" w:rsidR="001C3A32" w:rsidRPr="00204979" w:rsidRDefault="001C3A32" w:rsidP="00891D73">
      <w:pPr>
        <w:pStyle w:val="texto"/>
      </w:pPr>
    </w:p>
    <w:p w14:paraId="379CCD10" w14:textId="77777777" w:rsidR="001C3A32" w:rsidRPr="00204979" w:rsidRDefault="001C3A32" w:rsidP="00891D73">
      <w:pPr>
        <w:pStyle w:val="texto"/>
      </w:pPr>
    </w:p>
    <w:p w14:paraId="37305F16" w14:textId="77777777" w:rsidR="001C3A32" w:rsidRPr="00204979" w:rsidRDefault="001C3A32" w:rsidP="00891D73">
      <w:pPr>
        <w:pStyle w:val="texto"/>
      </w:pPr>
    </w:p>
    <w:p w14:paraId="55BC8D8E" w14:textId="77777777" w:rsidR="001C3A32" w:rsidRPr="00204979" w:rsidRDefault="001C3A32" w:rsidP="00891D73">
      <w:pPr>
        <w:pStyle w:val="texto"/>
      </w:pPr>
    </w:p>
    <w:p w14:paraId="3D8F7420" w14:textId="189EAAF4" w:rsidR="001C3A32" w:rsidRDefault="001C3A32" w:rsidP="00891D73">
      <w:pPr>
        <w:pStyle w:val="texto"/>
      </w:pPr>
    </w:p>
    <w:p w14:paraId="1A110B24" w14:textId="5E63DEE7" w:rsidR="00C91EFD" w:rsidRDefault="00C91EFD" w:rsidP="00891D73">
      <w:pPr>
        <w:pStyle w:val="texto"/>
      </w:pPr>
    </w:p>
    <w:p w14:paraId="386B32AA" w14:textId="1E516B5A" w:rsidR="00C91EFD" w:rsidRDefault="00C91EFD" w:rsidP="00891D73">
      <w:pPr>
        <w:pStyle w:val="texto"/>
      </w:pPr>
    </w:p>
    <w:p w14:paraId="34902952" w14:textId="77777777" w:rsidR="00C91EFD" w:rsidRPr="00204979" w:rsidRDefault="00C91EFD" w:rsidP="00891D73">
      <w:pPr>
        <w:pStyle w:val="texto"/>
      </w:pPr>
    </w:p>
    <w:p w14:paraId="4366CCE9" w14:textId="77777777" w:rsidR="001C3A32" w:rsidRPr="00204979" w:rsidRDefault="001C3A32" w:rsidP="00891D73">
      <w:pPr>
        <w:pStyle w:val="texto"/>
      </w:pPr>
    </w:p>
    <w:p w14:paraId="59CFE5F4" w14:textId="77777777" w:rsidR="001C3A32" w:rsidRPr="00204979" w:rsidRDefault="001C3A32" w:rsidP="00891D73">
      <w:pPr>
        <w:pStyle w:val="texto"/>
      </w:pPr>
    </w:p>
    <w:p w14:paraId="17B59D48" w14:textId="77777777" w:rsidR="001C3A32" w:rsidRPr="00204979" w:rsidRDefault="001C3A32" w:rsidP="00891D73">
      <w:pPr>
        <w:pStyle w:val="texto"/>
      </w:pPr>
    </w:p>
    <w:p w14:paraId="2D5F8C41" w14:textId="77777777" w:rsidR="001C3A32" w:rsidRPr="00204979" w:rsidRDefault="001C3A32" w:rsidP="00891D73">
      <w:pPr>
        <w:pStyle w:val="texto"/>
      </w:pPr>
    </w:p>
    <w:p w14:paraId="45945CD3" w14:textId="77777777" w:rsidR="001C3A32" w:rsidRPr="00204979" w:rsidRDefault="001C3A32" w:rsidP="00891D73">
      <w:pPr>
        <w:pStyle w:val="texto"/>
      </w:pPr>
    </w:p>
    <w:p w14:paraId="67B9E1DE" w14:textId="77777777" w:rsidR="00844F74" w:rsidRPr="00204979" w:rsidRDefault="00844F74" w:rsidP="00891D73">
      <w:pPr>
        <w:pStyle w:val="texto"/>
      </w:pPr>
    </w:p>
    <w:p w14:paraId="611AEBF8" w14:textId="081373C4" w:rsidR="00716463" w:rsidRPr="001D4F09" w:rsidRDefault="00C91EFD" w:rsidP="009936FC">
      <w:pPr>
        <w:pStyle w:val="Fechaportada"/>
      </w:pPr>
      <w:r>
        <w:t>2023ko urtarrila</w:t>
      </w:r>
    </w:p>
    <w:p w14:paraId="60DB7FA1" w14:textId="77777777" w:rsidR="008E3FFE" w:rsidRPr="001D4F09" w:rsidRDefault="008E3FFE" w:rsidP="00891D73">
      <w:pPr>
        <w:pStyle w:val="ndice"/>
        <w:rPr>
          <w:rFonts w:ascii="Times New Roman" w:hAnsi="Times New Roman"/>
        </w:rPr>
        <w:sectPr w:rsidR="008E3FFE" w:rsidRPr="001D4F09" w:rsidSect="0019660E">
          <w:headerReference w:type="even" r:id="rId8"/>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14:paraId="4DE9DFED" w14:textId="77777777" w:rsidR="00345C6C" w:rsidRPr="004248BF" w:rsidRDefault="00345C6C" w:rsidP="00345C6C">
      <w:pPr>
        <w:pStyle w:val="ndice"/>
        <w:rPr>
          <w:color w:val="000000" w:themeColor="text1"/>
        </w:rPr>
      </w:pPr>
      <w:r>
        <w:rPr>
          <w:color w:val="000000" w:themeColor="text1"/>
        </w:rPr>
        <w:lastRenderedPageBreak/>
        <w:t>Aurkibidea</w:t>
      </w:r>
    </w:p>
    <w:sdt>
      <w:sdtPr>
        <w:rPr>
          <w:rFonts w:ascii="Times New Roman" w:hAnsi="Times New Roman"/>
          <w:smallCaps w:val="0"/>
          <w:sz w:val="20"/>
        </w:rPr>
        <w:id w:val="-58942241"/>
        <w:docPartObj>
          <w:docPartGallery w:val="Table of Contents"/>
          <w:docPartUnique/>
        </w:docPartObj>
      </w:sdtPr>
      <w:sdtEndPr>
        <w:rPr>
          <w:rFonts w:ascii="Arial Narrow" w:hAnsi="Arial Narrow"/>
          <w:b/>
          <w:bCs/>
          <w:smallCaps/>
          <w:sz w:val="22"/>
        </w:rPr>
      </w:sdtEndPr>
      <w:sdtContent>
        <w:p w14:paraId="229CDA45" w14:textId="5D835934" w:rsidR="001D3F8C" w:rsidRDefault="00DA0A2D">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\u </w:instrText>
          </w:r>
          <w:r>
            <w:fldChar w:fldCharType="separate"/>
          </w:r>
          <w:hyperlink w:anchor="_Toc126061963" w:history="1">
            <w:r w:rsidR="001D3F8C" w:rsidRPr="002A1692">
              <w:rPr>
                <w:rStyle w:val="Hipervnculo"/>
                <w:noProof/>
              </w:rPr>
              <w:t>I. Sarrera</w:t>
            </w:r>
            <w:r w:rsidR="001D3F8C">
              <w:rPr>
                <w:noProof/>
                <w:webHidden/>
              </w:rPr>
              <w:tab/>
            </w:r>
            <w:r w:rsidR="001D3F8C">
              <w:rPr>
                <w:noProof/>
                <w:webHidden/>
              </w:rPr>
              <w:fldChar w:fldCharType="begin"/>
            </w:r>
            <w:r w:rsidR="001D3F8C">
              <w:rPr>
                <w:noProof/>
                <w:webHidden/>
              </w:rPr>
              <w:instrText xml:space="preserve"> PAGEREF _Toc126061963 \h </w:instrText>
            </w:r>
            <w:r w:rsidR="001D3F8C">
              <w:rPr>
                <w:noProof/>
                <w:webHidden/>
              </w:rPr>
            </w:r>
            <w:r w:rsidR="001D3F8C">
              <w:rPr>
                <w:noProof/>
                <w:webHidden/>
              </w:rPr>
              <w:fldChar w:fldCharType="separate"/>
            </w:r>
            <w:r w:rsidR="001D3F8C">
              <w:rPr>
                <w:noProof/>
                <w:webHidden/>
              </w:rPr>
              <w:t>3</w:t>
            </w:r>
            <w:r w:rsidR="001D3F8C">
              <w:rPr>
                <w:noProof/>
                <w:webHidden/>
              </w:rPr>
              <w:fldChar w:fldCharType="end"/>
            </w:r>
          </w:hyperlink>
        </w:p>
        <w:p w14:paraId="766E442F" w14:textId="3B257B57" w:rsidR="001D3F8C" w:rsidRDefault="001D3F8C">
          <w:pPr>
            <w:pStyle w:val="TDC1"/>
            <w:rPr>
              <w:rFonts w:asciiTheme="minorHAnsi" w:eastAsiaTheme="minorEastAsia" w:hAnsiTheme="minorHAnsi" w:cstheme="minorBidi"/>
              <w:smallCaps w:val="0"/>
              <w:noProof/>
              <w:szCs w:val="22"/>
              <w:lang w:val="es-ES" w:eastAsia="es-ES"/>
            </w:rPr>
          </w:pPr>
          <w:hyperlink w:anchor="_Toc126061964" w:history="1">
            <w:r w:rsidRPr="002A1692">
              <w:rPr>
                <w:rStyle w:val="Hipervnculo"/>
                <w:noProof/>
              </w:rPr>
              <w:t>II. Helburuak, norainokoa eta mugak</w:t>
            </w:r>
            <w:r>
              <w:rPr>
                <w:noProof/>
                <w:webHidden/>
              </w:rPr>
              <w:tab/>
            </w:r>
            <w:r>
              <w:rPr>
                <w:noProof/>
                <w:webHidden/>
              </w:rPr>
              <w:fldChar w:fldCharType="begin"/>
            </w:r>
            <w:r>
              <w:rPr>
                <w:noProof/>
                <w:webHidden/>
              </w:rPr>
              <w:instrText xml:space="preserve"> PAGEREF _Toc126061964 \h </w:instrText>
            </w:r>
            <w:r>
              <w:rPr>
                <w:noProof/>
                <w:webHidden/>
              </w:rPr>
            </w:r>
            <w:r>
              <w:rPr>
                <w:noProof/>
                <w:webHidden/>
              </w:rPr>
              <w:fldChar w:fldCharType="separate"/>
            </w:r>
            <w:r>
              <w:rPr>
                <w:noProof/>
                <w:webHidden/>
              </w:rPr>
              <w:t>4</w:t>
            </w:r>
            <w:r>
              <w:rPr>
                <w:noProof/>
                <w:webHidden/>
              </w:rPr>
              <w:fldChar w:fldCharType="end"/>
            </w:r>
          </w:hyperlink>
        </w:p>
        <w:p w14:paraId="7F3AA4F9" w14:textId="63B18F87" w:rsidR="001D3F8C" w:rsidRDefault="001D3F8C">
          <w:pPr>
            <w:pStyle w:val="TDC1"/>
            <w:rPr>
              <w:rFonts w:asciiTheme="minorHAnsi" w:eastAsiaTheme="minorEastAsia" w:hAnsiTheme="minorHAnsi" w:cstheme="minorBidi"/>
              <w:smallCaps w:val="0"/>
              <w:noProof/>
              <w:szCs w:val="22"/>
              <w:lang w:val="es-ES" w:eastAsia="es-ES"/>
            </w:rPr>
          </w:pPr>
          <w:hyperlink w:anchor="_Toc126061965" w:history="1">
            <w:r w:rsidRPr="002A1692">
              <w:rPr>
                <w:rStyle w:val="Hipervnculo"/>
                <w:noProof/>
              </w:rPr>
              <w:t>III. Konklusioak eta gomendioak</w:t>
            </w:r>
            <w:r>
              <w:rPr>
                <w:noProof/>
                <w:webHidden/>
              </w:rPr>
              <w:tab/>
            </w:r>
            <w:r>
              <w:rPr>
                <w:noProof/>
                <w:webHidden/>
              </w:rPr>
              <w:fldChar w:fldCharType="begin"/>
            </w:r>
            <w:r>
              <w:rPr>
                <w:noProof/>
                <w:webHidden/>
              </w:rPr>
              <w:instrText xml:space="preserve"> PAGEREF _Toc126061965 \h </w:instrText>
            </w:r>
            <w:r>
              <w:rPr>
                <w:noProof/>
                <w:webHidden/>
              </w:rPr>
            </w:r>
            <w:r>
              <w:rPr>
                <w:noProof/>
                <w:webHidden/>
              </w:rPr>
              <w:fldChar w:fldCharType="separate"/>
            </w:r>
            <w:r>
              <w:rPr>
                <w:noProof/>
                <w:webHidden/>
              </w:rPr>
              <w:t>6</w:t>
            </w:r>
            <w:r>
              <w:rPr>
                <w:noProof/>
                <w:webHidden/>
              </w:rPr>
              <w:fldChar w:fldCharType="end"/>
            </w:r>
          </w:hyperlink>
        </w:p>
        <w:p w14:paraId="07D7E5DD" w14:textId="16902411" w:rsidR="001D3F8C" w:rsidRDefault="001D3F8C">
          <w:pPr>
            <w:pStyle w:val="TDC2"/>
            <w:rPr>
              <w:rFonts w:asciiTheme="minorHAnsi" w:eastAsiaTheme="minorEastAsia" w:hAnsiTheme="minorHAnsi" w:cstheme="minorBidi"/>
              <w:noProof/>
              <w:szCs w:val="22"/>
              <w:lang w:val="es-ES" w:eastAsia="es-ES"/>
            </w:rPr>
          </w:pPr>
          <w:hyperlink w:anchor="_Toc126061966" w:history="1">
            <w:r w:rsidRPr="002A1692">
              <w:rPr>
                <w:rStyle w:val="Hipervnculo"/>
                <w:noProof/>
              </w:rPr>
              <w:t>III.1. Konklusioak</w:t>
            </w:r>
            <w:r>
              <w:rPr>
                <w:noProof/>
                <w:webHidden/>
              </w:rPr>
              <w:tab/>
            </w:r>
            <w:r>
              <w:rPr>
                <w:noProof/>
                <w:webHidden/>
              </w:rPr>
              <w:fldChar w:fldCharType="begin"/>
            </w:r>
            <w:r>
              <w:rPr>
                <w:noProof/>
                <w:webHidden/>
              </w:rPr>
              <w:instrText xml:space="preserve"> PAGEREF _Toc126061966 \h </w:instrText>
            </w:r>
            <w:r>
              <w:rPr>
                <w:noProof/>
                <w:webHidden/>
              </w:rPr>
            </w:r>
            <w:r>
              <w:rPr>
                <w:noProof/>
                <w:webHidden/>
              </w:rPr>
              <w:fldChar w:fldCharType="separate"/>
            </w:r>
            <w:r>
              <w:rPr>
                <w:noProof/>
                <w:webHidden/>
              </w:rPr>
              <w:t>6</w:t>
            </w:r>
            <w:r>
              <w:rPr>
                <w:noProof/>
                <w:webHidden/>
              </w:rPr>
              <w:fldChar w:fldCharType="end"/>
            </w:r>
          </w:hyperlink>
        </w:p>
        <w:p w14:paraId="0099F714" w14:textId="79BB989E" w:rsidR="001D3F8C" w:rsidRDefault="001D3F8C">
          <w:pPr>
            <w:pStyle w:val="TDC2"/>
            <w:rPr>
              <w:rFonts w:asciiTheme="minorHAnsi" w:eastAsiaTheme="minorEastAsia" w:hAnsiTheme="minorHAnsi" w:cstheme="minorBidi"/>
              <w:noProof/>
              <w:szCs w:val="22"/>
              <w:lang w:val="es-ES" w:eastAsia="es-ES"/>
            </w:rPr>
          </w:pPr>
          <w:hyperlink w:anchor="_Toc126061967" w:history="1">
            <w:r w:rsidRPr="002A1692">
              <w:rPr>
                <w:rStyle w:val="Hipervnculo"/>
                <w:noProof/>
              </w:rPr>
              <w:t>III.2. Gomendioak</w:t>
            </w:r>
            <w:r>
              <w:rPr>
                <w:noProof/>
                <w:webHidden/>
              </w:rPr>
              <w:tab/>
            </w:r>
            <w:r>
              <w:rPr>
                <w:noProof/>
                <w:webHidden/>
              </w:rPr>
              <w:fldChar w:fldCharType="begin"/>
            </w:r>
            <w:r>
              <w:rPr>
                <w:noProof/>
                <w:webHidden/>
              </w:rPr>
              <w:instrText xml:space="preserve"> PAGEREF _Toc126061967 \h </w:instrText>
            </w:r>
            <w:r>
              <w:rPr>
                <w:noProof/>
                <w:webHidden/>
              </w:rPr>
            </w:r>
            <w:r>
              <w:rPr>
                <w:noProof/>
                <w:webHidden/>
              </w:rPr>
              <w:fldChar w:fldCharType="separate"/>
            </w:r>
            <w:r>
              <w:rPr>
                <w:noProof/>
                <w:webHidden/>
              </w:rPr>
              <w:t>10</w:t>
            </w:r>
            <w:r>
              <w:rPr>
                <w:noProof/>
                <w:webHidden/>
              </w:rPr>
              <w:fldChar w:fldCharType="end"/>
            </w:r>
          </w:hyperlink>
        </w:p>
        <w:p w14:paraId="2DA858B0" w14:textId="0377C4DC" w:rsidR="001D3F8C" w:rsidRDefault="001D3F8C">
          <w:pPr>
            <w:pStyle w:val="TDC1"/>
            <w:rPr>
              <w:rFonts w:asciiTheme="minorHAnsi" w:eastAsiaTheme="minorEastAsia" w:hAnsiTheme="minorHAnsi" w:cstheme="minorBidi"/>
              <w:smallCaps w:val="0"/>
              <w:noProof/>
              <w:szCs w:val="22"/>
              <w:lang w:val="es-ES" w:eastAsia="es-ES"/>
            </w:rPr>
          </w:pPr>
          <w:hyperlink w:anchor="_Toc126061968" w:history="1">
            <w:r w:rsidRPr="002A1692">
              <w:rPr>
                <w:rStyle w:val="Hipervnculo"/>
                <w:noProof/>
              </w:rPr>
              <w:t>IV. Toki sektore publikoaren antolaketa-egitura eta araudia</w:t>
            </w:r>
            <w:r>
              <w:rPr>
                <w:noProof/>
                <w:webHidden/>
              </w:rPr>
              <w:tab/>
            </w:r>
            <w:r>
              <w:rPr>
                <w:noProof/>
                <w:webHidden/>
              </w:rPr>
              <w:fldChar w:fldCharType="begin"/>
            </w:r>
            <w:r>
              <w:rPr>
                <w:noProof/>
                <w:webHidden/>
              </w:rPr>
              <w:instrText xml:space="preserve"> PAGEREF _Toc126061968 \h </w:instrText>
            </w:r>
            <w:r>
              <w:rPr>
                <w:noProof/>
                <w:webHidden/>
              </w:rPr>
            </w:r>
            <w:r>
              <w:rPr>
                <w:noProof/>
                <w:webHidden/>
              </w:rPr>
              <w:fldChar w:fldCharType="separate"/>
            </w:r>
            <w:r>
              <w:rPr>
                <w:noProof/>
                <w:webHidden/>
              </w:rPr>
              <w:t>13</w:t>
            </w:r>
            <w:r>
              <w:rPr>
                <w:noProof/>
                <w:webHidden/>
              </w:rPr>
              <w:fldChar w:fldCharType="end"/>
            </w:r>
          </w:hyperlink>
        </w:p>
        <w:p w14:paraId="2E5F280A" w14:textId="0771BD4F" w:rsidR="001D3F8C" w:rsidRDefault="001D3F8C">
          <w:pPr>
            <w:pStyle w:val="TDC2"/>
            <w:rPr>
              <w:rFonts w:asciiTheme="minorHAnsi" w:eastAsiaTheme="minorEastAsia" w:hAnsiTheme="minorHAnsi" w:cstheme="minorBidi"/>
              <w:noProof/>
              <w:szCs w:val="22"/>
              <w:lang w:val="es-ES" w:eastAsia="es-ES"/>
            </w:rPr>
          </w:pPr>
          <w:hyperlink w:anchor="_Toc126061969" w:history="1">
            <w:r w:rsidRPr="002A1692">
              <w:rPr>
                <w:rStyle w:val="Hipervnculo"/>
                <w:noProof/>
              </w:rPr>
              <w:t>IV.1 Antolaketa-egitura</w:t>
            </w:r>
            <w:r>
              <w:rPr>
                <w:noProof/>
                <w:webHidden/>
              </w:rPr>
              <w:tab/>
            </w:r>
            <w:r>
              <w:rPr>
                <w:noProof/>
                <w:webHidden/>
              </w:rPr>
              <w:fldChar w:fldCharType="begin"/>
            </w:r>
            <w:r>
              <w:rPr>
                <w:noProof/>
                <w:webHidden/>
              </w:rPr>
              <w:instrText xml:space="preserve"> PAGEREF _Toc126061969 \h </w:instrText>
            </w:r>
            <w:r>
              <w:rPr>
                <w:noProof/>
                <w:webHidden/>
              </w:rPr>
            </w:r>
            <w:r>
              <w:rPr>
                <w:noProof/>
                <w:webHidden/>
              </w:rPr>
              <w:fldChar w:fldCharType="separate"/>
            </w:r>
            <w:r>
              <w:rPr>
                <w:noProof/>
                <w:webHidden/>
              </w:rPr>
              <w:t>13</w:t>
            </w:r>
            <w:r>
              <w:rPr>
                <w:noProof/>
                <w:webHidden/>
              </w:rPr>
              <w:fldChar w:fldCharType="end"/>
            </w:r>
          </w:hyperlink>
        </w:p>
        <w:p w14:paraId="138FCD48" w14:textId="222E3FE0" w:rsidR="001D3F8C" w:rsidRDefault="001D3F8C">
          <w:pPr>
            <w:pStyle w:val="TDC2"/>
            <w:rPr>
              <w:rFonts w:asciiTheme="minorHAnsi" w:eastAsiaTheme="minorEastAsia" w:hAnsiTheme="minorHAnsi" w:cstheme="minorBidi"/>
              <w:noProof/>
              <w:szCs w:val="22"/>
              <w:lang w:val="es-ES" w:eastAsia="es-ES"/>
            </w:rPr>
          </w:pPr>
          <w:hyperlink w:anchor="_Toc126061970" w:history="1">
            <w:r w:rsidRPr="002A1692">
              <w:rPr>
                <w:rStyle w:val="Hipervnculo"/>
                <w:noProof/>
              </w:rPr>
              <w:t>IV.2. Toki sektore publikoa arrazionalizatzeko planteatu diren lege neurriak</w:t>
            </w:r>
            <w:r>
              <w:rPr>
                <w:noProof/>
                <w:webHidden/>
              </w:rPr>
              <w:tab/>
            </w:r>
            <w:r>
              <w:rPr>
                <w:noProof/>
                <w:webHidden/>
              </w:rPr>
              <w:fldChar w:fldCharType="begin"/>
            </w:r>
            <w:r>
              <w:rPr>
                <w:noProof/>
                <w:webHidden/>
              </w:rPr>
              <w:instrText xml:space="preserve"> PAGEREF _Toc126061970 \h </w:instrText>
            </w:r>
            <w:r>
              <w:rPr>
                <w:noProof/>
                <w:webHidden/>
              </w:rPr>
            </w:r>
            <w:r>
              <w:rPr>
                <w:noProof/>
                <w:webHidden/>
              </w:rPr>
              <w:fldChar w:fldCharType="separate"/>
            </w:r>
            <w:r>
              <w:rPr>
                <w:noProof/>
                <w:webHidden/>
              </w:rPr>
              <w:t>16</w:t>
            </w:r>
            <w:r>
              <w:rPr>
                <w:noProof/>
                <w:webHidden/>
              </w:rPr>
              <w:fldChar w:fldCharType="end"/>
            </w:r>
          </w:hyperlink>
        </w:p>
        <w:p w14:paraId="0EC3037C" w14:textId="4ADFB65C" w:rsidR="001D3F8C" w:rsidRDefault="001D3F8C">
          <w:pPr>
            <w:pStyle w:val="TDC2"/>
            <w:rPr>
              <w:rFonts w:asciiTheme="minorHAnsi" w:eastAsiaTheme="minorEastAsia" w:hAnsiTheme="minorHAnsi" w:cstheme="minorBidi"/>
              <w:noProof/>
              <w:szCs w:val="22"/>
              <w:lang w:val="es-ES" w:eastAsia="es-ES"/>
            </w:rPr>
          </w:pPr>
          <w:hyperlink w:anchor="_Toc126061971" w:history="1">
            <w:r w:rsidRPr="002A1692">
              <w:rPr>
                <w:rStyle w:val="Hipervnculo"/>
                <w:noProof/>
              </w:rPr>
              <w:t>IV.3. 2020an onetsitako araudia</w:t>
            </w:r>
            <w:r>
              <w:rPr>
                <w:noProof/>
                <w:webHidden/>
              </w:rPr>
              <w:tab/>
            </w:r>
            <w:r>
              <w:rPr>
                <w:noProof/>
                <w:webHidden/>
              </w:rPr>
              <w:fldChar w:fldCharType="begin"/>
            </w:r>
            <w:r>
              <w:rPr>
                <w:noProof/>
                <w:webHidden/>
              </w:rPr>
              <w:instrText xml:space="preserve"> PAGEREF _Toc126061971 \h </w:instrText>
            </w:r>
            <w:r>
              <w:rPr>
                <w:noProof/>
                <w:webHidden/>
              </w:rPr>
            </w:r>
            <w:r>
              <w:rPr>
                <w:noProof/>
                <w:webHidden/>
              </w:rPr>
              <w:fldChar w:fldCharType="separate"/>
            </w:r>
            <w:r>
              <w:rPr>
                <w:noProof/>
                <w:webHidden/>
              </w:rPr>
              <w:t>16</w:t>
            </w:r>
            <w:r>
              <w:rPr>
                <w:noProof/>
                <w:webHidden/>
              </w:rPr>
              <w:fldChar w:fldCharType="end"/>
            </w:r>
          </w:hyperlink>
        </w:p>
        <w:p w14:paraId="6A697057" w14:textId="4E19B6FF" w:rsidR="001D3F8C" w:rsidRDefault="001D3F8C">
          <w:pPr>
            <w:pStyle w:val="TDC1"/>
            <w:rPr>
              <w:rFonts w:asciiTheme="minorHAnsi" w:eastAsiaTheme="minorEastAsia" w:hAnsiTheme="minorHAnsi" w:cstheme="minorBidi"/>
              <w:smallCaps w:val="0"/>
              <w:noProof/>
              <w:szCs w:val="22"/>
              <w:lang w:val="es-ES" w:eastAsia="es-ES"/>
            </w:rPr>
          </w:pPr>
          <w:hyperlink w:anchor="_Toc126061972" w:history="1">
            <w:r w:rsidRPr="002A1692">
              <w:rPr>
                <w:rStyle w:val="Hipervnculo"/>
                <w:noProof/>
              </w:rPr>
              <w:t>V. 2020ko ekitaldiari dagozkion fiskalizazio jarduketen laburpen-oroitidazkia</w:t>
            </w:r>
            <w:r>
              <w:rPr>
                <w:noProof/>
                <w:webHidden/>
              </w:rPr>
              <w:tab/>
            </w:r>
            <w:r>
              <w:rPr>
                <w:noProof/>
                <w:webHidden/>
              </w:rPr>
              <w:fldChar w:fldCharType="begin"/>
            </w:r>
            <w:r>
              <w:rPr>
                <w:noProof/>
                <w:webHidden/>
              </w:rPr>
              <w:instrText xml:space="preserve"> PAGEREF _Toc126061972 \h </w:instrText>
            </w:r>
            <w:r>
              <w:rPr>
                <w:noProof/>
                <w:webHidden/>
              </w:rPr>
            </w:r>
            <w:r>
              <w:rPr>
                <w:noProof/>
                <w:webHidden/>
              </w:rPr>
              <w:fldChar w:fldCharType="separate"/>
            </w:r>
            <w:r>
              <w:rPr>
                <w:noProof/>
                <w:webHidden/>
              </w:rPr>
              <w:t>18</w:t>
            </w:r>
            <w:r>
              <w:rPr>
                <w:noProof/>
                <w:webHidden/>
              </w:rPr>
              <w:fldChar w:fldCharType="end"/>
            </w:r>
          </w:hyperlink>
        </w:p>
        <w:p w14:paraId="6A07BC51" w14:textId="398DCB32" w:rsidR="001D3F8C" w:rsidRDefault="001D3F8C">
          <w:pPr>
            <w:pStyle w:val="TDC1"/>
            <w:rPr>
              <w:rFonts w:asciiTheme="minorHAnsi" w:eastAsiaTheme="minorEastAsia" w:hAnsiTheme="minorHAnsi" w:cstheme="minorBidi"/>
              <w:smallCaps w:val="0"/>
              <w:noProof/>
              <w:szCs w:val="22"/>
              <w:lang w:val="es-ES" w:eastAsia="es-ES"/>
            </w:rPr>
          </w:pPr>
          <w:hyperlink w:anchor="_Toc126061973" w:history="1">
            <w:r w:rsidRPr="002A1692">
              <w:rPr>
                <w:rStyle w:val="Hipervnculo"/>
                <w:noProof/>
              </w:rPr>
              <w:t>VI. Toki sektore publikoaren finantza egoera</w:t>
            </w:r>
            <w:r>
              <w:rPr>
                <w:noProof/>
                <w:webHidden/>
              </w:rPr>
              <w:tab/>
            </w:r>
            <w:r>
              <w:rPr>
                <w:noProof/>
                <w:webHidden/>
              </w:rPr>
              <w:fldChar w:fldCharType="begin"/>
            </w:r>
            <w:r>
              <w:rPr>
                <w:noProof/>
                <w:webHidden/>
              </w:rPr>
              <w:instrText xml:space="preserve"> PAGEREF _Toc126061973 \h </w:instrText>
            </w:r>
            <w:r>
              <w:rPr>
                <w:noProof/>
                <w:webHidden/>
              </w:rPr>
            </w:r>
            <w:r>
              <w:rPr>
                <w:noProof/>
                <w:webHidden/>
              </w:rPr>
              <w:fldChar w:fldCharType="separate"/>
            </w:r>
            <w:r>
              <w:rPr>
                <w:noProof/>
                <w:webHidden/>
              </w:rPr>
              <w:t>20</w:t>
            </w:r>
            <w:r>
              <w:rPr>
                <w:noProof/>
                <w:webHidden/>
              </w:rPr>
              <w:fldChar w:fldCharType="end"/>
            </w:r>
          </w:hyperlink>
        </w:p>
        <w:p w14:paraId="45D05793" w14:textId="6F03A545" w:rsidR="001D3F8C" w:rsidRDefault="001D3F8C">
          <w:pPr>
            <w:pStyle w:val="TDC2"/>
            <w:rPr>
              <w:rFonts w:asciiTheme="minorHAnsi" w:eastAsiaTheme="minorEastAsia" w:hAnsiTheme="minorHAnsi" w:cstheme="minorBidi"/>
              <w:noProof/>
              <w:szCs w:val="22"/>
              <w:lang w:val="es-ES" w:eastAsia="es-ES"/>
            </w:rPr>
          </w:pPr>
          <w:hyperlink w:anchor="_Toc126061974" w:history="1">
            <w:r w:rsidRPr="002A1692">
              <w:rPr>
                <w:rStyle w:val="Hipervnculo"/>
                <w:noProof/>
              </w:rPr>
              <w:t>VI.1. Diru-sarrerak</w:t>
            </w:r>
            <w:r>
              <w:rPr>
                <w:noProof/>
                <w:webHidden/>
              </w:rPr>
              <w:tab/>
            </w:r>
            <w:r>
              <w:rPr>
                <w:noProof/>
                <w:webHidden/>
              </w:rPr>
              <w:fldChar w:fldCharType="begin"/>
            </w:r>
            <w:r>
              <w:rPr>
                <w:noProof/>
                <w:webHidden/>
              </w:rPr>
              <w:instrText xml:space="preserve"> PAGEREF _Toc126061974 \h </w:instrText>
            </w:r>
            <w:r>
              <w:rPr>
                <w:noProof/>
                <w:webHidden/>
              </w:rPr>
            </w:r>
            <w:r>
              <w:rPr>
                <w:noProof/>
                <w:webHidden/>
              </w:rPr>
              <w:fldChar w:fldCharType="separate"/>
            </w:r>
            <w:r>
              <w:rPr>
                <w:noProof/>
                <w:webHidden/>
              </w:rPr>
              <w:t>20</w:t>
            </w:r>
            <w:r>
              <w:rPr>
                <w:noProof/>
                <w:webHidden/>
              </w:rPr>
              <w:fldChar w:fldCharType="end"/>
            </w:r>
          </w:hyperlink>
        </w:p>
        <w:p w14:paraId="64BC8EAC" w14:textId="1A3EB0FE" w:rsidR="001D3F8C" w:rsidRDefault="001D3F8C">
          <w:pPr>
            <w:pStyle w:val="TDC2"/>
            <w:rPr>
              <w:rFonts w:asciiTheme="minorHAnsi" w:eastAsiaTheme="minorEastAsia" w:hAnsiTheme="minorHAnsi" w:cstheme="minorBidi"/>
              <w:noProof/>
              <w:szCs w:val="22"/>
              <w:lang w:val="es-ES" w:eastAsia="es-ES"/>
            </w:rPr>
          </w:pPr>
          <w:hyperlink w:anchor="_Toc126061975" w:history="1">
            <w:r w:rsidRPr="002A1692">
              <w:rPr>
                <w:rStyle w:val="Hipervnculo"/>
                <w:noProof/>
              </w:rPr>
              <w:t>VI.2. Gastuak</w:t>
            </w:r>
            <w:r>
              <w:rPr>
                <w:noProof/>
                <w:webHidden/>
              </w:rPr>
              <w:tab/>
            </w:r>
            <w:r>
              <w:rPr>
                <w:noProof/>
                <w:webHidden/>
              </w:rPr>
              <w:fldChar w:fldCharType="begin"/>
            </w:r>
            <w:r>
              <w:rPr>
                <w:noProof/>
                <w:webHidden/>
              </w:rPr>
              <w:instrText xml:space="preserve"> PAGEREF _Toc126061975 \h </w:instrText>
            </w:r>
            <w:r>
              <w:rPr>
                <w:noProof/>
                <w:webHidden/>
              </w:rPr>
            </w:r>
            <w:r>
              <w:rPr>
                <w:noProof/>
                <w:webHidden/>
              </w:rPr>
              <w:fldChar w:fldCharType="separate"/>
            </w:r>
            <w:r>
              <w:rPr>
                <w:noProof/>
                <w:webHidden/>
              </w:rPr>
              <w:t>22</w:t>
            </w:r>
            <w:r>
              <w:rPr>
                <w:noProof/>
                <w:webHidden/>
              </w:rPr>
              <w:fldChar w:fldCharType="end"/>
            </w:r>
          </w:hyperlink>
        </w:p>
        <w:p w14:paraId="30BA4862" w14:textId="2F9A827F" w:rsidR="001D3F8C" w:rsidRDefault="001D3F8C">
          <w:pPr>
            <w:pStyle w:val="TDC2"/>
            <w:rPr>
              <w:rFonts w:asciiTheme="minorHAnsi" w:eastAsiaTheme="minorEastAsia" w:hAnsiTheme="minorHAnsi" w:cstheme="minorBidi"/>
              <w:noProof/>
              <w:szCs w:val="22"/>
              <w:lang w:val="es-ES" w:eastAsia="es-ES"/>
            </w:rPr>
          </w:pPr>
          <w:hyperlink w:anchor="_Toc126061976" w:history="1">
            <w:r w:rsidRPr="002A1692">
              <w:rPr>
                <w:rStyle w:val="Hipervnculo"/>
                <w:noProof/>
              </w:rPr>
              <w:t>VI.3. Adierazleak</w:t>
            </w:r>
            <w:r>
              <w:rPr>
                <w:noProof/>
                <w:webHidden/>
              </w:rPr>
              <w:tab/>
            </w:r>
            <w:r>
              <w:rPr>
                <w:noProof/>
                <w:webHidden/>
              </w:rPr>
              <w:fldChar w:fldCharType="begin"/>
            </w:r>
            <w:r>
              <w:rPr>
                <w:noProof/>
                <w:webHidden/>
              </w:rPr>
              <w:instrText xml:space="preserve"> PAGEREF _Toc126061976 \h </w:instrText>
            </w:r>
            <w:r>
              <w:rPr>
                <w:noProof/>
                <w:webHidden/>
              </w:rPr>
            </w:r>
            <w:r>
              <w:rPr>
                <w:noProof/>
                <w:webHidden/>
              </w:rPr>
              <w:fldChar w:fldCharType="separate"/>
            </w:r>
            <w:r>
              <w:rPr>
                <w:noProof/>
                <w:webHidden/>
              </w:rPr>
              <w:t>25</w:t>
            </w:r>
            <w:r>
              <w:rPr>
                <w:noProof/>
                <w:webHidden/>
              </w:rPr>
              <w:fldChar w:fldCharType="end"/>
            </w:r>
          </w:hyperlink>
        </w:p>
        <w:p w14:paraId="7577A0A7" w14:textId="14DBD3EB" w:rsidR="001D3F8C" w:rsidRDefault="001D3F8C">
          <w:pPr>
            <w:pStyle w:val="TDC2"/>
            <w:rPr>
              <w:rFonts w:asciiTheme="minorHAnsi" w:eastAsiaTheme="minorEastAsia" w:hAnsiTheme="minorHAnsi" w:cstheme="minorBidi"/>
              <w:noProof/>
              <w:szCs w:val="22"/>
              <w:lang w:val="es-ES" w:eastAsia="es-ES"/>
            </w:rPr>
          </w:pPr>
          <w:hyperlink w:anchor="_Toc126061977" w:history="1">
            <w:r w:rsidRPr="002A1692">
              <w:rPr>
                <w:rStyle w:val="Hipervnculo"/>
                <w:noProof/>
              </w:rPr>
              <w:t>VI.4. COVID-19aren eragina</w:t>
            </w:r>
            <w:r>
              <w:rPr>
                <w:noProof/>
                <w:webHidden/>
              </w:rPr>
              <w:tab/>
            </w:r>
            <w:r>
              <w:rPr>
                <w:noProof/>
                <w:webHidden/>
              </w:rPr>
              <w:fldChar w:fldCharType="begin"/>
            </w:r>
            <w:r>
              <w:rPr>
                <w:noProof/>
                <w:webHidden/>
              </w:rPr>
              <w:instrText xml:space="preserve"> PAGEREF _Toc126061977 \h </w:instrText>
            </w:r>
            <w:r>
              <w:rPr>
                <w:noProof/>
                <w:webHidden/>
              </w:rPr>
            </w:r>
            <w:r>
              <w:rPr>
                <w:noProof/>
                <w:webHidden/>
              </w:rPr>
              <w:fldChar w:fldCharType="separate"/>
            </w:r>
            <w:r>
              <w:rPr>
                <w:noProof/>
                <w:webHidden/>
              </w:rPr>
              <w:t>27</w:t>
            </w:r>
            <w:r>
              <w:rPr>
                <w:noProof/>
                <w:webHidden/>
              </w:rPr>
              <w:fldChar w:fldCharType="end"/>
            </w:r>
          </w:hyperlink>
        </w:p>
        <w:p w14:paraId="095B2AB2" w14:textId="34D6FD0B" w:rsidR="001D3F8C" w:rsidRDefault="001D3F8C">
          <w:pPr>
            <w:pStyle w:val="TDC2"/>
            <w:rPr>
              <w:rFonts w:asciiTheme="minorHAnsi" w:eastAsiaTheme="minorEastAsia" w:hAnsiTheme="minorHAnsi" w:cstheme="minorBidi"/>
              <w:noProof/>
              <w:szCs w:val="22"/>
              <w:lang w:val="es-ES" w:eastAsia="es-ES"/>
            </w:rPr>
          </w:pPr>
          <w:hyperlink w:anchor="_Toc126061978" w:history="1">
            <w:r w:rsidRPr="002A1692">
              <w:rPr>
                <w:rStyle w:val="Hipervnculo"/>
                <w:noProof/>
              </w:rPr>
              <w:t>VI.5. Aurrekontu-egonkortasuneko eta finantza-iraunkortasuneko helburuak</w:t>
            </w:r>
            <w:r>
              <w:rPr>
                <w:noProof/>
                <w:webHidden/>
              </w:rPr>
              <w:tab/>
            </w:r>
            <w:r>
              <w:rPr>
                <w:noProof/>
                <w:webHidden/>
              </w:rPr>
              <w:fldChar w:fldCharType="begin"/>
            </w:r>
            <w:r>
              <w:rPr>
                <w:noProof/>
                <w:webHidden/>
              </w:rPr>
              <w:instrText xml:space="preserve"> PAGEREF _Toc126061978 \h </w:instrText>
            </w:r>
            <w:r>
              <w:rPr>
                <w:noProof/>
                <w:webHidden/>
              </w:rPr>
            </w:r>
            <w:r>
              <w:rPr>
                <w:noProof/>
                <w:webHidden/>
              </w:rPr>
              <w:fldChar w:fldCharType="separate"/>
            </w:r>
            <w:r>
              <w:rPr>
                <w:noProof/>
                <w:webHidden/>
              </w:rPr>
              <w:t>29</w:t>
            </w:r>
            <w:r>
              <w:rPr>
                <w:noProof/>
                <w:webHidden/>
              </w:rPr>
              <w:fldChar w:fldCharType="end"/>
            </w:r>
          </w:hyperlink>
        </w:p>
        <w:p w14:paraId="0981A43E" w14:textId="2CA4C4C3" w:rsidR="001D3F8C" w:rsidRDefault="001D3F8C">
          <w:pPr>
            <w:pStyle w:val="TDC1"/>
            <w:rPr>
              <w:rFonts w:asciiTheme="minorHAnsi" w:eastAsiaTheme="minorEastAsia" w:hAnsiTheme="minorHAnsi" w:cstheme="minorBidi"/>
              <w:smallCaps w:val="0"/>
              <w:noProof/>
              <w:szCs w:val="22"/>
              <w:lang w:val="es-ES" w:eastAsia="es-ES"/>
            </w:rPr>
          </w:pPr>
          <w:hyperlink w:anchor="_Toc126061979" w:history="1">
            <w:r w:rsidRPr="002A1692">
              <w:rPr>
                <w:rStyle w:val="Hipervnculo"/>
                <w:noProof/>
              </w:rPr>
              <w:t>VII. Kontratazio administratiboa</w:t>
            </w:r>
            <w:r>
              <w:rPr>
                <w:noProof/>
                <w:webHidden/>
              </w:rPr>
              <w:tab/>
            </w:r>
            <w:r>
              <w:rPr>
                <w:noProof/>
                <w:webHidden/>
              </w:rPr>
              <w:fldChar w:fldCharType="begin"/>
            </w:r>
            <w:r>
              <w:rPr>
                <w:noProof/>
                <w:webHidden/>
              </w:rPr>
              <w:instrText xml:space="preserve"> PAGEREF _Toc126061979 \h </w:instrText>
            </w:r>
            <w:r>
              <w:rPr>
                <w:noProof/>
                <w:webHidden/>
              </w:rPr>
            </w:r>
            <w:r>
              <w:rPr>
                <w:noProof/>
                <w:webHidden/>
              </w:rPr>
              <w:fldChar w:fldCharType="separate"/>
            </w:r>
            <w:r>
              <w:rPr>
                <w:noProof/>
                <w:webHidden/>
              </w:rPr>
              <w:t>31</w:t>
            </w:r>
            <w:r>
              <w:rPr>
                <w:noProof/>
                <w:webHidden/>
              </w:rPr>
              <w:fldChar w:fldCharType="end"/>
            </w:r>
          </w:hyperlink>
        </w:p>
        <w:p w14:paraId="4D868D21" w14:textId="75032DBC" w:rsidR="001D3F8C" w:rsidRDefault="001D3F8C">
          <w:pPr>
            <w:pStyle w:val="TDC1"/>
            <w:rPr>
              <w:rFonts w:asciiTheme="minorHAnsi" w:eastAsiaTheme="minorEastAsia" w:hAnsiTheme="minorHAnsi" w:cstheme="minorBidi"/>
              <w:smallCaps w:val="0"/>
              <w:noProof/>
              <w:szCs w:val="22"/>
              <w:lang w:val="es-ES" w:eastAsia="es-ES"/>
            </w:rPr>
          </w:pPr>
          <w:hyperlink w:anchor="_Toc126061980" w:history="1">
            <w:r w:rsidRPr="002A1692">
              <w:rPr>
                <w:rStyle w:val="Hipervnculo"/>
                <w:noProof/>
              </w:rPr>
              <w:t>VIII. Kontu-ematea eta aurrekontuen onespena</w:t>
            </w:r>
            <w:r>
              <w:rPr>
                <w:noProof/>
                <w:webHidden/>
              </w:rPr>
              <w:tab/>
            </w:r>
            <w:r>
              <w:rPr>
                <w:noProof/>
                <w:webHidden/>
              </w:rPr>
              <w:fldChar w:fldCharType="begin"/>
            </w:r>
            <w:r>
              <w:rPr>
                <w:noProof/>
                <w:webHidden/>
              </w:rPr>
              <w:instrText xml:space="preserve"> PAGEREF _Toc126061980 \h </w:instrText>
            </w:r>
            <w:r>
              <w:rPr>
                <w:noProof/>
                <w:webHidden/>
              </w:rPr>
            </w:r>
            <w:r>
              <w:rPr>
                <w:noProof/>
                <w:webHidden/>
              </w:rPr>
              <w:fldChar w:fldCharType="separate"/>
            </w:r>
            <w:r>
              <w:rPr>
                <w:noProof/>
                <w:webHidden/>
              </w:rPr>
              <w:t>34</w:t>
            </w:r>
            <w:r>
              <w:rPr>
                <w:noProof/>
                <w:webHidden/>
              </w:rPr>
              <w:fldChar w:fldCharType="end"/>
            </w:r>
          </w:hyperlink>
        </w:p>
        <w:p w14:paraId="3DE10414" w14:textId="2BE4E692" w:rsidR="001D3F8C" w:rsidRDefault="001D3F8C">
          <w:pPr>
            <w:pStyle w:val="TDC1"/>
            <w:rPr>
              <w:rFonts w:asciiTheme="minorHAnsi" w:eastAsiaTheme="minorEastAsia" w:hAnsiTheme="minorHAnsi" w:cstheme="minorBidi"/>
              <w:smallCaps w:val="0"/>
              <w:noProof/>
              <w:szCs w:val="22"/>
              <w:lang w:val="es-ES" w:eastAsia="es-ES"/>
            </w:rPr>
          </w:pPr>
          <w:hyperlink w:anchor="_Toc126061981" w:history="1">
            <w:r w:rsidRPr="002A1692">
              <w:rPr>
                <w:rStyle w:val="Hipervnculo"/>
                <w:noProof/>
              </w:rPr>
              <w:t>IX. Barne kontrola eta kontu-hartze organoek egindako eragozpen-oharrak</w:t>
            </w:r>
            <w:r>
              <w:rPr>
                <w:noProof/>
                <w:webHidden/>
              </w:rPr>
              <w:tab/>
            </w:r>
            <w:r>
              <w:rPr>
                <w:noProof/>
                <w:webHidden/>
              </w:rPr>
              <w:fldChar w:fldCharType="begin"/>
            </w:r>
            <w:r>
              <w:rPr>
                <w:noProof/>
                <w:webHidden/>
              </w:rPr>
              <w:instrText xml:space="preserve"> PAGEREF _Toc126061981 \h </w:instrText>
            </w:r>
            <w:r>
              <w:rPr>
                <w:noProof/>
                <w:webHidden/>
              </w:rPr>
            </w:r>
            <w:r>
              <w:rPr>
                <w:noProof/>
                <w:webHidden/>
              </w:rPr>
              <w:fldChar w:fldCharType="separate"/>
            </w:r>
            <w:r>
              <w:rPr>
                <w:noProof/>
                <w:webHidden/>
              </w:rPr>
              <w:t>36</w:t>
            </w:r>
            <w:r>
              <w:rPr>
                <w:noProof/>
                <w:webHidden/>
              </w:rPr>
              <w:fldChar w:fldCharType="end"/>
            </w:r>
          </w:hyperlink>
        </w:p>
        <w:p w14:paraId="7C664BFA" w14:textId="77F07E7E" w:rsidR="001D3F8C" w:rsidRDefault="001D3F8C">
          <w:pPr>
            <w:pStyle w:val="TDC2"/>
            <w:rPr>
              <w:rFonts w:asciiTheme="minorHAnsi" w:eastAsiaTheme="minorEastAsia" w:hAnsiTheme="minorHAnsi" w:cstheme="minorBidi"/>
              <w:noProof/>
              <w:szCs w:val="22"/>
              <w:lang w:val="es-ES" w:eastAsia="es-ES"/>
            </w:rPr>
          </w:pPr>
          <w:hyperlink w:anchor="_Toc126061982" w:history="1">
            <w:r w:rsidRPr="002A1692">
              <w:rPr>
                <w:rStyle w:val="Hipervnculo"/>
                <w:noProof/>
              </w:rPr>
              <w:t>IX.1. Eskatutako informazioa igortzeko betebeharra betetzea</w:t>
            </w:r>
            <w:r>
              <w:rPr>
                <w:noProof/>
                <w:webHidden/>
              </w:rPr>
              <w:tab/>
            </w:r>
            <w:r>
              <w:rPr>
                <w:noProof/>
                <w:webHidden/>
              </w:rPr>
              <w:fldChar w:fldCharType="begin"/>
            </w:r>
            <w:r>
              <w:rPr>
                <w:noProof/>
                <w:webHidden/>
              </w:rPr>
              <w:instrText xml:space="preserve"> PAGEREF _Toc126061982 \h </w:instrText>
            </w:r>
            <w:r>
              <w:rPr>
                <w:noProof/>
                <w:webHidden/>
              </w:rPr>
            </w:r>
            <w:r>
              <w:rPr>
                <w:noProof/>
                <w:webHidden/>
              </w:rPr>
              <w:fldChar w:fldCharType="separate"/>
            </w:r>
            <w:r>
              <w:rPr>
                <w:noProof/>
                <w:webHidden/>
              </w:rPr>
              <w:t>36</w:t>
            </w:r>
            <w:r>
              <w:rPr>
                <w:noProof/>
                <w:webHidden/>
              </w:rPr>
              <w:fldChar w:fldCharType="end"/>
            </w:r>
          </w:hyperlink>
        </w:p>
        <w:p w14:paraId="7B7DB86B" w14:textId="1B9C40B5" w:rsidR="001D3F8C" w:rsidRDefault="001D3F8C">
          <w:pPr>
            <w:pStyle w:val="TDC2"/>
            <w:rPr>
              <w:rFonts w:asciiTheme="minorHAnsi" w:eastAsiaTheme="minorEastAsia" w:hAnsiTheme="minorHAnsi" w:cstheme="minorBidi"/>
              <w:noProof/>
              <w:szCs w:val="22"/>
              <w:lang w:val="es-ES" w:eastAsia="es-ES"/>
            </w:rPr>
          </w:pPr>
          <w:hyperlink w:anchor="_Toc126061983" w:history="1">
            <w:r w:rsidRPr="002A1692">
              <w:rPr>
                <w:rStyle w:val="Hipervnculo"/>
                <w:noProof/>
              </w:rPr>
              <w:t>IX.2. Barne kontrola</w:t>
            </w:r>
            <w:r>
              <w:rPr>
                <w:noProof/>
                <w:webHidden/>
              </w:rPr>
              <w:tab/>
            </w:r>
            <w:r>
              <w:rPr>
                <w:noProof/>
                <w:webHidden/>
              </w:rPr>
              <w:fldChar w:fldCharType="begin"/>
            </w:r>
            <w:r>
              <w:rPr>
                <w:noProof/>
                <w:webHidden/>
              </w:rPr>
              <w:instrText xml:space="preserve"> PAGEREF _Toc126061983 \h </w:instrText>
            </w:r>
            <w:r>
              <w:rPr>
                <w:noProof/>
                <w:webHidden/>
              </w:rPr>
            </w:r>
            <w:r>
              <w:rPr>
                <w:noProof/>
                <w:webHidden/>
              </w:rPr>
              <w:fldChar w:fldCharType="separate"/>
            </w:r>
            <w:r>
              <w:rPr>
                <w:noProof/>
                <w:webHidden/>
              </w:rPr>
              <w:t>36</w:t>
            </w:r>
            <w:r>
              <w:rPr>
                <w:noProof/>
                <w:webHidden/>
              </w:rPr>
              <w:fldChar w:fldCharType="end"/>
            </w:r>
          </w:hyperlink>
        </w:p>
        <w:p w14:paraId="2118D1CA" w14:textId="41F0E5F7" w:rsidR="001D3F8C" w:rsidRDefault="001D3F8C">
          <w:pPr>
            <w:pStyle w:val="TDC2"/>
            <w:rPr>
              <w:rFonts w:asciiTheme="minorHAnsi" w:eastAsiaTheme="minorEastAsia" w:hAnsiTheme="minorHAnsi" w:cstheme="minorBidi"/>
              <w:noProof/>
              <w:szCs w:val="22"/>
              <w:lang w:val="es-ES" w:eastAsia="es-ES"/>
            </w:rPr>
          </w:pPr>
          <w:hyperlink w:anchor="_Toc126061984" w:history="1">
            <w:r w:rsidRPr="002A1692">
              <w:rPr>
                <w:rStyle w:val="Hipervnculo"/>
                <w:noProof/>
              </w:rPr>
              <w:t>IX.3. Eragozpen-oharrak</w:t>
            </w:r>
            <w:r>
              <w:rPr>
                <w:noProof/>
                <w:webHidden/>
              </w:rPr>
              <w:tab/>
            </w:r>
            <w:r>
              <w:rPr>
                <w:noProof/>
                <w:webHidden/>
              </w:rPr>
              <w:fldChar w:fldCharType="begin"/>
            </w:r>
            <w:r>
              <w:rPr>
                <w:noProof/>
                <w:webHidden/>
              </w:rPr>
              <w:instrText xml:space="preserve"> PAGEREF _Toc126061984 \h </w:instrText>
            </w:r>
            <w:r>
              <w:rPr>
                <w:noProof/>
                <w:webHidden/>
              </w:rPr>
            </w:r>
            <w:r>
              <w:rPr>
                <w:noProof/>
                <w:webHidden/>
              </w:rPr>
              <w:fldChar w:fldCharType="separate"/>
            </w:r>
            <w:r>
              <w:rPr>
                <w:noProof/>
                <w:webHidden/>
              </w:rPr>
              <w:t>37</w:t>
            </w:r>
            <w:r>
              <w:rPr>
                <w:noProof/>
                <w:webHidden/>
              </w:rPr>
              <w:fldChar w:fldCharType="end"/>
            </w:r>
          </w:hyperlink>
        </w:p>
        <w:p w14:paraId="50350208" w14:textId="6046FE35" w:rsidR="001D3F8C" w:rsidRDefault="001D3F8C">
          <w:pPr>
            <w:pStyle w:val="TDC2"/>
            <w:rPr>
              <w:rFonts w:asciiTheme="minorHAnsi" w:eastAsiaTheme="minorEastAsia" w:hAnsiTheme="minorHAnsi" w:cstheme="minorBidi"/>
              <w:noProof/>
              <w:szCs w:val="22"/>
              <w:lang w:val="es-ES" w:eastAsia="es-ES"/>
            </w:rPr>
          </w:pPr>
          <w:hyperlink w:anchor="_Toc126061985" w:history="1">
            <w:r w:rsidRPr="002A1692">
              <w:rPr>
                <w:rStyle w:val="Hipervnculo"/>
                <w:noProof/>
              </w:rPr>
              <w:t>IX.4. Diru-sarreren arloko anomalia nagusiak</w:t>
            </w:r>
            <w:r>
              <w:rPr>
                <w:noProof/>
                <w:webHidden/>
              </w:rPr>
              <w:tab/>
            </w:r>
            <w:r>
              <w:rPr>
                <w:noProof/>
                <w:webHidden/>
              </w:rPr>
              <w:fldChar w:fldCharType="begin"/>
            </w:r>
            <w:r>
              <w:rPr>
                <w:noProof/>
                <w:webHidden/>
              </w:rPr>
              <w:instrText xml:space="preserve"> PAGEREF _Toc126061985 \h </w:instrText>
            </w:r>
            <w:r>
              <w:rPr>
                <w:noProof/>
                <w:webHidden/>
              </w:rPr>
            </w:r>
            <w:r>
              <w:rPr>
                <w:noProof/>
                <w:webHidden/>
              </w:rPr>
              <w:fldChar w:fldCharType="separate"/>
            </w:r>
            <w:r>
              <w:rPr>
                <w:noProof/>
                <w:webHidden/>
              </w:rPr>
              <w:t>38</w:t>
            </w:r>
            <w:r>
              <w:rPr>
                <w:noProof/>
                <w:webHidden/>
              </w:rPr>
              <w:fldChar w:fldCharType="end"/>
            </w:r>
          </w:hyperlink>
        </w:p>
        <w:p w14:paraId="1C9BC9F8" w14:textId="4EE26D31" w:rsidR="001D3F8C" w:rsidRDefault="001D3F8C">
          <w:pPr>
            <w:pStyle w:val="TDC1"/>
            <w:rPr>
              <w:rFonts w:asciiTheme="minorHAnsi" w:eastAsiaTheme="minorEastAsia" w:hAnsiTheme="minorHAnsi" w:cstheme="minorBidi"/>
              <w:smallCaps w:val="0"/>
              <w:noProof/>
              <w:szCs w:val="22"/>
              <w:lang w:val="es-ES" w:eastAsia="es-ES"/>
            </w:rPr>
          </w:pPr>
          <w:hyperlink w:anchor="_Toc126061986" w:history="1">
            <w:r w:rsidRPr="002A1692">
              <w:rPr>
                <w:rStyle w:val="Hipervnculo"/>
                <w:noProof/>
              </w:rPr>
              <w:t>X. Konparazio-azterketa</w:t>
            </w:r>
            <w:r>
              <w:rPr>
                <w:noProof/>
                <w:webHidden/>
              </w:rPr>
              <w:tab/>
            </w:r>
            <w:r>
              <w:rPr>
                <w:noProof/>
                <w:webHidden/>
              </w:rPr>
              <w:fldChar w:fldCharType="begin"/>
            </w:r>
            <w:r>
              <w:rPr>
                <w:noProof/>
                <w:webHidden/>
              </w:rPr>
              <w:instrText xml:space="preserve"> PAGEREF _Toc126061986 \h </w:instrText>
            </w:r>
            <w:r>
              <w:rPr>
                <w:noProof/>
                <w:webHidden/>
              </w:rPr>
            </w:r>
            <w:r>
              <w:rPr>
                <w:noProof/>
                <w:webHidden/>
              </w:rPr>
              <w:fldChar w:fldCharType="separate"/>
            </w:r>
            <w:r>
              <w:rPr>
                <w:noProof/>
                <w:webHidden/>
              </w:rPr>
              <w:t>40</w:t>
            </w:r>
            <w:r>
              <w:rPr>
                <w:noProof/>
                <w:webHidden/>
              </w:rPr>
              <w:fldChar w:fldCharType="end"/>
            </w:r>
          </w:hyperlink>
        </w:p>
        <w:p w14:paraId="1F9FF980" w14:textId="0B1984F1" w:rsidR="001D3F8C" w:rsidRDefault="001D3F8C">
          <w:pPr>
            <w:pStyle w:val="TDC2"/>
            <w:rPr>
              <w:rFonts w:asciiTheme="minorHAnsi" w:eastAsiaTheme="minorEastAsia" w:hAnsiTheme="minorHAnsi" w:cstheme="minorBidi"/>
              <w:noProof/>
              <w:szCs w:val="22"/>
              <w:lang w:val="es-ES" w:eastAsia="es-ES"/>
            </w:rPr>
          </w:pPr>
          <w:hyperlink w:anchor="_Toc126061987" w:history="1">
            <w:r w:rsidRPr="002A1692">
              <w:rPr>
                <w:rStyle w:val="Hipervnculo"/>
                <w:noProof/>
              </w:rPr>
              <w:t>X.1. Nafarroako udalen arteko konparazioa biztanleria-tarteen arabera</w:t>
            </w:r>
            <w:r>
              <w:rPr>
                <w:noProof/>
                <w:webHidden/>
              </w:rPr>
              <w:tab/>
            </w:r>
            <w:r>
              <w:rPr>
                <w:noProof/>
                <w:webHidden/>
              </w:rPr>
              <w:fldChar w:fldCharType="begin"/>
            </w:r>
            <w:r>
              <w:rPr>
                <w:noProof/>
                <w:webHidden/>
              </w:rPr>
              <w:instrText xml:space="preserve"> PAGEREF _Toc126061987 \h </w:instrText>
            </w:r>
            <w:r>
              <w:rPr>
                <w:noProof/>
                <w:webHidden/>
              </w:rPr>
            </w:r>
            <w:r>
              <w:rPr>
                <w:noProof/>
                <w:webHidden/>
              </w:rPr>
              <w:fldChar w:fldCharType="separate"/>
            </w:r>
            <w:r>
              <w:rPr>
                <w:noProof/>
                <w:webHidden/>
              </w:rPr>
              <w:t>40</w:t>
            </w:r>
            <w:r>
              <w:rPr>
                <w:noProof/>
                <w:webHidden/>
              </w:rPr>
              <w:fldChar w:fldCharType="end"/>
            </w:r>
          </w:hyperlink>
        </w:p>
        <w:p w14:paraId="57336523" w14:textId="1BD43BF6" w:rsidR="001D3F8C" w:rsidRDefault="001D3F8C">
          <w:pPr>
            <w:pStyle w:val="TDC2"/>
            <w:rPr>
              <w:rFonts w:asciiTheme="minorHAnsi" w:eastAsiaTheme="minorEastAsia" w:hAnsiTheme="minorHAnsi" w:cstheme="minorBidi"/>
              <w:noProof/>
              <w:szCs w:val="22"/>
              <w:lang w:val="es-ES" w:eastAsia="es-ES"/>
            </w:rPr>
          </w:pPr>
          <w:hyperlink w:anchor="_Toc126061988" w:history="1">
            <w:r w:rsidRPr="002A1692">
              <w:rPr>
                <w:rStyle w:val="Hipervnculo"/>
                <w:noProof/>
              </w:rPr>
              <w:t>X.2. Nafarroako udalen, EAEkoen eta Estatukoen arteko konparazioa</w:t>
            </w:r>
            <w:r>
              <w:rPr>
                <w:noProof/>
                <w:webHidden/>
              </w:rPr>
              <w:tab/>
            </w:r>
            <w:r>
              <w:rPr>
                <w:noProof/>
                <w:webHidden/>
              </w:rPr>
              <w:fldChar w:fldCharType="begin"/>
            </w:r>
            <w:r>
              <w:rPr>
                <w:noProof/>
                <w:webHidden/>
              </w:rPr>
              <w:instrText xml:space="preserve"> PAGEREF _Toc126061988 \h </w:instrText>
            </w:r>
            <w:r>
              <w:rPr>
                <w:noProof/>
                <w:webHidden/>
              </w:rPr>
            </w:r>
            <w:r>
              <w:rPr>
                <w:noProof/>
                <w:webHidden/>
              </w:rPr>
              <w:fldChar w:fldCharType="separate"/>
            </w:r>
            <w:r>
              <w:rPr>
                <w:noProof/>
                <w:webHidden/>
              </w:rPr>
              <w:t>40</w:t>
            </w:r>
            <w:r>
              <w:rPr>
                <w:noProof/>
                <w:webHidden/>
              </w:rPr>
              <w:fldChar w:fldCharType="end"/>
            </w:r>
          </w:hyperlink>
        </w:p>
        <w:p w14:paraId="69BBCE0C" w14:textId="201ECF48" w:rsidR="001D3F8C" w:rsidRDefault="001D3F8C">
          <w:pPr>
            <w:pStyle w:val="TDC1"/>
            <w:rPr>
              <w:rFonts w:asciiTheme="minorHAnsi" w:eastAsiaTheme="minorEastAsia" w:hAnsiTheme="minorHAnsi" w:cstheme="minorBidi"/>
              <w:smallCaps w:val="0"/>
              <w:noProof/>
              <w:szCs w:val="22"/>
              <w:lang w:val="es-ES" w:eastAsia="es-ES"/>
            </w:rPr>
          </w:pPr>
          <w:hyperlink w:anchor="_Toc126061989" w:history="1">
            <w:r w:rsidRPr="002A1692">
              <w:rPr>
                <w:rStyle w:val="Hipervnculo"/>
                <w:noProof/>
              </w:rPr>
              <w:t>ERANSKINAK</w:t>
            </w:r>
            <w:r>
              <w:rPr>
                <w:noProof/>
                <w:webHidden/>
              </w:rPr>
              <w:tab/>
            </w:r>
            <w:r>
              <w:rPr>
                <w:noProof/>
                <w:webHidden/>
              </w:rPr>
              <w:fldChar w:fldCharType="begin"/>
            </w:r>
            <w:r>
              <w:rPr>
                <w:noProof/>
                <w:webHidden/>
              </w:rPr>
              <w:instrText xml:space="preserve"> PAGEREF _Toc126061989 \h </w:instrText>
            </w:r>
            <w:r>
              <w:rPr>
                <w:noProof/>
                <w:webHidden/>
              </w:rPr>
            </w:r>
            <w:r>
              <w:rPr>
                <w:noProof/>
                <w:webHidden/>
              </w:rPr>
              <w:fldChar w:fldCharType="separate"/>
            </w:r>
            <w:r>
              <w:rPr>
                <w:noProof/>
                <w:webHidden/>
              </w:rPr>
              <w:t>45</w:t>
            </w:r>
            <w:r>
              <w:rPr>
                <w:noProof/>
                <w:webHidden/>
              </w:rPr>
              <w:fldChar w:fldCharType="end"/>
            </w:r>
          </w:hyperlink>
        </w:p>
        <w:p w14:paraId="64DC967F" w14:textId="264FF202" w:rsidR="001D3F8C" w:rsidRDefault="001D3F8C">
          <w:pPr>
            <w:pStyle w:val="TDC1"/>
            <w:rPr>
              <w:rFonts w:asciiTheme="minorHAnsi" w:eastAsiaTheme="minorEastAsia" w:hAnsiTheme="minorHAnsi" w:cstheme="minorBidi"/>
              <w:smallCaps w:val="0"/>
              <w:noProof/>
              <w:szCs w:val="22"/>
              <w:lang w:val="es-ES" w:eastAsia="es-ES"/>
            </w:rPr>
          </w:pPr>
          <w:hyperlink w:anchor="_Toc126061990" w:history="1">
            <w:r w:rsidRPr="002A1692">
              <w:rPr>
                <w:rStyle w:val="Hipervnculo"/>
                <w:noProof/>
              </w:rPr>
              <w:t>1. eranskina. Toki entitateetan aplikatzekoa den araudia</w:t>
            </w:r>
            <w:r>
              <w:rPr>
                <w:noProof/>
                <w:webHidden/>
              </w:rPr>
              <w:tab/>
            </w:r>
            <w:r>
              <w:rPr>
                <w:noProof/>
                <w:webHidden/>
              </w:rPr>
              <w:fldChar w:fldCharType="begin"/>
            </w:r>
            <w:r>
              <w:rPr>
                <w:noProof/>
                <w:webHidden/>
              </w:rPr>
              <w:instrText xml:space="preserve"> PAGEREF _Toc126061990 \h </w:instrText>
            </w:r>
            <w:r>
              <w:rPr>
                <w:noProof/>
                <w:webHidden/>
              </w:rPr>
            </w:r>
            <w:r>
              <w:rPr>
                <w:noProof/>
                <w:webHidden/>
              </w:rPr>
              <w:fldChar w:fldCharType="separate"/>
            </w:r>
            <w:r>
              <w:rPr>
                <w:noProof/>
                <w:webHidden/>
              </w:rPr>
              <w:t>46</w:t>
            </w:r>
            <w:r>
              <w:rPr>
                <w:noProof/>
                <w:webHidden/>
              </w:rPr>
              <w:fldChar w:fldCharType="end"/>
            </w:r>
          </w:hyperlink>
        </w:p>
        <w:p w14:paraId="7D8674CD" w14:textId="404B0A5A" w:rsidR="001D3F8C" w:rsidRDefault="001D3F8C">
          <w:pPr>
            <w:pStyle w:val="TDC2"/>
            <w:rPr>
              <w:rFonts w:asciiTheme="minorHAnsi" w:eastAsiaTheme="minorEastAsia" w:hAnsiTheme="minorHAnsi" w:cstheme="minorBidi"/>
              <w:noProof/>
              <w:szCs w:val="22"/>
              <w:lang w:val="es-ES" w:eastAsia="es-ES"/>
            </w:rPr>
          </w:pPr>
          <w:hyperlink w:anchor="_Toc126061991" w:history="1">
            <w:r w:rsidRPr="002A1692">
              <w:rPr>
                <w:rStyle w:val="Hipervnculo"/>
                <w:noProof/>
              </w:rPr>
              <w:t>2020an onetsi eta Nafarroako toki sektore publikoan aplikatzekoak diren arau nagusiak</w:t>
            </w:r>
            <w:r>
              <w:rPr>
                <w:noProof/>
                <w:webHidden/>
              </w:rPr>
              <w:tab/>
            </w:r>
            <w:r>
              <w:rPr>
                <w:noProof/>
                <w:webHidden/>
              </w:rPr>
              <w:fldChar w:fldCharType="begin"/>
            </w:r>
            <w:r>
              <w:rPr>
                <w:noProof/>
                <w:webHidden/>
              </w:rPr>
              <w:instrText xml:space="preserve"> PAGEREF _Toc126061991 \h </w:instrText>
            </w:r>
            <w:r>
              <w:rPr>
                <w:noProof/>
                <w:webHidden/>
              </w:rPr>
            </w:r>
            <w:r>
              <w:rPr>
                <w:noProof/>
                <w:webHidden/>
              </w:rPr>
              <w:fldChar w:fldCharType="separate"/>
            </w:r>
            <w:r>
              <w:rPr>
                <w:noProof/>
                <w:webHidden/>
              </w:rPr>
              <w:t>46</w:t>
            </w:r>
            <w:r>
              <w:rPr>
                <w:noProof/>
                <w:webHidden/>
              </w:rPr>
              <w:fldChar w:fldCharType="end"/>
            </w:r>
          </w:hyperlink>
        </w:p>
        <w:p w14:paraId="2A3BE78B" w14:textId="47063996" w:rsidR="001D3F8C" w:rsidRDefault="001D3F8C">
          <w:pPr>
            <w:pStyle w:val="TDC2"/>
            <w:rPr>
              <w:rFonts w:asciiTheme="minorHAnsi" w:eastAsiaTheme="minorEastAsia" w:hAnsiTheme="minorHAnsi" w:cstheme="minorBidi"/>
              <w:noProof/>
              <w:szCs w:val="22"/>
              <w:lang w:val="es-ES" w:eastAsia="es-ES"/>
            </w:rPr>
          </w:pPr>
          <w:hyperlink w:anchor="_Toc126061992" w:history="1">
            <w:r w:rsidRPr="002A1692">
              <w:rPr>
                <w:rStyle w:val="Hipervnculo"/>
                <w:noProof/>
              </w:rPr>
              <w:t>2020ko ekitaldian Nafarroako toki sektore publikoan aplikatzekoak diren arau nagusiak</w:t>
            </w:r>
            <w:r>
              <w:rPr>
                <w:noProof/>
                <w:webHidden/>
              </w:rPr>
              <w:tab/>
            </w:r>
            <w:r>
              <w:rPr>
                <w:noProof/>
                <w:webHidden/>
              </w:rPr>
              <w:fldChar w:fldCharType="begin"/>
            </w:r>
            <w:r>
              <w:rPr>
                <w:noProof/>
                <w:webHidden/>
              </w:rPr>
              <w:instrText xml:space="preserve"> PAGEREF _Toc126061992 \h </w:instrText>
            </w:r>
            <w:r>
              <w:rPr>
                <w:noProof/>
                <w:webHidden/>
              </w:rPr>
            </w:r>
            <w:r>
              <w:rPr>
                <w:noProof/>
                <w:webHidden/>
              </w:rPr>
              <w:fldChar w:fldCharType="separate"/>
            </w:r>
            <w:r>
              <w:rPr>
                <w:noProof/>
                <w:webHidden/>
              </w:rPr>
              <w:t>48</w:t>
            </w:r>
            <w:r>
              <w:rPr>
                <w:noProof/>
                <w:webHidden/>
              </w:rPr>
              <w:fldChar w:fldCharType="end"/>
            </w:r>
          </w:hyperlink>
        </w:p>
        <w:p w14:paraId="572E77C4" w14:textId="326BD158" w:rsidR="001D3F8C" w:rsidRDefault="001D3F8C">
          <w:pPr>
            <w:pStyle w:val="TDC1"/>
            <w:rPr>
              <w:rFonts w:asciiTheme="minorHAnsi" w:eastAsiaTheme="minorEastAsia" w:hAnsiTheme="minorHAnsi" w:cstheme="minorBidi"/>
              <w:smallCaps w:val="0"/>
              <w:noProof/>
              <w:szCs w:val="22"/>
              <w:lang w:val="es-ES" w:eastAsia="es-ES"/>
            </w:rPr>
          </w:pPr>
          <w:hyperlink w:anchor="_Toc126061993" w:history="1">
            <w:r w:rsidRPr="002A1692">
              <w:rPr>
                <w:rStyle w:val="Hipervnculo"/>
                <w:noProof/>
              </w:rPr>
              <w:t>2. eranskina. Nafarroako toki sektore publikoaren finantza egoera 2020an</w:t>
            </w:r>
            <w:r>
              <w:rPr>
                <w:noProof/>
                <w:webHidden/>
              </w:rPr>
              <w:tab/>
            </w:r>
            <w:r>
              <w:rPr>
                <w:noProof/>
                <w:webHidden/>
              </w:rPr>
              <w:fldChar w:fldCharType="begin"/>
            </w:r>
            <w:r>
              <w:rPr>
                <w:noProof/>
                <w:webHidden/>
              </w:rPr>
              <w:instrText xml:space="preserve"> PAGEREF _Toc126061993 \h </w:instrText>
            </w:r>
            <w:r>
              <w:rPr>
                <w:noProof/>
                <w:webHidden/>
              </w:rPr>
            </w:r>
            <w:r>
              <w:rPr>
                <w:noProof/>
                <w:webHidden/>
              </w:rPr>
              <w:fldChar w:fldCharType="separate"/>
            </w:r>
            <w:r>
              <w:rPr>
                <w:noProof/>
                <w:webHidden/>
              </w:rPr>
              <w:t>55</w:t>
            </w:r>
            <w:r>
              <w:rPr>
                <w:noProof/>
                <w:webHidden/>
              </w:rPr>
              <w:fldChar w:fldCharType="end"/>
            </w:r>
          </w:hyperlink>
        </w:p>
        <w:p w14:paraId="1308CE84" w14:textId="2CB583DB" w:rsidR="00DA0A2D" w:rsidRDefault="00DA0A2D" w:rsidP="004B1F4E">
          <w:pPr>
            <w:pStyle w:val="TDC1"/>
          </w:pPr>
          <w:r>
            <w:rPr>
              <w:b/>
            </w:rPr>
            <w:fldChar w:fldCharType="end"/>
          </w:r>
        </w:p>
      </w:sdtContent>
    </w:sdt>
    <w:p w14:paraId="6115B3AA" w14:textId="77777777" w:rsidR="00822A40" w:rsidRDefault="00822A40" w:rsidP="00345C6C">
      <w:pPr>
        <w:rPr>
          <w:color w:val="000000" w:themeColor="text1"/>
        </w:rPr>
        <w:sectPr w:rsidR="00822A40" w:rsidSect="00822A40">
          <w:headerReference w:type="even" r:id="rId14"/>
          <w:footerReference w:type="default" r:id="rId15"/>
          <w:pgSz w:w="11907" w:h="16840" w:code="9"/>
          <w:pgMar w:top="2109" w:right="1559" w:bottom="1644" w:left="1559" w:header="369" w:footer="136" w:gutter="0"/>
          <w:pgNumType w:start="3"/>
          <w:cols w:space="720"/>
          <w:docGrid w:linePitch="360"/>
        </w:sectPr>
      </w:pPr>
    </w:p>
    <w:p w14:paraId="64EEA727" w14:textId="527808BA" w:rsidR="00345C6C" w:rsidRPr="00B43F2E" w:rsidRDefault="00345C6C" w:rsidP="00B43F2E">
      <w:pPr>
        <w:pStyle w:val="Ttulo1"/>
        <w:ind w:firstLine="0"/>
        <w:rPr>
          <w:szCs w:val="25"/>
        </w:rPr>
      </w:pPr>
      <w:bookmarkStart w:id="0" w:name="_Toc291067874"/>
      <w:bookmarkStart w:id="1" w:name="_Toc121293081"/>
      <w:bookmarkStart w:id="2" w:name="_Toc121292758"/>
      <w:bookmarkStart w:id="3" w:name="_Toc399916257"/>
      <w:bookmarkStart w:id="4" w:name="_Toc465686680"/>
      <w:bookmarkStart w:id="5" w:name="_Toc529773874"/>
      <w:bookmarkStart w:id="6" w:name="_Toc24100135"/>
      <w:bookmarkStart w:id="7" w:name="_Toc52348283"/>
      <w:bookmarkStart w:id="8" w:name="_Toc88727708"/>
      <w:bookmarkStart w:id="9" w:name="_Toc126061963"/>
      <w:r>
        <w:lastRenderedPageBreak/>
        <w:t>I. Sarrera</w:t>
      </w:r>
      <w:bookmarkEnd w:id="0"/>
      <w:bookmarkEnd w:id="1"/>
      <w:bookmarkEnd w:id="2"/>
      <w:bookmarkEnd w:id="3"/>
      <w:bookmarkEnd w:id="4"/>
      <w:bookmarkEnd w:id="5"/>
      <w:bookmarkEnd w:id="6"/>
      <w:bookmarkEnd w:id="7"/>
      <w:bookmarkEnd w:id="8"/>
      <w:bookmarkEnd w:id="9"/>
    </w:p>
    <w:p w14:paraId="328F64BA" w14:textId="77777777" w:rsidR="00345C6C" w:rsidRPr="00B81E61" w:rsidRDefault="00345C6C" w:rsidP="00345C6C">
      <w:pPr>
        <w:pStyle w:val="texto"/>
        <w:rPr>
          <w:color w:val="000000" w:themeColor="text1"/>
        </w:rPr>
      </w:pPr>
      <w:r>
        <w:rPr>
          <w:color w:val="000000" w:themeColor="text1"/>
        </w:rPr>
        <w:t>Nafarroako toki sektore publikoari buruzko txosten hau egin da, Kontuen Ganbera arautzen duen abenduaren 20ko 19/1984 Foru Legearekin bat, Nafarroako Toki Administrazioari buruzko uztailaren 2ko 6/1990 Foru Legea betetzeko, haren 350.2 artikuluak ezartzen baitu derrigorrezkoa dela urtero bidaltzea Nafarroako Parlamentuari eta Gobernuari Kontuen Ganberak Nafarroako toki entitateen esparruan egin dituen fiskalizazioko eta kontroleko jarduketen berri ematen duen laburpen-oroitidazkia.</w:t>
      </w:r>
    </w:p>
    <w:p w14:paraId="4217FA14" w14:textId="74853450" w:rsidR="00345C6C" w:rsidRPr="00B81E61" w:rsidRDefault="00345C6C" w:rsidP="00345C6C">
      <w:pPr>
        <w:pStyle w:val="texto"/>
        <w:rPr>
          <w:color w:val="000000" w:themeColor="text1"/>
        </w:rPr>
      </w:pPr>
      <w:r>
        <w:rPr>
          <w:color w:val="000000" w:themeColor="text1"/>
        </w:rPr>
        <w:t>Toki Ogasunei buruzko martxoaren 10eko 2/1995 Foru Legeak  (TOFL) ezartzen du zein epe dituzten toki entitateek ekitaldi bakoitzeko kontu orokorra onetsi eta Gobernuari bidaltzeko. Bada, kontuan hartuta epe horiek eta informazio horren tratamenduaren konplexutasuna, ulertzekoa da 2020ko ekitaldiari buruzko txostena lehenago egin ezin izana.</w:t>
      </w:r>
    </w:p>
    <w:p w14:paraId="2CE1A82F" w14:textId="77777777" w:rsidR="00345C6C" w:rsidRPr="00B81E61" w:rsidRDefault="00345C6C" w:rsidP="00345C6C">
      <w:pPr>
        <w:pStyle w:val="texto"/>
        <w:rPr>
          <w:color w:val="000000" w:themeColor="text1"/>
        </w:rPr>
      </w:pPr>
      <w:r>
        <w:rPr>
          <w:color w:val="000000" w:themeColor="text1"/>
        </w:rPr>
        <w:t>Txostenarekin batera, gainera, bi eranskin daude, honako hauek biltzen dituztenak: Nafarroako toki entitateetan 2020an aplikatzekoa den araudia, eta toki sektore publikoaren 2020ko finantza egoerari buruz Nafarroako Gobernuko Toki Administrazioaren eta Despopulazioaren Zuzendaritza Nagusiak (TADZN) egindako txostena.</w:t>
      </w:r>
    </w:p>
    <w:p w14:paraId="67FDE186" w14:textId="5997AF04" w:rsidR="00345C6C" w:rsidRPr="00B81E61" w:rsidRDefault="00345C6C" w:rsidP="00345C6C">
      <w:pPr>
        <w:pStyle w:val="texto"/>
        <w:rPr>
          <w:color w:val="000000" w:themeColor="text1"/>
        </w:rPr>
      </w:pPr>
      <w:r>
        <w:rPr>
          <w:color w:val="000000" w:themeColor="text1"/>
        </w:rPr>
        <w:t xml:space="preserve">Lana 2022ko azaroan eta abenduan egin du auditoretzako bi teknikarik eta </w:t>
      </w:r>
      <w:proofErr w:type="spellStart"/>
      <w:r>
        <w:rPr>
          <w:color w:val="000000" w:themeColor="text1"/>
        </w:rPr>
        <w:t>auditore</w:t>
      </w:r>
      <w:proofErr w:type="spellEnd"/>
      <w:r>
        <w:rPr>
          <w:color w:val="000000" w:themeColor="text1"/>
        </w:rPr>
        <w:t xml:space="preserve"> batek osatutako lantaldeak, Kontuen Ganberaren zerbitzu juridikoekin, informatikoekin eta administratiboekin lankidetzan.</w:t>
      </w:r>
    </w:p>
    <w:p w14:paraId="11C1B257" w14:textId="77777777" w:rsidR="00345C6C" w:rsidRDefault="00345C6C" w:rsidP="00345C6C">
      <w:pPr>
        <w:pStyle w:val="texto"/>
        <w:rPr>
          <w:color w:val="000000" w:themeColor="text1"/>
        </w:rPr>
      </w:pPr>
      <w:r>
        <w:rPr>
          <w:color w:val="000000" w:themeColor="text1"/>
        </w:rPr>
        <w:t>Eskerrak ematen dizkiegu Toki Administrazioaren eta Despopulazioaren Zuzendaritza Nagusiko, Nafarroako Udal eta Kontzejuen Federazioko eta Nafarroako toki entitateetako langileei lan hau egiteko eman diguten laguntzarengatik.</w:t>
      </w:r>
    </w:p>
    <w:p w14:paraId="4EE37338" w14:textId="77777777" w:rsidR="00A3668A" w:rsidRDefault="00A3668A" w:rsidP="00345C6C">
      <w:pPr>
        <w:pStyle w:val="texto"/>
        <w:rPr>
          <w:color w:val="000000" w:themeColor="text1"/>
        </w:rPr>
      </w:pPr>
      <w:r>
        <w:rPr>
          <w:color w:val="000000" w:themeColor="text1"/>
        </w:rPr>
        <w:t>Txosteneko diru kopuruak biribildu egin dira zentimorik ez agertzeko. Datuek beti adierazten dute balio zehatz bakoitza biribilduta, eta ez biribildutako datuen batura. Ehunekoak ere balio zehatzen gainean kalkulatuta daude, eta ez biribildutako balioen gainean.</w:t>
      </w:r>
    </w:p>
    <w:p w14:paraId="06C80D5B" w14:textId="77777777" w:rsidR="00345C6C" w:rsidRPr="00822A40" w:rsidRDefault="00345C6C" w:rsidP="00345C6C">
      <w:pPr>
        <w:pStyle w:val="texto"/>
      </w:pPr>
    </w:p>
    <w:p w14:paraId="43B4FFA6" w14:textId="77777777" w:rsidR="00345C6C" w:rsidRDefault="00345C6C" w:rsidP="00345C6C">
      <w:pPr>
        <w:autoSpaceDE w:val="0"/>
        <w:autoSpaceDN w:val="0"/>
        <w:adjustRightInd w:val="0"/>
        <w:spacing w:after="0"/>
        <w:ind w:firstLine="0"/>
        <w:rPr>
          <w:color w:val="000000" w:themeColor="text1"/>
        </w:rPr>
      </w:pPr>
    </w:p>
    <w:p w14:paraId="11C067DD" w14:textId="77777777" w:rsidR="00683931" w:rsidRDefault="00683931" w:rsidP="00345C6C">
      <w:pPr>
        <w:autoSpaceDE w:val="0"/>
        <w:autoSpaceDN w:val="0"/>
        <w:adjustRightInd w:val="0"/>
        <w:spacing w:after="0"/>
        <w:ind w:firstLine="0"/>
        <w:rPr>
          <w:color w:val="000000" w:themeColor="text1"/>
        </w:rPr>
      </w:pPr>
    </w:p>
    <w:p w14:paraId="1D5D339F" w14:textId="77777777" w:rsidR="00683931" w:rsidRDefault="00683931" w:rsidP="00345C6C">
      <w:pPr>
        <w:autoSpaceDE w:val="0"/>
        <w:autoSpaceDN w:val="0"/>
        <w:adjustRightInd w:val="0"/>
        <w:spacing w:after="0"/>
        <w:ind w:firstLine="0"/>
        <w:rPr>
          <w:color w:val="000000" w:themeColor="text1"/>
        </w:rPr>
      </w:pPr>
    </w:p>
    <w:p w14:paraId="1B92264B" w14:textId="77777777" w:rsidR="00683931" w:rsidRDefault="00683931" w:rsidP="00345C6C">
      <w:pPr>
        <w:autoSpaceDE w:val="0"/>
        <w:autoSpaceDN w:val="0"/>
        <w:adjustRightInd w:val="0"/>
        <w:spacing w:after="0"/>
        <w:ind w:firstLine="0"/>
        <w:rPr>
          <w:color w:val="000000" w:themeColor="text1"/>
        </w:rPr>
      </w:pPr>
    </w:p>
    <w:p w14:paraId="50D3C251" w14:textId="77777777" w:rsidR="00683931" w:rsidRDefault="00683931" w:rsidP="00345C6C">
      <w:pPr>
        <w:autoSpaceDE w:val="0"/>
        <w:autoSpaceDN w:val="0"/>
        <w:adjustRightInd w:val="0"/>
        <w:spacing w:after="0"/>
        <w:ind w:firstLine="0"/>
        <w:rPr>
          <w:color w:val="000000" w:themeColor="text1"/>
        </w:rPr>
      </w:pPr>
    </w:p>
    <w:p w14:paraId="66D28AAB" w14:textId="77777777" w:rsidR="00683931" w:rsidRDefault="00683931" w:rsidP="00345C6C">
      <w:pPr>
        <w:autoSpaceDE w:val="0"/>
        <w:autoSpaceDN w:val="0"/>
        <w:adjustRightInd w:val="0"/>
        <w:spacing w:after="0"/>
        <w:ind w:firstLine="0"/>
        <w:rPr>
          <w:color w:val="000000" w:themeColor="text1"/>
        </w:rPr>
      </w:pPr>
    </w:p>
    <w:p w14:paraId="361EBBE1" w14:textId="77777777" w:rsidR="00683931" w:rsidRDefault="00683931" w:rsidP="00345C6C">
      <w:pPr>
        <w:autoSpaceDE w:val="0"/>
        <w:autoSpaceDN w:val="0"/>
        <w:adjustRightInd w:val="0"/>
        <w:spacing w:after="0"/>
        <w:ind w:firstLine="0"/>
        <w:rPr>
          <w:color w:val="000000" w:themeColor="text1"/>
        </w:rPr>
      </w:pPr>
    </w:p>
    <w:p w14:paraId="541A86F2" w14:textId="77777777" w:rsidR="00683931" w:rsidRDefault="00683931" w:rsidP="00345C6C">
      <w:pPr>
        <w:autoSpaceDE w:val="0"/>
        <w:autoSpaceDN w:val="0"/>
        <w:adjustRightInd w:val="0"/>
        <w:spacing w:after="0"/>
        <w:ind w:firstLine="0"/>
        <w:rPr>
          <w:color w:val="000000" w:themeColor="text1"/>
        </w:rPr>
      </w:pPr>
    </w:p>
    <w:p w14:paraId="18B7D473" w14:textId="77777777" w:rsidR="00683931" w:rsidRDefault="00683931" w:rsidP="00345C6C">
      <w:pPr>
        <w:autoSpaceDE w:val="0"/>
        <w:autoSpaceDN w:val="0"/>
        <w:adjustRightInd w:val="0"/>
        <w:spacing w:after="0"/>
        <w:ind w:firstLine="0"/>
        <w:rPr>
          <w:color w:val="000000" w:themeColor="text1"/>
        </w:rPr>
      </w:pPr>
    </w:p>
    <w:p w14:paraId="5F5DEDC8" w14:textId="687AD1E9" w:rsidR="004248BF" w:rsidRDefault="004248BF" w:rsidP="00345C6C">
      <w:pPr>
        <w:autoSpaceDE w:val="0"/>
        <w:autoSpaceDN w:val="0"/>
        <w:adjustRightInd w:val="0"/>
        <w:spacing w:after="0"/>
        <w:ind w:firstLine="0"/>
        <w:rPr>
          <w:color w:val="000000" w:themeColor="text1"/>
        </w:rPr>
      </w:pPr>
      <w:r>
        <w:br w:type="page"/>
      </w:r>
    </w:p>
    <w:p w14:paraId="3177FFBA" w14:textId="77777777" w:rsidR="00683931" w:rsidRPr="004248BF" w:rsidRDefault="00683931" w:rsidP="004248BF">
      <w:pPr>
        <w:pStyle w:val="Ttulo1"/>
        <w:ind w:firstLine="0"/>
        <w:rPr>
          <w:szCs w:val="25"/>
        </w:rPr>
      </w:pPr>
      <w:bookmarkStart w:id="10" w:name="_Toc217455261"/>
      <w:bookmarkStart w:id="11" w:name="_Toc527634608"/>
      <w:bookmarkStart w:id="12" w:name="_Toc529773875"/>
      <w:bookmarkStart w:id="13" w:name="_Toc531088341"/>
      <w:bookmarkStart w:id="14" w:name="_Toc24100140"/>
      <w:bookmarkStart w:id="15" w:name="_Toc52348288"/>
      <w:bookmarkStart w:id="16" w:name="_Toc88727713"/>
      <w:bookmarkStart w:id="17" w:name="_Toc121292759"/>
      <w:bookmarkStart w:id="18" w:name="_Toc121293082"/>
      <w:bookmarkStart w:id="19" w:name="_Toc291067875"/>
      <w:bookmarkStart w:id="20" w:name="_Toc399916258"/>
      <w:bookmarkStart w:id="21" w:name="_Toc465686681"/>
      <w:bookmarkStart w:id="22" w:name="_Toc126061964"/>
      <w:r>
        <w:lastRenderedPageBreak/>
        <w:t>II. Helburuak</w:t>
      </w:r>
      <w:bookmarkEnd w:id="10"/>
      <w:r>
        <w:t>, norainokoa eta mugak</w:t>
      </w:r>
      <w:bookmarkEnd w:id="11"/>
      <w:bookmarkEnd w:id="12"/>
      <w:bookmarkEnd w:id="13"/>
      <w:bookmarkEnd w:id="14"/>
      <w:bookmarkEnd w:id="15"/>
      <w:bookmarkEnd w:id="16"/>
      <w:bookmarkEnd w:id="22"/>
      <w:r>
        <w:t xml:space="preserve"> </w:t>
      </w:r>
    </w:p>
    <w:p w14:paraId="639A55E4" w14:textId="77777777" w:rsidR="00683931" w:rsidRPr="00B81E61" w:rsidRDefault="00683931" w:rsidP="00683931">
      <w:pPr>
        <w:pStyle w:val="texto"/>
        <w:rPr>
          <w:color w:val="000000" w:themeColor="text1"/>
          <w:szCs w:val="26"/>
        </w:rPr>
      </w:pPr>
      <w:r>
        <w:rPr>
          <w:color w:val="000000" w:themeColor="text1"/>
        </w:rPr>
        <w:t>Lan honen helburuak hauek izan dira:</w:t>
      </w:r>
    </w:p>
    <w:p w14:paraId="32DDE512" w14:textId="77777777" w:rsidR="00683931" w:rsidRPr="00B81E61" w:rsidRDefault="00683931" w:rsidP="0068393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Ganbera honek Nafarroako toki entitateen esparruan 2020ko ekitaldiari buruz egin dituen fiskalizazio jarduketak laburbiltzea.</w:t>
      </w:r>
    </w:p>
    <w:p w14:paraId="05A9A3D5" w14:textId="77777777" w:rsidR="00683931" w:rsidRDefault="00683931" w:rsidP="0068393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Nafarroako toki entitateen 2020ko finantza egoeraren eta antolamenduaren ikuspegi bat ematea Parlamentuari, administrazio publikoei eta Nafarroako gizarteari.</w:t>
      </w:r>
    </w:p>
    <w:p w14:paraId="57FED002" w14:textId="50178368" w:rsidR="00683931" w:rsidRPr="00CE2ACA" w:rsidRDefault="003118C4" w:rsidP="0068393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spacing w:val="2"/>
        </w:rPr>
      </w:pPr>
      <w:r>
        <w:rPr>
          <w:color w:val="000000" w:themeColor="text1"/>
        </w:rPr>
        <w:t>Toki entitateek ekitaldi horretan egindako kontratazioa aztertzea.</w:t>
      </w:r>
    </w:p>
    <w:p w14:paraId="1B028938" w14:textId="77777777" w:rsidR="000259CF" w:rsidRPr="000259CF" w:rsidRDefault="000259CF" w:rsidP="000259CF">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 xml:space="preserve">2020ko jarduera dela eta toki entitateetako kontu-hartzailetzak diru-sarreren arloan azaldutako anomaliak eta eragozpen-oharrak aztertzea. </w:t>
      </w:r>
    </w:p>
    <w:p w14:paraId="657ECE51" w14:textId="77777777" w:rsidR="00683931" w:rsidRDefault="00683931" w:rsidP="0068393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Adierazpen multzo bat harturik, konparazioa egitea biztanleria-tarte desberdinetako Nafarroako udalen artean, bai eta horien eta EAEko udalen artean eta Estatuko gainerakoen artean ere.</w:t>
      </w:r>
    </w:p>
    <w:p w14:paraId="4CBDE15A" w14:textId="131447C5" w:rsidR="00683931" w:rsidRDefault="00104149" w:rsidP="0068393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Toki sektore publikoaren kudeaketa hobetzeko gomendioak egitea.</w:t>
      </w:r>
    </w:p>
    <w:p w14:paraId="2B7B1110" w14:textId="77777777" w:rsidR="00683931" w:rsidRPr="00B81E61" w:rsidRDefault="00683931" w:rsidP="00683931">
      <w:pPr>
        <w:pStyle w:val="texto"/>
        <w:tabs>
          <w:tab w:val="clear" w:pos="2835"/>
          <w:tab w:val="clear" w:pos="3969"/>
          <w:tab w:val="clear" w:pos="5103"/>
          <w:tab w:val="clear" w:pos="6237"/>
          <w:tab w:val="clear" w:pos="7371"/>
          <w:tab w:val="left" w:pos="480"/>
          <w:tab w:val="num" w:pos="644"/>
          <w:tab w:val="num" w:pos="720"/>
          <w:tab w:val="num" w:pos="1320"/>
          <w:tab w:val="num" w:pos="5606"/>
        </w:tabs>
        <w:ind w:firstLine="289"/>
        <w:rPr>
          <w:rFonts w:cs="Arial"/>
          <w:color w:val="000000" w:themeColor="text1"/>
        </w:rPr>
      </w:pPr>
      <w:r>
        <w:rPr>
          <w:color w:val="000000" w:themeColor="text1"/>
        </w:rPr>
        <w:t>Lanaren norainokoak toki entitateen 2020ko ekitaldiko kontu orokorra hartzen du; honako hauek osatzen dute kontu hori:</w:t>
      </w:r>
    </w:p>
    <w:p w14:paraId="2B4A64B6" w14:textId="77777777" w:rsidR="00683931" w:rsidRPr="00B81E61" w:rsidRDefault="00683931" w:rsidP="00683931">
      <w:pPr>
        <w:pStyle w:val="texto"/>
        <w:numPr>
          <w:ilvl w:val="0"/>
          <w:numId w:val="21"/>
        </w:numPr>
        <w:tabs>
          <w:tab w:val="clear" w:pos="2835"/>
          <w:tab w:val="clear" w:pos="3969"/>
          <w:tab w:val="clear" w:pos="5103"/>
          <w:tab w:val="clear" w:pos="6237"/>
          <w:tab w:val="clear" w:pos="7371"/>
          <w:tab w:val="left" w:pos="480"/>
          <w:tab w:val="num" w:pos="567"/>
          <w:tab w:val="num" w:pos="720"/>
          <w:tab w:val="num" w:pos="1320"/>
          <w:tab w:val="num" w:pos="5606"/>
        </w:tabs>
        <w:rPr>
          <w:rFonts w:cs="Arial"/>
          <w:color w:val="000000" w:themeColor="text1"/>
        </w:rPr>
      </w:pPr>
      <w:r>
        <w:rPr>
          <w:color w:val="000000" w:themeColor="text1"/>
        </w:rPr>
        <w:t>Toki entitatearen beraren kontua eta haren erakunde autonomoena.</w:t>
      </w:r>
    </w:p>
    <w:p w14:paraId="6006620C" w14:textId="77777777" w:rsidR="00683931" w:rsidRPr="00B81E61" w:rsidRDefault="00683931" w:rsidP="00683931">
      <w:pPr>
        <w:pStyle w:val="texto"/>
        <w:tabs>
          <w:tab w:val="clear" w:pos="2835"/>
          <w:tab w:val="clear" w:pos="3969"/>
          <w:tab w:val="clear" w:pos="5103"/>
          <w:tab w:val="clear" w:pos="6237"/>
          <w:tab w:val="clear" w:pos="7371"/>
          <w:tab w:val="left" w:pos="480"/>
          <w:tab w:val="num" w:pos="644"/>
          <w:tab w:val="num" w:pos="720"/>
          <w:tab w:val="num" w:pos="1320"/>
          <w:tab w:val="num" w:pos="5606"/>
        </w:tabs>
        <w:ind w:left="289" w:firstLine="0"/>
        <w:rPr>
          <w:rFonts w:cs="Arial"/>
          <w:color w:val="000000" w:themeColor="text1"/>
        </w:rPr>
      </w:pPr>
      <w:r>
        <w:rPr>
          <w:color w:val="000000" w:themeColor="text1"/>
        </w:rPr>
        <w:t>b) Merkataritzako sozietateena, horien kapitala oso-osorik kasuko toki entitatearena bada.</w:t>
      </w:r>
    </w:p>
    <w:p w14:paraId="6FEC4E95" w14:textId="77777777" w:rsidR="00683931" w:rsidRPr="00B81E61" w:rsidRDefault="00683931" w:rsidP="00683931">
      <w:pPr>
        <w:pStyle w:val="texto"/>
        <w:tabs>
          <w:tab w:val="clear" w:pos="2835"/>
          <w:tab w:val="clear" w:pos="3969"/>
          <w:tab w:val="clear" w:pos="5103"/>
          <w:tab w:val="clear" w:pos="6237"/>
          <w:tab w:val="clear" w:pos="7371"/>
          <w:tab w:val="left" w:pos="480"/>
          <w:tab w:val="num" w:pos="644"/>
          <w:tab w:val="num" w:pos="720"/>
          <w:tab w:val="num" w:pos="1320"/>
          <w:tab w:val="num" w:pos="5606"/>
        </w:tabs>
        <w:ind w:left="289" w:firstLine="0"/>
        <w:rPr>
          <w:rFonts w:cs="Arial"/>
          <w:color w:val="000000" w:themeColor="text1"/>
        </w:rPr>
      </w:pPr>
      <w:r>
        <w:rPr>
          <w:color w:val="000000" w:themeColor="text1"/>
        </w:rPr>
        <w:t>c) Eranskinak.</w:t>
      </w:r>
    </w:p>
    <w:p w14:paraId="578F9D5E" w14:textId="47939B72" w:rsidR="00683931" w:rsidRPr="00B81E61" w:rsidRDefault="005D0F2E" w:rsidP="00683931">
      <w:pPr>
        <w:pStyle w:val="texto"/>
        <w:tabs>
          <w:tab w:val="clear" w:pos="2835"/>
          <w:tab w:val="clear" w:pos="3969"/>
          <w:tab w:val="clear" w:pos="5103"/>
          <w:tab w:val="clear" w:pos="6237"/>
          <w:tab w:val="clear" w:pos="7371"/>
          <w:tab w:val="left" w:pos="851"/>
        </w:tabs>
        <w:spacing w:before="120" w:after="120"/>
        <w:rPr>
          <w:color w:val="000000" w:themeColor="text1"/>
          <w:szCs w:val="26"/>
        </w:rPr>
      </w:pPr>
      <w:r>
        <w:rPr>
          <w:color w:val="000000" w:themeColor="text1"/>
        </w:rPr>
        <w:t>Hauek ere aztertu dira: Nafarroako toki sektore publikoaren 2020ko finantza egoeraz Toki Administrazioaren eta Despopulazioaren Zuzendaritza Nagusiak egindako txostena, eta zuzendaritza nagusi horrek kudeatzen duen Toki Entitateen Erregistroko datuak, bai eta Kontratazio Publikorako Batzordearen mendeko Kontratuen Erregistrotik lortutako informazioa ere. Aztertu dira, halaber, aipatu ekitaldiari dagokionez Ganbera honek eman dituen fiskalizazio txostenak, eta barne kontrolari eta eragozpen-oharrei buruz Ganbera honek informazioa eskatutakoan toki entitateetako kontu-hartze organoek eman dituzten erantzunak.</w:t>
      </w:r>
    </w:p>
    <w:p w14:paraId="3B950713" w14:textId="05DEE448" w:rsidR="00683931" w:rsidRPr="00B81E61" w:rsidRDefault="00F20AA2" w:rsidP="00775B81">
      <w:pPr>
        <w:pStyle w:val="texto"/>
        <w:rPr>
          <w:color w:val="000000" w:themeColor="text1"/>
        </w:rPr>
      </w:pPr>
      <w:r>
        <w:rPr>
          <w:color w:val="000000" w:themeColor="text1"/>
        </w:rPr>
        <w:t>Gure lanerako muga bat izan da informazio ekonomiko-finantzariorik eta aurrekontukorik ez edukitzea 2020ko ekitaldiko beren kontu orokorra edo aurrekontuaren likidazioa Toki Administrazioaren eta Despopulazioaren Zuzendaritza Nagusiari 2022ko apirilaren amaieran bidali gabe zeuzkaten toki entitateei buruz; honako hauek dira, hain zuzen:</w:t>
      </w:r>
    </w:p>
    <w:p w14:paraId="5F3D3B44" w14:textId="72BCFA1D" w:rsidR="0073427D" w:rsidRDefault="00F20AA2" w:rsidP="00775B8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 xml:space="preserve">272 udalerrietatik 12: Arellano, Arguedas, Eratsun, Ezkurra, Goñi, Imotz, Itzaltzu, Olazti, Orkoien, Saldias, San Martin Unx eta Zuñiga. Udalerri horiek </w:t>
      </w:r>
      <w:r>
        <w:rPr>
          <w:color w:val="000000" w:themeColor="text1"/>
        </w:rPr>
        <w:lastRenderedPageBreak/>
        <w:t>9.586 biztanle dituzte, guztira; alegia, Nafarroak 2020ko urtarrilaren 1ean zituen biztanleen ehuneko 1,45.</w:t>
      </w:r>
    </w:p>
    <w:p w14:paraId="4B1797F6" w14:textId="14C4E721" w:rsidR="00AE3333" w:rsidRDefault="00F20AA2" w:rsidP="008974DA">
      <w:pPr>
        <w:pStyle w:val="texto"/>
        <w:numPr>
          <w:ilvl w:val="0"/>
          <w:numId w:val="12"/>
        </w:numPr>
        <w:tabs>
          <w:tab w:val="clear" w:pos="2835"/>
          <w:tab w:val="clear" w:pos="3969"/>
          <w:tab w:val="clear" w:pos="5103"/>
          <w:tab w:val="clear" w:pos="6237"/>
          <w:tab w:val="clear" w:pos="7371"/>
          <w:tab w:val="left" w:pos="480"/>
          <w:tab w:val="num" w:pos="720"/>
          <w:tab w:val="num" w:pos="1320"/>
        </w:tabs>
        <w:ind w:left="0" w:firstLine="426"/>
        <w:rPr>
          <w:rFonts w:cs="Arial"/>
          <w:color w:val="000000" w:themeColor="text1"/>
        </w:rPr>
      </w:pPr>
      <w:r>
        <w:rPr>
          <w:color w:val="000000" w:themeColor="text1"/>
        </w:rPr>
        <w:t xml:space="preserve">346 kontzejuetatik 68: Aizpun, Albiasu, Antzin, Ardatz Eguesibar, Arrieta, Astitz, </w:t>
      </w:r>
      <w:proofErr w:type="spellStart"/>
      <w:r>
        <w:rPr>
          <w:color w:val="000000" w:themeColor="text1"/>
        </w:rPr>
        <w:t>Asterain</w:t>
      </w:r>
      <w:proofErr w:type="spellEnd"/>
      <w:r>
        <w:rPr>
          <w:color w:val="000000" w:themeColor="text1"/>
        </w:rPr>
        <w:t xml:space="preserve">, Azparren, </w:t>
      </w:r>
      <w:proofErr w:type="spellStart"/>
      <w:r>
        <w:rPr>
          <w:color w:val="000000" w:themeColor="text1"/>
        </w:rPr>
        <w:t>Biotzari</w:t>
      </w:r>
      <w:proofErr w:type="spellEnd"/>
      <w:r>
        <w:rPr>
          <w:color w:val="000000" w:themeColor="text1"/>
        </w:rPr>
        <w:t xml:space="preserve">, Zizur Txikia, Eraso, Estenotz, Etsain, Etxaleku, </w:t>
      </w:r>
      <w:proofErr w:type="spellStart"/>
      <w:r>
        <w:rPr>
          <w:color w:val="000000" w:themeColor="text1"/>
        </w:rPr>
        <w:t>Galdio</w:t>
      </w:r>
      <w:proofErr w:type="spellEnd"/>
      <w:r>
        <w:rPr>
          <w:color w:val="000000" w:themeColor="text1"/>
        </w:rPr>
        <w:t xml:space="preserve">, Gazolatz, Goldaratz, Goñi, Igoa, </w:t>
      </w:r>
      <w:proofErr w:type="spellStart"/>
      <w:r>
        <w:rPr>
          <w:color w:val="000000" w:themeColor="text1"/>
        </w:rPr>
        <w:t>Ihaben</w:t>
      </w:r>
      <w:proofErr w:type="spellEnd"/>
      <w:r>
        <w:rPr>
          <w:color w:val="000000" w:themeColor="text1"/>
        </w:rPr>
        <w:t xml:space="preserve">, Inbuluzketa, Intza, Iragi, </w:t>
      </w:r>
      <w:proofErr w:type="spellStart"/>
      <w:r>
        <w:rPr>
          <w:color w:val="000000" w:themeColor="text1"/>
        </w:rPr>
        <w:t>Iruñela</w:t>
      </w:r>
      <w:proofErr w:type="spellEnd"/>
      <w:r>
        <w:rPr>
          <w:color w:val="000000" w:themeColor="text1"/>
        </w:rPr>
        <w:t xml:space="preserve">, Irurre, Itsaso, Iturgoien, Jauntsarats, Labeaga, Larraia, Larraiotz, Latasa, Lerate, Lintzoain, </w:t>
      </w:r>
      <w:proofErr w:type="spellStart"/>
      <w:r>
        <w:rPr>
          <w:color w:val="000000" w:themeColor="text1"/>
        </w:rPr>
        <w:t>Lizarragabengoa</w:t>
      </w:r>
      <w:proofErr w:type="spellEnd"/>
      <w:r>
        <w:rPr>
          <w:color w:val="000000" w:themeColor="text1"/>
        </w:rPr>
        <w:t xml:space="preserve">, Lizaso, Mendilibarri, Mezkiritz, </w:t>
      </w:r>
      <w:proofErr w:type="spellStart"/>
      <w:r>
        <w:rPr>
          <w:color w:val="000000" w:themeColor="text1"/>
        </w:rPr>
        <w:t>Muetz</w:t>
      </w:r>
      <w:proofErr w:type="spellEnd"/>
      <w:r>
        <w:rPr>
          <w:color w:val="000000" w:themeColor="text1"/>
        </w:rPr>
        <w:t xml:space="preserve">, </w:t>
      </w:r>
      <w:proofErr w:type="spellStart"/>
      <w:r>
        <w:rPr>
          <w:color w:val="000000" w:themeColor="text1"/>
        </w:rPr>
        <w:t>Amunarritz</w:t>
      </w:r>
      <w:proofErr w:type="spellEnd"/>
      <w:r>
        <w:rPr>
          <w:color w:val="000000" w:themeColor="text1"/>
        </w:rPr>
        <w:t xml:space="preserve">, Muniain Gesalatz, Murugarren, Muskitz, Nagore, Narbarte, Nuin, Oderitz, Oloritz, </w:t>
      </w:r>
      <w:proofErr w:type="spellStart"/>
      <w:r>
        <w:rPr>
          <w:color w:val="000000" w:themeColor="text1"/>
        </w:rPr>
        <w:t>Orondritz</w:t>
      </w:r>
      <w:proofErr w:type="spellEnd"/>
      <w:r>
        <w:rPr>
          <w:color w:val="000000" w:themeColor="text1"/>
        </w:rPr>
        <w:t xml:space="preserve">, </w:t>
      </w:r>
      <w:proofErr w:type="spellStart"/>
      <w:r>
        <w:rPr>
          <w:color w:val="000000" w:themeColor="text1"/>
        </w:rPr>
        <w:t>Otsakain</w:t>
      </w:r>
      <w:proofErr w:type="spellEnd"/>
      <w:r>
        <w:rPr>
          <w:color w:val="000000" w:themeColor="text1"/>
        </w:rPr>
        <w:t xml:space="preserve">, Otsakar, Oskotz, Paternain, </w:t>
      </w:r>
      <w:proofErr w:type="spellStart"/>
      <w:r>
        <w:rPr>
          <w:color w:val="000000" w:themeColor="text1"/>
        </w:rPr>
        <w:t>Saigots</w:t>
      </w:r>
      <w:proofErr w:type="spellEnd"/>
      <w:r>
        <w:rPr>
          <w:color w:val="000000" w:themeColor="text1"/>
        </w:rPr>
        <w:t xml:space="preserve">, </w:t>
      </w:r>
      <w:proofErr w:type="spellStart"/>
      <w:r>
        <w:rPr>
          <w:color w:val="000000" w:themeColor="text1"/>
        </w:rPr>
        <w:t>Getze</w:t>
      </w:r>
      <w:proofErr w:type="spellEnd"/>
      <w:r>
        <w:rPr>
          <w:color w:val="000000" w:themeColor="text1"/>
        </w:rPr>
        <w:t xml:space="preserve"> Galar, Saragueta, Sorauren, Untziti, Undio, Untzu, </w:t>
      </w:r>
      <w:proofErr w:type="spellStart"/>
      <w:r>
        <w:rPr>
          <w:color w:val="000000" w:themeColor="text1"/>
        </w:rPr>
        <w:t>Urdotz</w:t>
      </w:r>
      <w:proofErr w:type="spellEnd"/>
      <w:r>
        <w:rPr>
          <w:color w:val="000000" w:themeColor="text1"/>
        </w:rPr>
        <w:t xml:space="preserve">, Uritz, Urritza, Hiriberri Artzibar, </w:t>
      </w:r>
      <w:proofErr w:type="spellStart"/>
      <w:r>
        <w:rPr>
          <w:color w:val="000000" w:themeColor="text1"/>
        </w:rPr>
        <w:t>Billabeta</w:t>
      </w:r>
      <w:proofErr w:type="spellEnd"/>
      <w:r>
        <w:rPr>
          <w:color w:val="000000" w:themeColor="text1"/>
        </w:rPr>
        <w:t xml:space="preserve">, Zarikiegi, Zarrantz, </w:t>
      </w:r>
      <w:proofErr w:type="spellStart"/>
      <w:r>
        <w:rPr>
          <w:color w:val="000000" w:themeColor="text1"/>
        </w:rPr>
        <w:t>Zurukuain</w:t>
      </w:r>
      <w:proofErr w:type="spellEnd"/>
      <w:r>
        <w:rPr>
          <w:color w:val="000000" w:themeColor="text1"/>
        </w:rPr>
        <w:t xml:space="preserve">. Kontzeju horien biztanleria 7.580 pertsonakoa da. Nafarroako guztizko biztanleriaren ehuneko 1,15 egiten du, eta kontzejuetako biztanleriaren ehuneko 18,14. </w:t>
      </w:r>
    </w:p>
    <w:p w14:paraId="632DA6A9" w14:textId="4AA08BA6" w:rsidR="00683931" w:rsidRPr="006B1D1B" w:rsidRDefault="00683931" w:rsidP="008974DA">
      <w:pPr>
        <w:ind w:firstLine="284"/>
        <w:rPr>
          <w:rFonts w:cs="Arial"/>
          <w:color w:val="000000" w:themeColor="text1"/>
          <w:spacing w:val="6"/>
          <w:sz w:val="26"/>
          <w:szCs w:val="24"/>
          <w:highlight w:val="yellow"/>
        </w:rPr>
      </w:pPr>
      <w:r>
        <w:rPr>
          <w:color w:val="000000" w:themeColor="text1"/>
          <w:sz w:val="26"/>
        </w:rPr>
        <w:t>Nabarmentzekoa da Zizur Zendeako zortzi kontzejuetatik zazpik ez dutela konturik eman; guztira 3.810 biztanle dituzte.</w:t>
      </w:r>
    </w:p>
    <w:p w14:paraId="695F899E" w14:textId="46E5FDB5" w:rsidR="00683931" w:rsidRPr="00775B81" w:rsidRDefault="00775B81" w:rsidP="00543D5A">
      <w:pPr>
        <w:pStyle w:val="texto"/>
        <w:numPr>
          <w:ilvl w:val="0"/>
          <w:numId w:val="12"/>
        </w:numPr>
        <w:tabs>
          <w:tab w:val="clear" w:pos="2835"/>
          <w:tab w:val="clear" w:pos="3969"/>
          <w:tab w:val="clear" w:pos="5103"/>
          <w:tab w:val="clear" w:pos="6237"/>
          <w:tab w:val="clear" w:pos="7371"/>
          <w:tab w:val="left" w:pos="480"/>
          <w:tab w:val="num" w:pos="720"/>
          <w:tab w:val="num" w:pos="1320"/>
        </w:tabs>
        <w:ind w:left="0" w:firstLine="426"/>
        <w:rPr>
          <w:rFonts w:cs="Arial"/>
          <w:color w:val="000000" w:themeColor="text1"/>
        </w:rPr>
      </w:pPr>
      <w:r>
        <w:rPr>
          <w:color w:val="000000" w:themeColor="text1"/>
        </w:rPr>
        <w:t xml:space="preserve">83 mankomunitate eta batasunetatik 11: Burgi, Bidankoze eta Gardeko Udal Batasuna, Faltzesko eta Miranda Argako Udalerrietako Administrazio Zerbitzuen Batasuna, Errege Bardeako Komunitatea, Leitza, Goizueta, Areso eta Aranoko Oinarrizko Gizarte Zerbitzuaren kudeaketarako Mankomunitatea, Aberin-Arellano-Morentin Langileriaren Mankomunitatea, Ezka-Zaraitzuko Hondakin Solidoen Mankomunitatea, Zangozako Eskualdeko Zerbitzuen Mankomunitatea, Erriberri aldeko Oinarrizko Gizarte Zerbitzuen Mankomunitatea, </w:t>
      </w:r>
      <w:proofErr w:type="spellStart"/>
      <w:r>
        <w:rPr>
          <w:color w:val="000000" w:themeColor="text1"/>
        </w:rPr>
        <w:t>Araxesgoieneko</w:t>
      </w:r>
      <w:proofErr w:type="spellEnd"/>
      <w:r>
        <w:rPr>
          <w:color w:val="000000" w:themeColor="text1"/>
        </w:rPr>
        <w:t xml:space="preserve"> Mankomunitatea, Euskara kudeatzeko Nafarroako Iparraldeko Mankomunitatea eta Orreaga Kirol Mankomunitatea. </w:t>
      </w:r>
    </w:p>
    <w:p w14:paraId="112F65A4" w14:textId="23407E7D" w:rsidR="00543D5A" w:rsidRDefault="00683931" w:rsidP="00543D5A">
      <w:pPr>
        <w:pStyle w:val="texto"/>
        <w:rPr>
          <w:color w:val="000000" w:themeColor="text1"/>
        </w:rPr>
      </w:pPr>
      <w:r>
        <w:rPr>
          <w:color w:val="000000" w:themeColor="text1"/>
        </w:rPr>
        <w:t xml:space="preserve">Bestalde, komeni da zehaztea finantza egoeraren azterketa horretan toki entitateen eta haien erakunde autonomoen aurrekontuetako datu bateratuak erabili direla funtsean, nahiz eta, zenbait alderdiri buruz aurkezten den informazioan, sozietate hauek ere sartu diren: Iruñerriko Zerbitzuak SA (SCPSA), </w:t>
      </w:r>
      <w:proofErr w:type="spellStart"/>
      <w:r>
        <w:rPr>
          <w:color w:val="000000" w:themeColor="text1"/>
        </w:rPr>
        <w:t>Servicios</w:t>
      </w:r>
      <w:proofErr w:type="spellEnd"/>
      <w:r>
        <w:rPr>
          <w:color w:val="000000" w:themeColor="text1"/>
        </w:rPr>
        <w:t xml:space="preserve"> </w:t>
      </w:r>
      <w:proofErr w:type="spellStart"/>
      <w:r>
        <w:rPr>
          <w:color w:val="000000" w:themeColor="text1"/>
        </w:rPr>
        <w:t>Técnicos</w:t>
      </w:r>
      <w:proofErr w:type="spellEnd"/>
      <w:r>
        <w:rPr>
          <w:color w:val="000000" w:themeColor="text1"/>
        </w:rPr>
        <w:t xml:space="preserve"> </w:t>
      </w:r>
      <w:proofErr w:type="spellStart"/>
      <w:r>
        <w:rPr>
          <w:color w:val="000000" w:themeColor="text1"/>
        </w:rPr>
        <w:t>Mancomunados</w:t>
      </w:r>
      <w:proofErr w:type="spellEnd"/>
      <w:r>
        <w:rPr>
          <w:color w:val="000000" w:themeColor="text1"/>
        </w:rPr>
        <w:t xml:space="preserve"> SLU (</w:t>
      </w:r>
      <w:proofErr w:type="spellStart"/>
      <w:r>
        <w:rPr>
          <w:color w:val="000000" w:themeColor="text1"/>
        </w:rPr>
        <w:t>Sertecma</w:t>
      </w:r>
      <w:proofErr w:type="spellEnd"/>
      <w:r>
        <w:rPr>
          <w:color w:val="000000" w:themeColor="text1"/>
        </w:rPr>
        <w:t xml:space="preserve">) eta </w:t>
      </w:r>
      <w:proofErr w:type="spellStart"/>
      <w:r>
        <w:rPr>
          <w:color w:val="000000" w:themeColor="text1"/>
        </w:rPr>
        <w:t>Servicios</w:t>
      </w:r>
      <w:proofErr w:type="spellEnd"/>
      <w:r>
        <w:rPr>
          <w:color w:val="000000" w:themeColor="text1"/>
        </w:rPr>
        <w:t xml:space="preserve"> de la </w:t>
      </w:r>
      <w:proofErr w:type="spellStart"/>
      <w:r>
        <w:rPr>
          <w:color w:val="000000" w:themeColor="text1"/>
        </w:rPr>
        <w:t>Mancomunidad</w:t>
      </w:r>
      <w:proofErr w:type="spellEnd"/>
      <w:r>
        <w:rPr>
          <w:color w:val="000000" w:themeColor="text1"/>
        </w:rPr>
        <w:t xml:space="preserve"> de </w:t>
      </w:r>
      <w:proofErr w:type="spellStart"/>
      <w:r>
        <w:rPr>
          <w:color w:val="000000" w:themeColor="text1"/>
        </w:rPr>
        <w:t>Montejurra</w:t>
      </w:r>
      <w:proofErr w:type="spellEnd"/>
      <w:r>
        <w:rPr>
          <w:color w:val="000000" w:themeColor="text1"/>
        </w:rPr>
        <w:t xml:space="preserve"> SA (SMSA). Zorpetzearen azterketan bai sartu dela udal eta mankomunitateen menpeko sozietate guztien baterakuntza. Fundazio publikoak eta partzuergoak, berriz, ez dira sartu inongo baterakuntzatan.</w:t>
      </w:r>
    </w:p>
    <w:p w14:paraId="625B05FD" w14:textId="77777777" w:rsidR="00683931" w:rsidRPr="00B81E61" w:rsidRDefault="00683931" w:rsidP="00543D5A">
      <w:pPr>
        <w:pStyle w:val="texto"/>
        <w:rPr>
          <w:color w:val="000000" w:themeColor="text1"/>
        </w:rPr>
      </w:pPr>
      <w:r>
        <w:rPr>
          <w:color w:val="000000" w:themeColor="text1"/>
        </w:rPr>
        <w:t>Nahiz eta informazio faltaren ondorioz norainokoak muga hori izan duen, uste dugu gure lanean lortutako konklusioak, datu horiek eduki izan bagenitu ere, ez liratekeela oso desberdinak izanen.</w:t>
      </w:r>
    </w:p>
    <w:p w14:paraId="5901AAB4" w14:textId="77777777" w:rsidR="00683931" w:rsidRPr="00B81E61" w:rsidRDefault="00683931" w:rsidP="00543D5A">
      <w:pPr>
        <w:rPr>
          <w:rFonts w:cs="Arial"/>
          <w:color w:val="000000" w:themeColor="text1"/>
          <w:spacing w:val="6"/>
          <w:sz w:val="26"/>
          <w:szCs w:val="24"/>
        </w:rPr>
      </w:pPr>
      <w:r>
        <w:br w:type="page"/>
      </w:r>
      <w:bookmarkEnd w:id="17"/>
      <w:bookmarkEnd w:id="18"/>
      <w:bookmarkEnd w:id="19"/>
      <w:bookmarkEnd w:id="20"/>
      <w:bookmarkEnd w:id="21"/>
    </w:p>
    <w:p w14:paraId="2FFE9588" w14:textId="60E04D11" w:rsidR="00683931" w:rsidRPr="004248BF" w:rsidRDefault="00683931" w:rsidP="004248BF">
      <w:pPr>
        <w:pStyle w:val="Ttulo1"/>
        <w:ind w:firstLine="0"/>
        <w:rPr>
          <w:szCs w:val="25"/>
        </w:rPr>
      </w:pPr>
      <w:bookmarkStart w:id="23" w:name="_Toc24100149"/>
      <w:bookmarkStart w:id="24" w:name="_Toc52348327"/>
      <w:bookmarkStart w:id="25" w:name="_Toc88727722"/>
      <w:bookmarkStart w:id="26" w:name="_Toc126061965"/>
      <w:r>
        <w:lastRenderedPageBreak/>
        <w:t>III. Konklusioak eta gomendioak</w:t>
      </w:r>
      <w:bookmarkEnd w:id="23"/>
      <w:bookmarkEnd w:id="24"/>
      <w:bookmarkEnd w:id="25"/>
      <w:bookmarkEnd w:id="26"/>
    </w:p>
    <w:p w14:paraId="38352DE2" w14:textId="2CD80938" w:rsidR="00982B6E" w:rsidRDefault="00982B6E" w:rsidP="00982B6E">
      <w:pPr>
        <w:pStyle w:val="Ttulo2"/>
      </w:pPr>
      <w:bookmarkStart w:id="27" w:name="_Toc126061966"/>
      <w:r>
        <w:t>III.1. Konklusioak</w:t>
      </w:r>
      <w:bookmarkEnd w:id="27"/>
    </w:p>
    <w:p w14:paraId="54BB4996" w14:textId="1DD9B363" w:rsidR="00683931" w:rsidRDefault="00683931" w:rsidP="0029777F">
      <w:pPr>
        <w:pStyle w:val="texto"/>
        <w:rPr>
          <w:color w:val="000000" w:themeColor="text1"/>
        </w:rPr>
      </w:pPr>
      <w:r>
        <w:rPr>
          <w:color w:val="000000" w:themeColor="text1"/>
        </w:rPr>
        <w:t>Honako hauek dira 2020an toki sektore publikoak izandako antolamenduari, fiskalizazioari eta finantza egoerari buruzko konklusio nagusiak:</w:t>
      </w:r>
    </w:p>
    <w:p w14:paraId="43C398C3" w14:textId="77777777" w:rsidR="00B64D34" w:rsidRDefault="00B64D34" w:rsidP="0029777F">
      <w:pPr>
        <w:pStyle w:val="texto"/>
        <w:rPr>
          <w:color w:val="000000" w:themeColor="text1"/>
        </w:rPr>
      </w:pPr>
    </w:p>
    <w:p w14:paraId="3A5D8349" w14:textId="278EC730" w:rsidR="00291051" w:rsidRPr="00291051" w:rsidRDefault="00291051" w:rsidP="00291051">
      <w:pPr>
        <w:pStyle w:val="texto"/>
        <w:ind w:firstLine="0"/>
        <w:rPr>
          <w:i/>
          <w:color w:val="000000" w:themeColor="text1"/>
        </w:rPr>
      </w:pPr>
      <w:r>
        <w:rPr>
          <w:i/>
          <w:color w:val="000000" w:themeColor="text1"/>
        </w:rPr>
        <w:t>Toki sektore publikoaren osaera 2020an</w:t>
      </w:r>
    </w:p>
    <w:p w14:paraId="3002EEC3" w14:textId="77777777" w:rsidR="00683931" w:rsidRPr="00291051" w:rsidRDefault="00683931" w:rsidP="00291051">
      <w:pPr>
        <w:pStyle w:val="texto"/>
        <w:rPr>
          <w:color w:val="000000" w:themeColor="text1"/>
          <w:w w:val="103"/>
        </w:rPr>
      </w:pPr>
      <w:r>
        <w:rPr>
          <w:color w:val="000000" w:themeColor="text1"/>
        </w:rPr>
        <w:t>Toki sektore publikoak 701 toki entitate biltzen ditu: 272 udal, 346 kontzeju, 61 mankomunitate eta udalen 22 batasun. Toki entitate horiek 118 menpeko entitate sortu dituzte zerbitzuak emateko, eta 17 partzuergotan parte hartzen dute.</w:t>
      </w:r>
    </w:p>
    <w:p w14:paraId="7B8E7E8F" w14:textId="707F5CC6" w:rsidR="00683931" w:rsidRPr="00B81E61" w:rsidRDefault="00683931" w:rsidP="0029777F">
      <w:pPr>
        <w:pStyle w:val="texto"/>
        <w:rPr>
          <w:color w:val="000000" w:themeColor="text1"/>
          <w:szCs w:val="26"/>
        </w:rPr>
      </w:pPr>
      <w:r>
        <w:rPr>
          <w:color w:val="000000" w:themeColor="text1"/>
        </w:rPr>
        <w:t>Ganbera honek behin eta berriz adierazi du Nafarroako egungo udal antolaketan arrazionalizazio falta dagoela. Arazo horrek, bada, bere horretan dirau, Nafarroako udalerrien biztanleria-dimentsio murritzarekin batera. Kontu horiek eragina dute baliabideen horniduran, bai eta eskumenak kudeatzeko administrazio egitura egoki eta nahikoaren gabezian ere. Ondorioz, zerbitzu publiko eraginkor eta kalitatezkoak ematea zailtzen dute.</w:t>
      </w:r>
    </w:p>
    <w:p w14:paraId="249A3E58" w14:textId="268D987D" w:rsidR="00796A87" w:rsidRDefault="00683931" w:rsidP="0029777F">
      <w:pPr>
        <w:pStyle w:val="texto"/>
        <w:rPr>
          <w:color w:val="000000" w:themeColor="text1"/>
        </w:rPr>
      </w:pPr>
      <w:r>
        <w:rPr>
          <w:color w:val="000000" w:themeColor="text1"/>
        </w:rPr>
        <w:t>Horri dagokionez, 2019an Nafarroako Toki Administrazioaren Erreformarako otsailaren 4ko 4/2019 Foru Legea onetsi zen, helburutzat duena toki mapa eraldatu eta finantzaketa sistema berria ezartzea, behar diren arauak onetsita. 2020an ez zen halako araurik onetsi, eta eskualdeak sortzeko ekimena abiarazteko ezarritako epea amaitu zen. 2022an onetsi dira finantzaketa sistema berria taxutzen duten hiru foru legeak.</w:t>
      </w:r>
    </w:p>
    <w:p w14:paraId="1A857EC0" w14:textId="77777777" w:rsidR="00B64D34" w:rsidRDefault="00B64D34" w:rsidP="0029777F">
      <w:pPr>
        <w:pStyle w:val="texto"/>
        <w:rPr>
          <w:color w:val="000000" w:themeColor="text1"/>
        </w:rPr>
      </w:pPr>
    </w:p>
    <w:p w14:paraId="56C423B2" w14:textId="0D3515B8" w:rsidR="00291051" w:rsidRPr="00291051" w:rsidRDefault="00291051" w:rsidP="00291051">
      <w:pPr>
        <w:pStyle w:val="texto"/>
        <w:ind w:firstLine="0"/>
        <w:rPr>
          <w:i/>
          <w:color w:val="000000" w:themeColor="text1"/>
        </w:rPr>
      </w:pPr>
      <w:r>
        <w:rPr>
          <w:i/>
          <w:color w:val="000000" w:themeColor="text1"/>
        </w:rPr>
        <w:t>Kontuen Ganberak 2020ari buruz egindako fiskalizazio lanak</w:t>
      </w:r>
    </w:p>
    <w:p w14:paraId="2CEC6B7F" w14:textId="2D914226" w:rsidR="00683931" w:rsidRPr="00593AAE" w:rsidRDefault="00E737FF" w:rsidP="00291051">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Pr>
          <w:color w:val="000000" w:themeColor="text1"/>
        </w:rPr>
        <w:t xml:space="preserve">Ganbera honek finantza- eta legezkotasun-fiskalizazioa egin zuen Iruñeko Udalaren 2020ko jarduera ekonomiko-finantzarioari buruz.  Fiskalizazio horizontala ere egin zuen </w:t>
      </w:r>
      <w:proofErr w:type="spellStart"/>
      <w:r>
        <w:rPr>
          <w:color w:val="000000" w:themeColor="text1"/>
        </w:rPr>
        <w:t>Jurramendiko</w:t>
      </w:r>
      <w:proofErr w:type="spellEnd"/>
      <w:r>
        <w:rPr>
          <w:color w:val="000000" w:themeColor="text1"/>
        </w:rPr>
        <w:t xml:space="preserve"> Mankomunitatearen eta Lekunberri, Lodosa, Ribaforada eta Zangozako udalen langile-kontratazioari buruz (2015-2020), eta txosten bat, Urdazubiko Udalak 2020ko ekitaldian gomendioak betetzeari buruz.</w:t>
      </w:r>
    </w:p>
    <w:p w14:paraId="04E4BDD5" w14:textId="7C87000F" w:rsidR="00E737FF" w:rsidRDefault="00E737FF" w:rsidP="0029777F">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Pr>
          <w:color w:val="000000" w:themeColor="text1"/>
        </w:rPr>
        <w:t>Horrez gain, fiskalizazio operatiboko zenbait txosten egin ditu 2020ko ekitaldia denbora-norainokoaren barruan dutenak: “Lekunberriko Udalaren ur hornikuntza eta saneamenduaren zerbitzua” (2017-2020), “Etxeetako eta saltokietako hondakinak, nola hobetu administrazioen arteko koordinazioa kudeaketa eraginkorrago eta efizienteagoa lortzeko” (2020), eta “Administrazio elektronikoaren ezarpena Nafarroako 8.000 eta 20.000 biztanle bitarteko udaletan” (2020-2021).</w:t>
      </w:r>
    </w:p>
    <w:p w14:paraId="5BC7EC14" w14:textId="730C2823" w:rsidR="00291051" w:rsidRPr="00291051" w:rsidRDefault="00291051" w:rsidP="00291051">
      <w:pPr>
        <w:pStyle w:val="texto"/>
        <w:ind w:firstLine="0"/>
        <w:rPr>
          <w:i/>
          <w:color w:val="000000" w:themeColor="text1"/>
        </w:rPr>
      </w:pPr>
      <w:r>
        <w:rPr>
          <w:i/>
          <w:color w:val="000000" w:themeColor="text1"/>
        </w:rPr>
        <w:t>Toki sektore publikoaren finantza egoera 2020an</w:t>
      </w:r>
    </w:p>
    <w:p w14:paraId="54E143C1" w14:textId="25D24E4D" w:rsidR="00DC2AD3" w:rsidRDefault="00F32BCE" w:rsidP="00B64D34">
      <w:pPr>
        <w:pStyle w:val="texto"/>
        <w:tabs>
          <w:tab w:val="clear" w:pos="2835"/>
          <w:tab w:val="center" w:pos="567"/>
        </w:tabs>
        <w:rPr>
          <w:rFonts w:cs="Arial"/>
          <w:color w:val="000000" w:themeColor="text1"/>
        </w:rPr>
      </w:pPr>
      <w:r>
        <w:rPr>
          <w:color w:val="000000" w:themeColor="text1"/>
        </w:rPr>
        <w:t xml:space="preserve">Toki entitateek eta menpeko erakunde autonomoek, oro har, 2020an 855,31 milioiko diru-sarrerak lortu zituzten, erdiak transferentzien bidez eta ehuneko 44 </w:t>
      </w:r>
      <w:r>
        <w:rPr>
          <w:color w:val="000000" w:themeColor="text1"/>
        </w:rPr>
        <w:lastRenderedPageBreak/>
        <w:t>tributu-sarreren bidez. Gastuak 799,18 milioikoak izan ziren, eta ehuneko 81 funtzionamendu gastuak dira, batez ere langile-gastuak (ehuneko 39) eta ondasun arrunt eta zerbitzuetan egindakoak (ehuneko 32).</w:t>
      </w:r>
    </w:p>
    <w:p w14:paraId="60F127F7" w14:textId="62ADF28A" w:rsidR="00F32BCE" w:rsidRPr="00DC2AD3" w:rsidRDefault="005A7D1C" w:rsidP="0029777F">
      <w:pPr>
        <w:pStyle w:val="texto"/>
        <w:tabs>
          <w:tab w:val="clear" w:pos="2835"/>
          <w:tab w:val="center" w:pos="567"/>
        </w:tabs>
        <w:rPr>
          <w:rFonts w:cs="Arial"/>
          <w:color w:val="000000" w:themeColor="text1"/>
        </w:rPr>
      </w:pPr>
      <w:r>
        <w:rPr>
          <w:color w:val="000000" w:themeColor="text1"/>
        </w:rPr>
        <w:t>Aurreko ekitaldiarekin alderatuta, guztizko diru-sarrerak eta gastuak hurrenez hurren ehuneko lau eta ehuneko hamar murriztu ziren. Bilakaera horretan zerikusi handia izan dute COVID-19ak ekarritako osasun, gizarte eta ekonomia krisiaren ondorioek eta krisiari aurre egiteko hartutako neurriek.</w:t>
      </w:r>
    </w:p>
    <w:p w14:paraId="1E971B4E" w14:textId="0069438E" w:rsidR="00F32BCE" w:rsidRDefault="00CA59A0" w:rsidP="0029777F">
      <w:pPr>
        <w:pStyle w:val="texto"/>
        <w:tabs>
          <w:tab w:val="clear" w:pos="2835"/>
          <w:tab w:val="center" w:pos="567"/>
        </w:tabs>
        <w:rPr>
          <w:rFonts w:cs="Arial"/>
          <w:color w:val="000000" w:themeColor="text1"/>
        </w:rPr>
      </w:pPr>
      <w:r>
        <w:rPr>
          <w:color w:val="000000" w:themeColor="text1"/>
        </w:rPr>
        <w:t>Diru-sarrera arruntetan, jarduera ekonomiko eta sozialarekin zuzenean lotutakoek, hau da, tasa eta prezio publikoek eta zeharkako zergek, jaitsiera nabarmena izan dute, guztira 26,60 milioikoa.  Murrizketa hori hein handian konpentsatu dute jasotako transferentzia arrunt handiagoek, tartean COVID-19arekin berariaz lotutako 13,13 milioiek. Hala, bada, diru-sarrera arrunten guztizkoa ehuneko bat jaitsi da.</w:t>
      </w:r>
    </w:p>
    <w:p w14:paraId="25FF3A62" w14:textId="56856BB2" w:rsidR="00CA59A0" w:rsidRDefault="00CA59A0" w:rsidP="0029777F">
      <w:pPr>
        <w:pStyle w:val="texto"/>
        <w:tabs>
          <w:tab w:val="clear" w:pos="2835"/>
          <w:tab w:val="center" w:pos="567"/>
        </w:tabs>
        <w:rPr>
          <w:rFonts w:cs="Arial"/>
          <w:color w:val="000000" w:themeColor="text1"/>
        </w:rPr>
      </w:pPr>
      <w:r>
        <w:rPr>
          <w:color w:val="000000" w:themeColor="text1"/>
        </w:rPr>
        <w:t>Gastuei dagokienez, erabakigarria izan da kultura arloko politikarako gastu arrunta 22,68 milioi murriztu izana, jarduera, ekitaldi eta jaiak egiteari uztearen ondorioz. Beherakada hori partez neutralizatu du beste gastu batzuen igoerak, eta horien artean langile-gastuak nabarmendu dira, 12 milioi handituta, halako moldez non funtzionamendu gastu osoak ehuneko bi murriztu baitira.</w:t>
      </w:r>
    </w:p>
    <w:p w14:paraId="4B6F7A2C" w14:textId="6031B63B" w:rsidR="00640A31" w:rsidRDefault="00640A31" w:rsidP="0029777F">
      <w:pPr>
        <w:pStyle w:val="texto"/>
        <w:tabs>
          <w:tab w:val="clear" w:pos="2835"/>
          <w:tab w:val="center" w:pos="567"/>
        </w:tabs>
        <w:rPr>
          <w:rFonts w:cs="Arial"/>
          <w:color w:val="000000" w:themeColor="text1"/>
        </w:rPr>
      </w:pPr>
      <w:r>
        <w:rPr>
          <w:color w:val="000000" w:themeColor="text1"/>
        </w:rPr>
        <w:t>Emaitza gisa, toki entitateen eta haien erakunde autonomoen aurrezki gordina eta garbia hurrenez hurren 138,84 milioikoa eta 108,51 milioikoa izan dira. Aurreko ekitaldikoen oso antzeko zenbatekoak dira.</w:t>
      </w:r>
    </w:p>
    <w:p w14:paraId="0EAEC926" w14:textId="011F4FB4" w:rsidR="00640A31" w:rsidRDefault="00640A31" w:rsidP="0029777F">
      <w:pPr>
        <w:pStyle w:val="texto"/>
        <w:tabs>
          <w:tab w:val="clear" w:pos="2835"/>
          <w:tab w:val="center" w:pos="567"/>
        </w:tabs>
        <w:rPr>
          <w:rFonts w:cs="Arial"/>
          <w:color w:val="000000" w:themeColor="text1"/>
        </w:rPr>
      </w:pPr>
      <w:r>
        <w:rPr>
          <w:color w:val="000000" w:themeColor="text1"/>
        </w:rPr>
        <w:t xml:space="preserve">Beste alde batetik, kapitaleko diru-sarrerek eta gastuek jaitsiera oso nabaria izan dute, baina 2019ko kopuru handiak ohiz kanpokoak izan ziren. Izan ere, 2019ko ekitaldia azkena izan zuten 2017-2019 aldiko Toki Azpiegituren Planak eta 19/2018 Foru Legearen bidez onetsitako Inbertsio </w:t>
      </w:r>
      <w:proofErr w:type="spellStart"/>
      <w:r>
        <w:rPr>
          <w:color w:val="000000" w:themeColor="text1"/>
        </w:rPr>
        <w:t>Finantzarioki</w:t>
      </w:r>
      <w:proofErr w:type="spellEnd"/>
      <w:r>
        <w:rPr>
          <w:color w:val="000000" w:themeColor="text1"/>
        </w:rPr>
        <w:t xml:space="preserve"> Jasangarriei buruzko Planak. </w:t>
      </w:r>
    </w:p>
    <w:p w14:paraId="62675E24" w14:textId="181B131C" w:rsidR="00D871C5" w:rsidRDefault="007A56E6" w:rsidP="0029777F">
      <w:pPr>
        <w:pStyle w:val="texto"/>
        <w:tabs>
          <w:tab w:val="clear" w:pos="2835"/>
          <w:tab w:val="center" w:pos="567"/>
        </w:tabs>
        <w:rPr>
          <w:rFonts w:cs="Arial"/>
          <w:color w:val="000000" w:themeColor="text1"/>
        </w:rPr>
      </w:pPr>
      <w:r>
        <w:rPr>
          <w:color w:val="000000" w:themeColor="text1"/>
        </w:rPr>
        <w:t xml:space="preserve">Toki sektore publikoaren zor bizia, toki entitateak, haien mendeko erakunde publikoak eta haiek partaidetza osoa duten sozietate publikoak kontuan harturik, 137,74 milioikoa zen 2020 amaieran. Zenbateko hori diru-sarrera arrunten ehuneko 18 da. Urrun dauka ehuneko 110eko legezko muga, eta 2019ko aldean ehuneko 23 murriztu da. </w:t>
      </w:r>
    </w:p>
    <w:p w14:paraId="329372C8" w14:textId="65B7FF0E" w:rsidR="00D871C5" w:rsidRDefault="00D871C5" w:rsidP="0029777F">
      <w:pPr>
        <w:pStyle w:val="texto"/>
        <w:tabs>
          <w:tab w:val="clear" w:pos="2835"/>
          <w:tab w:val="center" w:pos="567"/>
        </w:tabs>
        <w:rPr>
          <w:rFonts w:cs="Arial"/>
          <w:color w:val="000000" w:themeColor="text1"/>
        </w:rPr>
      </w:pPr>
      <w:r>
        <w:rPr>
          <w:color w:val="000000" w:themeColor="text1"/>
        </w:rPr>
        <w:t>Bestalde, gastu orokorretarako diruzaintzako gerakina 26,35 milioi hazi da, azken urteetako goranzko joerari eutsiz.</w:t>
      </w:r>
    </w:p>
    <w:p w14:paraId="5DA7251E" w14:textId="32BC3DD0" w:rsidR="009B6237" w:rsidRDefault="009B6237" w:rsidP="0029777F">
      <w:pPr>
        <w:pStyle w:val="texto"/>
        <w:tabs>
          <w:tab w:val="clear" w:pos="2835"/>
          <w:tab w:val="center" w:pos="567"/>
        </w:tabs>
        <w:rPr>
          <w:rFonts w:cs="Arial"/>
          <w:color w:val="000000" w:themeColor="text1"/>
        </w:rPr>
      </w:pPr>
      <w:r>
        <w:rPr>
          <w:color w:val="000000" w:themeColor="text1"/>
        </w:rPr>
        <w:t xml:space="preserve">Aurrekontu-egonkortasun eta finantza-iraunkortasunaren alorrean, arau fiskal indardunak bete dira, eta pandemia dela eta </w:t>
      </w:r>
      <w:proofErr w:type="spellStart"/>
      <w:r>
        <w:rPr>
          <w:color w:val="000000" w:themeColor="text1"/>
        </w:rPr>
        <w:t>etendakoak</w:t>
      </w:r>
      <w:proofErr w:type="spellEnd"/>
      <w:r>
        <w:rPr>
          <w:color w:val="000000" w:themeColor="text1"/>
        </w:rPr>
        <w:t xml:space="preserve"> ere bete izanen ziren, nahiz eta “gastu araua” ezin den ebaluatu, ez dagoelako erreferentzia balio indardunik.</w:t>
      </w:r>
    </w:p>
    <w:p w14:paraId="642DE6F7" w14:textId="77777777" w:rsidR="009D46C5" w:rsidRPr="00305D02" w:rsidRDefault="009D46C5" w:rsidP="009D46C5">
      <w:pPr>
        <w:pStyle w:val="texto"/>
        <w:tabs>
          <w:tab w:val="clear" w:pos="2835"/>
          <w:tab w:val="center" w:pos="567"/>
        </w:tabs>
        <w:rPr>
          <w:rFonts w:cs="Arial"/>
          <w:color w:val="000000" w:themeColor="text1"/>
        </w:rPr>
      </w:pPr>
      <w:r>
        <w:rPr>
          <w:color w:val="000000" w:themeColor="text1"/>
        </w:rPr>
        <w:lastRenderedPageBreak/>
        <w:t xml:space="preserve">COVID-19aren pandemiak oso eragin garrantzitsua izan zuen Nafarroako toki entitateen jardueran. Guztizko diru-sarrera arruntak pixka bat jaitsi ziren, jarduera ekonomiko eta sozialarekin zuzenean lotutako diru-sarreren murrizketa neurri handian konpentsatu zuelako transferentzia arrunten bidezko diru-sarreren gehikuntzak. Funtzionamendu gastuak murriztu egin ziren, bertan behera gelditu zirelako hainbat jarduera, ekitaldi eta festa. Ondorioz, aurrezki gordina eta garbia aurreko ekitaldikoen oso antzekoak izan ziren, pandemia gorabehera. </w:t>
      </w:r>
    </w:p>
    <w:p w14:paraId="500279CE" w14:textId="77777777" w:rsidR="009D46C5" w:rsidRPr="00A81996" w:rsidRDefault="009D46C5" w:rsidP="00A81996">
      <w:pPr>
        <w:pStyle w:val="texto"/>
        <w:tabs>
          <w:tab w:val="clear" w:pos="2835"/>
          <w:tab w:val="center" w:pos="567"/>
        </w:tabs>
        <w:rPr>
          <w:rFonts w:cs="Arial"/>
          <w:color w:val="000000" w:themeColor="text1"/>
        </w:rPr>
      </w:pPr>
      <w:r>
        <w:rPr>
          <w:color w:val="000000" w:themeColor="text1"/>
        </w:rPr>
        <w:t>Hitz batez, toki sektore publikoaren 2020ko egoera ekonomiko orokorra saneatua izan zen, eta ez zuen okerrera egin COVID-19aren pandemiaren ondorioz. Zor biziak beherantz jarraitu zuen, eta gastu orokorretarako diruzaintzako gerakinak gorantz. Biek ere aurreko urteetako hoberako joerari eutsi zioten.</w:t>
      </w:r>
    </w:p>
    <w:p w14:paraId="7B99CE39" w14:textId="79AFB15A" w:rsidR="003118C4" w:rsidRDefault="003118C4" w:rsidP="00095E01">
      <w:pPr>
        <w:pStyle w:val="texto"/>
        <w:tabs>
          <w:tab w:val="clear" w:pos="2835"/>
          <w:tab w:val="center" w:pos="567"/>
        </w:tabs>
        <w:spacing w:after="0"/>
        <w:rPr>
          <w:rFonts w:cs="Arial"/>
          <w:color w:val="000000" w:themeColor="text1"/>
        </w:rPr>
      </w:pPr>
    </w:p>
    <w:p w14:paraId="4015F3B0" w14:textId="5D73310F" w:rsidR="003118C4" w:rsidRPr="009D46C5" w:rsidRDefault="003118C4" w:rsidP="009D46C5">
      <w:pPr>
        <w:pStyle w:val="texto"/>
        <w:ind w:firstLine="0"/>
        <w:rPr>
          <w:i/>
          <w:color w:val="000000" w:themeColor="text1"/>
        </w:rPr>
      </w:pPr>
      <w:r>
        <w:rPr>
          <w:i/>
          <w:color w:val="000000" w:themeColor="text1"/>
        </w:rPr>
        <w:t>Kontratazio publikoa</w:t>
      </w:r>
    </w:p>
    <w:p w14:paraId="0DBCC1B5" w14:textId="3650620B" w:rsidR="00B77FE7" w:rsidRDefault="00330E2B" w:rsidP="009D46C5">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color w:val="000000" w:themeColor="text1"/>
        </w:rPr>
      </w:pPr>
      <w:r>
        <w:rPr>
          <w:color w:val="000000" w:themeColor="text1"/>
        </w:rPr>
        <w:t>Toki entitateek eta haien mendeko entitateek guztira 392 kontratu adjudikatu zituzten, eta horien guztizko zenbatekoa 114,61 milioi izan zen. Kontratuen ehuneko 73 eta zenbatekoaren ehuneko 54 udalei dagokie. Adjudikatutako guztizko zenbatekotik, ehuneko 45 eta 43, hurrenez hurren, zerbitzu eta obra kontratuetakoa da. Ehuneko horietan pisu handia du mankomunitate batek 24,5 milioitan adjudikatutako zerbitzu kontratu batek.</w:t>
      </w:r>
    </w:p>
    <w:p w14:paraId="1D5FE2E5" w14:textId="7A9FD5B2" w:rsidR="00060273" w:rsidRDefault="00060273" w:rsidP="0029777F">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color w:val="000000" w:themeColor="text1"/>
        </w:rPr>
      </w:pPr>
      <w:r>
        <w:rPr>
          <w:color w:val="000000" w:themeColor="text1"/>
        </w:rPr>
        <w:t>Kontratazio jardueran, COVID-19aren pandemiaren eraginez, kontratuen kopurua ehuneko 22 murriztu da aurreko ekitaldiko aldean.</w:t>
      </w:r>
    </w:p>
    <w:p w14:paraId="60D5F97C" w14:textId="181812B1" w:rsidR="003118C4" w:rsidRDefault="003118C4" w:rsidP="00095E01">
      <w:pPr>
        <w:pStyle w:val="texto"/>
        <w:tabs>
          <w:tab w:val="clear" w:pos="2835"/>
          <w:tab w:val="center" w:pos="567"/>
        </w:tabs>
        <w:spacing w:after="0"/>
        <w:rPr>
          <w:rFonts w:cs="Arial"/>
          <w:color w:val="000000" w:themeColor="text1"/>
        </w:rPr>
      </w:pPr>
    </w:p>
    <w:p w14:paraId="6E91CD97" w14:textId="1A925A5E" w:rsidR="003118C4" w:rsidRPr="009D46C5" w:rsidRDefault="003118C4" w:rsidP="009D46C5">
      <w:pPr>
        <w:pStyle w:val="texto"/>
        <w:ind w:firstLine="0"/>
        <w:rPr>
          <w:i/>
          <w:color w:val="000000" w:themeColor="text1"/>
        </w:rPr>
      </w:pPr>
      <w:r>
        <w:rPr>
          <w:i/>
          <w:color w:val="000000" w:themeColor="text1"/>
        </w:rPr>
        <w:t>Kontu-ematea eta aurrekontuak</w:t>
      </w:r>
    </w:p>
    <w:p w14:paraId="02903021" w14:textId="169AE471" w:rsidR="00945FB9" w:rsidRDefault="00796A87" w:rsidP="009D46C5">
      <w:pPr>
        <w:pStyle w:val="texto"/>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rPr>
          <w:rFonts w:cs="Arial"/>
          <w:color w:val="000000" w:themeColor="text1"/>
        </w:rPr>
      </w:pPr>
      <w:r>
        <w:rPr>
          <w:color w:val="000000" w:themeColor="text1"/>
        </w:rPr>
        <w:t>Oro har, toki entitateek beren kontuak onetsi eta Toki Administrazioaren eta Despopulazioaren Zuzendaritza Nagusiari igortzen dizkiote, baina askotan ez dute egiten legezko epeetan, nahiko atzeratuta baizik. Zehazki, toki entitateen ehuneko 68 eta 53 dira, hurrenez hurren, onesteko eta igortzeko betebehar horiek legezko gehieneko epearen barnean bete dituztenak. Nolanahi ere, txosten honen datan jada toki entitateen ehuneko 86k igorri dizkiote beren kontuak Toki Administrazioaren eta Despopulazioaren Zuzendaritza Nagusiari.</w:t>
      </w:r>
    </w:p>
    <w:p w14:paraId="709319A8" w14:textId="725CF413" w:rsidR="00796A87" w:rsidRDefault="00945FB9" w:rsidP="00A81996">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spacing w:after="0"/>
        <w:rPr>
          <w:rFonts w:cs="Arial"/>
          <w:color w:val="000000" w:themeColor="text1"/>
        </w:rPr>
      </w:pPr>
      <w:r>
        <w:rPr>
          <w:color w:val="000000" w:themeColor="text1"/>
        </w:rPr>
        <w:t xml:space="preserve">Aurrekontuari dagokionez, deigarria da toki entitateen ehuneko 23k soilik onetsi dutela aurrekontua ekitaldia hasi baino lehen, eta ehuneko hiruk bakarrik igorri diotela legezko gehieneko epean Toki Administrazioaren eta Despopulazioaren Zuzendaritza Nagusiari. </w:t>
      </w:r>
    </w:p>
    <w:p w14:paraId="730C7C94" w14:textId="3F08AEDE" w:rsidR="003118C4" w:rsidRDefault="003118C4" w:rsidP="00095E01">
      <w:pPr>
        <w:pStyle w:val="texto"/>
        <w:tabs>
          <w:tab w:val="clear" w:pos="2835"/>
          <w:tab w:val="center" w:pos="567"/>
        </w:tabs>
        <w:spacing w:after="0"/>
        <w:rPr>
          <w:rFonts w:cs="Arial"/>
          <w:color w:val="000000" w:themeColor="text1"/>
        </w:rPr>
      </w:pPr>
    </w:p>
    <w:p w14:paraId="4B2957EF" w14:textId="3ADC212A" w:rsidR="003118C4" w:rsidRPr="009D46C5" w:rsidRDefault="003118C4" w:rsidP="009D46C5">
      <w:pPr>
        <w:pStyle w:val="texto"/>
        <w:ind w:firstLine="0"/>
        <w:rPr>
          <w:i/>
          <w:color w:val="000000" w:themeColor="text1"/>
        </w:rPr>
      </w:pPr>
      <w:r>
        <w:rPr>
          <w:i/>
          <w:color w:val="000000" w:themeColor="text1"/>
        </w:rPr>
        <w:t>Barne kontrola</w:t>
      </w:r>
    </w:p>
    <w:p w14:paraId="564C40A9" w14:textId="200A3EDA" w:rsidR="00796A87" w:rsidRDefault="009D46C5" w:rsidP="009D46C5">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rPr>
          <w:rFonts w:cs="Arial"/>
          <w:color w:val="000000" w:themeColor="text1"/>
        </w:rPr>
      </w:pPr>
      <w:r>
        <w:rPr>
          <w:color w:val="000000" w:themeColor="text1"/>
        </w:rPr>
        <w:t xml:space="preserve">Nafarroako Toki Administrazioari buruzko 6/1990 Foru Legean (aurrerantzean NTAFL) barne kontrolerako ezarritako hiru modalitateei dagokienez, kontu-hartze organoek galde-sortari emandako erantzunen arabera, kontu-hartze </w:t>
      </w:r>
      <w:r>
        <w:rPr>
          <w:color w:val="000000" w:themeColor="text1"/>
        </w:rPr>
        <w:lastRenderedPageBreak/>
        <w:t>eginkizuna nonahi betetzen da, baina beste bi funtzioek askoz ezarpen murritzagoa dute: horri buruzko galderari erantzun dioten kontu-hartze organoetatik ehuneko 56k eta 42k esan dute, hurrenez hurren, kontrol finantzarioa eta eraginkortasunaren kontrola egiten dutela.</w:t>
      </w:r>
    </w:p>
    <w:p w14:paraId="46598343" w14:textId="2B6A4EE2" w:rsidR="00796A87" w:rsidRDefault="00945FB9" w:rsidP="0029777F">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color w:val="000000" w:themeColor="text1"/>
        </w:rPr>
      </w:pPr>
      <w:r>
        <w:rPr>
          <w:color w:val="000000" w:themeColor="text1"/>
        </w:rPr>
        <w:t xml:space="preserve">Kontu-hartze organoek 188 eragozpen-ohar egin dituzte, eta horietatik 172tan azaldu da ukitutako zenbatekoa, zeinak 5,06 milioi egiten baitu, guztira. Zenbatekoa kontuan harturik, eragozpen-oharrek gehien ukitutako arloa kontratazio publikoa da (guztizkoaren ehuneko 86), eta ondoren dirulaguntzena eta langileriarena. </w:t>
      </w:r>
    </w:p>
    <w:p w14:paraId="738A777B" w14:textId="1F8BA295" w:rsidR="003118C4" w:rsidRDefault="00236D9A" w:rsidP="00A81996">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spacing w:after="0"/>
        <w:rPr>
          <w:rFonts w:cs="Arial"/>
          <w:color w:val="000000" w:themeColor="text1"/>
        </w:rPr>
      </w:pPr>
      <w:r>
        <w:rPr>
          <w:color w:val="000000" w:themeColor="text1"/>
        </w:rPr>
        <w:t>Aipatu beharra dago Nafarroan ez dela erregelamenduz garatu barne kontrolaren araubide juridikoa, Estatuan bezala, non apirilaren 28ko 424/2017 Errege Dekretua onetsi baitzen, toki sektore publikoko entitateen barne kontrolaren araubide juridikoa arautzen duena.</w:t>
      </w:r>
    </w:p>
    <w:p w14:paraId="4C36012D" w14:textId="23A8E5FD" w:rsidR="003118C4" w:rsidRDefault="003118C4" w:rsidP="00095E01">
      <w:pPr>
        <w:pStyle w:val="texto"/>
        <w:tabs>
          <w:tab w:val="clear" w:pos="2835"/>
          <w:tab w:val="center" w:pos="567"/>
        </w:tabs>
        <w:spacing w:after="0"/>
        <w:rPr>
          <w:rFonts w:cs="Arial"/>
          <w:color w:val="000000" w:themeColor="text1"/>
        </w:rPr>
      </w:pPr>
    </w:p>
    <w:p w14:paraId="218BCE2A" w14:textId="43B9C1A5" w:rsidR="003118C4" w:rsidRPr="00B072D2" w:rsidRDefault="003118C4" w:rsidP="00B072D2">
      <w:pPr>
        <w:pStyle w:val="texto"/>
        <w:tabs>
          <w:tab w:val="num" w:pos="786"/>
        </w:tabs>
        <w:ind w:firstLine="0"/>
        <w:rPr>
          <w:i/>
          <w:color w:val="000000" w:themeColor="text1"/>
        </w:rPr>
      </w:pPr>
      <w:r>
        <w:rPr>
          <w:i/>
          <w:color w:val="000000" w:themeColor="text1"/>
        </w:rPr>
        <w:t>Konparazio-azterketa</w:t>
      </w:r>
    </w:p>
    <w:p w14:paraId="730D8272" w14:textId="0101B6DC" w:rsidR="00945FB9" w:rsidRDefault="00E34F65" w:rsidP="00B072D2">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rPr>
          <w:rFonts w:cs="Arial"/>
          <w:color w:val="000000" w:themeColor="text1"/>
        </w:rPr>
      </w:pPr>
      <w:r>
        <w:rPr>
          <w:color w:val="000000" w:themeColor="text1"/>
        </w:rPr>
        <w:t>Biztanleria tarte desberdinetako Nafarroako udalen konparazio-azterketak erakusten duenez, Iruñean izan ezik, udalerria zenbat eta handiagoa izan orduan eta txikiagoak dira diru-sarrera arruntak, funtzionamendu gastuak eta aurrezki gordina eta garbia biztanle bakoitzeko.</w:t>
      </w:r>
    </w:p>
    <w:p w14:paraId="33EC6E53" w14:textId="64C1D566" w:rsidR="003118C4" w:rsidRDefault="00FF7FC8" w:rsidP="00B072D2">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rPr>
          <w:rFonts w:cs="Arial"/>
          <w:color w:val="000000" w:themeColor="text1"/>
        </w:rPr>
      </w:pPr>
      <w:r>
        <w:rPr>
          <w:color w:val="000000" w:themeColor="text1"/>
        </w:rPr>
        <w:t xml:space="preserve">Nafarroako 40.000 biztanletik beherako udalak alderatzen badira EAEkoekin eta Estatukoekin –horiek toki finantzaketarako sistema desberdinak dituzte–, ikus daiteke Nafarroako udalen per capita diru-sarrerak eta gastuak handiagoak direla Estatuko gainerakoenak baino eta txikiagoak EAEkoak baino. EAEko udalek transferentzien bidez Nafarroakoek baino zenbateko nabarmen handiagoa jasotzen dute biztanle bakoitzeko; aldiz, Estatuko gainerakoekin Nafarroakoek duten desberdintasun nagusia da Estatukoek zuzeneko zergen bitartez diru-sarrera handiagoak jasotzen dituztela biztanleko. Urte arteko azterketaren arabera, EAEko udalen diru-sarrera arrunten jaitsiera Nafarroako udalena eta Estatuko gainerakoena baino nabarmen handiagoa da, finantzaketa sistemetan dituzten desberdintasunen ondorioz. Bestalde, 2020an Nafarroako udalen aurrezki gordinaren eta garbiaren zenbatekoak EAEko eta Estatuko udalenak baino handiagoak dira, hala balio absolutuetan nola diru-sarrera arruntekiko erlazioan. </w:t>
      </w:r>
    </w:p>
    <w:p w14:paraId="31593CE2" w14:textId="4862EBB9" w:rsidR="003118C4" w:rsidRPr="003118C4" w:rsidRDefault="003118C4" w:rsidP="00D5707B">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ind w:firstLine="0"/>
        <w:rPr>
          <w:rFonts w:cs="Arial"/>
          <w:color w:val="000000" w:themeColor="text1"/>
        </w:rPr>
      </w:pPr>
      <w:r>
        <w:rPr>
          <w:i/>
          <w:color w:val="000000" w:themeColor="text1"/>
        </w:rPr>
        <w:t>Kontabilitate- eta aurrekontu-araudia</w:t>
      </w:r>
    </w:p>
    <w:p w14:paraId="355B5976" w14:textId="54BE2D30" w:rsidR="00683931" w:rsidRPr="003118C4" w:rsidRDefault="009B6237" w:rsidP="00D5707B">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rPr>
          <w:rFonts w:cs="Arial"/>
          <w:color w:val="000000" w:themeColor="text1"/>
        </w:rPr>
      </w:pPr>
      <w:r>
        <w:rPr>
          <w:color w:val="000000" w:themeColor="text1"/>
        </w:rPr>
        <w:t xml:space="preserve">Nafarroako tokiko kontabilitatea araututa dago Toki Administrazioari egokitutako Kontabilitate Publikoko Plan Orokorrean oinarrituta –1990eko uztailaren 17ko Ministro Aginduaren bitartez onetsi zen hura–, salbu eta toki entitateen aurrekontu-egiturari dagokiona, hori 2015ean eguneratu baitzen. Ez da araurik eman toki entitatearen eta haren menpeko entitateen kontabilitatearen egoera-orriak bateratzeari buruz. </w:t>
      </w:r>
    </w:p>
    <w:p w14:paraId="572810BE" w14:textId="374FAF4B" w:rsidR="00291051" w:rsidRPr="00291051" w:rsidRDefault="00291051" w:rsidP="00C91EFD">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spacing w:after="0"/>
        <w:rPr>
          <w:rFonts w:cs="Arial"/>
          <w:color w:val="000000" w:themeColor="text1"/>
        </w:rPr>
      </w:pPr>
      <w:r>
        <w:rPr>
          <w:color w:val="000000" w:themeColor="text1"/>
        </w:rPr>
        <w:lastRenderedPageBreak/>
        <w:t xml:space="preserve">Bestalde, abenduaren 29ko 22/2020 Foru Legea, Nafarroako Toki Ogasunei buruzko 2/1995 Foru Legea aldatzen duena, 2021eko urtarrilaren 1ean jarri zen indarrean, eta zenbait aldaketa egin zituen toki entitateen ekonomia- eta aurrekontu-kudeaketarako prozedurak malgutzeko, aurrekontu-egonkortasunari eta finantza-iraunkortasunari buruzko arauak garatzeko eta tributuen arloko berrikuntza batzuk ezartzeko. </w:t>
      </w:r>
    </w:p>
    <w:p w14:paraId="1ED863E7" w14:textId="77777777" w:rsidR="00291051" w:rsidRDefault="00291051" w:rsidP="00095E01">
      <w:pPr>
        <w:pStyle w:val="texto"/>
        <w:tabs>
          <w:tab w:val="clear" w:pos="2835"/>
          <w:tab w:val="center" w:pos="567"/>
        </w:tabs>
        <w:spacing w:after="0"/>
        <w:rPr>
          <w:color w:val="000000" w:themeColor="text1"/>
        </w:rPr>
      </w:pPr>
    </w:p>
    <w:p w14:paraId="3BE43092" w14:textId="77777777" w:rsidR="00982B6E" w:rsidRPr="00891A2F" w:rsidRDefault="00982B6E" w:rsidP="00982B6E">
      <w:pPr>
        <w:pStyle w:val="Ttulo2"/>
      </w:pPr>
      <w:bookmarkStart w:id="28" w:name="_Toc126061967"/>
      <w:r>
        <w:t>III.2. Gomendioak</w:t>
      </w:r>
      <w:bookmarkEnd w:id="28"/>
    </w:p>
    <w:p w14:paraId="564212A9" w14:textId="77777777" w:rsidR="00D5707B" w:rsidRPr="000259CF" w:rsidRDefault="00D5707B" w:rsidP="00D5707B">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bookmarkStart w:id="29" w:name="_Toc311633164"/>
      <w:bookmarkStart w:id="30" w:name="_Toc311633173"/>
      <w:bookmarkStart w:id="31" w:name="_Toc399916259"/>
      <w:bookmarkStart w:id="32" w:name="_Toc465686682"/>
      <w:bookmarkStart w:id="33" w:name="_Toc529773876"/>
      <w:bookmarkStart w:id="34" w:name="_Toc24100136"/>
      <w:bookmarkStart w:id="35" w:name="_Toc52348284"/>
      <w:bookmarkStart w:id="36" w:name="_Toc88727709"/>
      <w:r>
        <w:rPr>
          <w:color w:val="000000" w:themeColor="text1"/>
        </w:rPr>
        <w:t>Kontuan izanik azaldu diren konklusioak eta aurreko txostenetan jasotako gomendio garrantzitsu batzuk, indarrean dirautenak, honako gomendio hauek egiten ditugu:</w:t>
      </w:r>
    </w:p>
    <w:p w14:paraId="3FD2CBB0" w14:textId="6DEFDBAA" w:rsidR="00D5707B" w:rsidRPr="00305D02" w:rsidRDefault="00D5707B" w:rsidP="00D5707B">
      <w:pPr>
        <w:pStyle w:val="texto"/>
        <w:spacing w:before="240"/>
        <w:ind w:firstLine="0"/>
        <w:rPr>
          <w:b/>
          <w:i/>
          <w:color w:val="000000" w:themeColor="text1"/>
        </w:rPr>
      </w:pPr>
      <w:r>
        <w:rPr>
          <w:b/>
          <w:i/>
          <w:color w:val="000000" w:themeColor="text1"/>
        </w:rPr>
        <w:t>Nafarroako Foru Komunitateko Administrazioari eta Parlamentuari</w:t>
      </w:r>
    </w:p>
    <w:p w14:paraId="14DD072A" w14:textId="77777777" w:rsidR="00D5707B"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Pr>
          <w:i/>
          <w:color w:val="000000" w:themeColor="text1"/>
        </w:rPr>
        <w:t>Behar diren lege eta administrazio neurriak onestea erabat burutu dadin Nafarroako Toki Administrazioaren berregituraketa, Nafarroako Toki Administrazioaren Erreformarako otsailaren 4ko 4/2019 Foru Legean ezarritakoa, kudeaketa publiko efiziente eta eraginkorra lortzeko.</w:t>
      </w:r>
    </w:p>
    <w:p w14:paraId="7E68A321" w14:textId="77777777" w:rsidR="00D5707B" w:rsidRPr="00D84569"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Pr>
          <w:i/>
          <w:color w:val="000000" w:themeColor="text1"/>
        </w:rPr>
        <w:t>Tokiko kontabilitatea urgentziaz berritzea eta 2010eko Kontabilitate Publikorako Plan Orokor indardunera egokitzea.</w:t>
      </w:r>
    </w:p>
    <w:p w14:paraId="0F473721" w14:textId="77777777" w:rsidR="00D5707B" w:rsidRPr="002F3254"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Pr>
          <w:i/>
          <w:color w:val="000000" w:themeColor="text1"/>
        </w:rPr>
        <w:t xml:space="preserve">Toki entitateen barne kontrolaren araubide juridikoaren erregelamenduzko garapena onestea, eta kudeaketaren bizkortasuna uztartzea barne kontrolak behar duen zorroztasunarekin eta kontu-hartze funtzioaren indartzearekin. </w:t>
      </w:r>
    </w:p>
    <w:p w14:paraId="3A1AB67E" w14:textId="77777777" w:rsidR="00D5707B"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spacing w:val="4"/>
        </w:rPr>
      </w:pPr>
      <w:r>
        <w:rPr>
          <w:i/>
          <w:color w:val="000000" w:themeColor="text1"/>
        </w:rPr>
        <w:t>Toki entitateen eta horien menpeko entitateen kontabilitateko egoera-orriak bateratzeko metodologiari buruzko arauak taxutzea, toki sektore publiko osoak egindako jardueraren erabateko ikuspegia emateko helburuarekin.</w:t>
      </w:r>
    </w:p>
    <w:p w14:paraId="2DD7E0E2" w14:textId="77777777" w:rsidR="00D5707B" w:rsidRPr="00D84569"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spacing w:val="4"/>
        </w:rPr>
      </w:pPr>
      <w:r>
        <w:rPr>
          <w:i/>
          <w:color w:val="000000" w:themeColor="text1"/>
        </w:rPr>
        <w:t>Toki zerbitzuen kostuak kalkulatzeko sistema bat taxutzea eta hura ezar dadin sustatzea, bai eta kudeaketaren adierazleak ere, horrela beteko baita Toki Administrazioaren Arrazionalizazioari eta Iraunkortasunari buruzko Legean eta Nafarroako Toki Administrazioaren Erreformarako Foru Legean xedatutakoa.</w:t>
      </w:r>
    </w:p>
    <w:p w14:paraId="4DDB0129" w14:textId="77777777" w:rsidR="00D5707B" w:rsidRPr="00593AAE"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Pr>
          <w:i/>
          <w:color w:val="000000" w:themeColor="text1"/>
        </w:rPr>
        <w:t xml:space="preserve"> Langileen plantilla organikoaren eredu bat egitea, zeinak argitasunez eta zehaztasunez jasoko baititu dokumentu horrek bete behar dituen baldintzak eta eduki behar duen informazioa; eredu horrek, halaber, aukera emanen du toki entitateek informazio-betekizunak bete ditzaten.</w:t>
      </w:r>
    </w:p>
    <w:p w14:paraId="1E791274" w14:textId="77777777" w:rsidR="0032128C" w:rsidRPr="00593AAE" w:rsidRDefault="0032128C" w:rsidP="0032128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i/>
          <w:color w:val="000000" w:themeColor="text1"/>
        </w:rPr>
      </w:pPr>
      <w:r>
        <w:rPr>
          <w:i/>
          <w:color w:val="000000" w:themeColor="text1"/>
        </w:rPr>
        <w:t>Informatikako garapen egokiak egitea, toki entitateetako kontu-hartze organoek errazago bete ahal ditzaten Aurrekontu-egonkortasunari eta Finantza-iraunkortasunari buruzko apirilaren 27ko 2/2012 Lege Organikotik (aurrerantzean AEFILO) eratortzen diren informazio betebeharrak.</w:t>
      </w:r>
    </w:p>
    <w:p w14:paraId="65C87189" w14:textId="3B4AB422" w:rsidR="00D5707B" w:rsidRPr="00593AAE"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i/>
          <w:color w:val="000000" w:themeColor="text1"/>
        </w:rPr>
      </w:pPr>
      <w:r>
        <w:rPr>
          <w:i/>
          <w:color w:val="000000" w:themeColor="text1"/>
        </w:rPr>
        <w:lastRenderedPageBreak/>
        <w:t>Toki entitateei atxikitako partzuergoen gaineko informazioa sartzea toki entitateen erregistroan.</w:t>
      </w:r>
    </w:p>
    <w:p w14:paraId="482F2A8D" w14:textId="05ADF8B8" w:rsidR="00D5707B" w:rsidRPr="00F14730" w:rsidRDefault="00D5707B" w:rsidP="00D5707B">
      <w:pPr>
        <w:pStyle w:val="texto"/>
        <w:spacing w:before="240"/>
        <w:ind w:firstLine="0"/>
        <w:rPr>
          <w:b/>
          <w:i/>
          <w:color w:val="000000" w:themeColor="text1"/>
        </w:rPr>
      </w:pPr>
      <w:r>
        <w:rPr>
          <w:b/>
          <w:i/>
          <w:color w:val="000000" w:themeColor="text1"/>
        </w:rPr>
        <w:t>Toki entitateei</w:t>
      </w:r>
    </w:p>
    <w:p w14:paraId="54804873" w14:textId="7EB45A25" w:rsidR="00D5707B" w:rsidRPr="002E09C1"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i/>
          <w:color w:val="000000" w:themeColor="text1"/>
          <w:spacing w:val="4"/>
        </w:rPr>
      </w:pPr>
      <w:r>
        <w:rPr>
          <w:i/>
          <w:color w:val="000000" w:themeColor="text1"/>
        </w:rPr>
        <w:t>Kudeaketa ekonomiko-finantzarioan zuhurtasun eta erantzukizun fiskalaren printzipioak betetzen jarraitzea gaur egun ere, aurrekontu-egonkortasunari eta finantza-iraunkortasunari buruzko arauetako batzuk etenda egon arren, eta horiei lotutako aldagaien segimendua egiten jarraitzea.</w:t>
      </w:r>
    </w:p>
    <w:p w14:paraId="58684CD3" w14:textId="28DA22F9" w:rsidR="00D5707B"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Pr>
          <w:i/>
          <w:color w:val="000000" w:themeColor="text1"/>
        </w:rPr>
        <w:t>Egiturazko lanpostu guztiak plantilla organikoan sartzea, eta gutxitzea, deialdi egokien bitartez, toki entitateetako langileen behin-behinekotasun maila handia. Hain zuzen ere, arau hauek bete behar dira: 20/2021 Legea, enplegu publikoan behin-behinekotasuna murrizteko premiazko neurriei buruzkoa, eta 19/2022 Foru Legea, uztailaren 1ekoa, zeinaren bidez neurriak hartzen baitira Nafarroako administrazio publikoetan egonkortze prozesuak gauzatzeko, Enplegu publikoan behin-behinekotasuna murrizteko premiazko neurriei buruzko 20/2021 Legearen ondorioz.</w:t>
      </w:r>
    </w:p>
    <w:p w14:paraId="6C3E05EA" w14:textId="543DDDAA" w:rsidR="002A2B5E" w:rsidRPr="002E09C1" w:rsidRDefault="002A2B5E" w:rsidP="002A2B5E">
      <w:pPr>
        <w:pStyle w:val="texto"/>
        <w:numPr>
          <w:ilvl w:val="0"/>
          <w:numId w:val="2"/>
        </w:numPr>
        <w:tabs>
          <w:tab w:val="clear" w:pos="2835"/>
          <w:tab w:val="clear" w:pos="3969"/>
          <w:tab w:val="clear" w:pos="5103"/>
          <w:tab w:val="clear" w:pos="6237"/>
          <w:tab w:val="clear" w:pos="7371"/>
          <w:tab w:val="left" w:pos="480"/>
          <w:tab w:val="num" w:pos="644"/>
          <w:tab w:val="num" w:pos="720"/>
          <w:tab w:val="num" w:pos="1320"/>
          <w:tab w:val="num" w:pos="5606"/>
        </w:tabs>
        <w:ind w:left="114"/>
        <w:rPr>
          <w:rFonts w:cs="Arial"/>
          <w:i/>
          <w:color w:val="000000" w:themeColor="text1"/>
        </w:rPr>
      </w:pPr>
      <w:r>
        <w:rPr>
          <w:i/>
          <w:color w:val="000000" w:themeColor="text1"/>
        </w:rPr>
        <w:t xml:space="preserve">Kontratazio administratiboko prozeduretan denbora-plangintza egokia ezartzea, kontratuen gehieneko indarraldia gainditu ez dadin. </w:t>
      </w:r>
    </w:p>
    <w:p w14:paraId="34582DD1" w14:textId="4BCF56B4" w:rsidR="00D5707B" w:rsidRPr="0073704F"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Pr>
          <w:i/>
          <w:color w:val="000000" w:themeColor="text1"/>
        </w:rPr>
        <w:t xml:space="preserve">Udal ondasun eta eskubideen inbentario </w:t>
      </w:r>
      <w:proofErr w:type="spellStart"/>
      <w:r>
        <w:rPr>
          <w:i/>
          <w:color w:val="000000" w:themeColor="text1"/>
        </w:rPr>
        <w:t>balioetsia</w:t>
      </w:r>
      <w:proofErr w:type="spellEnd"/>
      <w:r>
        <w:rPr>
          <w:i/>
          <w:color w:val="000000" w:themeColor="text1"/>
        </w:rPr>
        <w:t xml:space="preserve"> eta eguneratua ezartzeko prozesua osatzea, eta hura ibilgetuaren kontuekin lotzea. </w:t>
      </w:r>
    </w:p>
    <w:p w14:paraId="35E28BBC" w14:textId="77777777" w:rsidR="00D5707B" w:rsidRPr="00D84569"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Pr>
          <w:i/>
          <w:color w:val="000000" w:themeColor="text1"/>
        </w:rPr>
        <w:t>Lurzoruaren udal ondarearen erregistroa eta inbentarioa sortzea, bai eta hirigintzako hitzarmenen erregistroa ere.</w:t>
      </w:r>
    </w:p>
    <w:p w14:paraId="4F1778D9" w14:textId="04B8F7C0" w:rsidR="00D5707B" w:rsidRPr="002E09C1"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Pr>
          <w:i/>
          <w:color w:val="000000" w:themeColor="text1"/>
        </w:rPr>
        <w:t>Udalaren barne kontrola egitea, aplikatzekoa den legerian ezarritako hedadurarekin, bere eginkizun hirukoitzaren arabera: kontu-hartzailetza, finantza-kontrola eta eraginkortasunaren kontrola.</w:t>
      </w:r>
    </w:p>
    <w:p w14:paraId="5283F698" w14:textId="3760888B" w:rsidR="00D5707B" w:rsidRPr="00D84569"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Pr>
          <w:i/>
          <w:color w:val="000000" w:themeColor="text1"/>
        </w:rPr>
        <w:t>Toki entitateek beren burua antolatzeko duten ahalmena erabiliz, tokiko zerbitzu publikoak eraginkortasunez, ekonomiaz eta efizientziaz kudeatzeko antolamendu-egitura arrazoizkoena diseinatzea.</w:t>
      </w:r>
    </w:p>
    <w:p w14:paraId="2B98164A" w14:textId="77777777" w:rsidR="00D5707B" w:rsidRPr="00D84569"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Pr>
          <w:i/>
          <w:color w:val="000000" w:themeColor="text1"/>
        </w:rPr>
        <w:t>Zerbitzu publikoen kostuen metodologia ezartzen jarraitzea eta erabakiak hartzeko kudeaketa-adierazle baliagarriak definitzea.</w:t>
      </w:r>
    </w:p>
    <w:p w14:paraId="049BCC09" w14:textId="77777777" w:rsidR="00D5707B" w:rsidRPr="00D84569"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Pr>
          <w:i/>
          <w:color w:val="000000" w:themeColor="text1"/>
        </w:rPr>
        <w:t>Aurrekontua, aurrekontu-likidazioa eta kontu orokorra onestea ezarritako epeetan, eta haien guztien kontuak ematea 15 eguneko epean, onesten direnetik hasita.</w:t>
      </w:r>
    </w:p>
    <w:p w14:paraId="67EF1CC1" w14:textId="77777777" w:rsidR="00D5707B"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Pr>
          <w:i/>
          <w:color w:val="000000" w:themeColor="text1"/>
        </w:rPr>
        <w:t>Balorazio-ponentziak epean gaurkotzea.</w:t>
      </w:r>
    </w:p>
    <w:p w14:paraId="5B2F0DC0" w14:textId="4743414A" w:rsidR="00D5707B" w:rsidRPr="00C70DD5" w:rsidRDefault="00C70DD5"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Pr>
          <w:i/>
          <w:color w:val="000000" w:themeColor="text1"/>
        </w:rPr>
        <w:t xml:space="preserve">Hornitzaileei ordaintzeko batez besteko epea argitaratzea, </w:t>
      </w:r>
      <w:proofErr w:type="spellStart"/>
      <w:r>
        <w:rPr>
          <w:i/>
          <w:color w:val="000000" w:themeColor="text1"/>
        </w:rPr>
        <w:t>AEFILOn</w:t>
      </w:r>
      <w:proofErr w:type="spellEnd"/>
      <w:r>
        <w:rPr>
          <w:i/>
          <w:color w:val="000000" w:themeColor="text1"/>
        </w:rPr>
        <w:t xml:space="preserve"> xedatutakoarekin bat.</w:t>
      </w:r>
    </w:p>
    <w:p w14:paraId="372F5F55" w14:textId="77777777" w:rsidR="00D5707B" w:rsidRPr="00D84569" w:rsidRDefault="00D5707B" w:rsidP="00A81996">
      <w:pPr>
        <w:pStyle w:val="texto"/>
        <w:tabs>
          <w:tab w:val="clear" w:pos="2835"/>
          <w:tab w:val="clear" w:pos="3969"/>
          <w:tab w:val="clear" w:pos="5103"/>
          <w:tab w:val="clear" w:pos="6237"/>
          <w:tab w:val="clear" w:pos="7371"/>
          <w:tab w:val="left" w:pos="480"/>
          <w:tab w:val="num" w:pos="644"/>
          <w:tab w:val="num" w:pos="720"/>
          <w:tab w:val="num" w:pos="1320"/>
          <w:tab w:val="num" w:pos="5606"/>
        </w:tabs>
        <w:spacing w:after="0"/>
        <w:ind w:left="289" w:firstLine="0"/>
        <w:rPr>
          <w:rFonts w:cs="Arial"/>
          <w:i/>
          <w:color w:val="000000" w:themeColor="text1"/>
        </w:rPr>
      </w:pPr>
    </w:p>
    <w:p w14:paraId="2F691EE4" w14:textId="77777777" w:rsidR="00D5707B" w:rsidRDefault="00D5707B" w:rsidP="00D5707B">
      <w:pPr>
        <w:pStyle w:val="texto"/>
        <w:tabs>
          <w:tab w:val="left" w:pos="480"/>
          <w:tab w:val="num" w:pos="600"/>
          <w:tab w:val="num" w:pos="644"/>
          <w:tab w:val="num" w:pos="720"/>
          <w:tab w:val="num" w:pos="1320"/>
          <w:tab w:val="num" w:pos="5606"/>
        </w:tabs>
        <w:rPr>
          <w:rFonts w:cs="Arial"/>
          <w:color w:val="000000" w:themeColor="text1"/>
          <w:spacing w:val="4"/>
        </w:rPr>
      </w:pPr>
      <w:r>
        <w:rPr>
          <w:color w:val="000000" w:themeColor="text1"/>
        </w:rPr>
        <w:t>Aurreko txostenetako gomendio hauek bete dira erabat edo neurri batean:</w:t>
      </w:r>
    </w:p>
    <w:p w14:paraId="6ED2D097" w14:textId="77777777" w:rsidR="00D5707B" w:rsidRPr="002563B1"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Pr>
          <w:i/>
          <w:color w:val="000000" w:themeColor="text1"/>
        </w:rPr>
        <w:lastRenderedPageBreak/>
        <w:t>Toki ogasunen esparru berri bat onestea, hartan jasotzeko Nafarroako toki entitateei aplika dakizkiela aurrekontu-egonkortasunari buruzko araudiaren betekizun eta eskakizunak.</w:t>
      </w:r>
    </w:p>
    <w:p w14:paraId="289920CD" w14:textId="77777777" w:rsidR="00D5707B" w:rsidRPr="008E43F9" w:rsidRDefault="00D5707B" w:rsidP="00D5707B">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color w:val="000000" w:themeColor="text1"/>
        </w:rPr>
      </w:pPr>
      <w:r>
        <w:rPr>
          <w:color w:val="000000" w:themeColor="text1"/>
        </w:rPr>
        <w:t>Bete egin da, abenduaren 29ko 22/2020 Foru Legea onetsi baita, Nafarroako Toki Ogasunei buruzko Foru Legea aldatzen duena.</w:t>
      </w:r>
      <w:r>
        <w:rPr>
          <w:color w:val="000000" w:themeColor="text1"/>
        </w:rPr>
        <w:tab/>
      </w:r>
    </w:p>
    <w:p w14:paraId="158C1A56" w14:textId="77777777" w:rsidR="00D5707B" w:rsidRPr="0073704F" w:rsidRDefault="00D5707B" w:rsidP="00D5707B">
      <w:pPr>
        <w:pStyle w:val="texto"/>
        <w:numPr>
          <w:ilvl w:val="0"/>
          <w:numId w:val="2"/>
        </w:numPr>
        <w:tabs>
          <w:tab w:val="num" w:pos="530"/>
        </w:tabs>
        <w:ind w:left="0"/>
        <w:rPr>
          <w:color w:val="000000" w:themeColor="text1"/>
          <w:spacing w:val="-2"/>
        </w:rPr>
      </w:pPr>
      <w:r>
        <w:rPr>
          <w:i/>
          <w:color w:val="000000" w:themeColor="text1"/>
        </w:rPr>
        <w:t>Toki entitateek kontuak emateko duten legezko betebeharra epean betetzen dela bermatzeko tresnak sendotzea</w:t>
      </w:r>
      <w:r>
        <w:rPr>
          <w:color w:val="000000" w:themeColor="text1"/>
        </w:rPr>
        <w:t>.</w:t>
      </w:r>
    </w:p>
    <w:p w14:paraId="3ADB221F" w14:textId="77777777" w:rsidR="00D5707B" w:rsidRPr="008E43F9" w:rsidRDefault="00D5707B" w:rsidP="00D5707B">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color w:val="000000" w:themeColor="text1"/>
        </w:rPr>
      </w:pPr>
      <w:r>
        <w:rPr>
          <w:color w:val="000000" w:themeColor="text1"/>
        </w:rPr>
        <w:t>Neurri batean bete da, martxoaren 22ko 7/2022 Foru Legea onetsiz, ezartzen duena nola banatu transferentzia arrunten bidez toki-erakundeek Nafarroako tributuetan parte hartzeko duten funtsa. Lege horrek ezartzen du ordainketak atxikiko zaizkiela kontuak ematerakoan atzerapen oso nabarmenak dituzten entitateei.</w:t>
      </w:r>
    </w:p>
    <w:p w14:paraId="03B8C0AE" w14:textId="01164A63" w:rsidR="00D5707B" w:rsidRDefault="00D5707B" w:rsidP="00D5707B">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1320"/>
          <w:tab w:val="num" w:pos="5606"/>
        </w:tabs>
        <w:ind w:left="0" w:firstLine="289"/>
        <w:rPr>
          <w:rFonts w:cs="Arial"/>
          <w:i/>
          <w:color w:val="000000" w:themeColor="text1"/>
        </w:rPr>
      </w:pPr>
      <w:r>
        <w:rPr>
          <w:i/>
          <w:color w:val="000000" w:themeColor="text1"/>
        </w:rPr>
        <w:t>Toki sektore publikoaren finantza egoerari buruz Toki Administrazioaren eta Despopulazioaren Zuzendaritza Nagusiak egindako txostena osatzea, sozietate publikoei, fundazioei eta partzuergo publikoei buruzko informazio osoa gehituz.</w:t>
      </w:r>
    </w:p>
    <w:p w14:paraId="61C47647" w14:textId="37E792CD" w:rsidR="00D5707B" w:rsidRDefault="00D5707B" w:rsidP="00D5707B">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Pr>
          <w:color w:val="000000" w:themeColor="text1"/>
        </w:rPr>
        <w:t>Neurri batean bete da, mankomunitateen menpeko hiru sozietate publikoren datuak dakartzan informazio bateratua erantsi baita.</w:t>
      </w:r>
    </w:p>
    <w:p w14:paraId="49F79BB6" w14:textId="398107E4" w:rsidR="00FF30E6" w:rsidRPr="00C15256" w:rsidRDefault="00FF30E6" w:rsidP="00D5707B">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Pr>
          <w:color w:val="000000" w:themeColor="text1"/>
        </w:rPr>
        <w:t xml:space="preserve">Fiskalizazio operatiboko lanetako konklusioei eta gomendioei dagokienez, lan espezifikoak direnez, Ganbera honek argitaratutako txostenei lotzen gatzaizkie. </w:t>
      </w:r>
    </w:p>
    <w:p w14:paraId="175233B2" w14:textId="77777777" w:rsidR="00A81996" w:rsidRDefault="00A81996">
      <w:pPr>
        <w:spacing w:after="0"/>
        <w:ind w:firstLine="0"/>
        <w:jc w:val="left"/>
        <w:rPr>
          <w:rFonts w:ascii="Arial" w:hAnsi="Arial" w:cs="Arial"/>
          <w:b/>
          <w:bCs/>
          <w:kern w:val="32"/>
          <w:sz w:val="25"/>
          <w:szCs w:val="25"/>
        </w:rPr>
      </w:pPr>
      <w:r>
        <w:br w:type="page"/>
      </w:r>
    </w:p>
    <w:p w14:paraId="5666E631" w14:textId="69811010" w:rsidR="00345C6C" w:rsidRPr="004248BF" w:rsidRDefault="00683931" w:rsidP="004248BF">
      <w:pPr>
        <w:pStyle w:val="Ttulo1"/>
        <w:ind w:firstLine="0"/>
        <w:rPr>
          <w:szCs w:val="25"/>
        </w:rPr>
      </w:pPr>
      <w:bookmarkStart w:id="37" w:name="_Toc126061968"/>
      <w:r>
        <w:lastRenderedPageBreak/>
        <w:t>IV. Toki sektore publikoaren antolaketa-egitura eta araudia</w:t>
      </w:r>
      <w:bookmarkEnd w:id="29"/>
      <w:bookmarkEnd w:id="30"/>
      <w:bookmarkEnd w:id="31"/>
      <w:bookmarkEnd w:id="32"/>
      <w:bookmarkEnd w:id="33"/>
      <w:bookmarkEnd w:id="34"/>
      <w:bookmarkEnd w:id="35"/>
      <w:bookmarkEnd w:id="36"/>
      <w:bookmarkEnd w:id="37"/>
    </w:p>
    <w:p w14:paraId="4499D2D2" w14:textId="77777777" w:rsidR="00345C6C" w:rsidRPr="00EF0883" w:rsidRDefault="00345C6C" w:rsidP="00DA0A2D">
      <w:pPr>
        <w:pStyle w:val="Ttulo2"/>
        <w:rPr>
          <w:szCs w:val="25"/>
        </w:rPr>
      </w:pPr>
      <w:bookmarkStart w:id="38" w:name="_Toc291067877"/>
      <w:bookmarkStart w:id="39" w:name="_Toc399916260"/>
      <w:bookmarkStart w:id="40" w:name="_Toc465686683"/>
      <w:bookmarkStart w:id="41" w:name="_Toc529773877"/>
      <w:bookmarkStart w:id="42" w:name="_Toc531088343"/>
      <w:bookmarkStart w:id="43" w:name="_Toc24100137"/>
      <w:bookmarkStart w:id="44" w:name="_Toc52348285"/>
      <w:bookmarkStart w:id="45" w:name="_Toc88727710"/>
      <w:bookmarkStart w:id="46" w:name="_Toc126061969"/>
      <w:r>
        <w:t>IV.1 Antolaketa-egitura</w:t>
      </w:r>
      <w:bookmarkEnd w:id="38"/>
      <w:bookmarkEnd w:id="39"/>
      <w:bookmarkEnd w:id="40"/>
      <w:bookmarkEnd w:id="41"/>
      <w:bookmarkEnd w:id="42"/>
      <w:bookmarkEnd w:id="43"/>
      <w:bookmarkEnd w:id="44"/>
      <w:bookmarkEnd w:id="45"/>
      <w:bookmarkEnd w:id="46"/>
    </w:p>
    <w:p w14:paraId="5C39A724" w14:textId="7640D62F" w:rsidR="00345C6C" w:rsidRPr="00B81E61" w:rsidRDefault="00345C6C" w:rsidP="00345C6C">
      <w:pPr>
        <w:pStyle w:val="texto"/>
        <w:rPr>
          <w:color w:val="000000" w:themeColor="text1"/>
        </w:rPr>
      </w:pPr>
      <w:r>
        <w:rPr>
          <w:color w:val="000000" w:themeColor="text1"/>
        </w:rPr>
        <w:t>Toki sektore publikoa Toki Administrazioari buruzko Foru Legean ezarritakoaren arabera antolatuta dago. Hala, honako hauek dira toki entitateak:</w:t>
      </w:r>
    </w:p>
    <w:p w14:paraId="2ACDFCA7" w14:textId="7C9F2257" w:rsidR="00345C6C" w:rsidRPr="007F06ED" w:rsidRDefault="00345C6C" w:rsidP="00376B43">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 xml:space="preserve">Udalak: lurralde antolamenduaren oinarrizko toki entitateak. </w:t>
      </w:r>
    </w:p>
    <w:p w14:paraId="3B624DB6" w14:textId="7BED1FC4" w:rsidR="00345C6C" w:rsidRPr="00B81E61" w:rsidRDefault="00345C6C"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Kontzejuak: udalaren dermioaren barrenean kokaturiko toki entitateak, hark baino populazio eta lurralde esparru txikiagoa dutenak.</w:t>
      </w:r>
    </w:p>
    <w:p w14:paraId="454C1E0D" w14:textId="75D1B969" w:rsidR="00345C6C" w:rsidRPr="00B81E61" w:rsidRDefault="00345C6C"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 xml:space="preserve">Ohiturazko elkarteak: Errege Bardeako Komunitatea, Aezkoa Ibarreko Komunitatea, Erronkari Ibarreko Mankomunitatea, Zaraitzu Ibarreko Unibertsitatea, Aralarko Elkartea, eta </w:t>
      </w:r>
      <w:proofErr w:type="spellStart"/>
      <w:r>
        <w:rPr>
          <w:color w:val="000000" w:themeColor="text1"/>
        </w:rPr>
        <w:t>TAFLk</w:t>
      </w:r>
      <w:proofErr w:type="spellEnd"/>
      <w:r>
        <w:rPr>
          <w:color w:val="000000" w:themeColor="text1"/>
        </w:rPr>
        <w:t xml:space="preserve"> indarra hartzean herri ondasunen jabe edo administratzaile diren gainerako korporazio tradizionalak.</w:t>
      </w:r>
    </w:p>
    <w:p w14:paraId="1429B7E2" w14:textId="77777777" w:rsidR="00AE354A" w:rsidRPr="00B81E61" w:rsidRDefault="00AE354A" w:rsidP="00AE35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Udalen mankomunitateak edo zenbait udalen elkarteak, obrak elkarrekin egin eta haien eskumenekoak diren zerbitzu jakin batzuk emateko.</w:t>
      </w:r>
    </w:p>
    <w:p w14:paraId="1F8026CE" w14:textId="7069CA3F" w:rsidR="00AE354A" w:rsidRDefault="00AE354A" w:rsidP="00AE35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proofErr w:type="spellStart"/>
      <w:r>
        <w:rPr>
          <w:color w:val="000000" w:themeColor="text1"/>
        </w:rPr>
        <w:t>TAFLn</w:t>
      </w:r>
      <w:proofErr w:type="spellEnd"/>
      <w:r>
        <w:rPr>
          <w:color w:val="000000" w:themeColor="text1"/>
        </w:rPr>
        <w:t xml:space="preserve"> aurreikusitako moduan udalez gaindiko tokiko lurralde-entitate gisa eratzen diren eskualdeak. </w:t>
      </w:r>
    </w:p>
    <w:p w14:paraId="125D6E2D" w14:textId="77777777" w:rsidR="001B093A" w:rsidRDefault="001B093A"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Nafarroako toki entitateek eta Foru Komunitateko Administrazioak (NFKA) eratzen ahal dituzten plangintza orokorreko mankomunitateak, toki eskumeneko zenbait zerbitzuren prestazioa koordinatzea xede dutenak.</w:t>
      </w:r>
    </w:p>
    <w:p w14:paraId="255876D0" w14:textId="28266395" w:rsidR="00AE354A" w:rsidRDefault="00AE354A"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Apirilaren 4ko 20/2019 Foru Legeak indarra hartu baino lehenago sortutako administrazio zerbitzuen elkarteak. Lege horrek aldatu egiten ditu Nafarroako Toki Administrazioari buruzko uztailaren 2ko 6/1990 Foru Legea eta Nafarroako Toki Administrazioaren Erreformarako otsailaren 4ko 4/2019 Foru Legea.</w:t>
      </w:r>
    </w:p>
    <w:p w14:paraId="4DD2C175" w14:textId="2663D444" w:rsidR="00AE354A" w:rsidRDefault="00AE354A" w:rsidP="007221C6">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color w:val="000000" w:themeColor="text1"/>
        </w:rPr>
      </w:pPr>
      <w:r>
        <w:rPr>
          <w:color w:val="000000" w:themeColor="text1"/>
        </w:rPr>
        <w:t>Nafarroako Toki Administrazioaren Erreformarako Foru Legeak udalen batasunen eta administrazio barrutien figurak ezabatu ditu, baina lege  horren xedapen iragankor batek dio haiei eutsi behar zaiela harik eta eskualdeak eratu, beren eskumenak eta langileak jaso eta dagozkien zerbitzuak emateko prest egon arte. Oraindik ez da eratu inongo eskualderik edo plangintza orokorrerako mankomunitaterik.</w:t>
      </w:r>
    </w:p>
    <w:p w14:paraId="295492AD" w14:textId="35DD91BC" w:rsidR="007221C6" w:rsidRDefault="007221C6" w:rsidP="007221C6">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color w:val="000000" w:themeColor="text1"/>
        </w:rPr>
      </w:pPr>
      <w:r>
        <w:rPr>
          <w:color w:val="000000" w:themeColor="text1"/>
        </w:rPr>
        <w:t xml:space="preserve">Foru lege horrek, bestalde, toki partzuergoei toki entitatearen izaera kendu die, eta berezko nortasun juridikoa eta beren helburuak betetzeko ahalmen osoa duten entitatetzat jotzen ditu. Administrazio publiko bati atxikiko zaizkio, </w:t>
      </w:r>
      <w:proofErr w:type="spellStart"/>
      <w:r>
        <w:rPr>
          <w:color w:val="000000" w:themeColor="text1"/>
        </w:rPr>
        <w:t>TAFLn</w:t>
      </w:r>
      <w:proofErr w:type="spellEnd"/>
      <w:r>
        <w:rPr>
          <w:color w:val="000000" w:themeColor="text1"/>
        </w:rPr>
        <w:t xml:space="preserve"> ezarritakoarekin bat.</w:t>
      </w:r>
    </w:p>
    <w:p w14:paraId="6B9B9684" w14:textId="77777777" w:rsidR="000259CF" w:rsidRDefault="000259CF" w:rsidP="007221C6">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color w:val="000000" w:themeColor="text1"/>
        </w:rPr>
      </w:pPr>
    </w:p>
    <w:p w14:paraId="2C8BC347" w14:textId="527912BB" w:rsidR="00345C6C" w:rsidRDefault="00345C6C" w:rsidP="002563B1">
      <w:pPr>
        <w:pStyle w:val="texto"/>
        <w:spacing w:after="240"/>
        <w:rPr>
          <w:color w:val="000000" w:themeColor="text1"/>
        </w:rPr>
      </w:pPr>
      <w:r>
        <w:rPr>
          <w:color w:val="000000" w:themeColor="text1"/>
        </w:rPr>
        <w:t>Honako hau da toki entitateen kopurua, 2020ko abenduaren 31n, aurreko urteetako toki entitateen kopuruarekin alderatuta:</w:t>
      </w:r>
    </w:p>
    <w:tbl>
      <w:tblPr>
        <w:tblW w:w="4997" w:type="pct"/>
        <w:tblCellMar>
          <w:left w:w="70" w:type="dxa"/>
          <w:right w:w="70" w:type="dxa"/>
        </w:tblCellMar>
        <w:tblLook w:val="04A0" w:firstRow="1" w:lastRow="0" w:firstColumn="1" w:lastColumn="0" w:noHBand="0" w:noVBand="1"/>
      </w:tblPr>
      <w:tblGrid>
        <w:gridCol w:w="2413"/>
        <w:gridCol w:w="1276"/>
        <w:gridCol w:w="1276"/>
        <w:gridCol w:w="1275"/>
        <w:gridCol w:w="1272"/>
        <w:gridCol w:w="1272"/>
      </w:tblGrid>
      <w:tr w:rsidR="00AE354A" w:rsidRPr="00023DC6" w14:paraId="32D8B29C" w14:textId="77777777" w:rsidTr="005C70E8">
        <w:trPr>
          <w:trHeight w:val="255"/>
        </w:trPr>
        <w:tc>
          <w:tcPr>
            <w:tcW w:w="1373" w:type="pct"/>
            <w:tcBorders>
              <w:top w:val="single" w:sz="4" w:space="0" w:color="auto"/>
              <w:left w:val="nil"/>
              <w:bottom w:val="single" w:sz="4" w:space="0" w:color="auto"/>
              <w:right w:val="nil"/>
            </w:tcBorders>
            <w:shd w:val="clear" w:color="auto" w:fill="FABF8F" w:themeFill="accent6" w:themeFillTint="99"/>
            <w:vAlign w:val="center"/>
            <w:hideMark/>
          </w:tcPr>
          <w:p w14:paraId="08CF38C3" w14:textId="77777777" w:rsidR="00AE354A" w:rsidRPr="00023DC6" w:rsidRDefault="00AE354A" w:rsidP="002563B1">
            <w:pPr>
              <w:pStyle w:val="cuadroCabe"/>
              <w:spacing w:line="240" w:lineRule="auto"/>
            </w:pPr>
            <w:r>
              <w:t>Toki entitatea</w:t>
            </w:r>
          </w:p>
        </w:tc>
        <w:tc>
          <w:tcPr>
            <w:tcW w:w="726" w:type="pct"/>
            <w:tcBorders>
              <w:top w:val="single" w:sz="4" w:space="0" w:color="auto"/>
              <w:left w:val="nil"/>
              <w:bottom w:val="single" w:sz="4" w:space="0" w:color="auto"/>
              <w:right w:val="nil"/>
            </w:tcBorders>
            <w:shd w:val="clear" w:color="auto" w:fill="FABF8F" w:themeFill="accent6" w:themeFillTint="99"/>
            <w:vAlign w:val="center"/>
            <w:hideMark/>
          </w:tcPr>
          <w:p w14:paraId="10C14CA3" w14:textId="77777777" w:rsidR="00AE354A" w:rsidRPr="00023DC6" w:rsidRDefault="00AE354A" w:rsidP="002563B1">
            <w:pPr>
              <w:pStyle w:val="cuadroCabe"/>
              <w:spacing w:line="240" w:lineRule="auto"/>
              <w:jc w:val="right"/>
            </w:pPr>
            <w:r>
              <w:t>2016</w:t>
            </w:r>
          </w:p>
        </w:tc>
        <w:tc>
          <w:tcPr>
            <w:tcW w:w="726" w:type="pct"/>
            <w:tcBorders>
              <w:top w:val="single" w:sz="4" w:space="0" w:color="auto"/>
              <w:left w:val="nil"/>
              <w:bottom w:val="single" w:sz="4" w:space="0" w:color="auto"/>
              <w:right w:val="nil"/>
            </w:tcBorders>
            <w:shd w:val="clear" w:color="auto" w:fill="FABF8F" w:themeFill="accent6" w:themeFillTint="99"/>
            <w:vAlign w:val="center"/>
            <w:hideMark/>
          </w:tcPr>
          <w:p w14:paraId="62A5BABE" w14:textId="77777777" w:rsidR="00AE354A" w:rsidRPr="00023DC6" w:rsidRDefault="00AE354A" w:rsidP="002563B1">
            <w:pPr>
              <w:pStyle w:val="cuadroCabe"/>
              <w:spacing w:line="240" w:lineRule="auto"/>
              <w:jc w:val="right"/>
            </w:pPr>
            <w:r>
              <w:t>2017</w:t>
            </w:r>
          </w:p>
        </w:tc>
        <w:tc>
          <w:tcPr>
            <w:tcW w:w="726" w:type="pct"/>
            <w:tcBorders>
              <w:top w:val="single" w:sz="4" w:space="0" w:color="auto"/>
              <w:left w:val="nil"/>
              <w:bottom w:val="single" w:sz="4" w:space="0" w:color="auto"/>
              <w:right w:val="nil"/>
            </w:tcBorders>
            <w:shd w:val="clear" w:color="auto" w:fill="FABF8F" w:themeFill="accent6" w:themeFillTint="99"/>
            <w:vAlign w:val="center"/>
            <w:hideMark/>
          </w:tcPr>
          <w:p w14:paraId="0AF9E757" w14:textId="77777777" w:rsidR="00AE354A" w:rsidRPr="00023DC6" w:rsidRDefault="00AE354A" w:rsidP="002563B1">
            <w:pPr>
              <w:pStyle w:val="cuadroCabe"/>
              <w:spacing w:line="240" w:lineRule="auto"/>
              <w:jc w:val="right"/>
            </w:pPr>
            <w:r>
              <w:t>2018</w:t>
            </w:r>
          </w:p>
        </w:tc>
        <w:tc>
          <w:tcPr>
            <w:tcW w:w="724" w:type="pct"/>
            <w:tcBorders>
              <w:top w:val="single" w:sz="4" w:space="0" w:color="auto"/>
              <w:left w:val="nil"/>
              <w:bottom w:val="single" w:sz="4" w:space="0" w:color="auto"/>
              <w:right w:val="nil"/>
            </w:tcBorders>
            <w:shd w:val="clear" w:color="auto" w:fill="FABF8F" w:themeFill="accent6" w:themeFillTint="99"/>
            <w:vAlign w:val="center"/>
          </w:tcPr>
          <w:p w14:paraId="302C9FB1" w14:textId="77777777" w:rsidR="00AE354A" w:rsidRPr="00023DC6" w:rsidRDefault="00AE354A" w:rsidP="002563B1">
            <w:pPr>
              <w:pStyle w:val="cuadroCabe"/>
              <w:spacing w:line="240" w:lineRule="auto"/>
              <w:jc w:val="right"/>
            </w:pPr>
            <w:r>
              <w:t>2019</w:t>
            </w:r>
          </w:p>
        </w:tc>
        <w:tc>
          <w:tcPr>
            <w:tcW w:w="724" w:type="pct"/>
            <w:tcBorders>
              <w:top w:val="single" w:sz="4" w:space="0" w:color="auto"/>
              <w:left w:val="nil"/>
              <w:bottom w:val="single" w:sz="4" w:space="0" w:color="auto"/>
              <w:right w:val="nil"/>
            </w:tcBorders>
            <w:shd w:val="clear" w:color="auto" w:fill="FABF8F" w:themeFill="accent6" w:themeFillTint="99"/>
            <w:vAlign w:val="center"/>
          </w:tcPr>
          <w:p w14:paraId="3AF70DC9" w14:textId="77777777" w:rsidR="00AE354A" w:rsidRPr="00023DC6" w:rsidRDefault="00AE354A" w:rsidP="002563B1">
            <w:pPr>
              <w:pStyle w:val="cuadroCabe"/>
              <w:spacing w:line="240" w:lineRule="auto"/>
              <w:jc w:val="right"/>
            </w:pPr>
            <w:r>
              <w:t>2020</w:t>
            </w:r>
          </w:p>
        </w:tc>
      </w:tr>
      <w:tr w:rsidR="00AE354A" w:rsidRPr="00552FA9" w14:paraId="7D3669AE" w14:textId="77777777" w:rsidTr="00CE2ACA">
        <w:trPr>
          <w:trHeight w:val="255"/>
        </w:trPr>
        <w:tc>
          <w:tcPr>
            <w:tcW w:w="1373" w:type="pct"/>
            <w:tcBorders>
              <w:top w:val="nil"/>
              <w:left w:val="nil"/>
              <w:bottom w:val="single" w:sz="2" w:space="0" w:color="auto"/>
              <w:right w:val="nil"/>
            </w:tcBorders>
            <w:shd w:val="clear" w:color="auto" w:fill="auto"/>
            <w:vAlign w:val="center"/>
            <w:hideMark/>
          </w:tcPr>
          <w:p w14:paraId="3E48D54D" w14:textId="77777777" w:rsidR="00AE354A" w:rsidRPr="00552FA9" w:rsidRDefault="00AE354A" w:rsidP="002563B1">
            <w:pPr>
              <w:spacing w:after="0"/>
              <w:ind w:firstLine="0"/>
              <w:rPr>
                <w:rFonts w:ascii="Arial Narrow" w:hAnsi="Arial Narrow" w:cs="Calibri"/>
                <w:color w:val="000000"/>
              </w:rPr>
            </w:pPr>
            <w:r>
              <w:rPr>
                <w:rFonts w:ascii="Arial Narrow" w:hAnsi="Arial Narrow"/>
                <w:color w:val="000000"/>
              </w:rPr>
              <w:lastRenderedPageBreak/>
              <w:t>Udalak</w:t>
            </w:r>
            <w:r>
              <w:rPr>
                <w:rFonts w:ascii="Arial Narrow" w:hAnsi="Arial Narrow"/>
                <w:color w:val="000000"/>
                <w:sz w:val="22"/>
                <w:vertAlign w:val="subscript"/>
              </w:rPr>
              <w:t xml:space="preserve"> </w:t>
            </w:r>
            <w:r>
              <w:rPr>
                <w:rFonts w:ascii="Arial Narrow" w:hAnsi="Arial Narrow"/>
                <w:color w:val="000000"/>
                <w:sz w:val="22"/>
                <w:vertAlign w:val="superscript"/>
              </w:rPr>
              <w:t>(1)</w:t>
            </w:r>
          </w:p>
        </w:tc>
        <w:tc>
          <w:tcPr>
            <w:tcW w:w="726" w:type="pct"/>
            <w:tcBorders>
              <w:top w:val="nil"/>
              <w:left w:val="nil"/>
              <w:bottom w:val="single" w:sz="2" w:space="0" w:color="auto"/>
              <w:right w:val="nil"/>
            </w:tcBorders>
            <w:shd w:val="clear" w:color="auto" w:fill="auto"/>
            <w:vAlign w:val="center"/>
            <w:hideMark/>
          </w:tcPr>
          <w:p w14:paraId="0B2BC185" w14:textId="77777777" w:rsidR="00AE354A" w:rsidRPr="00552FA9" w:rsidRDefault="00AE354A" w:rsidP="002563B1">
            <w:pPr>
              <w:spacing w:after="0"/>
              <w:ind w:firstLine="0"/>
              <w:jc w:val="right"/>
              <w:rPr>
                <w:rFonts w:ascii="Arial Narrow" w:hAnsi="Arial Narrow" w:cs="Calibri"/>
                <w:color w:val="000000"/>
              </w:rPr>
            </w:pPr>
            <w:r>
              <w:rPr>
                <w:rFonts w:ascii="Arial Narrow" w:hAnsi="Arial Narrow"/>
                <w:color w:val="000000"/>
              </w:rPr>
              <w:t>272</w:t>
            </w:r>
          </w:p>
        </w:tc>
        <w:tc>
          <w:tcPr>
            <w:tcW w:w="726" w:type="pct"/>
            <w:tcBorders>
              <w:top w:val="nil"/>
              <w:left w:val="nil"/>
              <w:bottom w:val="single" w:sz="2" w:space="0" w:color="auto"/>
              <w:right w:val="nil"/>
            </w:tcBorders>
            <w:shd w:val="clear" w:color="auto" w:fill="auto"/>
            <w:vAlign w:val="center"/>
            <w:hideMark/>
          </w:tcPr>
          <w:p w14:paraId="28ABB6ED" w14:textId="77777777" w:rsidR="00AE354A" w:rsidRPr="00552FA9" w:rsidRDefault="00AE354A" w:rsidP="002563B1">
            <w:pPr>
              <w:spacing w:after="0"/>
              <w:ind w:firstLine="0"/>
              <w:jc w:val="right"/>
              <w:rPr>
                <w:rFonts w:ascii="Arial Narrow" w:hAnsi="Arial Narrow" w:cs="Calibri"/>
                <w:color w:val="000000"/>
              </w:rPr>
            </w:pPr>
            <w:r>
              <w:rPr>
                <w:rFonts w:ascii="Arial Narrow" w:hAnsi="Arial Narrow"/>
                <w:color w:val="000000"/>
              </w:rPr>
              <w:t>272</w:t>
            </w:r>
          </w:p>
        </w:tc>
        <w:tc>
          <w:tcPr>
            <w:tcW w:w="726" w:type="pct"/>
            <w:tcBorders>
              <w:top w:val="nil"/>
              <w:left w:val="nil"/>
              <w:bottom w:val="single" w:sz="2" w:space="0" w:color="auto"/>
              <w:right w:val="nil"/>
            </w:tcBorders>
            <w:shd w:val="clear" w:color="auto" w:fill="auto"/>
            <w:vAlign w:val="center"/>
            <w:hideMark/>
          </w:tcPr>
          <w:p w14:paraId="5E9570FF" w14:textId="77777777" w:rsidR="00AE354A" w:rsidRPr="00552FA9" w:rsidRDefault="00AE354A" w:rsidP="002563B1">
            <w:pPr>
              <w:spacing w:after="0"/>
              <w:ind w:firstLine="0"/>
              <w:jc w:val="right"/>
              <w:rPr>
                <w:rFonts w:ascii="Arial Narrow" w:hAnsi="Arial Narrow" w:cs="Calibri"/>
                <w:color w:val="000000"/>
              </w:rPr>
            </w:pPr>
            <w:r>
              <w:rPr>
                <w:rFonts w:ascii="Arial Narrow" w:hAnsi="Arial Narrow"/>
                <w:color w:val="000000"/>
              </w:rPr>
              <w:t>272</w:t>
            </w:r>
          </w:p>
        </w:tc>
        <w:tc>
          <w:tcPr>
            <w:tcW w:w="724" w:type="pct"/>
            <w:tcBorders>
              <w:top w:val="nil"/>
              <w:left w:val="nil"/>
              <w:bottom w:val="single" w:sz="2" w:space="0" w:color="auto"/>
              <w:right w:val="nil"/>
            </w:tcBorders>
            <w:vAlign w:val="center"/>
          </w:tcPr>
          <w:p w14:paraId="261CCABE" w14:textId="77777777" w:rsidR="00AE354A" w:rsidRPr="00552FA9" w:rsidRDefault="00AE354A" w:rsidP="002563B1">
            <w:pPr>
              <w:spacing w:after="0"/>
              <w:ind w:firstLine="0"/>
              <w:jc w:val="right"/>
              <w:rPr>
                <w:rFonts w:ascii="Arial Narrow" w:hAnsi="Arial Narrow" w:cs="Calibri"/>
                <w:color w:val="000000"/>
              </w:rPr>
            </w:pPr>
            <w:r>
              <w:rPr>
                <w:rFonts w:ascii="Arial Narrow" w:hAnsi="Arial Narrow"/>
                <w:color w:val="000000"/>
              </w:rPr>
              <w:t>272</w:t>
            </w:r>
          </w:p>
        </w:tc>
        <w:tc>
          <w:tcPr>
            <w:tcW w:w="724" w:type="pct"/>
            <w:tcBorders>
              <w:top w:val="nil"/>
              <w:left w:val="nil"/>
              <w:bottom w:val="single" w:sz="2" w:space="0" w:color="auto"/>
              <w:right w:val="nil"/>
            </w:tcBorders>
            <w:vAlign w:val="center"/>
          </w:tcPr>
          <w:p w14:paraId="399AA846" w14:textId="77777777" w:rsidR="00AE354A" w:rsidRPr="00552FA9" w:rsidRDefault="00AE354A" w:rsidP="002563B1">
            <w:pPr>
              <w:spacing w:after="0"/>
              <w:ind w:firstLine="0"/>
              <w:jc w:val="right"/>
              <w:rPr>
                <w:rFonts w:ascii="Arial Narrow" w:hAnsi="Arial Narrow" w:cs="Arial"/>
                <w:iCs/>
                <w:color w:val="000000"/>
              </w:rPr>
            </w:pPr>
            <w:r>
              <w:rPr>
                <w:rFonts w:ascii="Arial Narrow" w:hAnsi="Arial Narrow"/>
                <w:color w:val="000000"/>
              </w:rPr>
              <w:t>272</w:t>
            </w:r>
          </w:p>
        </w:tc>
      </w:tr>
      <w:tr w:rsidR="00AE354A" w:rsidRPr="00552FA9" w14:paraId="20357049" w14:textId="77777777" w:rsidTr="002563B1">
        <w:trPr>
          <w:trHeight w:val="255"/>
        </w:trPr>
        <w:tc>
          <w:tcPr>
            <w:tcW w:w="1373" w:type="pct"/>
            <w:tcBorders>
              <w:top w:val="single" w:sz="2" w:space="0" w:color="auto"/>
              <w:left w:val="nil"/>
              <w:bottom w:val="single" w:sz="2" w:space="0" w:color="auto"/>
              <w:right w:val="nil"/>
            </w:tcBorders>
            <w:shd w:val="clear" w:color="auto" w:fill="auto"/>
            <w:vAlign w:val="center"/>
            <w:hideMark/>
          </w:tcPr>
          <w:p w14:paraId="2B8139C3" w14:textId="77777777" w:rsidR="00AE354A" w:rsidRPr="00552FA9" w:rsidRDefault="00AE354A" w:rsidP="002563B1">
            <w:pPr>
              <w:spacing w:after="0"/>
              <w:ind w:firstLine="0"/>
              <w:rPr>
                <w:rFonts w:ascii="Arial Narrow" w:hAnsi="Arial Narrow" w:cs="Calibri"/>
                <w:color w:val="000000"/>
              </w:rPr>
            </w:pPr>
            <w:r>
              <w:rPr>
                <w:rFonts w:ascii="Arial Narrow" w:hAnsi="Arial Narrow"/>
                <w:color w:val="000000"/>
              </w:rPr>
              <w:t>Kontzejuak</w:t>
            </w:r>
          </w:p>
        </w:tc>
        <w:tc>
          <w:tcPr>
            <w:tcW w:w="726" w:type="pct"/>
            <w:tcBorders>
              <w:top w:val="single" w:sz="2" w:space="0" w:color="auto"/>
              <w:left w:val="nil"/>
              <w:bottom w:val="single" w:sz="2" w:space="0" w:color="auto"/>
              <w:right w:val="nil"/>
            </w:tcBorders>
            <w:shd w:val="clear" w:color="auto" w:fill="auto"/>
            <w:vAlign w:val="center"/>
            <w:hideMark/>
          </w:tcPr>
          <w:p w14:paraId="1791C9EE" w14:textId="77777777" w:rsidR="00AE354A" w:rsidRPr="00552FA9" w:rsidRDefault="00AE354A" w:rsidP="002563B1">
            <w:pPr>
              <w:spacing w:after="0"/>
              <w:ind w:firstLine="0"/>
              <w:jc w:val="right"/>
              <w:rPr>
                <w:rFonts w:ascii="Arial Narrow" w:hAnsi="Arial Narrow" w:cs="Calibri"/>
                <w:color w:val="000000"/>
              </w:rPr>
            </w:pPr>
            <w:r>
              <w:rPr>
                <w:rFonts w:ascii="Arial Narrow" w:hAnsi="Arial Narrow"/>
                <w:color w:val="000000"/>
              </w:rPr>
              <w:t>346</w:t>
            </w:r>
          </w:p>
        </w:tc>
        <w:tc>
          <w:tcPr>
            <w:tcW w:w="726" w:type="pct"/>
            <w:tcBorders>
              <w:top w:val="single" w:sz="2" w:space="0" w:color="auto"/>
              <w:left w:val="nil"/>
              <w:bottom w:val="single" w:sz="2" w:space="0" w:color="auto"/>
              <w:right w:val="nil"/>
            </w:tcBorders>
            <w:shd w:val="clear" w:color="auto" w:fill="auto"/>
            <w:vAlign w:val="center"/>
            <w:hideMark/>
          </w:tcPr>
          <w:p w14:paraId="4EFC6C01" w14:textId="77777777" w:rsidR="00AE354A" w:rsidRPr="00552FA9" w:rsidRDefault="00AE354A" w:rsidP="002563B1">
            <w:pPr>
              <w:spacing w:after="0"/>
              <w:ind w:firstLine="0"/>
              <w:jc w:val="right"/>
              <w:rPr>
                <w:rFonts w:ascii="Arial Narrow" w:hAnsi="Arial Narrow" w:cs="Calibri"/>
                <w:color w:val="000000"/>
              </w:rPr>
            </w:pPr>
            <w:r>
              <w:rPr>
                <w:rFonts w:ascii="Arial Narrow" w:hAnsi="Arial Narrow"/>
                <w:color w:val="000000"/>
              </w:rPr>
              <w:t>346</w:t>
            </w:r>
          </w:p>
        </w:tc>
        <w:tc>
          <w:tcPr>
            <w:tcW w:w="726" w:type="pct"/>
            <w:tcBorders>
              <w:top w:val="single" w:sz="2" w:space="0" w:color="auto"/>
              <w:left w:val="nil"/>
              <w:bottom w:val="single" w:sz="2" w:space="0" w:color="auto"/>
              <w:right w:val="nil"/>
            </w:tcBorders>
            <w:shd w:val="clear" w:color="auto" w:fill="auto"/>
            <w:vAlign w:val="center"/>
            <w:hideMark/>
          </w:tcPr>
          <w:p w14:paraId="44C83336" w14:textId="77777777" w:rsidR="00AE354A" w:rsidRPr="00552FA9" w:rsidRDefault="00AE354A" w:rsidP="002563B1">
            <w:pPr>
              <w:spacing w:after="0"/>
              <w:ind w:firstLine="0"/>
              <w:jc w:val="right"/>
              <w:rPr>
                <w:rFonts w:ascii="Arial Narrow" w:hAnsi="Arial Narrow" w:cs="Calibri"/>
                <w:color w:val="000000"/>
              </w:rPr>
            </w:pPr>
            <w:r>
              <w:rPr>
                <w:rFonts w:ascii="Arial Narrow" w:hAnsi="Arial Narrow"/>
                <w:color w:val="000000"/>
              </w:rPr>
              <w:t>346</w:t>
            </w:r>
          </w:p>
        </w:tc>
        <w:tc>
          <w:tcPr>
            <w:tcW w:w="724" w:type="pct"/>
            <w:tcBorders>
              <w:top w:val="single" w:sz="2" w:space="0" w:color="auto"/>
              <w:left w:val="nil"/>
              <w:bottom w:val="single" w:sz="2" w:space="0" w:color="auto"/>
              <w:right w:val="nil"/>
            </w:tcBorders>
            <w:vAlign w:val="center"/>
          </w:tcPr>
          <w:p w14:paraId="4F617815" w14:textId="77777777" w:rsidR="00AE354A" w:rsidRPr="00552FA9" w:rsidRDefault="00AE354A" w:rsidP="002563B1">
            <w:pPr>
              <w:spacing w:after="0"/>
              <w:ind w:firstLine="0"/>
              <w:jc w:val="right"/>
              <w:rPr>
                <w:rFonts w:ascii="Arial Narrow" w:hAnsi="Arial Narrow" w:cs="Calibri"/>
                <w:color w:val="000000"/>
              </w:rPr>
            </w:pPr>
            <w:r>
              <w:rPr>
                <w:rFonts w:ascii="Arial Narrow" w:hAnsi="Arial Narrow"/>
                <w:color w:val="000000"/>
              </w:rPr>
              <w:t>346</w:t>
            </w:r>
          </w:p>
        </w:tc>
        <w:tc>
          <w:tcPr>
            <w:tcW w:w="724" w:type="pct"/>
            <w:tcBorders>
              <w:top w:val="single" w:sz="2" w:space="0" w:color="auto"/>
              <w:left w:val="nil"/>
              <w:bottom w:val="single" w:sz="2" w:space="0" w:color="auto"/>
              <w:right w:val="nil"/>
            </w:tcBorders>
            <w:vAlign w:val="center"/>
          </w:tcPr>
          <w:p w14:paraId="694892D2" w14:textId="77777777" w:rsidR="00AE354A" w:rsidRPr="00552FA9" w:rsidRDefault="00AE354A" w:rsidP="002563B1">
            <w:pPr>
              <w:spacing w:after="0"/>
              <w:ind w:firstLine="0"/>
              <w:jc w:val="right"/>
              <w:rPr>
                <w:rFonts w:ascii="Arial Narrow" w:hAnsi="Arial Narrow" w:cs="Arial"/>
                <w:iCs/>
                <w:color w:val="000000"/>
              </w:rPr>
            </w:pPr>
            <w:r>
              <w:rPr>
                <w:rFonts w:ascii="Arial Narrow" w:hAnsi="Arial Narrow"/>
                <w:color w:val="000000"/>
              </w:rPr>
              <w:t>346</w:t>
            </w:r>
          </w:p>
        </w:tc>
      </w:tr>
      <w:tr w:rsidR="00AE354A" w:rsidRPr="00442CCA" w14:paraId="2EB79F94" w14:textId="77777777" w:rsidTr="002563B1">
        <w:trPr>
          <w:trHeight w:val="255"/>
        </w:trPr>
        <w:tc>
          <w:tcPr>
            <w:tcW w:w="1373" w:type="pct"/>
            <w:tcBorders>
              <w:top w:val="single" w:sz="2" w:space="0" w:color="auto"/>
              <w:left w:val="nil"/>
              <w:bottom w:val="single" w:sz="2" w:space="0" w:color="auto"/>
              <w:right w:val="nil"/>
            </w:tcBorders>
            <w:shd w:val="clear" w:color="auto" w:fill="auto"/>
            <w:vAlign w:val="center"/>
            <w:hideMark/>
          </w:tcPr>
          <w:p w14:paraId="3D216CDF" w14:textId="69D9ED09" w:rsidR="00AE354A" w:rsidRPr="00442CCA" w:rsidRDefault="00AE354A" w:rsidP="002E192B">
            <w:pPr>
              <w:spacing w:after="0"/>
              <w:ind w:firstLine="0"/>
              <w:rPr>
                <w:rFonts w:ascii="Arial Narrow" w:hAnsi="Arial Narrow" w:cs="Calibri"/>
                <w:color w:val="000000"/>
              </w:rPr>
            </w:pPr>
            <w:r>
              <w:rPr>
                <w:rFonts w:ascii="Arial Narrow" w:hAnsi="Arial Narrow"/>
                <w:color w:val="000000"/>
              </w:rPr>
              <w:t xml:space="preserve">Mankomunitateak </w:t>
            </w:r>
            <w:r>
              <w:rPr>
                <w:rFonts w:ascii="Arial Narrow" w:hAnsi="Arial Narrow"/>
                <w:color w:val="000000"/>
                <w:sz w:val="22"/>
                <w:vertAlign w:val="superscript"/>
              </w:rPr>
              <w:t xml:space="preserve">(2) </w:t>
            </w:r>
          </w:p>
        </w:tc>
        <w:tc>
          <w:tcPr>
            <w:tcW w:w="726" w:type="pct"/>
            <w:tcBorders>
              <w:top w:val="single" w:sz="2" w:space="0" w:color="auto"/>
              <w:left w:val="nil"/>
              <w:bottom w:val="single" w:sz="2" w:space="0" w:color="auto"/>
              <w:right w:val="nil"/>
            </w:tcBorders>
            <w:shd w:val="clear" w:color="auto" w:fill="auto"/>
            <w:vAlign w:val="center"/>
            <w:hideMark/>
          </w:tcPr>
          <w:p w14:paraId="465A845F" w14:textId="77777777" w:rsidR="00AE354A" w:rsidRPr="00442CCA" w:rsidRDefault="00AE354A" w:rsidP="002563B1">
            <w:pPr>
              <w:spacing w:after="0"/>
              <w:ind w:firstLine="0"/>
              <w:jc w:val="right"/>
              <w:rPr>
                <w:rFonts w:ascii="Arial Narrow" w:hAnsi="Arial Narrow" w:cs="Calibri"/>
                <w:color w:val="000000"/>
              </w:rPr>
            </w:pPr>
            <w:r>
              <w:rPr>
                <w:rFonts w:ascii="Arial Narrow" w:hAnsi="Arial Narrow"/>
                <w:color w:val="000000"/>
              </w:rPr>
              <w:t>62</w:t>
            </w:r>
          </w:p>
        </w:tc>
        <w:tc>
          <w:tcPr>
            <w:tcW w:w="726" w:type="pct"/>
            <w:tcBorders>
              <w:top w:val="single" w:sz="2" w:space="0" w:color="auto"/>
              <w:left w:val="nil"/>
              <w:bottom w:val="single" w:sz="2" w:space="0" w:color="auto"/>
              <w:right w:val="nil"/>
            </w:tcBorders>
            <w:shd w:val="clear" w:color="auto" w:fill="auto"/>
            <w:vAlign w:val="center"/>
            <w:hideMark/>
          </w:tcPr>
          <w:p w14:paraId="199516CB" w14:textId="77777777" w:rsidR="00AE354A" w:rsidRPr="00442CCA" w:rsidRDefault="00AE354A" w:rsidP="002563B1">
            <w:pPr>
              <w:spacing w:after="0"/>
              <w:ind w:firstLine="0"/>
              <w:jc w:val="right"/>
              <w:rPr>
                <w:rFonts w:ascii="Arial Narrow" w:hAnsi="Arial Narrow" w:cs="Calibri"/>
                <w:color w:val="000000"/>
              </w:rPr>
            </w:pPr>
            <w:r>
              <w:rPr>
                <w:rFonts w:ascii="Arial Narrow" w:hAnsi="Arial Narrow"/>
                <w:color w:val="000000"/>
              </w:rPr>
              <w:t>61</w:t>
            </w:r>
          </w:p>
        </w:tc>
        <w:tc>
          <w:tcPr>
            <w:tcW w:w="726" w:type="pct"/>
            <w:tcBorders>
              <w:top w:val="single" w:sz="2" w:space="0" w:color="auto"/>
              <w:left w:val="nil"/>
              <w:bottom w:val="single" w:sz="2" w:space="0" w:color="auto"/>
              <w:right w:val="nil"/>
            </w:tcBorders>
            <w:shd w:val="clear" w:color="auto" w:fill="auto"/>
            <w:vAlign w:val="center"/>
            <w:hideMark/>
          </w:tcPr>
          <w:p w14:paraId="07981AE7" w14:textId="77777777" w:rsidR="00AE354A" w:rsidRPr="00442CCA" w:rsidRDefault="00AE354A" w:rsidP="002563B1">
            <w:pPr>
              <w:spacing w:after="0"/>
              <w:ind w:firstLine="0"/>
              <w:jc w:val="right"/>
              <w:rPr>
                <w:rFonts w:ascii="Arial Narrow" w:hAnsi="Arial Narrow" w:cs="Calibri"/>
                <w:color w:val="000000"/>
              </w:rPr>
            </w:pPr>
            <w:r>
              <w:rPr>
                <w:rFonts w:ascii="Arial Narrow" w:hAnsi="Arial Narrow"/>
                <w:color w:val="000000"/>
              </w:rPr>
              <w:t>61</w:t>
            </w:r>
          </w:p>
        </w:tc>
        <w:tc>
          <w:tcPr>
            <w:tcW w:w="724" w:type="pct"/>
            <w:tcBorders>
              <w:top w:val="single" w:sz="2" w:space="0" w:color="auto"/>
              <w:left w:val="nil"/>
              <w:bottom w:val="single" w:sz="2" w:space="0" w:color="auto"/>
              <w:right w:val="nil"/>
            </w:tcBorders>
            <w:vAlign w:val="center"/>
          </w:tcPr>
          <w:p w14:paraId="714CC963" w14:textId="77777777" w:rsidR="00AE354A" w:rsidRPr="00442CCA" w:rsidRDefault="00AE354A" w:rsidP="002563B1">
            <w:pPr>
              <w:spacing w:after="0"/>
              <w:ind w:firstLine="0"/>
              <w:jc w:val="right"/>
              <w:rPr>
                <w:rFonts w:ascii="Arial Narrow" w:hAnsi="Arial Narrow" w:cs="Calibri"/>
                <w:color w:val="000000"/>
              </w:rPr>
            </w:pPr>
            <w:r>
              <w:rPr>
                <w:rFonts w:ascii="Arial Narrow" w:hAnsi="Arial Narrow"/>
                <w:color w:val="000000"/>
              </w:rPr>
              <w:t>61</w:t>
            </w:r>
          </w:p>
        </w:tc>
        <w:tc>
          <w:tcPr>
            <w:tcW w:w="724" w:type="pct"/>
            <w:tcBorders>
              <w:top w:val="single" w:sz="2" w:space="0" w:color="auto"/>
              <w:left w:val="nil"/>
              <w:bottom w:val="single" w:sz="2" w:space="0" w:color="auto"/>
              <w:right w:val="nil"/>
            </w:tcBorders>
            <w:vAlign w:val="center"/>
          </w:tcPr>
          <w:p w14:paraId="29D6C105" w14:textId="77777777" w:rsidR="00AE354A" w:rsidRPr="00442CCA" w:rsidRDefault="00AE354A" w:rsidP="002563B1">
            <w:pPr>
              <w:spacing w:after="0"/>
              <w:ind w:firstLine="0"/>
              <w:jc w:val="right"/>
              <w:rPr>
                <w:rFonts w:ascii="Arial Narrow" w:hAnsi="Arial Narrow" w:cs="Arial"/>
                <w:iCs/>
                <w:color w:val="000000"/>
              </w:rPr>
            </w:pPr>
            <w:r>
              <w:rPr>
                <w:rFonts w:ascii="Arial Narrow" w:hAnsi="Arial Narrow"/>
                <w:color w:val="000000"/>
              </w:rPr>
              <w:t>61</w:t>
            </w:r>
          </w:p>
        </w:tc>
      </w:tr>
      <w:tr w:rsidR="00AE354A" w:rsidRPr="00442CCA" w14:paraId="4D83F4DF" w14:textId="77777777" w:rsidTr="002563B1">
        <w:trPr>
          <w:trHeight w:val="255"/>
        </w:trPr>
        <w:tc>
          <w:tcPr>
            <w:tcW w:w="1373" w:type="pct"/>
            <w:tcBorders>
              <w:top w:val="single" w:sz="2" w:space="0" w:color="auto"/>
              <w:left w:val="nil"/>
              <w:bottom w:val="single" w:sz="4" w:space="0" w:color="auto"/>
              <w:right w:val="nil"/>
            </w:tcBorders>
            <w:shd w:val="clear" w:color="auto" w:fill="auto"/>
            <w:vAlign w:val="center"/>
            <w:hideMark/>
          </w:tcPr>
          <w:p w14:paraId="5571C489" w14:textId="77777777" w:rsidR="00AE354A" w:rsidRPr="00442CCA" w:rsidRDefault="00AE354A" w:rsidP="002563B1">
            <w:pPr>
              <w:spacing w:after="0"/>
              <w:ind w:firstLine="0"/>
              <w:rPr>
                <w:rFonts w:ascii="Arial Narrow" w:hAnsi="Arial Narrow" w:cs="Calibri"/>
                <w:color w:val="000000"/>
              </w:rPr>
            </w:pPr>
            <w:r>
              <w:rPr>
                <w:rFonts w:ascii="Arial Narrow" w:hAnsi="Arial Narrow"/>
                <w:color w:val="000000"/>
              </w:rPr>
              <w:t>Udal batasunak</w:t>
            </w:r>
          </w:p>
        </w:tc>
        <w:tc>
          <w:tcPr>
            <w:tcW w:w="726" w:type="pct"/>
            <w:tcBorders>
              <w:top w:val="single" w:sz="2" w:space="0" w:color="auto"/>
              <w:left w:val="nil"/>
              <w:bottom w:val="single" w:sz="4" w:space="0" w:color="auto"/>
              <w:right w:val="nil"/>
            </w:tcBorders>
            <w:shd w:val="clear" w:color="auto" w:fill="auto"/>
            <w:vAlign w:val="center"/>
            <w:hideMark/>
          </w:tcPr>
          <w:p w14:paraId="088D9876" w14:textId="77777777" w:rsidR="00AE354A" w:rsidRPr="00442CCA" w:rsidRDefault="00AE354A" w:rsidP="002563B1">
            <w:pPr>
              <w:spacing w:after="0"/>
              <w:ind w:firstLine="0"/>
              <w:jc w:val="right"/>
              <w:rPr>
                <w:rFonts w:ascii="Arial Narrow" w:hAnsi="Arial Narrow" w:cs="Calibri"/>
                <w:color w:val="000000"/>
              </w:rPr>
            </w:pPr>
            <w:r>
              <w:rPr>
                <w:rFonts w:ascii="Arial Narrow" w:hAnsi="Arial Narrow"/>
                <w:color w:val="000000"/>
              </w:rPr>
              <w:t>20</w:t>
            </w:r>
          </w:p>
        </w:tc>
        <w:tc>
          <w:tcPr>
            <w:tcW w:w="726" w:type="pct"/>
            <w:tcBorders>
              <w:top w:val="single" w:sz="2" w:space="0" w:color="auto"/>
              <w:left w:val="nil"/>
              <w:bottom w:val="single" w:sz="4" w:space="0" w:color="auto"/>
              <w:right w:val="nil"/>
            </w:tcBorders>
            <w:shd w:val="clear" w:color="auto" w:fill="auto"/>
            <w:vAlign w:val="center"/>
            <w:hideMark/>
          </w:tcPr>
          <w:p w14:paraId="3B1E8E6E" w14:textId="77777777" w:rsidR="00AE354A" w:rsidRPr="00442CCA" w:rsidRDefault="00AE354A" w:rsidP="002563B1">
            <w:pPr>
              <w:spacing w:after="0"/>
              <w:ind w:firstLine="0"/>
              <w:jc w:val="right"/>
              <w:rPr>
                <w:rFonts w:ascii="Arial Narrow" w:hAnsi="Arial Narrow" w:cs="Calibri"/>
                <w:color w:val="000000"/>
              </w:rPr>
            </w:pPr>
            <w:r>
              <w:rPr>
                <w:rFonts w:ascii="Arial Narrow" w:hAnsi="Arial Narrow"/>
                <w:color w:val="000000"/>
              </w:rPr>
              <w:t>23</w:t>
            </w:r>
          </w:p>
        </w:tc>
        <w:tc>
          <w:tcPr>
            <w:tcW w:w="726" w:type="pct"/>
            <w:tcBorders>
              <w:top w:val="single" w:sz="2" w:space="0" w:color="auto"/>
              <w:left w:val="nil"/>
              <w:bottom w:val="single" w:sz="4" w:space="0" w:color="auto"/>
              <w:right w:val="nil"/>
            </w:tcBorders>
            <w:shd w:val="clear" w:color="auto" w:fill="auto"/>
            <w:vAlign w:val="center"/>
            <w:hideMark/>
          </w:tcPr>
          <w:p w14:paraId="1E4AE835" w14:textId="77777777" w:rsidR="00AE354A" w:rsidRPr="00442CCA" w:rsidRDefault="00AE354A" w:rsidP="002563B1">
            <w:pPr>
              <w:spacing w:after="0"/>
              <w:ind w:firstLine="0"/>
              <w:jc w:val="right"/>
              <w:rPr>
                <w:rFonts w:ascii="Arial Narrow" w:hAnsi="Arial Narrow" w:cs="Calibri"/>
                <w:color w:val="000000"/>
              </w:rPr>
            </w:pPr>
            <w:r>
              <w:rPr>
                <w:rFonts w:ascii="Arial Narrow" w:hAnsi="Arial Narrow"/>
                <w:color w:val="000000"/>
              </w:rPr>
              <w:t>22</w:t>
            </w:r>
          </w:p>
        </w:tc>
        <w:tc>
          <w:tcPr>
            <w:tcW w:w="724" w:type="pct"/>
            <w:tcBorders>
              <w:top w:val="single" w:sz="2" w:space="0" w:color="auto"/>
              <w:left w:val="nil"/>
              <w:bottom w:val="single" w:sz="4" w:space="0" w:color="auto"/>
              <w:right w:val="nil"/>
            </w:tcBorders>
            <w:vAlign w:val="center"/>
          </w:tcPr>
          <w:p w14:paraId="3ABAEF5A" w14:textId="77777777" w:rsidR="00AE354A" w:rsidRPr="00442CCA" w:rsidRDefault="00AE354A" w:rsidP="002563B1">
            <w:pPr>
              <w:spacing w:after="0"/>
              <w:ind w:firstLine="0"/>
              <w:jc w:val="right"/>
              <w:rPr>
                <w:rFonts w:ascii="Arial Narrow" w:hAnsi="Arial Narrow" w:cs="Calibri"/>
                <w:color w:val="000000"/>
              </w:rPr>
            </w:pPr>
            <w:r>
              <w:rPr>
                <w:rFonts w:ascii="Arial Narrow" w:hAnsi="Arial Narrow"/>
                <w:color w:val="000000"/>
              </w:rPr>
              <w:t>22</w:t>
            </w:r>
          </w:p>
        </w:tc>
        <w:tc>
          <w:tcPr>
            <w:tcW w:w="724" w:type="pct"/>
            <w:tcBorders>
              <w:top w:val="single" w:sz="2" w:space="0" w:color="auto"/>
              <w:left w:val="nil"/>
              <w:bottom w:val="single" w:sz="4" w:space="0" w:color="auto"/>
              <w:right w:val="nil"/>
            </w:tcBorders>
            <w:vAlign w:val="center"/>
          </w:tcPr>
          <w:p w14:paraId="307D2F15" w14:textId="77777777" w:rsidR="00AE354A" w:rsidRPr="00442CCA" w:rsidRDefault="00AE354A" w:rsidP="002563B1">
            <w:pPr>
              <w:spacing w:after="0"/>
              <w:ind w:firstLine="0"/>
              <w:jc w:val="right"/>
              <w:rPr>
                <w:rFonts w:ascii="Arial Narrow" w:hAnsi="Arial Narrow" w:cs="Arial"/>
                <w:iCs/>
                <w:color w:val="000000"/>
              </w:rPr>
            </w:pPr>
            <w:r>
              <w:rPr>
                <w:rFonts w:ascii="Arial Narrow" w:hAnsi="Arial Narrow"/>
                <w:color w:val="000000"/>
              </w:rPr>
              <w:t>22</w:t>
            </w:r>
          </w:p>
        </w:tc>
      </w:tr>
      <w:tr w:rsidR="00AE354A" w:rsidRPr="00023DC6" w14:paraId="1A48E8C7" w14:textId="77777777" w:rsidTr="005C70E8">
        <w:trPr>
          <w:trHeight w:val="255"/>
        </w:trPr>
        <w:tc>
          <w:tcPr>
            <w:tcW w:w="1373" w:type="pct"/>
            <w:tcBorders>
              <w:top w:val="nil"/>
              <w:left w:val="nil"/>
              <w:bottom w:val="single" w:sz="4" w:space="0" w:color="auto"/>
              <w:right w:val="nil"/>
            </w:tcBorders>
            <w:shd w:val="clear" w:color="auto" w:fill="FABF8F" w:themeFill="accent6" w:themeFillTint="99"/>
            <w:vAlign w:val="center"/>
            <w:hideMark/>
          </w:tcPr>
          <w:p w14:paraId="5A55EA59" w14:textId="77777777" w:rsidR="00AE354A" w:rsidRPr="00023DC6" w:rsidRDefault="00AE354A" w:rsidP="002563B1">
            <w:pPr>
              <w:pStyle w:val="cuadroCabe"/>
              <w:spacing w:line="240" w:lineRule="auto"/>
            </w:pPr>
            <w:r>
              <w:t>Guztira</w:t>
            </w:r>
          </w:p>
        </w:tc>
        <w:tc>
          <w:tcPr>
            <w:tcW w:w="726" w:type="pct"/>
            <w:tcBorders>
              <w:top w:val="nil"/>
              <w:left w:val="nil"/>
              <w:bottom w:val="single" w:sz="4" w:space="0" w:color="auto"/>
              <w:right w:val="nil"/>
            </w:tcBorders>
            <w:shd w:val="clear" w:color="auto" w:fill="FABF8F" w:themeFill="accent6" w:themeFillTint="99"/>
            <w:vAlign w:val="center"/>
            <w:hideMark/>
          </w:tcPr>
          <w:p w14:paraId="2D0C4248" w14:textId="77777777" w:rsidR="00AE354A" w:rsidRPr="00023DC6" w:rsidRDefault="00AE354A" w:rsidP="002563B1">
            <w:pPr>
              <w:pStyle w:val="cuadroCabe"/>
              <w:spacing w:line="240" w:lineRule="auto"/>
              <w:jc w:val="right"/>
            </w:pPr>
            <w:r>
              <w:t>700</w:t>
            </w:r>
          </w:p>
        </w:tc>
        <w:tc>
          <w:tcPr>
            <w:tcW w:w="726" w:type="pct"/>
            <w:tcBorders>
              <w:top w:val="nil"/>
              <w:left w:val="nil"/>
              <w:bottom w:val="single" w:sz="4" w:space="0" w:color="auto"/>
              <w:right w:val="nil"/>
            </w:tcBorders>
            <w:shd w:val="clear" w:color="auto" w:fill="FABF8F" w:themeFill="accent6" w:themeFillTint="99"/>
            <w:vAlign w:val="center"/>
            <w:hideMark/>
          </w:tcPr>
          <w:p w14:paraId="4A5797DA" w14:textId="77777777" w:rsidR="00AE354A" w:rsidRPr="00023DC6" w:rsidRDefault="00AE354A" w:rsidP="002563B1">
            <w:pPr>
              <w:pStyle w:val="cuadroCabe"/>
              <w:spacing w:line="240" w:lineRule="auto"/>
              <w:jc w:val="right"/>
            </w:pPr>
            <w:r>
              <w:t>702</w:t>
            </w:r>
          </w:p>
        </w:tc>
        <w:tc>
          <w:tcPr>
            <w:tcW w:w="726" w:type="pct"/>
            <w:tcBorders>
              <w:top w:val="nil"/>
              <w:left w:val="nil"/>
              <w:bottom w:val="single" w:sz="4" w:space="0" w:color="auto"/>
              <w:right w:val="nil"/>
            </w:tcBorders>
            <w:shd w:val="clear" w:color="auto" w:fill="FABF8F" w:themeFill="accent6" w:themeFillTint="99"/>
            <w:vAlign w:val="center"/>
            <w:hideMark/>
          </w:tcPr>
          <w:p w14:paraId="1D695BEA" w14:textId="77777777" w:rsidR="00AE354A" w:rsidRPr="00023DC6" w:rsidRDefault="00AE354A" w:rsidP="002563B1">
            <w:pPr>
              <w:pStyle w:val="cuadroCabe"/>
              <w:spacing w:line="240" w:lineRule="auto"/>
              <w:jc w:val="right"/>
            </w:pPr>
            <w:r>
              <w:t>701</w:t>
            </w:r>
          </w:p>
        </w:tc>
        <w:tc>
          <w:tcPr>
            <w:tcW w:w="724" w:type="pct"/>
            <w:tcBorders>
              <w:top w:val="nil"/>
              <w:left w:val="nil"/>
              <w:bottom w:val="single" w:sz="4" w:space="0" w:color="auto"/>
              <w:right w:val="nil"/>
            </w:tcBorders>
            <w:shd w:val="clear" w:color="auto" w:fill="FABF8F" w:themeFill="accent6" w:themeFillTint="99"/>
            <w:vAlign w:val="center"/>
          </w:tcPr>
          <w:p w14:paraId="6DF7F20D" w14:textId="77777777" w:rsidR="00AE354A" w:rsidRPr="00023DC6" w:rsidRDefault="00AE354A" w:rsidP="002563B1">
            <w:pPr>
              <w:pStyle w:val="cuadroCabe"/>
              <w:spacing w:line="240" w:lineRule="auto"/>
              <w:jc w:val="right"/>
            </w:pPr>
            <w:r>
              <w:t>701</w:t>
            </w:r>
          </w:p>
        </w:tc>
        <w:tc>
          <w:tcPr>
            <w:tcW w:w="724" w:type="pct"/>
            <w:tcBorders>
              <w:top w:val="nil"/>
              <w:left w:val="nil"/>
              <w:bottom w:val="single" w:sz="4" w:space="0" w:color="auto"/>
              <w:right w:val="nil"/>
            </w:tcBorders>
            <w:shd w:val="clear" w:color="auto" w:fill="FABF8F" w:themeFill="accent6" w:themeFillTint="99"/>
            <w:vAlign w:val="center"/>
          </w:tcPr>
          <w:p w14:paraId="5C0DD8F4" w14:textId="77777777" w:rsidR="00AE354A" w:rsidRPr="00023DC6" w:rsidRDefault="00AE354A" w:rsidP="002563B1">
            <w:pPr>
              <w:pStyle w:val="cuadroCabe"/>
              <w:spacing w:line="240" w:lineRule="auto"/>
              <w:jc w:val="right"/>
            </w:pPr>
            <w:r>
              <w:t>701</w:t>
            </w:r>
          </w:p>
        </w:tc>
      </w:tr>
    </w:tbl>
    <w:p w14:paraId="7A16CF7D" w14:textId="7D9CA022" w:rsidR="00AE354A" w:rsidRPr="002563B1" w:rsidRDefault="00AE354A" w:rsidP="002563B1">
      <w:pPr>
        <w:pStyle w:val="recomen"/>
        <w:numPr>
          <w:ilvl w:val="0"/>
          <w:numId w:val="9"/>
        </w:numPr>
        <w:tabs>
          <w:tab w:val="clear" w:pos="885"/>
        </w:tabs>
        <w:spacing w:before="60" w:after="0"/>
        <w:ind w:left="284" w:hanging="284"/>
        <w:rPr>
          <w:rFonts w:ascii="Arial" w:hAnsi="Arial" w:cs="Arial"/>
          <w:i w:val="0"/>
          <w:color w:val="000000" w:themeColor="text1"/>
          <w:sz w:val="14"/>
          <w:szCs w:val="14"/>
        </w:rPr>
      </w:pPr>
      <w:r>
        <w:rPr>
          <w:rFonts w:ascii="Arial" w:hAnsi="Arial"/>
          <w:i w:val="0"/>
          <w:color w:val="000000" w:themeColor="text1"/>
          <w:sz w:val="14"/>
        </w:rPr>
        <w:t>60 dira udal konposatuak.</w:t>
      </w:r>
    </w:p>
    <w:p w14:paraId="5822ED43" w14:textId="77777777" w:rsidR="00AE354A" w:rsidRPr="002563B1" w:rsidRDefault="00AE354A" w:rsidP="002563B1">
      <w:pPr>
        <w:pStyle w:val="recomen"/>
        <w:numPr>
          <w:ilvl w:val="0"/>
          <w:numId w:val="9"/>
        </w:numPr>
        <w:tabs>
          <w:tab w:val="clear" w:pos="885"/>
        </w:tabs>
        <w:spacing w:before="60" w:after="0"/>
        <w:ind w:left="284" w:hanging="284"/>
        <w:rPr>
          <w:rFonts w:ascii="Arial" w:hAnsi="Arial" w:cs="Arial"/>
          <w:i w:val="0"/>
          <w:color w:val="000000" w:themeColor="text1"/>
          <w:sz w:val="14"/>
          <w:szCs w:val="14"/>
        </w:rPr>
      </w:pPr>
      <w:r>
        <w:rPr>
          <w:rFonts w:ascii="Arial" w:hAnsi="Arial"/>
          <w:i w:val="0"/>
          <w:color w:val="000000" w:themeColor="text1"/>
          <w:sz w:val="14"/>
        </w:rPr>
        <w:t>Ezkabarteko eta Olaibarko Langileriaren Mankomunitatea Toki Entitateen Erregistrotik irten da 2021ean, atzeraeraginez, iritzi baitio inoiz ez zuela erregistrora bildu behar. Horregatik, aurreko ekitaldietako datuak ere aldatu egin ditugu.</w:t>
      </w:r>
    </w:p>
    <w:p w14:paraId="2A9E3CFC" w14:textId="77777777" w:rsidR="00AE354A" w:rsidRPr="002563B1" w:rsidRDefault="00AE354A" w:rsidP="00AE354A">
      <w:pPr>
        <w:pStyle w:val="texto"/>
        <w:spacing w:after="0"/>
        <w:rPr>
          <w:rFonts w:ascii="Arial" w:hAnsi="Arial" w:cs="Arial"/>
          <w:color w:val="000000" w:themeColor="text1"/>
          <w:sz w:val="16"/>
          <w:szCs w:val="16"/>
        </w:rPr>
      </w:pPr>
    </w:p>
    <w:p w14:paraId="139652E9" w14:textId="74103BDB" w:rsidR="00345C6C" w:rsidRPr="00A02FED" w:rsidRDefault="00AE354A" w:rsidP="00A02FED">
      <w:pPr>
        <w:pStyle w:val="texto"/>
        <w:spacing w:before="240"/>
        <w:rPr>
          <w:color w:val="000000" w:themeColor="text1"/>
          <w:spacing w:val="2"/>
        </w:rPr>
      </w:pPr>
      <w:r>
        <w:rPr>
          <w:color w:val="000000" w:themeColor="text1"/>
        </w:rPr>
        <w:t xml:space="preserve">2020an ez da inolako aldaketarik izan aurreko ekitaldiarekin konparatuta. </w:t>
      </w:r>
    </w:p>
    <w:p w14:paraId="08F77370" w14:textId="43A72BC6" w:rsidR="00345C6C" w:rsidRDefault="00345C6C" w:rsidP="00345C6C">
      <w:pPr>
        <w:pStyle w:val="texto"/>
        <w:spacing w:before="240" w:after="240"/>
        <w:rPr>
          <w:color w:val="000000" w:themeColor="text1"/>
        </w:rPr>
      </w:pPr>
      <w:r>
        <w:rPr>
          <w:color w:val="000000" w:themeColor="text1"/>
        </w:rPr>
        <w:t>2016tik 2020ra bitarteko aldian honako hau da erakunde autonomoen, toki entitate bat jabe bakarra duten merkataritza sozietateen, toki fundazio publikoen eta partzuergoen kopurua:</w:t>
      </w:r>
    </w:p>
    <w:tbl>
      <w:tblPr>
        <w:tblW w:w="4997" w:type="pct"/>
        <w:tblCellMar>
          <w:left w:w="70" w:type="dxa"/>
          <w:right w:w="70" w:type="dxa"/>
        </w:tblCellMar>
        <w:tblLook w:val="04A0" w:firstRow="1" w:lastRow="0" w:firstColumn="1" w:lastColumn="0" w:noHBand="0" w:noVBand="1"/>
      </w:tblPr>
      <w:tblGrid>
        <w:gridCol w:w="2283"/>
        <w:gridCol w:w="1086"/>
        <w:gridCol w:w="1084"/>
        <w:gridCol w:w="1084"/>
        <w:gridCol w:w="1087"/>
        <w:gridCol w:w="1080"/>
        <w:gridCol w:w="1080"/>
      </w:tblGrid>
      <w:tr w:rsidR="00AE354A" w:rsidRPr="00023DC6" w14:paraId="240FF378" w14:textId="77777777" w:rsidTr="005C70E8">
        <w:trPr>
          <w:trHeight w:val="255"/>
        </w:trPr>
        <w:tc>
          <w:tcPr>
            <w:tcW w:w="1299" w:type="pct"/>
            <w:tcBorders>
              <w:top w:val="single" w:sz="4" w:space="0" w:color="auto"/>
              <w:left w:val="nil"/>
              <w:bottom w:val="single" w:sz="4" w:space="0" w:color="auto"/>
              <w:right w:val="nil"/>
            </w:tcBorders>
            <w:shd w:val="clear" w:color="auto" w:fill="FABF8F" w:themeFill="accent6" w:themeFillTint="99"/>
            <w:vAlign w:val="center"/>
            <w:hideMark/>
          </w:tcPr>
          <w:p w14:paraId="18144B68" w14:textId="77777777" w:rsidR="00AE354A" w:rsidRPr="00023DC6" w:rsidRDefault="00AE354A" w:rsidP="004E2CFD">
            <w:pPr>
              <w:pStyle w:val="cuadroCabe"/>
              <w:spacing w:line="240" w:lineRule="auto"/>
            </w:pPr>
            <w:r>
              <w:t>Entitatea</w:t>
            </w:r>
          </w:p>
        </w:tc>
        <w:tc>
          <w:tcPr>
            <w:tcW w:w="618" w:type="pct"/>
            <w:tcBorders>
              <w:top w:val="single" w:sz="4" w:space="0" w:color="auto"/>
              <w:left w:val="nil"/>
              <w:bottom w:val="single" w:sz="4" w:space="0" w:color="auto"/>
              <w:right w:val="nil"/>
            </w:tcBorders>
            <w:shd w:val="clear" w:color="auto" w:fill="FABF8F" w:themeFill="accent6" w:themeFillTint="99"/>
            <w:vAlign w:val="center"/>
          </w:tcPr>
          <w:p w14:paraId="5D9DA5B4" w14:textId="77777777" w:rsidR="00AE354A" w:rsidRPr="00023DC6" w:rsidRDefault="00AE354A" w:rsidP="004E2CFD">
            <w:pPr>
              <w:pStyle w:val="cuadroCabe"/>
              <w:spacing w:line="240" w:lineRule="auto"/>
              <w:rPr>
                <w:lang w:val="es-ES" w:eastAsia="es-ES"/>
              </w:rPr>
            </w:pPr>
          </w:p>
        </w:tc>
        <w:tc>
          <w:tcPr>
            <w:tcW w:w="617" w:type="pct"/>
            <w:tcBorders>
              <w:top w:val="single" w:sz="4" w:space="0" w:color="auto"/>
              <w:left w:val="nil"/>
              <w:bottom w:val="single" w:sz="4" w:space="0" w:color="auto"/>
              <w:right w:val="nil"/>
            </w:tcBorders>
            <w:shd w:val="clear" w:color="auto" w:fill="FABF8F" w:themeFill="accent6" w:themeFillTint="99"/>
            <w:vAlign w:val="center"/>
            <w:hideMark/>
          </w:tcPr>
          <w:p w14:paraId="03EACAD4" w14:textId="77777777" w:rsidR="00AE354A" w:rsidRPr="00023DC6" w:rsidRDefault="00AE354A" w:rsidP="004E2CFD">
            <w:pPr>
              <w:pStyle w:val="cuadroCabe"/>
              <w:spacing w:line="240" w:lineRule="auto"/>
              <w:jc w:val="right"/>
            </w:pPr>
            <w:r>
              <w:t>2016</w:t>
            </w:r>
          </w:p>
        </w:tc>
        <w:tc>
          <w:tcPr>
            <w:tcW w:w="617" w:type="pct"/>
            <w:tcBorders>
              <w:top w:val="single" w:sz="4" w:space="0" w:color="auto"/>
              <w:left w:val="nil"/>
              <w:bottom w:val="single" w:sz="4" w:space="0" w:color="auto"/>
              <w:right w:val="nil"/>
            </w:tcBorders>
            <w:shd w:val="clear" w:color="auto" w:fill="FABF8F" w:themeFill="accent6" w:themeFillTint="99"/>
            <w:vAlign w:val="center"/>
            <w:hideMark/>
          </w:tcPr>
          <w:p w14:paraId="6173D1B9" w14:textId="77777777" w:rsidR="00AE354A" w:rsidRPr="00023DC6" w:rsidRDefault="00AE354A" w:rsidP="004E2CFD">
            <w:pPr>
              <w:pStyle w:val="cuadroCabe"/>
              <w:spacing w:line="240" w:lineRule="auto"/>
              <w:jc w:val="right"/>
            </w:pPr>
            <w:r>
              <w:t>2017</w:t>
            </w:r>
          </w:p>
        </w:tc>
        <w:tc>
          <w:tcPr>
            <w:tcW w:w="619" w:type="pct"/>
            <w:tcBorders>
              <w:top w:val="single" w:sz="4" w:space="0" w:color="auto"/>
              <w:left w:val="nil"/>
              <w:bottom w:val="single" w:sz="4" w:space="0" w:color="auto"/>
              <w:right w:val="nil"/>
            </w:tcBorders>
            <w:shd w:val="clear" w:color="auto" w:fill="FABF8F" w:themeFill="accent6" w:themeFillTint="99"/>
            <w:vAlign w:val="center"/>
            <w:hideMark/>
          </w:tcPr>
          <w:p w14:paraId="33419494" w14:textId="77777777" w:rsidR="00AE354A" w:rsidRPr="00023DC6" w:rsidRDefault="00AE354A" w:rsidP="004E2CFD">
            <w:pPr>
              <w:pStyle w:val="cuadroCabe"/>
              <w:spacing w:line="240" w:lineRule="auto"/>
              <w:jc w:val="right"/>
            </w:pPr>
            <w:r>
              <w:t>2018</w:t>
            </w:r>
          </w:p>
        </w:tc>
        <w:tc>
          <w:tcPr>
            <w:tcW w:w="615" w:type="pct"/>
            <w:tcBorders>
              <w:top w:val="single" w:sz="4" w:space="0" w:color="auto"/>
              <w:left w:val="nil"/>
              <w:bottom w:val="single" w:sz="4" w:space="0" w:color="auto"/>
              <w:right w:val="nil"/>
            </w:tcBorders>
            <w:shd w:val="clear" w:color="auto" w:fill="FABF8F" w:themeFill="accent6" w:themeFillTint="99"/>
            <w:vAlign w:val="center"/>
          </w:tcPr>
          <w:p w14:paraId="75EDBA98" w14:textId="77777777" w:rsidR="00AE354A" w:rsidRPr="00023DC6" w:rsidRDefault="00AE354A" w:rsidP="004E2CFD">
            <w:pPr>
              <w:pStyle w:val="cuadroCabe"/>
              <w:spacing w:line="240" w:lineRule="auto"/>
              <w:jc w:val="right"/>
            </w:pPr>
            <w:r>
              <w:t>2019</w:t>
            </w:r>
          </w:p>
        </w:tc>
        <w:tc>
          <w:tcPr>
            <w:tcW w:w="615" w:type="pct"/>
            <w:tcBorders>
              <w:top w:val="single" w:sz="4" w:space="0" w:color="auto"/>
              <w:left w:val="nil"/>
              <w:bottom w:val="single" w:sz="4" w:space="0" w:color="auto"/>
              <w:right w:val="nil"/>
            </w:tcBorders>
            <w:shd w:val="clear" w:color="auto" w:fill="FABF8F" w:themeFill="accent6" w:themeFillTint="99"/>
            <w:vAlign w:val="center"/>
          </w:tcPr>
          <w:p w14:paraId="3C1C4857" w14:textId="77777777" w:rsidR="00AE354A" w:rsidRPr="00023DC6" w:rsidRDefault="00AE354A" w:rsidP="004E2CFD">
            <w:pPr>
              <w:pStyle w:val="cuadroCabe"/>
              <w:spacing w:line="240" w:lineRule="auto"/>
              <w:jc w:val="right"/>
            </w:pPr>
            <w:r>
              <w:t>2020</w:t>
            </w:r>
          </w:p>
        </w:tc>
      </w:tr>
      <w:tr w:rsidR="00AE354A" w:rsidRPr="006E66F8" w14:paraId="7A4CE7D0" w14:textId="77777777" w:rsidTr="00A02FED">
        <w:trPr>
          <w:trHeight w:val="255"/>
        </w:trPr>
        <w:tc>
          <w:tcPr>
            <w:tcW w:w="1299" w:type="pct"/>
            <w:tcBorders>
              <w:top w:val="nil"/>
              <w:left w:val="nil"/>
              <w:bottom w:val="single" w:sz="2" w:space="0" w:color="auto"/>
              <w:right w:val="nil"/>
            </w:tcBorders>
            <w:shd w:val="clear" w:color="auto" w:fill="auto"/>
            <w:vAlign w:val="center"/>
            <w:hideMark/>
          </w:tcPr>
          <w:p w14:paraId="12FC0F79" w14:textId="77777777" w:rsidR="00AE354A" w:rsidRPr="006E66F8" w:rsidRDefault="00AE354A" w:rsidP="004E2CFD">
            <w:pPr>
              <w:spacing w:after="0"/>
              <w:ind w:firstLine="0"/>
              <w:rPr>
                <w:rFonts w:ascii="Arial Narrow" w:hAnsi="Arial Narrow" w:cs="Calibri"/>
                <w:color w:val="000000"/>
              </w:rPr>
            </w:pPr>
            <w:r>
              <w:rPr>
                <w:rFonts w:ascii="Arial Narrow" w:hAnsi="Arial Narrow"/>
                <w:color w:val="000000"/>
              </w:rPr>
              <w:t>Erakunde autonomoak</w:t>
            </w:r>
          </w:p>
        </w:tc>
        <w:tc>
          <w:tcPr>
            <w:tcW w:w="618" w:type="pct"/>
            <w:tcBorders>
              <w:top w:val="nil"/>
              <w:left w:val="nil"/>
              <w:bottom w:val="single" w:sz="2" w:space="0" w:color="auto"/>
              <w:right w:val="nil"/>
            </w:tcBorders>
            <w:shd w:val="clear" w:color="auto" w:fill="auto"/>
            <w:vAlign w:val="center"/>
          </w:tcPr>
          <w:p w14:paraId="6AEA565E" w14:textId="77777777" w:rsidR="00AE354A" w:rsidRPr="006E66F8" w:rsidRDefault="00AE354A" w:rsidP="004E2CFD">
            <w:pPr>
              <w:spacing w:after="0"/>
              <w:ind w:left="125" w:hanging="125"/>
              <w:jc w:val="right"/>
              <w:rPr>
                <w:rFonts w:ascii="Arial Narrow" w:hAnsi="Arial Narrow" w:cs="Calibri"/>
                <w:color w:val="000000"/>
                <w:lang w:val="es-ES" w:eastAsia="es-ES"/>
              </w:rPr>
            </w:pPr>
          </w:p>
        </w:tc>
        <w:tc>
          <w:tcPr>
            <w:tcW w:w="617" w:type="pct"/>
            <w:tcBorders>
              <w:top w:val="nil"/>
              <w:left w:val="nil"/>
              <w:bottom w:val="single" w:sz="2" w:space="0" w:color="auto"/>
              <w:right w:val="nil"/>
            </w:tcBorders>
            <w:shd w:val="clear" w:color="auto" w:fill="auto"/>
            <w:vAlign w:val="center"/>
            <w:hideMark/>
          </w:tcPr>
          <w:p w14:paraId="3B0043F1" w14:textId="77777777" w:rsidR="00AE354A" w:rsidRPr="006E66F8" w:rsidRDefault="00AE354A" w:rsidP="004E2CFD">
            <w:pPr>
              <w:spacing w:after="0"/>
              <w:ind w:firstLine="0"/>
              <w:jc w:val="right"/>
              <w:rPr>
                <w:rFonts w:ascii="Arial Narrow" w:hAnsi="Arial Narrow" w:cs="Calibri"/>
                <w:color w:val="000000"/>
              </w:rPr>
            </w:pPr>
            <w:r>
              <w:rPr>
                <w:rFonts w:ascii="Arial Narrow" w:hAnsi="Arial Narrow"/>
                <w:color w:val="000000"/>
              </w:rPr>
              <w:t>64</w:t>
            </w:r>
          </w:p>
        </w:tc>
        <w:tc>
          <w:tcPr>
            <w:tcW w:w="617" w:type="pct"/>
            <w:tcBorders>
              <w:top w:val="nil"/>
              <w:left w:val="nil"/>
              <w:bottom w:val="single" w:sz="2" w:space="0" w:color="auto"/>
              <w:right w:val="nil"/>
            </w:tcBorders>
            <w:shd w:val="clear" w:color="auto" w:fill="auto"/>
            <w:vAlign w:val="center"/>
            <w:hideMark/>
          </w:tcPr>
          <w:p w14:paraId="143B4EB1" w14:textId="77777777" w:rsidR="00AE354A" w:rsidRPr="006E66F8" w:rsidRDefault="00AE354A" w:rsidP="004E2CFD">
            <w:pPr>
              <w:spacing w:after="0"/>
              <w:ind w:firstLine="0"/>
              <w:jc w:val="right"/>
              <w:rPr>
                <w:rFonts w:ascii="Arial Narrow" w:hAnsi="Arial Narrow" w:cs="Calibri"/>
                <w:color w:val="000000"/>
              </w:rPr>
            </w:pPr>
            <w:r>
              <w:rPr>
                <w:rFonts w:ascii="Arial Narrow" w:hAnsi="Arial Narrow"/>
                <w:color w:val="000000"/>
              </w:rPr>
              <w:t>63</w:t>
            </w:r>
          </w:p>
        </w:tc>
        <w:tc>
          <w:tcPr>
            <w:tcW w:w="619" w:type="pct"/>
            <w:tcBorders>
              <w:top w:val="nil"/>
              <w:left w:val="nil"/>
              <w:bottom w:val="single" w:sz="2" w:space="0" w:color="auto"/>
              <w:right w:val="nil"/>
            </w:tcBorders>
            <w:shd w:val="clear" w:color="auto" w:fill="auto"/>
            <w:vAlign w:val="center"/>
            <w:hideMark/>
          </w:tcPr>
          <w:p w14:paraId="4246A37C" w14:textId="77777777" w:rsidR="00AE354A" w:rsidRPr="006E66F8" w:rsidRDefault="00AE354A" w:rsidP="004E2CFD">
            <w:pPr>
              <w:spacing w:after="0"/>
              <w:ind w:firstLine="0"/>
              <w:jc w:val="right"/>
              <w:rPr>
                <w:rFonts w:ascii="Arial Narrow" w:hAnsi="Arial Narrow" w:cs="Calibri"/>
                <w:color w:val="000000"/>
              </w:rPr>
            </w:pPr>
            <w:r>
              <w:rPr>
                <w:rFonts w:ascii="Arial Narrow" w:hAnsi="Arial Narrow"/>
                <w:color w:val="000000"/>
              </w:rPr>
              <w:t>60</w:t>
            </w:r>
          </w:p>
        </w:tc>
        <w:tc>
          <w:tcPr>
            <w:tcW w:w="615" w:type="pct"/>
            <w:tcBorders>
              <w:top w:val="nil"/>
              <w:left w:val="nil"/>
              <w:bottom w:val="single" w:sz="2" w:space="0" w:color="auto"/>
              <w:right w:val="nil"/>
            </w:tcBorders>
            <w:vAlign w:val="center"/>
          </w:tcPr>
          <w:p w14:paraId="2AFA94F4" w14:textId="77777777" w:rsidR="00AE354A" w:rsidRPr="006E66F8" w:rsidRDefault="00AE354A" w:rsidP="004E2CFD">
            <w:pPr>
              <w:spacing w:after="0"/>
              <w:ind w:firstLine="0"/>
              <w:jc w:val="right"/>
              <w:rPr>
                <w:rFonts w:ascii="Arial Narrow" w:hAnsi="Arial Narrow" w:cs="Calibri"/>
                <w:color w:val="000000"/>
              </w:rPr>
            </w:pPr>
            <w:r>
              <w:rPr>
                <w:rFonts w:ascii="Arial Narrow" w:hAnsi="Arial Narrow"/>
                <w:color w:val="000000"/>
              </w:rPr>
              <w:t>58</w:t>
            </w:r>
          </w:p>
        </w:tc>
        <w:tc>
          <w:tcPr>
            <w:tcW w:w="615" w:type="pct"/>
            <w:tcBorders>
              <w:top w:val="nil"/>
              <w:left w:val="nil"/>
              <w:bottom w:val="single" w:sz="2" w:space="0" w:color="auto"/>
              <w:right w:val="nil"/>
            </w:tcBorders>
            <w:vAlign w:val="center"/>
          </w:tcPr>
          <w:p w14:paraId="6A31245D" w14:textId="77777777" w:rsidR="00AE354A" w:rsidRDefault="00AE354A" w:rsidP="004E2CFD">
            <w:pPr>
              <w:spacing w:after="0"/>
              <w:ind w:firstLine="0"/>
              <w:jc w:val="right"/>
              <w:rPr>
                <w:rFonts w:ascii="Arial Narrow" w:hAnsi="Arial Narrow" w:cs="Calibri"/>
                <w:color w:val="000000"/>
              </w:rPr>
            </w:pPr>
            <w:r>
              <w:rPr>
                <w:rFonts w:ascii="Arial Narrow" w:hAnsi="Arial Narrow"/>
                <w:color w:val="000000"/>
              </w:rPr>
              <w:t>56</w:t>
            </w:r>
          </w:p>
        </w:tc>
      </w:tr>
      <w:tr w:rsidR="00AE354A" w:rsidRPr="006E66F8" w14:paraId="4FEAFDC5" w14:textId="77777777" w:rsidTr="00A02FED">
        <w:trPr>
          <w:trHeight w:val="255"/>
        </w:trPr>
        <w:tc>
          <w:tcPr>
            <w:tcW w:w="1299" w:type="pct"/>
            <w:tcBorders>
              <w:top w:val="single" w:sz="2" w:space="0" w:color="auto"/>
              <w:left w:val="nil"/>
              <w:bottom w:val="single" w:sz="2" w:space="0" w:color="auto"/>
              <w:right w:val="nil"/>
            </w:tcBorders>
            <w:shd w:val="clear" w:color="auto" w:fill="auto"/>
            <w:vAlign w:val="center"/>
            <w:hideMark/>
          </w:tcPr>
          <w:p w14:paraId="73660335" w14:textId="0A7808A8" w:rsidR="00AE354A" w:rsidRPr="006E66F8" w:rsidRDefault="005636E0" w:rsidP="004E2CFD">
            <w:pPr>
              <w:spacing w:after="0"/>
              <w:ind w:firstLine="0"/>
              <w:rPr>
                <w:rFonts w:ascii="Arial Narrow" w:hAnsi="Arial Narrow" w:cs="Calibri"/>
                <w:color w:val="000000"/>
              </w:rPr>
            </w:pPr>
            <w:r>
              <w:rPr>
                <w:rFonts w:ascii="Arial Narrow" w:hAnsi="Arial Narrow"/>
                <w:color w:val="000000"/>
              </w:rPr>
              <w:t>Merkataritza sozietateak</w:t>
            </w:r>
          </w:p>
        </w:tc>
        <w:tc>
          <w:tcPr>
            <w:tcW w:w="618" w:type="pct"/>
            <w:tcBorders>
              <w:top w:val="single" w:sz="2" w:space="0" w:color="auto"/>
              <w:left w:val="nil"/>
              <w:bottom w:val="single" w:sz="2" w:space="0" w:color="auto"/>
              <w:right w:val="nil"/>
            </w:tcBorders>
            <w:shd w:val="clear" w:color="auto" w:fill="auto"/>
            <w:vAlign w:val="center"/>
          </w:tcPr>
          <w:p w14:paraId="2B95F0C8" w14:textId="77777777" w:rsidR="00AE354A" w:rsidRPr="006E66F8" w:rsidRDefault="00AE354A" w:rsidP="004E2CFD">
            <w:pPr>
              <w:spacing w:after="0"/>
              <w:ind w:firstLine="0"/>
              <w:jc w:val="right"/>
              <w:rPr>
                <w:rFonts w:ascii="Arial Narrow" w:hAnsi="Arial Narrow" w:cs="Calibri"/>
                <w:color w:val="000000"/>
                <w:lang w:val="es-ES" w:eastAsia="es-ES"/>
              </w:rPr>
            </w:pPr>
          </w:p>
        </w:tc>
        <w:tc>
          <w:tcPr>
            <w:tcW w:w="617" w:type="pct"/>
            <w:tcBorders>
              <w:top w:val="single" w:sz="2" w:space="0" w:color="auto"/>
              <w:left w:val="nil"/>
              <w:bottom w:val="single" w:sz="2" w:space="0" w:color="auto"/>
              <w:right w:val="nil"/>
            </w:tcBorders>
            <w:shd w:val="clear" w:color="auto" w:fill="auto"/>
            <w:vAlign w:val="center"/>
            <w:hideMark/>
          </w:tcPr>
          <w:p w14:paraId="3242EB1E" w14:textId="77777777" w:rsidR="00AE354A" w:rsidRPr="006E66F8" w:rsidRDefault="00AE354A" w:rsidP="004E2CFD">
            <w:pPr>
              <w:spacing w:after="0"/>
              <w:ind w:firstLine="0"/>
              <w:jc w:val="right"/>
              <w:rPr>
                <w:rFonts w:ascii="Arial Narrow" w:hAnsi="Arial Narrow" w:cs="Calibri"/>
                <w:color w:val="000000"/>
              </w:rPr>
            </w:pPr>
            <w:r>
              <w:rPr>
                <w:rFonts w:ascii="Arial Narrow" w:hAnsi="Arial Narrow"/>
                <w:color w:val="000000"/>
              </w:rPr>
              <w:t>54</w:t>
            </w:r>
          </w:p>
        </w:tc>
        <w:tc>
          <w:tcPr>
            <w:tcW w:w="617" w:type="pct"/>
            <w:tcBorders>
              <w:top w:val="single" w:sz="2" w:space="0" w:color="auto"/>
              <w:left w:val="nil"/>
              <w:bottom w:val="single" w:sz="2" w:space="0" w:color="auto"/>
              <w:right w:val="nil"/>
            </w:tcBorders>
            <w:shd w:val="clear" w:color="auto" w:fill="auto"/>
            <w:vAlign w:val="center"/>
            <w:hideMark/>
          </w:tcPr>
          <w:p w14:paraId="4C42BC28" w14:textId="77777777" w:rsidR="00AE354A" w:rsidRPr="006E66F8" w:rsidRDefault="00AE354A" w:rsidP="004E2CFD">
            <w:pPr>
              <w:spacing w:after="0"/>
              <w:ind w:firstLine="0"/>
              <w:jc w:val="right"/>
              <w:rPr>
                <w:rFonts w:ascii="Arial Narrow" w:hAnsi="Arial Narrow" w:cs="Calibri"/>
                <w:color w:val="000000"/>
              </w:rPr>
            </w:pPr>
            <w:r>
              <w:rPr>
                <w:rFonts w:ascii="Arial Narrow" w:hAnsi="Arial Narrow"/>
                <w:color w:val="000000"/>
              </w:rPr>
              <w:t>53</w:t>
            </w:r>
          </w:p>
        </w:tc>
        <w:tc>
          <w:tcPr>
            <w:tcW w:w="619" w:type="pct"/>
            <w:tcBorders>
              <w:top w:val="single" w:sz="2" w:space="0" w:color="auto"/>
              <w:left w:val="nil"/>
              <w:bottom w:val="single" w:sz="2" w:space="0" w:color="auto"/>
              <w:right w:val="nil"/>
            </w:tcBorders>
            <w:shd w:val="clear" w:color="auto" w:fill="auto"/>
            <w:vAlign w:val="center"/>
            <w:hideMark/>
          </w:tcPr>
          <w:p w14:paraId="373937B4" w14:textId="77777777" w:rsidR="00AE354A" w:rsidRPr="006E66F8" w:rsidRDefault="00AE354A" w:rsidP="004E2CFD">
            <w:pPr>
              <w:spacing w:after="0"/>
              <w:ind w:firstLine="0"/>
              <w:jc w:val="right"/>
              <w:rPr>
                <w:rFonts w:ascii="Arial Narrow" w:hAnsi="Arial Narrow" w:cs="Calibri"/>
                <w:color w:val="000000"/>
              </w:rPr>
            </w:pPr>
            <w:r>
              <w:rPr>
                <w:rFonts w:ascii="Arial Narrow" w:hAnsi="Arial Narrow"/>
                <w:color w:val="000000"/>
              </w:rPr>
              <w:t>57</w:t>
            </w:r>
          </w:p>
        </w:tc>
        <w:tc>
          <w:tcPr>
            <w:tcW w:w="615" w:type="pct"/>
            <w:tcBorders>
              <w:top w:val="single" w:sz="2" w:space="0" w:color="auto"/>
              <w:left w:val="nil"/>
              <w:bottom w:val="single" w:sz="2" w:space="0" w:color="auto"/>
              <w:right w:val="nil"/>
            </w:tcBorders>
            <w:vAlign w:val="center"/>
          </w:tcPr>
          <w:p w14:paraId="291AC0D2" w14:textId="77777777" w:rsidR="00AE354A" w:rsidRPr="006E66F8" w:rsidRDefault="00AE354A" w:rsidP="004E2CFD">
            <w:pPr>
              <w:spacing w:after="0"/>
              <w:ind w:firstLine="0"/>
              <w:jc w:val="right"/>
              <w:rPr>
                <w:rFonts w:ascii="Arial Narrow" w:hAnsi="Arial Narrow" w:cs="Calibri"/>
                <w:color w:val="000000"/>
              </w:rPr>
            </w:pPr>
            <w:r>
              <w:rPr>
                <w:rFonts w:ascii="Arial Narrow" w:hAnsi="Arial Narrow"/>
                <w:color w:val="000000"/>
              </w:rPr>
              <w:t>56</w:t>
            </w:r>
          </w:p>
        </w:tc>
        <w:tc>
          <w:tcPr>
            <w:tcW w:w="615" w:type="pct"/>
            <w:tcBorders>
              <w:top w:val="single" w:sz="2" w:space="0" w:color="auto"/>
              <w:left w:val="nil"/>
              <w:bottom w:val="single" w:sz="2" w:space="0" w:color="auto"/>
              <w:right w:val="nil"/>
            </w:tcBorders>
            <w:shd w:val="clear" w:color="auto" w:fill="auto"/>
            <w:vAlign w:val="center"/>
          </w:tcPr>
          <w:p w14:paraId="0263F642" w14:textId="77777777" w:rsidR="00AE354A" w:rsidRDefault="00AE354A" w:rsidP="004E2CFD">
            <w:pPr>
              <w:spacing w:after="0"/>
              <w:ind w:firstLine="0"/>
              <w:jc w:val="right"/>
              <w:rPr>
                <w:rFonts w:ascii="Arial Narrow" w:hAnsi="Arial Narrow" w:cs="Calibri"/>
                <w:color w:val="000000"/>
              </w:rPr>
            </w:pPr>
            <w:r>
              <w:rPr>
                <w:rFonts w:ascii="Arial Narrow" w:hAnsi="Arial Narrow"/>
                <w:color w:val="000000"/>
              </w:rPr>
              <w:t>54</w:t>
            </w:r>
          </w:p>
        </w:tc>
      </w:tr>
      <w:tr w:rsidR="00AE354A" w:rsidRPr="006E66F8" w14:paraId="7B67155A" w14:textId="77777777" w:rsidTr="00A02FED">
        <w:trPr>
          <w:trHeight w:val="255"/>
        </w:trPr>
        <w:tc>
          <w:tcPr>
            <w:tcW w:w="1299" w:type="pct"/>
            <w:tcBorders>
              <w:top w:val="single" w:sz="2" w:space="0" w:color="auto"/>
              <w:left w:val="nil"/>
              <w:bottom w:val="single" w:sz="2" w:space="0" w:color="auto"/>
              <w:right w:val="nil"/>
            </w:tcBorders>
            <w:shd w:val="clear" w:color="auto" w:fill="auto"/>
            <w:vAlign w:val="center"/>
            <w:hideMark/>
          </w:tcPr>
          <w:p w14:paraId="05164677" w14:textId="77777777" w:rsidR="00AE354A" w:rsidRPr="006E66F8" w:rsidRDefault="00AE354A" w:rsidP="004E2CFD">
            <w:pPr>
              <w:spacing w:after="0"/>
              <w:ind w:firstLine="0"/>
              <w:rPr>
                <w:rFonts w:ascii="Arial Narrow" w:hAnsi="Arial Narrow" w:cs="Calibri"/>
                <w:color w:val="000000"/>
              </w:rPr>
            </w:pPr>
            <w:r>
              <w:rPr>
                <w:rFonts w:ascii="Arial Narrow" w:hAnsi="Arial Narrow"/>
                <w:color w:val="000000"/>
              </w:rPr>
              <w:t>Fundazio publikoak</w:t>
            </w:r>
          </w:p>
        </w:tc>
        <w:tc>
          <w:tcPr>
            <w:tcW w:w="618" w:type="pct"/>
            <w:tcBorders>
              <w:top w:val="single" w:sz="2" w:space="0" w:color="auto"/>
              <w:left w:val="nil"/>
              <w:bottom w:val="single" w:sz="2" w:space="0" w:color="auto"/>
              <w:right w:val="nil"/>
            </w:tcBorders>
            <w:shd w:val="clear" w:color="auto" w:fill="auto"/>
            <w:vAlign w:val="center"/>
          </w:tcPr>
          <w:p w14:paraId="4299E9D2" w14:textId="77777777" w:rsidR="00AE354A" w:rsidRPr="006E66F8" w:rsidRDefault="00AE354A" w:rsidP="004E2CFD">
            <w:pPr>
              <w:spacing w:after="0"/>
              <w:ind w:firstLine="0"/>
              <w:jc w:val="right"/>
              <w:rPr>
                <w:rFonts w:ascii="Arial Narrow" w:hAnsi="Arial Narrow" w:cs="Calibri"/>
                <w:color w:val="000000"/>
                <w:lang w:val="es-ES" w:eastAsia="es-ES"/>
              </w:rPr>
            </w:pPr>
          </w:p>
        </w:tc>
        <w:tc>
          <w:tcPr>
            <w:tcW w:w="617" w:type="pct"/>
            <w:tcBorders>
              <w:top w:val="single" w:sz="2" w:space="0" w:color="auto"/>
              <w:left w:val="nil"/>
              <w:bottom w:val="single" w:sz="2" w:space="0" w:color="auto"/>
              <w:right w:val="nil"/>
            </w:tcBorders>
            <w:shd w:val="clear" w:color="auto" w:fill="auto"/>
            <w:vAlign w:val="center"/>
            <w:hideMark/>
          </w:tcPr>
          <w:p w14:paraId="25ABE5AC" w14:textId="77777777" w:rsidR="00AE354A" w:rsidRPr="006E66F8" w:rsidRDefault="00AE354A" w:rsidP="004E2CFD">
            <w:pPr>
              <w:spacing w:after="0"/>
              <w:ind w:firstLine="0"/>
              <w:jc w:val="right"/>
              <w:rPr>
                <w:rFonts w:ascii="Arial Narrow" w:hAnsi="Arial Narrow" w:cs="Calibri"/>
                <w:color w:val="000000"/>
              </w:rPr>
            </w:pPr>
            <w:r>
              <w:rPr>
                <w:rFonts w:ascii="Arial Narrow" w:hAnsi="Arial Narrow"/>
                <w:color w:val="000000"/>
              </w:rPr>
              <w:t>9</w:t>
            </w:r>
          </w:p>
        </w:tc>
        <w:tc>
          <w:tcPr>
            <w:tcW w:w="617" w:type="pct"/>
            <w:tcBorders>
              <w:top w:val="single" w:sz="2" w:space="0" w:color="auto"/>
              <w:left w:val="nil"/>
              <w:bottom w:val="single" w:sz="2" w:space="0" w:color="auto"/>
              <w:right w:val="nil"/>
            </w:tcBorders>
            <w:shd w:val="clear" w:color="auto" w:fill="auto"/>
            <w:vAlign w:val="center"/>
            <w:hideMark/>
          </w:tcPr>
          <w:p w14:paraId="4E96BCCB" w14:textId="77777777" w:rsidR="00AE354A" w:rsidRPr="006E66F8" w:rsidRDefault="00AE354A" w:rsidP="004E2CFD">
            <w:pPr>
              <w:spacing w:after="0"/>
              <w:ind w:firstLine="0"/>
              <w:jc w:val="right"/>
              <w:rPr>
                <w:rFonts w:ascii="Arial Narrow" w:hAnsi="Arial Narrow" w:cs="Calibri"/>
                <w:color w:val="000000"/>
              </w:rPr>
            </w:pPr>
            <w:r>
              <w:rPr>
                <w:rFonts w:ascii="Arial Narrow" w:hAnsi="Arial Narrow"/>
                <w:color w:val="000000"/>
              </w:rPr>
              <w:t>8</w:t>
            </w:r>
          </w:p>
        </w:tc>
        <w:tc>
          <w:tcPr>
            <w:tcW w:w="619" w:type="pct"/>
            <w:tcBorders>
              <w:top w:val="single" w:sz="2" w:space="0" w:color="auto"/>
              <w:left w:val="nil"/>
              <w:bottom w:val="single" w:sz="2" w:space="0" w:color="auto"/>
              <w:right w:val="nil"/>
            </w:tcBorders>
            <w:shd w:val="clear" w:color="auto" w:fill="auto"/>
            <w:vAlign w:val="center"/>
            <w:hideMark/>
          </w:tcPr>
          <w:p w14:paraId="07D59243" w14:textId="77777777" w:rsidR="00AE354A" w:rsidRPr="006E66F8" w:rsidRDefault="00AE354A" w:rsidP="004E2CFD">
            <w:pPr>
              <w:spacing w:after="0"/>
              <w:ind w:firstLine="0"/>
              <w:jc w:val="right"/>
              <w:rPr>
                <w:rFonts w:ascii="Arial Narrow" w:hAnsi="Arial Narrow" w:cs="Calibri"/>
                <w:color w:val="000000"/>
              </w:rPr>
            </w:pPr>
            <w:r>
              <w:rPr>
                <w:rFonts w:ascii="Arial Narrow" w:hAnsi="Arial Narrow"/>
                <w:color w:val="000000"/>
              </w:rPr>
              <w:t>8</w:t>
            </w:r>
          </w:p>
        </w:tc>
        <w:tc>
          <w:tcPr>
            <w:tcW w:w="615" w:type="pct"/>
            <w:tcBorders>
              <w:top w:val="single" w:sz="2" w:space="0" w:color="auto"/>
              <w:left w:val="nil"/>
              <w:bottom w:val="single" w:sz="2" w:space="0" w:color="auto"/>
              <w:right w:val="nil"/>
            </w:tcBorders>
            <w:vAlign w:val="center"/>
          </w:tcPr>
          <w:p w14:paraId="2758D800" w14:textId="77777777" w:rsidR="00AE354A" w:rsidRPr="006E66F8" w:rsidRDefault="00AE354A" w:rsidP="004E2CFD">
            <w:pPr>
              <w:spacing w:after="0"/>
              <w:ind w:firstLine="0"/>
              <w:jc w:val="right"/>
              <w:rPr>
                <w:rFonts w:ascii="Arial Narrow" w:hAnsi="Arial Narrow" w:cs="Calibri"/>
                <w:color w:val="000000"/>
              </w:rPr>
            </w:pPr>
            <w:r>
              <w:rPr>
                <w:rFonts w:ascii="Arial Narrow" w:hAnsi="Arial Narrow"/>
                <w:color w:val="000000"/>
              </w:rPr>
              <w:t>8</w:t>
            </w:r>
          </w:p>
        </w:tc>
        <w:tc>
          <w:tcPr>
            <w:tcW w:w="615" w:type="pct"/>
            <w:tcBorders>
              <w:top w:val="single" w:sz="2" w:space="0" w:color="auto"/>
              <w:left w:val="nil"/>
              <w:bottom w:val="single" w:sz="2" w:space="0" w:color="auto"/>
              <w:right w:val="nil"/>
            </w:tcBorders>
            <w:vAlign w:val="center"/>
          </w:tcPr>
          <w:p w14:paraId="166352AB" w14:textId="77777777" w:rsidR="00AE354A" w:rsidRDefault="00AE354A" w:rsidP="004E2CFD">
            <w:pPr>
              <w:spacing w:after="0"/>
              <w:ind w:firstLine="0"/>
              <w:jc w:val="right"/>
              <w:rPr>
                <w:rFonts w:ascii="Arial Narrow" w:hAnsi="Arial Narrow" w:cs="Calibri"/>
                <w:color w:val="000000"/>
              </w:rPr>
            </w:pPr>
            <w:r>
              <w:rPr>
                <w:rFonts w:ascii="Arial Narrow" w:hAnsi="Arial Narrow"/>
                <w:color w:val="000000"/>
              </w:rPr>
              <w:t>8</w:t>
            </w:r>
          </w:p>
        </w:tc>
      </w:tr>
      <w:tr w:rsidR="00AE354A" w:rsidRPr="006E66F8" w14:paraId="67700C16" w14:textId="77777777" w:rsidTr="00A02FED">
        <w:trPr>
          <w:trHeight w:val="255"/>
        </w:trPr>
        <w:tc>
          <w:tcPr>
            <w:tcW w:w="1299" w:type="pct"/>
            <w:tcBorders>
              <w:top w:val="single" w:sz="2" w:space="0" w:color="auto"/>
              <w:left w:val="nil"/>
              <w:bottom w:val="single" w:sz="4" w:space="0" w:color="auto"/>
              <w:right w:val="nil"/>
            </w:tcBorders>
            <w:shd w:val="clear" w:color="auto" w:fill="auto"/>
            <w:vAlign w:val="center"/>
            <w:hideMark/>
          </w:tcPr>
          <w:p w14:paraId="3CAB167B" w14:textId="77777777" w:rsidR="00AE354A" w:rsidRPr="006E66F8" w:rsidRDefault="00AE354A" w:rsidP="004E2CFD">
            <w:pPr>
              <w:spacing w:after="0"/>
              <w:ind w:firstLine="0"/>
              <w:rPr>
                <w:rFonts w:ascii="Arial Narrow" w:hAnsi="Arial Narrow" w:cs="Calibri"/>
                <w:color w:val="000000"/>
              </w:rPr>
            </w:pPr>
            <w:r>
              <w:rPr>
                <w:rFonts w:ascii="Arial Narrow" w:hAnsi="Arial Narrow"/>
                <w:color w:val="000000"/>
              </w:rPr>
              <w:t>Partzuergoak</w:t>
            </w:r>
            <w:r>
              <w:rPr>
                <w:rFonts w:ascii="Arial Narrow" w:hAnsi="Arial Narrow"/>
                <w:color w:val="000000"/>
                <w:vertAlign w:val="superscript"/>
              </w:rPr>
              <w:t>(1)</w:t>
            </w:r>
          </w:p>
        </w:tc>
        <w:tc>
          <w:tcPr>
            <w:tcW w:w="618" w:type="pct"/>
            <w:tcBorders>
              <w:top w:val="single" w:sz="2" w:space="0" w:color="auto"/>
              <w:left w:val="nil"/>
              <w:bottom w:val="single" w:sz="4" w:space="0" w:color="auto"/>
              <w:right w:val="nil"/>
            </w:tcBorders>
            <w:shd w:val="clear" w:color="auto" w:fill="auto"/>
            <w:vAlign w:val="center"/>
          </w:tcPr>
          <w:p w14:paraId="0A8A3F09" w14:textId="77777777" w:rsidR="00AE354A" w:rsidRPr="006E66F8" w:rsidRDefault="00AE354A" w:rsidP="004E2CFD">
            <w:pPr>
              <w:spacing w:after="0"/>
              <w:ind w:firstLine="0"/>
              <w:jc w:val="right"/>
              <w:rPr>
                <w:rFonts w:ascii="Arial Narrow" w:hAnsi="Arial Narrow" w:cs="Calibri"/>
                <w:color w:val="000000"/>
                <w:lang w:val="es-ES" w:eastAsia="es-ES"/>
              </w:rPr>
            </w:pPr>
          </w:p>
        </w:tc>
        <w:tc>
          <w:tcPr>
            <w:tcW w:w="617" w:type="pct"/>
            <w:tcBorders>
              <w:top w:val="single" w:sz="2" w:space="0" w:color="auto"/>
              <w:left w:val="nil"/>
              <w:bottom w:val="single" w:sz="4" w:space="0" w:color="auto"/>
              <w:right w:val="nil"/>
            </w:tcBorders>
            <w:shd w:val="clear" w:color="auto" w:fill="auto"/>
            <w:vAlign w:val="center"/>
            <w:hideMark/>
          </w:tcPr>
          <w:p w14:paraId="74A0E148" w14:textId="77777777" w:rsidR="00AE354A" w:rsidRPr="006E66F8" w:rsidRDefault="00AE354A" w:rsidP="004E2CFD">
            <w:pPr>
              <w:spacing w:after="0"/>
              <w:ind w:firstLine="0"/>
              <w:jc w:val="right"/>
              <w:rPr>
                <w:rFonts w:ascii="Arial Narrow" w:hAnsi="Arial Narrow" w:cs="Calibri"/>
                <w:color w:val="000000"/>
              </w:rPr>
            </w:pPr>
            <w:r>
              <w:rPr>
                <w:rFonts w:ascii="Arial Narrow" w:hAnsi="Arial Narrow"/>
                <w:color w:val="000000"/>
              </w:rPr>
              <w:t>15</w:t>
            </w:r>
          </w:p>
        </w:tc>
        <w:tc>
          <w:tcPr>
            <w:tcW w:w="617" w:type="pct"/>
            <w:tcBorders>
              <w:top w:val="single" w:sz="2" w:space="0" w:color="auto"/>
              <w:left w:val="nil"/>
              <w:bottom w:val="single" w:sz="4" w:space="0" w:color="auto"/>
              <w:right w:val="nil"/>
            </w:tcBorders>
            <w:shd w:val="clear" w:color="auto" w:fill="auto"/>
            <w:vAlign w:val="center"/>
            <w:hideMark/>
          </w:tcPr>
          <w:p w14:paraId="5AEF7D04" w14:textId="77777777" w:rsidR="00AE354A" w:rsidRPr="006E66F8" w:rsidRDefault="00AE354A" w:rsidP="004E2CFD">
            <w:pPr>
              <w:spacing w:after="0"/>
              <w:ind w:firstLine="0"/>
              <w:jc w:val="right"/>
              <w:rPr>
                <w:rFonts w:ascii="Arial Narrow" w:hAnsi="Arial Narrow" w:cs="Calibri"/>
                <w:color w:val="000000"/>
              </w:rPr>
            </w:pPr>
            <w:r>
              <w:rPr>
                <w:rFonts w:ascii="Arial Narrow" w:hAnsi="Arial Narrow"/>
                <w:color w:val="000000"/>
              </w:rPr>
              <w:t>17</w:t>
            </w:r>
          </w:p>
        </w:tc>
        <w:tc>
          <w:tcPr>
            <w:tcW w:w="619" w:type="pct"/>
            <w:tcBorders>
              <w:top w:val="single" w:sz="2" w:space="0" w:color="auto"/>
              <w:left w:val="nil"/>
              <w:bottom w:val="single" w:sz="4" w:space="0" w:color="auto"/>
              <w:right w:val="nil"/>
            </w:tcBorders>
            <w:shd w:val="clear" w:color="auto" w:fill="auto"/>
            <w:vAlign w:val="center"/>
            <w:hideMark/>
          </w:tcPr>
          <w:p w14:paraId="309BF804" w14:textId="77777777" w:rsidR="00AE354A" w:rsidRPr="006E66F8" w:rsidRDefault="00AE354A" w:rsidP="004E2CFD">
            <w:pPr>
              <w:spacing w:after="0"/>
              <w:ind w:firstLine="0"/>
              <w:jc w:val="right"/>
              <w:rPr>
                <w:rFonts w:ascii="Arial Narrow" w:hAnsi="Arial Narrow" w:cs="Calibri"/>
                <w:color w:val="000000"/>
              </w:rPr>
            </w:pPr>
            <w:r>
              <w:rPr>
                <w:rFonts w:ascii="Arial Narrow" w:hAnsi="Arial Narrow"/>
                <w:color w:val="000000"/>
              </w:rPr>
              <w:t>17</w:t>
            </w:r>
          </w:p>
        </w:tc>
        <w:tc>
          <w:tcPr>
            <w:tcW w:w="615" w:type="pct"/>
            <w:tcBorders>
              <w:top w:val="single" w:sz="2" w:space="0" w:color="auto"/>
              <w:left w:val="nil"/>
              <w:bottom w:val="single" w:sz="4" w:space="0" w:color="auto"/>
              <w:right w:val="nil"/>
            </w:tcBorders>
            <w:vAlign w:val="center"/>
          </w:tcPr>
          <w:p w14:paraId="6A868B11" w14:textId="77777777" w:rsidR="00AE354A" w:rsidRPr="006E66F8" w:rsidRDefault="00AE354A" w:rsidP="004E2CFD">
            <w:pPr>
              <w:spacing w:after="0"/>
              <w:ind w:firstLine="0"/>
              <w:jc w:val="right"/>
              <w:rPr>
                <w:rFonts w:ascii="Arial Narrow" w:hAnsi="Arial Narrow" w:cs="Calibri"/>
                <w:color w:val="000000"/>
              </w:rPr>
            </w:pPr>
            <w:r>
              <w:rPr>
                <w:rFonts w:ascii="Arial Narrow" w:hAnsi="Arial Narrow"/>
                <w:color w:val="000000"/>
              </w:rPr>
              <w:t>17</w:t>
            </w:r>
          </w:p>
        </w:tc>
        <w:tc>
          <w:tcPr>
            <w:tcW w:w="615" w:type="pct"/>
            <w:tcBorders>
              <w:top w:val="single" w:sz="2" w:space="0" w:color="auto"/>
              <w:left w:val="nil"/>
              <w:bottom w:val="single" w:sz="4" w:space="0" w:color="auto"/>
              <w:right w:val="nil"/>
            </w:tcBorders>
            <w:vAlign w:val="center"/>
          </w:tcPr>
          <w:p w14:paraId="4691EE4E" w14:textId="77777777" w:rsidR="00AE354A" w:rsidRDefault="00AE354A" w:rsidP="004E2CFD">
            <w:pPr>
              <w:spacing w:after="0"/>
              <w:ind w:firstLine="0"/>
              <w:jc w:val="right"/>
              <w:rPr>
                <w:rFonts w:ascii="Arial Narrow" w:hAnsi="Arial Narrow" w:cs="Calibri"/>
                <w:color w:val="000000"/>
              </w:rPr>
            </w:pPr>
            <w:r>
              <w:rPr>
                <w:rFonts w:ascii="Arial Narrow" w:hAnsi="Arial Narrow"/>
                <w:color w:val="000000"/>
              </w:rPr>
              <w:t>17</w:t>
            </w:r>
          </w:p>
        </w:tc>
      </w:tr>
      <w:tr w:rsidR="00AE354A" w:rsidRPr="00A02FED" w14:paraId="1FF89295" w14:textId="77777777" w:rsidTr="005C70E8">
        <w:trPr>
          <w:trHeight w:val="255"/>
        </w:trPr>
        <w:tc>
          <w:tcPr>
            <w:tcW w:w="1299" w:type="pct"/>
            <w:tcBorders>
              <w:top w:val="nil"/>
              <w:left w:val="nil"/>
              <w:bottom w:val="single" w:sz="4" w:space="0" w:color="auto"/>
              <w:right w:val="nil"/>
            </w:tcBorders>
            <w:shd w:val="clear" w:color="auto" w:fill="FABF8F" w:themeFill="accent6" w:themeFillTint="99"/>
            <w:vAlign w:val="center"/>
            <w:hideMark/>
          </w:tcPr>
          <w:p w14:paraId="508C9B75" w14:textId="77777777" w:rsidR="00AE354A" w:rsidRPr="00A02FED" w:rsidRDefault="00AE354A" w:rsidP="004E2CFD">
            <w:pPr>
              <w:pStyle w:val="cuadroCabe"/>
              <w:spacing w:line="240" w:lineRule="auto"/>
            </w:pPr>
            <w:r>
              <w:t>Guztira</w:t>
            </w:r>
          </w:p>
        </w:tc>
        <w:tc>
          <w:tcPr>
            <w:tcW w:w="618" w:type="pct"/>
            <w:tcBorders>
              <w:top w:val="nil"/>
              <w:left w:val="nil"/>
              <w:bottom w:val="single" w:sz="4" w:space="0" w:color="auto"/>
              <w:right w:val="nil"/>
            </w:tcBorders>
            <w:shd w:val="clear" w:color="auto" w:fill="FABF8F" w:themeFill="accent6" w:themeFillTint="99"/>
            <w:vAlign w:val="center"/>
          </w:tcPr>
          <w:p w14:paraId="3D34ADD2" w14:textId="77777777" w:rsidR="00AE354A" w:rsidRPr="00A02FED" w:rsidRDefault="00AE354A" w:rsidP="004E2CFD">
            <w:pPr>
              <w:pStyle w:val="cuadroCabe"/>
              <w:spacing w:line="240" w:lineRule="auto"/>
            </w:pPr>
          </w:p>
        </w:tc>
        <w:tc>
          <w:tcPr>
            <w:tcW w:w="617" w:type="pct"/>
            <w:tcBorders>
              <w:top w:val="nil"/>
              <w:left w:val="nil"/>
              <w:bottom w:val="single" w:sz="4" w:space="0" w:color="auto"/>
              <w:right w:val="nil"/>
            </w:tcBorders>
            <w:shd w:val="clear" w:color="auto" w:fill="FABF8F" w:themeFill="accent6" w:themeFillTint="99"/>
            <w:vAlign w:val="center"/>
            <w:hideMark/>
          </w:tcPr>
          <w:p w14:paraId="28FD34B8" w14:textId="77777777" w:rsidR="00AE354A" w:rsidRPr="00A02FED" w:rsidRDefault="00AE354A" w:rsidP="004E2CFD">
            <w:pPr>
              <w:pStyle w:val="cuadroCabe"/>
              <w:spacing w:line="240" w:lineRule="auto"/>
              <w:jc w:val="right"/>
            </w:pPr>
            <w:r>
              <w:t>142</w:t>
            </w:r>
          </w:p>
        </w:tc>
        <w:tc>
          <w:tcPr>
            <w:tcW w:w="617" w:type="pct"/>
            <w:tcBorders>
              <w:top w:val="nil"/>
              <w:left w:val="nil"/>
              <w:bottom w:val="single" w:sz="4" w:space="0" w:color="auto"/>
              <w:right w:val="nil"/>
            </w:tcBorders>
            <w:shd w:val="clear" w:color="auto" w:fill="FABF8F" w:themeFill="accent6" w:themeFillTint="99"/>
            <w:vAlign w:val="center"/>
            <w:hideMark/>
          </w:tcPr>
          <w:p w14:paraId="14DC521C" w14:textId="77777777" w:rsidR="00AE354A" w:rsidRPr="00A02FED" w:rsidRDefault="00AE354A" w:rsidP="004E2CFD">
            <w:pPr>
              <w:pStyle w:val="cuadroCabe"/>
              <w:spacing w:line="240" w:lineRule="auto"/>
              <w:jc w:val="right"/>
            </w:pPr>
            <w:r>
              <w:t>141</w:t>
            </w:r>
          </w:p>
        </w:tc>
        <w:tc>
          <w:tcPr>
            <w:tcW w:w="619" w:type="pct"/>
            <w:tcBorders>
              <w:top w:val="nil"/>
              <w:left w:val="nil"/>
              <w:bottom w:val="single" w:sz="4" w:space="0" w:color="auto"/>
              <w:right w:val="nil"/>
            </w:tcBorders>
            <w:shd w:val="clear" w:color="auto" w:fill="FABF8F" w:themeFill="accent6" w:themeFillTint="99"/>
            <w:vAlign w:val="center"/>
            <w:hideMark/>
          </w:tcPr>
          <w:p w14:paraId="6346B8C9" w14:textId="77777777" w:rsidR="00AE354A" w:rsidRPr="00A02FED" w:rsidRDefault="00AE354A" w:rsidP="004E2CFD">
            <w:pPr>
              <w:pStyle w:val="cuadroCabe"/>
              <w:spacing w:line="240" w:lineRule="auto"/>
              <w:jc w:val="right"/>
            </w:pPr>
            <w:r>
              <w:t>142</w:t>
            </w:r>
          </w:p>
        </w:tc>
        <w:tc>
          <w:tcPr>
            <w:tcW w:w="615" w:type="pct"/>
            <w:tcBorders>
              <w:top w:val="nil"/>
              <w:left w:val="nil"/>
              <w:bottom w:val="single" w:sz="4" w:space="0" w:color="auto"/>
              <w:right w:val="nil"/>
            </w:tcBorders>
            <w:shd w:val="clear" w:color="auto" w:fill="FABF8F" w:themeFill="accent6" w:themeFillTint="99"/>
            <w:vAlign w:val="center"/>
          </w:tcPr>
          <w:p w14:paraId="2B2BF533" w14:textId="77777777" w:rsidR="00AE354A" w:rsidRPr="00A02FED" w:rsidRDefault="00AE354A" w:rsidP="004E2CFD">
            <w:pPr>
              <w:pStyle w:val="cuadroCabe"/>
              <w:spacing w:line="240" w:lineRule="auto"/>
              <w:jc w:val="right"/>
            </w:pPr>
            <w:r>
              <w:t>139</w:t>
            </w:r>
          </w:p>
        </w:tc>
        <w:tc>
          <w:tcPr>
            <w:tcW w:w="615" w:type="pct"/>
            <w:tcBorders>
              <w:top w:val="nil"/>
              <w:left w:val="nil"/>
              <w:bottom w:val="single" w:sz="4" w:space="0" w:color="auto"/>
              <w:right w:val="nil"/>
            </w:tcBorders>
            <w:shd w:val="clear" w:color="auto" w:fill="FABF8F" w:themeFill="accent6" w:themeFillTint="99"/>
            <w:vAlign w:val="center"/>
          </w:tcPr>
          <w:p w14:paraId="506A7ADF" w14:textId="77777777" w:rsidR="00AE354A" w:rsidRPr="00A02FED" w:rsidRDefault="00AE354A" w:rsidP="004E2CFD">
            <w:pPr>
              <w:pStyle w:val="cuadroCabe"/>
              <w:spacing w:line="240" w:lineRule="auto"/>
              <w:jc w:val="right"/>
            </w:pPr>
            <w:r>
              <w:t>135</w:t>
            </w:r>
          </w:p>
        </w:tc>
      </w:tr>
    </w:tbl>
    <w:p w14:paraId="1E1C223E" w14:textId="5AD6BEBA" w:rsidR="00AE354A" w:rsidRPr="00A02FED" w:rsidRDefault="00A02FED" w:rsidP="00A02FED">
      <w:pPr>
        <w:pStyle w:val="recomen"/>
        <w:numPr>
          <w:ilvl w:val="0"/>
          <w:numId w:val="0"/>
        </w:numPr>
        <w:spacing w:before="60" w:after="0"/>
        <w:rPr>
          <w:rFonts w:ascii="Arial" w:hAnsi="Arial" w:cs="Arial"/>
          <w:i w:val="0"/>
          <w:color w:val="000000" w:themeColor="text1"/>
          <w:sz w:val="14"/>
          <w:szCs w:val="14"/>
        </w:rPr>
      </w:pPr>
      <w:r>
        <w:rPr>
          <w:rFonts w:ascii="Arial" w:hAnsi="Arial"/>
          <w:i w:val="0"/>
          <w:color w:val="000000" w:themeColor="text1"/>
          <w:sz w:val="14"/>
          <w:vertAlign w:val="superscript"/>
        </w:rPr>
        <w:t>(1)</w:t>
      </w:r>
      <w:r>
        <w:rPr>
          <w:rFonts w:ascii="Arial" w:hAnsi="Arial"/>
          <w:i w:val="0"/>
          <w:color w:val="000000" w:themeColor="text1"/>
          <w:sz w:val="14"/>
        </w:rPr>
        <w:t xml:space="preserve"> Egungo partzuergo guztiak sartu dira, txosten honen datara arte bakar bat ere ez delako sailkatu tokikotzat.</w:t>
      </w:r>
    </w:p>
    <w:p w14:paraId="385A5C45" w14:textId="682A9095" w:rsidR="00893FBF" w:rsidRDefault="00AE354A" w:rsidP="00A02FED">
      <w:pPr>
        <w:pStyle w:val="texto"/>
        <w:spacing w:before="240"/>
        <w:rPr>
          <w:szCs w:val="26"/>
        </w:rPr>
      </w:pPr>
      <w:r>
        <w:t>Kopuruetan sartu diren erakunde autonomo bat eta zenbait sozietate eta fundazio ez dira ageri Toki Entitateen Erregistroan txosten honen datan, baina Ganbera honek identifikatu egin ditu bere fiskalizazio lanetan.</w:t>
      </w:r>
    </w:p>
    <w:p w14:paraId="7D92A24C" w14:textId="07958FD9" w:rsidR="00AE354A" w:rsidRDefault="00683931" w:rsidP="00376B43">
      <w:pPr>
        <w:pStyle w:val="texto"/>
        <w:spacing w:before="240"/>
        <w:rPr>
          <w:szCs w:val="26"/>
        </w:rPr>
      </w:pPr>
      <w:r>
        <w:t xml:space="preserve">2020an ez dago jasorik ez erakunde autonomorik ez merkataritza sozietaterik sortu denik. Erregistrotik irten dira bi erakunde autonomo: Ardoi Kirol Patronatua eta Kulturako Udal Patronatua, biak ere Zizur Nagusiko Udalaren menpekoak. Bi sozietate publiko desegin dira: Iruñeko Udalaren Energia Operadorea SL eta </w:t>
      </w:r>
      <w:proofErr w:type="spellStart"/>
      <w:r>
        <w:t>Gesterlar</w:t>
      </w:r>
      <w:proofErr w:type="spellEnd"/>
      <w:r>
        <w:t xml:space="preserve"> </w:t>
      </w:r>
      <w:proofErr w:type="spellStart"/>
      <w:r>
        <w:t>Siglo</w:t>
      </w:r>
      <w:proofErr w:type="spellEnd"/>
      <w:r>
        <w:t xml:space="preserve"> XXI SL.</w:t>
      </w:r>
    </w:p>
    <w:p w14:paraId="7D6938A3" w14:textId="77777777" w:rsidR="00683931" w:rsidRDefault="00683931" w:rsidP="00A02FED">
      <w:pPr>
        <w:pStyle w:val="texto"/>
        <w:rPr>
          <w:szCs w:val="26"/>
        </w:rPr>
      </w:pPr>
      <w:r>
        <w:t>Ez dago fundazio publiko eta partzuergoen altarik ez bajarik.</w:t>
      </w:r>
    </w:p>
    <w:p w14:paraId="27CB91AE" w14:textId="77777777" w:rsidR="00A02FED" w:rsidRDefault="00A02FED">
      <w:pPr>
        <w:spacing w:after="0"/>
        <w:ind w:firstLine="0"/>
        <w:jc w:val="left"/>
        <w:rPr>
          <w:color w:val="000000" w:themeColor="text1"/>
          <w:spacing w:val="6"/>
          <w:sz w:val="26"/>
          <w:szCs w:val="24"/>
        </w:rPr>
      </w:pPr>
      <w:r>
        <w:br w:type="page"/>
      </w:r>
    </w:p>
    <w:p w14:paraId="28A3737F" w14:textId="3854C9B9" w:rsidR="00345C6C" w:rsidRDefault="00345C6C" w:rsidP="00345C6C">
      <w:pPr>
        <w:pStyle w:val="texto"/>
        <w:spacing w:after="240"/>
        <w:rPr>
          <w:color w:val="000000" w:themeColor="text1"/>
        </w:rPr>
      </w:pPr>
      <w:r>
        <w:rPr>
          <w:color w:val="000000" w:themeColor="text1"/>
        </w:rPr>
        <w:lastRenderedPageBreak/>
        <w:t>Aurreko datuak kontuan hartuta, hona hemen Nafarroako toki sektore publikoaren egitura 2020ko abenduaren 31n:</w:t>
      </w:r>
    </w:p>
    <w:p w14:paraId="2192A4B5"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b/>
          <w:bCs/>
          <w:color w:val="000000" w:themeColor="text1"/>
          <w:spacing w:val="6"/>
          <w:sz w:val="26"/>
          <w:szCs w:val="24"/>
          <w:highlight w:val="yellow"/>
        </w:rPr>
      </w:pPr>
      <w:r>
        <w:rPr>
          <w:noProof/>
          <w:color w:val="000000" w:themeColor="text1"/>
        </w:rPr>
        <mc:AlternateContent>
          <mc:Choice Requires="wps">
            <w:drawing>
              <wp:anchor distT="0" distB="0" distL="114300" distR="114300" simplePos="0" relativeHeight="251651584" behindDoc="0" locked="0" layoutInCell="1" allowOverlap="1" wp14:anchorId="2854621F" wp14:editId="484503F9">
                <wp:simplePos x="0" y="0"/>
                <wp:positionH relativeFrom="column">
                  <wp:posOffset>2169160</wp:posOffset>
                </wp:positionH>
                <wp:positionV relativeFrom="paragraph">
                  <wp:posOffset>59055</wp:posOffset>
                </wp:positionV>
                <wp:extent cx="1656080" cy="457200"/>
                <wp:effectExtent l="0" t="0" r="20320" b="1905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457200"/>
                        </a:xfrm>
                        <a:prstGeom prst="rect">
                          <a:avLst/>
                        </a:prstGeom>
                        <a:solidFill>
                          <a:srgbClr val="FFFFFF"/>
                        </a:solidFill>
                        <a:ln w="3175">
                          <a:solidFill>
                            <a:srgbClr val="000000"/>
                          </a:solidFill>
                          <a:miter lim="800000"/>
                          <a:headEnd/>
                          <a:tailEnd/>
                        </a:ln>
                      </wps:spPr>
                      <wps:txbx>
                        <w:txbxContent>
                          <w:p w14:paraId="5A50F14D" w14:textId="77777777" w:rsidR="004E2CFD" w:rsidRDefault="004E2CFD" w:rsidP="00345C6C">
                            <w:pPr>
                              <w:spacing w:after="0"/>
                              <w:ind w:firstLine="0"/>
                              <w:jc w:val="center"/>
                              <w:rPr>
                                <w:rFonts w:ascii="Arial" w:hAnsi="Arial" w:cs="Arial"/>
                                <w:sz w:val="16"/>
                                <w:szCs w:val="16"/>
                                <w:lang w:val="es-ES"/>
                              </w:rPr>
                            </w:pPr>
                          </w:p>
                          <w:p w14:paraId="6E460125"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Nafarroako toki sektore</w:t>
                            </w:r>
                          </w:p>
                          <w:p w14:paraId="0EA6D10B"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publikoa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4621F" id="Rectangle 15" o:spid="_x0000_s1027" style="position:absolute;left:0;text-align:left;margin-left:170.8pt;margin-top:4.65pt;width:130.4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" strokeweight=".25pt">
                <v:textbox inset="1pt,1pt,1pt,1pt">
                  <w:txbxContent>
                    <w:p w14:paraId="5A50F14D" w14:textId="77777777" w:rsidR="004E2CFD" w:rsidRDefault="004E2CFD" w:rsidP="00345C6C">
                      <w:pPr>
                        <w:spacing w:after="0"/>
                        <w:ind w:firstLine="0"/>
                        <w:jc w:val="center"/>
                        <w:rPr>
                          <w:rFonts w:ascii="Arial" w:hAnsi="Arial" w:cs="Arial"/>
                          <w:sz w:val="16"/>
                          <w:szCs w:val="16"/>
                          <w:lang w:val="es-ES"/>
                        </w:rPr>
                      </w:pPr>
                    </w:p>
                    <w:p w14:paraId="6E460125"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Nafarroako toki sektore</w:t>
                      </w:r>
                    </w:p>
                    <w:p w14:paraId="0EA6D10B"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publikoa</w:t>
                      </w:r>
                    </w:p>
                  </w:txbxContent>
                </v:textbox>
              </v:rect>
            </w:pict>
          </mc:Fallback>
        </mc:AlternateContent>
      </w:r>
    </w:p>
    <w:p w14:paraId="11C577DE"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Pr>
          <w:noProof/>
          <w:color w:val="000000" w:themeColor="text1"/>
        </w:rPr>
        <mc:AlternateContent>
          <mc:Choice Requires="wps">
            <w:drawing>
              <wp:anchor distT="0" distB="0" distL="114300" distR="114300" simplePos="0" relativeHeight="251636224" behindDoc="0" locked="0" layoutInCell="1" allowOverlap="1" wp14:anchorId="1AB63097" wp14:editId="782BD64C">
                <wp:simplePos x="0" y="0"/>
                <wp:positionH relativeFrom="column">
                  <wp:posOffset>3067050</wp:posOffset>
                </wp:positionH>
                <wp:positionV relativeFrom="paragraph">
                  <wp:posOffset>97790</wp:posOffset>
                </wp:positionV>
                <wp:extent cx="0" cy="1188720"/>
                <wp:effectExtent l="0" t="0" r="19050" b="3048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86A32" id="Line 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7.7pt" to="241.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" strokeweight=".25pt">
                <v:stroke startarrowwidth="narrow" startarrowlength="short" endarrowwidth="narrow" endarrowlength="short"/>
              </v:line>
            </w:pict>
          </mc:Fallback>
        </mc:AlternateContent>
      </w:r>
    </w:p>
    <w:p w14:paraId="5F943765"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Pr>
          <w:noProof/>
          <w:color w:val="000000" w:themeColor="text1"/>
        </w:rPr>
        <mc:AlternateContent>
          <mc:Choice Requires="wps">
            <w:drawing>
              <wp:anchor distT="0" distB="0" distL="114299" distR="114299" simplePos="0" relativeHeight="251642368" behindDoc="0" locked="0" layoutInCell="1" allowOverlap="1" wp14:anchorId="0180AFEF" wp14:editId="40EA04DE">
                <wp:simplePos x="0" y="0"/>
                <wp:positionH relativeFrom="column">
                  <wp:posOffset>768350</wp:posOffset>
                </wp:positionH>
                <wp:positionV relativeFrom="paragraph">
                  <wp:posOffset>242570</wp:posOffset>
                </wp:positionV>
                <wp:extent cx="3810" cy="1000760"/>
                <wp:effectExtent l="0" t="0" r="34290" b="2794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0007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E0EE5" id="Line 10" o:spid="_x0000_s1026" style="position:absolute;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5pt,19.1pt" to="60.8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" strokeweight=".25pt"/>
            </w:pict>
          </mc:Fallback>
        </mc:AlternateContent>
      </w:r>
      <w:r>
        <w:rPr>
          <w:noProof/>
          <w:color w:val="000000" w:themeColor="text1"/>
        </w:rPr>
        <mc:AlternateContent>
          <mc:Choice Requires="wps">
            <w:drawing>
              <wp:anchor distT="0" distB="0" distL="114300" distR="114300" simplePos="0" relativeHeight="251645440" behindDoc="0" locked="0" layoutInCell="1" allowOverlap="1" wp14:anchorId="6CC99675" wp14:editId="0C9DFBB2">
                <wp:simplePos x="0" y="0"/>
                <wp:positionH relativeFrom="column">
                  <wp:posOffset>5198745</wp:posOffset>
                </wp:positionH>
                <wp:positionV relativeFrom="paragraph">
                  <wp:posOffset>240030</wp:posOffset>
                </wp:positionV>
                <wp:extent cx="6985" cy="388620"/>
                <wp:effectExtent l="0" t="0" r="31115" b="1143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8862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D2447" id="Line 1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5pt,18.9pt" to="409.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" strokeweight=".25pt">
                <v:stroke startarrowwidth="narrow" startarrowlength="short" endarrowwidth="narrow" endarrowlength="short"/>
              </v:line>
            </w:pict>
          </mc:Fallback>
        </mc:AlternateContent>
      </w:r>
      <w:r>
        <w:rPr>
          <w:noProof/>
          <w:color w:val="000000" w:themeColor="text1"/>
        </w:rPr>
        <mc:AlternateContent>
          <mc:Choice Requires="wps">
            <w:drawing>
              <wp:anchor distT="4294967295" distB="4294967295" distL="114300" distR="114300" simplePos="0" relativeHeight="251639296" behindDoc="0" locked="0" layoutInCell="1" allowOverlap="1" wp14:anchorId="23CD9270" wp14:editId="2077A410">
                <wp:simplePos x="0" y="0"/>
                <wp:positionH relativeFrom="column">
                  <wp:posOffset>772160</wp:posOffset>
                </wp:positionH>
                <wp:positionV relativeFrom="paragraph">
                  <wp:posOffset>244474</wp:posOffset>
                </wp:positionV>
                <wp:extent cx="4426585" cy="0"/>
                <wp:effectExtent l="0" t="0" r="12065" b="190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6585"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B740" id="Line 9" o:spid="_x0000_s1026" style="position:absolute;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8pt,19.25pt" to="409.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" strokeweight=".25pt">
                <v:stroke startarrowwidth="narrow" startarrowlength="short" endarrowwidth="narrow" endarrowlength="short"/>
              </v:line>
            </w:pict>
          </mc:Fallback>
        </mc:AlternateContent>
      </w:r>
    </w:p>
    <w:p w14:paraId="541DFCED"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Pr>
          <w:noProof/>
          <w:color w:val="000000" w:themeColor="text1"/>
        </w:rPr>
        <mc:AlternateContent>
          <mc:Choice Requires="wps">
            <w:drawing>
              <wp:anchor distT="0" distB="0" distL="114300" distR="114300" simplePos="0" relativeHeight="251662848" behindDoc="0" locked="0" layoutInCell="1" allowOverlap="1" wp14:anchorId="28DDB755" wp14:editId="5CCEF039">
                <wp:simplePos x="0" y="0"/>
                <wp:positionH relativeFrom="column">
                  <wp:posOffset>342881</wp:posOffset>
                </wp:positionH>
                <wp:positionV relativeFrom="paragraph">
                  <wp:posOffset>273685</wp:posOffset>
                </wp:positionV>
                <wp:extent cx="841375" cy="370840"/>
                <wp:effectExtent l="0" t="0" r="15875"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370840"/>
                        </a:xfrm>
                        <a:prstGeom prst="rect">
                          <a:avLst/>
                        </a:prstGeom>
                        <a:solidFill>
                          <a:srgbClr val="FFFFFF"/>
                        </a:solidFill>
                        <a:ln w="3175">
                          <a:solidFill>
                            <a:srgbClr val="000000"/>
                          </a:solidFill>
                          <a:miter lim="800000"/>
                          <a:headEnd/>
                          <a:tailEnd/>
                        </a:ln>
                      </wps:spPr>
                      <wps:txbx>
                        <w:txbxContent>
                          <w:p w14:paraId="2C19BBDE" w14:textId="77777777" w:rsidR="004E2CFD" w:rsidRDefault="004E2CFD" w:rsidP="00345C6C">
                            <w:pPr>
                              <w:spacing w:after="0"/>
                              <w:ind w:firstLine="0"/>
                              <w:jc w:val="center"/>
                              <w:rPr>
                                <w:rFonts w:ascii="Arial" w:hAnsi="Arial" w:cs="Arial"/>
                                <w:sz w:val="16"/>
                                <w:szCs w:val="16"/>
                                <w:lang w:val="es-ES"/>
                              </w:rPr>
                            </w:pPr>
                          </w:p>
                          <w:p w14:paraId="7248FEF3"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Udalak: 272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DB755" id="Rectangle 18" o:spid="_x0000_s1028" style="position:absolute;left:0;text-align:left;margin-left:27pt;margin-top:21.55pt;width:66.25pt;height:2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" strokeweight=".25pt">
                <v:textbox inset="1pt,1pt,1pt,1pt">
                  <w:txbxContent>
                    <w:p w14:paraId="2C19BBDE" w14:textId="77777777" w:rsidR="004E2CFD" w:rsidRDefault="004E2CFD" w:rsidP="00345C6C">
                      <w:pPr>
                        <w:spacing w:after="0"/>
                        <w:ind w:firstLine="0"/>
                        <w:jc w:val="center"/>
                        <w:rPr>
                          <w:rFonts w:ascii="Arial" w:hAnsi="Arial" w:cs="Arial"/>
                          <w:sz w:val="16"/>
                          <w:szCs w:val="16"/>
                          <w:lang w:val="es-ES"/>
                        </w:rPr>
                      </w:pPr>
                    </w:p>
                    <w:p w14:paraId="7248FEF3"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Udalak: 272</w:t>
                      </w:r>
                    </w:p>
                  </w:txbxContent>
                </v:textbox>
              </v:rect>
            </w:pict>
          </mc:Fallback>
        </mc:AlternateContent>
      </w:r>
    </w:p>
    <w:p w14:paraId="1D7CE4C5"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10"/>
          <w:szCs w:val="10"/>
          <w:highlight w:val="yellow"/>
        </w:rPr>
      </w:pPr>
      <w:r>
        <w:rPr>
          <w:noProof/>
          <w:color w:val="000000" w:themeColor="text1"/>
        </w:rPr>
        <mc:AlternateContent>
          <mc:Choice Requires="wps">
            <w:drawing>
              <wp:anchor distT="0" distB="0" distL="114300" distR="114300" simplePos="0" relativeHeight="251659776" behindDoc="0" locked="0" layoutInCell="1" allowOverlap="1" wp14:anchorId="09E2AB54" wp14:editId="57D36937">
                <wp:simplePos x="0" y="0"/>
                <wp:positionH relativeFrom="column">
                  <wp:posOffset>2566035</wp:posOffset>
                </wp:positionH>
                <wp:positionV relativeFrom="paragraph">
                  <wp:posOffset>12700</wp:posOffset>
                </wp:positionV>
                <wp:extent cx="1019175" cy="370205"/>
                <wp:effectExtent l="0" t="0" r="28575"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0205"/>
                        </a:xfrm>
                        <a:prstGeom prst="rect">
                          <a:avLst/>
                        </a:prstGeom>
                        <a:solidFill>
                          <a:srgbClr val="FFFFFF"/>
                        </a:solidFill>
                        <a:ln w="3175">
                          <a:solidFill>
                            <a:srgbClr val="000000"/>
                          </a:solidFill>
                          <a:miter lim="800000"/>
                          <a:headEnd/>
                          <a:tailEnd/>
                        </a:ln>
                      </wps:spPr>
                      <wps:txbx>
                        <w:txbxContent>
                          <w:p w14:paraId="700C2E3A"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 xml:space="preserve">Udalez gaindiko </w:t>
                            </w:r>
                          </w:p>
                          <w:p w14:paraId="1E565FC8" w14:textId="77777777" w:rsidR="004E2CFD" w:rsidRPr="00D05EAF" w:rsidRDefault="004E2CFD" w:rsidP="00345C6C">
                            <w:pPr>
                              <w:spacing w:after="0"/>
                              <w:ind w:firstLine="0"/>
                              <w:jc w:val="center"/>
                              <w:rPr>
                                <w:rFonts w:ascii="Arial Narrow" w:hAnsi="Arial Narrow" w:cs="GillSans"/>
                                <w:sz w:val="18"/>
                                <w:szCs w:val="18"/>
                              </w:rPr>
                            </w:pPr>
                            <w:r>
                              <w:rPr>
                                <w:rFonts w:ascii="Arial" w:hAnsi="Arial"/>
                                <w:sz w:val="16"/>
                              </w:rPr>
                              <w:t xml:space="preserve"> entitateak:</w:t>
                            </w:r>
                            <w:r>
                              <w:rPr>
                                <w:rFonts w:ascii="Arial Narrow" w:hAnsi="Arial Narrow"/>
                                <w:sz w:val="18"/>
                              </w:rPr>
                              <w:t xml:space="preserve"> </w:t>
                            </w:r>
                            <w:r>
                              <w:rPr>
                                <w:rFonts w:ascii="Arial Narrow" w:hAnsi="Arial Narrow"/>
                                <w:sz w:val="16"/>
                              </w:rPr>
                              <w:t>83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2AB54" id="Rectangle 17" o:spid="_x0000_s1029" style="position:absolute;left:0;text-align:left;margin-left:202.05pt;margin-top:1pt;width:80.25pt;height:2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" strokeweight=".25pt">
                <v:textbox inset="1pt,1pt,1pt,1pt">
                  <w:txbxContent>
                    <w:p w14:paraId="700C2E3A"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 xml:space="preserve">Udalez gaindiko </w:t>
                      </w:r>
                    </w:p>
                    <w:p w14:paraId="1E565FC8" w14:textId="77777777" w:rsidR="004E2CFD" w:rsidRPr="00D05EAF" w:rsidRDefault="004E2CFD" w:rsidP="00345C6C">
                      <w:pPr>
                        <w:spacing w:after="0"/>
                        <w:ind w:firstLine="0"/>
                        <w:jc w:val="center"/>
                        <w:rPr>
                          <w:rFonts w:ascii="Arial Narrow" w:hAnsi="Arial Narrow" w:cs="GillSans"/>
                          <w:sz w:val="18"/>
                          <w:szCs w:val="18"/>
                        </w:rPr>
                      </w:pPr>
                      <w:r>
                        <w:rPr>
                          <w:rFonts w:ascii="Arial" w:hAnsi="Arial"/>
                          <w:sz w:val="16"/>
                        </w:rPr>
                        <w:t xml:space="preserve"> entitateak:</w:t>
                      </w:r>
                      <w:r>
                        <w:rPr>
                          <w:rFonts w:ascii="Arial Narrow" w:hAnsi="Arial Narrow"/>
                          <w:sz w:val="18"/>
                        </w:rPr>
                        <w:t xml:space="preserve"> </w:t>
                      </w:r>
                      <w:r>
                        <w:rPr>
                          <w:rFonts w:ascii="Arial Narrow" w:hAnsi="Arial Narrow"/>
                          <w:sz w:val="16"/>
                        </w:rPr>
                        <w:t>83</w:t>
                      </w:r>
                    </w:p>
                  </w:txbxContent>
                </v:textbox>
              </v:rect>
            </w:pict>
          </mc:Fallback>
        </mc:AlternateContent>
      </w:r>
      <w:r>
        <w:rPr>
          <w:noProof/>
          <w:color w:val="000000" w:themeColor="text1"/>
        </w:rPr>
        <mc:AlternateContent>
          <mc:Choice Requires="wps">
            <w:drawing>
              <wp:anchor distT="0" distB="0" distL="114300" distR="114300" simplePos="0" relativeHeight="251654656" behindDoc="0" locked="0" layoutInCell="1" allowOverlap="1" wp14:anchorId="6478498E" wp14:editId="75AABFF9">
                <wp:simplePos x="0" y="0"/>
                <wp:positionH relativeFrom="column">
                  <wp:posOffset>4740910</wp:posOffset>
                </wp:positionH>
                <wp:positionV relativeFrom="paragraph">
                  <wp:posOffset>8890</wp:posOffset>
                </wp:positionV>
                <wp:extent cx="842010" cy="369570"/>
                <wp:effectExtent l="0" t="0" r="15240" b="1143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369570"/>
                        </a:xfrm>
                        <a:prstGeom prst="rect">
                          <a:avLst/>
                        </a:prstGeom>
                        <a:solidFill>
                          <a:srgbClr val="FFFFFF"/>
                        </a:solidFill>
                        <a:ln w="3175">
                          <a:solidFill>
                            <a:srgbClr val="000000"/>
                          </a:solidFill>
                          <a:miter lim="800000"/>
                          <a:headEnd/>
                          <a:tailEnd/>
                        </a:ln>
                      </wps:spPr>
                      <wps:txbx>
                        <w:txbxContent>
                          <w:p w14:paraId="49A5D3A4" w14:textId="77777777" w:rsidR="004E2CFD" w:rsidRDefault="004E2CFD" w:rsidP="00345C6C">
                            <w:pPr>
                              <w:spacing w:after="0"/>
                              <w:ind w:firstLine="0"/>
                              <w:jc w:val="center"/>
                              <w:rPr>
                                <w:rFonts w:ascii="Arial" w:hAnsi="Arial" w:cs="Arial"/>
                                <w:sz w:val="16"/>
                                <w:szCs w:val="16"/>
                                <w:lang w:val="es-ES"/>
                              </w:rPr>
                            </w:pPr>
                          </w:p>
                          <w:p w14:paraId="79B505BA"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Kontzejuak: 346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8498E" id="Rectangle 16" o:spid="_x0000_s1030" style="position:absolute;left:0;text-align:left;margin-left:373.3pt;margin-top:.7pt;width:66.3pt;height:2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" strokeweight=".25pt">
                <v:textbox inset="1pt,1pt,1pt,1pt">
                  <w:txbxContent>
                    <w:p w14:paraId="49A5D3A4" w14:textId="77777777" w:rsidR="004E2CFD" w:rsidRDefault="004E2CFD" w:rsidP="00345C6C">
                      <w:pPr>
                        <w:spacing w:after="0"/>
                        <w:ind w:firstLine="0"/>
                        <w:jc w:val="center"/>
                        <w:rPr>
                          <w:rFonts w:ascii="Arial" w:hAnsi="Arial" w:cs="Arial"/>
                          <w:sz w:val="16"/>
                          <w:szCs w:val="16"/>
                          <w:lang w:val="es-ES"/>
                        </w:rPr>
                      </w:pPr>
                    </w:p>
                    <w:p w14:paraId="79B505BA"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Kontzejuak: 346</w:t>
                      </w:r>
                    </w:p>
                  </w:txbxContent>
                </v:textbox>
              </v:rect>
            </w:pict>
          </mc:Fallback>
        </mc:AlternateContent>
      </w:r>
    </w:p>
    <w:p w14:paraId="5B6116C8"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p>
    <w:p w14:paraId="36B3DFDB"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Pr>
          <w:noProof/>
          <w:color w:val="000000" w:themeColor="text1"/>
        </w:rPr>
        <mc:AlternateContent>
          <mc:Choice Requires="wps">
            <w:drawing>
              <wp:anchor distT="0" distB="0" distL="114300" distR="114300" simplePos="0" relativeHeight="251665920" behindDoc="0" locked="0" layoutInCell="1" allowOverlap="1" wp14:anchorId="3293A92C" wp14:editId="65CDBE3F">
                <wp:simplePos x="0" y="0"/>
                <wp:positionH relativeFrom="column">
                  <wp:posOffset>61595</wp:posOffset>
                </wp:positionH>
                <wp:positionV relativeFrom="paragraph">
                  <wp:posOffset>144780</wp:posOffset>
                </wp:positionV>
                <wp:extent cx="1433195" cy="623570"/>
                <wp:effectExtent l="0" t="0" r="14605" b="2413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623570"/>
                        </a:xfrm>
                        <a:prstGeom prst="rect">
                          <a:avLst/>
                        </a:prstGeom>
                        <a:solidFill>
                          <a:srgbClr val="FFFFFF"/>
                        </a:solidFill>
                        <a:ln w="3175">
                          <a:solidFill>
                            <a:srgbClr val="000000"/>
                          </a:solidFill>
                          <a:miter lim="800000"/>
                          <a:headEnd/>
                          <a:tailEnd/>
                        </a:ln>
                      </wps:spPr>
                      <wps:txbx>
                        <w:txbxContent>
                          <w:p w14:paraId="7A008176" w14:textId="77777777" w:rsidR="004E2CFD" w:rsidRPr="000035AC" w:rsidRDefault="004E2CFD" w:rsidP="00345C6C">
                            <w:pPr>
                              <w:spacing w:before="60" w:after="0"/>
                              <w:ind w:firstLine="0"/>
                              <w:jc w:val="center"/>
                              <w:rPr>
                                <w:rFonts w:ascii="Arial" w:hAnsi="Arial" w:cs="Arial"/>
                                <w:sz w:val="16"/>
                                <w:szCs w:val="16"/>
                              </w:rPr>
                            </w:pPr>
                            <w:r>
                              <w:rPr>
                                <w:rFonts w:ascii="Arial" w:hAnsi="Arial"/>
                                <w:sz w:val="16"/>
                              </w:rPr>
                              <w:t>Erakunde autonomoak: 53</w:t>
                            </w:r>
                          </w:p>
                          <w:p w14:paraId="007391B1"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Merkataritza sozietateak: 45</w:t>
                            </w:r>
                          </w:p>
                          <w:p w14:paraId="6CA8F6A9" w14:textId="7F2EF94E" w:rsidR="004E2CFD" w:rsidRPr="000035AC" w:rsidRDefault="004E2CFD" w:rsidP="00345C6C">
                            <w:pPr>
                              <w:spacing w:after="0"/>
                              <w:ind w:firstLine="0"/>
                              <w:jc w:val="center"/>
                              <w:rPr>
                                <w:rFonts w:ascii="Arial" w:hAnsi="Arial" w:cs="Arial"/>
                                <w:sz w:val="16"/>
                                <w:szCs w:val="16"/>
                              </w:rPr>
                            </w:pPr>
                            <w:r>
                              <w:rPr>
                                <w:rFonts w:ascii="Arial" w:hAnsi="Arial"/>
                                <w:sz w:val="16"/>
                              </w:rPr>
                              <w:t>Fundazio publikoak: 8</w:t>
                            </w:r>
                          </w:p>
                          <w:p w14:paraId="290B968D"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Partzuergoak: 17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3A92C" id="Rectangle 19" o:spid="_x0000_s1031" style="position:absolute;left:0;text-align:left;margin-left:4.85pt;margin-top:11.4pt;width:112.85pt;height:49.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" strokeweight=".25pt">
                <v:textbox inset="1pt,1pt,1pt,1pt">
                  <w:txbxContent>
                    <w:p w14:paraId="7A008176" w14:textId="77777777" w:rsidR="004E2CFD" w:rsidRPr="000035AC" w:rsidRDefault="004E2CFD" w:rsidP="00345C6C">
                      <w:pPr>
                        <w:spacing w:before="60" w:after="0"/>
                        <w:ind w:firstLine="0"/>
                        <w:jc w:val="center"/>
                        <w:rPr>
                          <w:rFonts w:ascii="Arial" w:hAnsi="Arial" w:cs="Arial"/>
                          <w:sz w:val="16"/>
                          <w:szCs w:val="16"/>
                        </w:rPr>
                      </w:pPr>
                      <w:r>
                        <w:rPr>
                          <w:rFonts w:ascii="Arial" w:hAnsi="Arial"/>
                          <w:sz w:val="16"/>
                        </w:rPr>
                        <w:t>Erakunde autonomoak: 53</w:t>
                      </w:r>
                    </w:p>
                    <w:p w14:paraId="007391B1"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Merkataritza sozietateak: 45</w:t>
                      </w:r>
                    </w:p>
                    <w:p w14:paraId="6CA8F6A9" w14:textId="7F2EF94E" w:rsidR="004E2CFD" w:rsidRPr="000035AC" w:rsidRDefault="004E2CFD" w:rsidP="00345C6C">
                      <w:pPr>
                        <w:spacing w:after="0"/>
                        <w:ind w:firstLine="0"/>
                        <w:jc w:val="center"/>
                        <w:rPr>
                          <w:rFonts w:ascii="Arial" w:hAnsi="Arial" w:cs="Arial"/>
                          <w:sz w:val="16"/>
                          <w:szCs w:val="16"/>
                        </w:rPr>
                      </w:pPr>
                      <w:r>
                        <w:rPr>
                          <w:rFonts w:ascii="Arial" w:hAnsi="Arial"/>
                          <w:sz w:val="16"/>
                        </w:rPr>
                        <w:t>Fundazio publikoak: 8</w:t>
                      </w:r>
                    </w:p>
                    <w:p w14:paraId="290B968D"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Partzuergoak: 17</w:t>
                      </w:r>
                    </w:p>
                  </w:txbxContent>
                </v:textbox>
              </v:rect>
            </w:pict>
          </mc:Fallback>
        </mc:AlternateContent>
      </w:r>
      <w:r>
        <w:rPr>
          <w:noProof/>
          <w:color w:val="000000" w:themeColor="text1"/>
        </w:rPr>
        <mc:AlternateContent>
          <mc:Choice Requires="wps">
            <w:drawing>
              <wp:anchor distT="4294967295" distB="4294967295" distL="114300" distR="114300" simplePos="0" relativeHeight="251648512" behindDoc="0" locked="0" layoutInCell="1" allowOverlap="1" wp14:anchorId="210858BF" wp14:editId="58415367">
                <wp:simplePos x="0" y="0"/>
                <wp:positionH relativeFrom="column">
                  <wp:posOffset>2292350</wp:posOffset>
                </wp:positionH>
                <wp:positionV relativeFrom="paragraph">
                  <wp:posOffset>2540</wp:posOffset>
                </wp:positionV>
                <wp:extent cx="1560830" cy="5080"/>
                <wp:effectExtent l="0" t="0" r="20320" b="3302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0830" cy="508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63195" id="Line 14" o:spid="_x0000_s1026" style="position:absolute;flip:y;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5pt,.2pt" to="30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" strokeweight=".25pt">
                <v:stroke startarrowwidth="narrow" startarrowlength="short" endarrowwidth="narrow" endarrowlength="short"/>
              </v:line>
            </w:pict>
          </mc:Fallback>
        </mc:AlternateContent>
      </w:r>
      <w:r>
        <w:rPr>
          <w:noProof/>
          <w:color w:val="000000" w:themeColor="text1"/>
        </w:rPr>
        <mc:AlternateContent>
          <mc:Choice Requires="wps">
            <w:drawing>
              <wp:anchor distT="0" distB="0" distL="114300" distR="114300" simplePos="0" relativeHeight="251633152" behindDoc="0" locked="0" layoutInCell="1" allowOverlap="1" wp14:anchorId="5D298336" wp14:editId="1C9BA4EE">
                <wp:simplePos x="0" y="0"/>
                <wp:positionH relativeFrom="column">
                  <wp:posOffset>2290445</wp:posOffset>
                </wp:positionH>
                <wp:positionV relativeFrom="paragraph">
                  <wp:posOffset>7620</wp:posOffset>
                </wp:positionV>
                <wp:extent cx="0" cy="859790"/>
                <wp:effectExtent l="0" t="0" r="19050" b="1651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5979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52E04" id="Line 22" o:spid="_x0000_s1026" style="position:absolute;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6pt" to="180.3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" strokeweight=".25pt">
                <v:stroke startarrowwidth="narrow" startarrowlength="short" endarrowwidth="narrow" endarrowlength="short"/>
              </v:line>
            </w:pict>
          </mc:Fallback>
        </mc:AlternateContent>
      </w:r>
      <w:r>
        <w:rPr>
          <w:noProof/>
          <w:color w:val="000000" w:themeColor="text1"/>
        </w:rPr>
        <mc:AlternateContent>
          <mc:Choice Requires="wps">
            <w:drawing>
              <wp:anchor distT="0" distB="0" distL="114300" distR="114300" simplePos="0" relativeHeight="251672064" behindDoc="0" locked="0" layoutInCell="1" allowOverlap="1" wp14:anchorId="1A131109" wp14:editId="68814030">
                <wp:simplePos x="0" y="0"/>
                <wp:positionH relativeFrom="column">
                  <wp:posOffset>3848735</wp:posOffset>
                </wp:positionH>
                <wp:positionV relativeFrom="paragraph">
                  <wp:posOffset>4445</wp:posOffset>
                </wp:positionV>
                <wp:extent cx="6350" cy="409575"/>
                <wp:effectExtent l="0" t="0" r="31750" b="28575"/>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0957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890B6" id="Line 2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35pt" to="303.5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" strokeweight=".25pt">
                <v:stroke startarrowwidth="narrow" startarrowlength="short" endarrowwidth="narrow" endarrowlength="short"/>
              </v:line>
            </w:pict>
          </mc:Fallback>
        </mc:AlternateContent>
      </w:r>
      <w:r>
        <w:rPr>
          <w:noProof/>
          <w:color w:val="000000" w:themeColor="text1"/>
        </w:rPr>
        <mc:AlternateContent>
          <mc:Choice Requires="wps">
            <w:drawing>
              <wp:anchor distT="0" distB="0" distL="114300" distR="114300" simplePos="0" relativeHeight="251678208" behindDoc="0" locked="0" layoutInCell="1" allowOverlap="1" wp14:anchorId="41885AF0" wp14:editId="27157970">
                <wp:simplePos x="0" y="0"/>
                <wp:positionH relativeFrom="column">
                  <wp:posOffset>3266440</wp:posOffset>
                </wp:positionH>
                <wp:positionV relativeFrom="paragraph">
                  <wp:posOffset>167005</wp:posOffset>
                </wp:positionV>
                <wp:extent cx="1229995" cy="368935"/>
                <wp:effectExtent l="0" t="0" r="27305" b="12065"/>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368935"/>
                        </a:xfrm>
                        <a:prstGeom prst="rect">
                          <a:avLst/>
                        </a:prstGeom>
                        <a:solidFill>
                          <a:srgbClr val="FFFFFF"/>
                        </a:solidFill>
                        <a:ln w="3175">
                          <a:solidFill>
                            <a:srgbClr val="000000"/>
                          </a:solidFill>
                          <a:miter lim="800000"/>
                          <a:headEnd/>
                          <a:tailEnd/>
                        </a:ln>
                      </wps:spPr>
                      <wps:txbx>
                        <w:txbxContent>
                          <w:p w14:paraId="30B74C8F" w14:textId="77777777" w:rsidR="004E2CFD" w:rsidRDefault="004E2CFD" w:rsidP="00345C6C">
                            <w:pPr>
                              <w:spacing w:after="0"/>
                              <w:ind w:firstLine="0"/>
                              <w:jc w:val="center"/>
                              <w:rPr>
                                <w:rFonts w:ascii="Arial" w:hAnsi="Arial" w:cs="Arial"/>
                                <w:sz w:val="16"/>
                                <w:szCs w:val="16"/>
                                <w:lang w:val="es-ES"/>
                              </w:rPr>
                            </w:pPr>
                          </w:p>
                          <w:p w14:paraId="0300D58E" w14:textId="77777777" w:rsidR="004E2CFD" w:rsidRPr="000035AC" w:rsidRDefault="004E2CFD" w:rsidP="00345C6C">
                            <w:pPr>
                              <w:spacing w:after="0"/>
                              <w:ind w:firstLine="0"/>
                              <w:jc w:val="center"/>
                              <w:rPr>
                                <w:rFonts w:ascii="Arial" w:hAnsi="Arial" w:cs="Arial"/>
                                <w:sz w:val="14"/>
                                <w:szCs w:val="14"/>
                              </w:rPr>
                            </w:pPr>
                            <w:r>
                              <w:rPr>
                                <w:rFonts w:ascii="Arial" w:hAnsi="Arial"/>
                                <w:sz w:val="14"/>
                              </w:rPr>
                              <w:t>Udalen batasunak: 22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85AF0" id="Rectangle 24" o:spid="_x0000_s1032" style="position:absolute;left:0;text-align:left;margin-left:257.2pt;margin-top:13.15pt;width:96.85pt;height:29.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" strokeweight=".25pt">
                <v:textbox inset="1pt,1pt,1pt,1pt">
                  <w:txbxContent>
                    <w:p w14:paraId="30B74C8F" w14:textId="77777777" w:rsidR="004E2CFD" w:rsidRDefault="004E2CFD" w:rsidP="00345C6C">
                      <w:pPr>
                        <w:spacing w:after="0"/>
                        <w:ind w:firstLine="0"/>
                        <w:jc w:val="center"/>
                        <w:rPr>
                          <w:rFonts w:ascii="Arial" w:hAnsi="Arial" w:cs="Arial"/>
                          <w:sz w:val="16"/>
                          <w:szCs w:val="16"/>
                          <w:lang w:val="es-ES"/>
                        </w:rPr>
                      </w:pPr>
                    </w:p>
                    <w:p w14:paraId="0300D58E" w14:textId="77777777" w:rsidR="004E2CFD" w:rsidRPr="000035AC" w:rsidRDefault="004E2CFD" w:rsidP="00345C6C">
                      <w:pPr>
                        <w:spacing w:after="0"/>
                        <w:ind w:firstLine="0"/>
                        <w:jc w:val="center"/>
                        <w:rPr>
                          <w:rFonts w:ascii="Arial" w:hAnsi="Arial" w:cs="Arial"/>
                          <w:sz w:val="14"/>
                          <w:szCs w:val="14"/>
                        </w:rPr>
                      </w:pPr>
                      <w:r>
                        <w:rPr>
                          <w:rFonts w:ascii="Arial" w:hAnsi="Arial"/>
                          <w:sz w:val="14"/>
                        </w:rPr>
                        <w:t>Udalen batasunak: 22</w:t>
                      </w:r>
                    </w:p>
                  </w:txbxContent>
                </v:textbox>
              </v:rect>
            </w:pict>
          </mc:Fallback>
        </mc:AlternateContent>
      </w:r>
      <w:r>
        <w:rPr>
          <w:noProof/>
          <w:color w:val="000000" w:themeColor="text1"/>
        </w:rPr>
        <mc:AlternateContent>
          <mc:Choice Requires="wps">
            <w:drawing>
              <wp:anchor distT="0" distB="0" distL="114300" distR="114300" simplePos="0" relativeHeight="251675136" behindDoc="0" locked="0" layoutInCell="1" allowOverlap="1" wp14:anchorId="7DE085C4" wp14:editId="2978A65E">
                <wp:simplePos x="0" y="0"/>
                <wp:positionH relativeFrom="column">
                  <wp:posOffset>1784350</wp:posOffset>
                </wp:positionH>
                <wp:positionV relativeFrom="paragraph">
                  <wp:posOffset>165100</wp:posOffset>
                </wp:positionV>
                <wp:extent cx="1192530" cy="368935"/>
                <wp:effectExtent l="0" t="0" r="26670" b="12065"/>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368935"/>
                        </a:xfrm>
                        <a:prstGeom prst="rect">
                          <a:avLst/>
                        </a:prstGeom>
                        <a:solidFill>
                          <a:srgbClr val="FFFFFF"/>
                        </a:solidFill>
                        <a:ln w="3175">
                          <a:solidFill>
                            <a:srgbClr val="000000"/>
                          </a:solidFill>
                          <a:miter lim="800000"/>
                          <a:headEnd/>
                          <a:tailEnd/>
                        </a:ln>
                      </wps:spPr>
                      <wps:txbx>
                        <w:txbxContent>
                          <w:p w14:paraId="6726F140" w14:textId="77777777" w:rsidR="004E2CFD" w:rsidRDefault="004E2CFD" w:rsidP="00345C6C">
                            <w:pPr>
                              <w:spacing w:after="0"/>
                              <w:ind w:firstLine="0"/>
                              <w:jc w:val="center"/>
                              <w:rPr>
                                <w:rFonts w:ascii="Arial" w:hAnsi="Arial" w:cs="Arial"/>
                                <w:sz w:val="16"/>
                                <w:szCs w:val="16"/>
                                <w:lang w:val="es-ES"/>
                              </w:rPr>
                            </w:pPr>
                          </w:p>
                          <w:p w14:paraId="5C020F05"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Mankomunitateak: 61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085C4" id="Rectangle 23" o:spid="_x0000_s1033" style="position:absolute;left:0;text-align:left;margin-left:140.5pt;margin-top:13pt;width:93.9pt;height:29.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" strokeweight=".25pt">
                <v:textbox inset="1pt,1pt,1pt,1pt">
                  <w:txbxContent>
                    <w:p w14:paraId="6726F140" w14:textId="77777777" w:rsidR="004E2CFD" w:rsidRDefault="004E2CFD" w:rsidP="00345C6C">
                      <w:pPr>
                        <w:spacing w:after="0"/>
                        <w:ind w:firstLine="0"/>
                        <w:jc w:val="center"/>
                        <w:rPr>
                          <w:rFonts w:ascii="Arial" w:hAnsi="Arial" w:cs="Arial"/>
                          <w:sz w:val="16"/>
                          <w:szCs w:val="16"/>
                          <w:lang w:val="es-ES"/>
                        </w:rPr>
                      </w:pPr>
                    </w:p>
                    <w:p w14:paraId="5C020F05"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Mankomunitateak: 61</w:t>
                      </w:r>
                    </w:p>
                  </w:txbxContent>
                </v:textbox>
              </v:rect>
            </w:pict>
          </mc:Fallback>
        </mc:AlternateContent>
      </w:r>
    </w:p>
    <w:p w14:paraId="2D9FAF4C"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Pr>
          <w:noProof/>
          <w:color w:val="000000" w:themeColor="text1"/>
        </w:rPr>
        <mc:AlternateContent>
          <mc:Choice Requires="wps">
            <w:drawing>
              <wp:anchor distT="0" distB="0" distL="114300" distR="114300" simplePos="0" relativeHeight="251684352" behindDoc="1" locked="0" layoutInCell="1" allowOverlap="1" wp14:anchorId="149328DC" wp14:editId="6C93490D">
                <wp:simplePos x="0" y="0"/>
                <wp:positionH relativeFrom="column">
                  <wp:posOffset>3829685</wp:posOffset>
                </wp:positionH>
                <wp:positionV relativeFrom="paragraph">
                  <wp:posOffset>254635</wp:posOffset>
                </wp:positionV>
                <wp:extent cx="0" cy="334800"/>
                <wp:effectExtent l="0" t="0" r="19050" b="2730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480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C4652" id="Line 22" o:spid="_x0000_s1026" style="position:absolute;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5pt,20.05pt" to="301.5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" strokeweight=".25pt">
                <v:stroke startarrowwidth="narrow" startarrowlength="short" endarrowwidth="narrow" endarrowlength="short"/>
              </v:line>
            </w:pict>
          </mc:Fallback>
        </mc:AlternateContent>
      </w:r>
    </w:p>
    <w:p w14:paraId="6214CF2C"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Pr>
          <w:noProof/>
          <w:color w:val="000000" w:themeColor="text1"/>
        </w:rPr>
        <mc:AlternateContent>
          <mc:Choice Requires="wps">
            <w:drawing>
              <wp:anchor distT="0" distB="0" distL="114300" distR="114300" simplePos="0" relativeHeight="251681280" behindDoc="0" locked="0" layoutInCell="1" allowOverlap="1" wp14:anchorId="69665C59" wp14:editId="16F1C070">
                <wp:simplePos x="0" y="0"/>
                <wp:positionH relativeFrom="column">
                  <wp:posOffset>3267710</wp:posOffset>
                </wp:positionH>
                <wp:positionV relativeFrom="paragraph">
                  <wp:posOffset>250190</wp:posOffset>
                </wp:positionV>
                <wp:extent cx="1409700" cy="345440"/>
                <wp:effectExtent l="0" t="0" r="19050" b="1651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45440"/>
                        </a:xfrm>
                        <a:prstGeom prst="rect">
                          <a:avLst/>
                        </a:prstGeom>
                        <a:solidFill>
                          <a:srgbClr val="FFFFFF"/>
                        </a:solidFill>
                        <a:ln w="3175">
                          <a:solidFill>
                            <a:srgbClr val="000000"/>
                          </a:solidFill>
                          <a:miter lim="800000"/>
                          <a:headEnd/>
                          <a:tailEnd/>
                        </a:ln>
                      </wps:spPr>
                      <wps:txbx>
                        <w:txbxContent>
                          <w:p w14:paraId="6C4E8338" w14:textId="77777777" w:rsidR="004E2CFD" w:rsidRDefault="004E2CFD" w:rsidP="00345C6C">
                            <w:pPr>
                              <w:spacing w:after="0"/>
                              <w:ind w:firstLine="0"/>
                              <w:jc w:val="center"/>
                              <w:rPr>
                                <w:rFonts w:ascii="Arial" w:hAnsi="Arial" w:cs="Arial"/>
                                <w:sz w:val="16"/>
                                <w:szCs w:val="16"/>
                                <w:lang w:val="es-ES"/>
                              </w:rPr>
                            </w:pPr>
                          </w:p>
                          <w:p w14:paraId="1B0CF7E1"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Merkataritza sozietateak:</w:t>
                            </w:r>
                            <w:r>
                              <w:rPr>
                                <w:rFonts w:ascii="Arial Narrow" w:hAnsi="Arial Narrow"/>
                                <w:sz w:val="18"/>
                              </w:rPr>
                              <w:t xml:space="preserve"> </w:t>
                            </w:r>
                            <w:r>
                              <w:rPr>
                                <w:rFonts w:ascii="Arial" w:hAnsi="Arial"/>
                                <w:sz w:val="16"/>
                              </w:rPr>
                              <w:t>2</w:t>
                            </w:r>
                          </w:p>
                          <w:p w14:paraId="5B8E2204" w14:textId="77777777" w:rsidR="004E2CFD" w:rsidRPr="000035AC" w:rsidRDefault="004E2CFD" w:rsidP="00345C6C">
                            <w:pPr>
                              <w:spacing w:after="0"/>
                              <w:ind w:firstLine="0"/>
                              <w:jc w:val="center"/>
                              <w:rPr>
                                <w:rFonts w:ascii="Arial" w:hAnsi="Arial" w:cs="Arial"/>
                                <w:sz w:val="16"/>
                                <w:szCs w:val="16"/>
                                <w:lang w:val="es-E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65C59" id="_x0000_s1034" style="position:absolute;left:0;text-align:left;margin-left:257.3pt;margin-top:19.7pt;width:111pt;height:27.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" strokeweight=".25pt">
                <v:textbox inset="1pt,1pt,1pt,1pt">
                  <w:txbxContent>
                    <w:p w14:paraId="6C4E8338" w14:textId="77777777" w:rsidR="004E2CFD" w:rsidRDefault="004E2CFD" w:rsidP="00345C6C">
                      <w:pPr>
                        <w:spacing w:after="0"/>
                        <w:ind w:firstLine="0"/>
                        <w:jc w:val="center"/>
                        <w:rPr>
                          <w:rFonts w:ascii="Arial" w:hAnsi="Arial" w:cs="Arial"/>
                          <w:sz w:val="16"/>
                          <w:szCs w:val="16"/>
                          <w:lang w:val="es-ES"/>
                        </w:rPr>
                      </w:pPr>
                    </w:p>
                    <w:p w14:paraId="1B0CF7E1"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Merkataritza sozietateak:</w:t>
                      </w:r>
                      <w:r>
                        <w:rPr>
                          <w:rFonts w:ascii="Arial Narrow" w:hAnsi="Arial Narrow"/>
                          <w:sz w:val="18"/>
                        </w:rPr>
                        <w:t xml:space="preserve"> </w:t>
                      </w:r>
                      <w:r>
                        <w:rPr>
                          <w:rFonts w:ascii="Arial" w:hAnsi="Arial"/>
                          <w:sz w:val="16"/>
                        </w:rPr>
                        <w:t>2</w:t>
                      </w:r>
                    </w:p>
                    <w:p w14:paraId="5B8E2204" w14:textId="77777777" w:rsidR="004E2CFD" w:rsidRPr="000035AC" w:rsidRDefault="004E2CFD" w:rsidP="00345C6C">
                      <w:pPr>
                        <w:spacing w:after="0"/>
                        <w:ind w:firstLine="0"/>
                        <w:jc w:val="center"/>
                        <w:rPr>
                          <w:rFonts w:ascii="Arial" w:hAnsi="Arial" w:cs="Arial"/>
                          <w:sz w:val="16"/>
                          <w:szCs w:val="16"/>
                          <w:lang w:val="es-ES"/>
                        </w:rPr>
                      </w:pPr>
                    </w:p>
                  </w:txbxContent>
                </v:textbox>
              </v:rect>
            </w:pict>
          </mc:Fallback>
        </mc:AlternateContent>
      </w:r>
      <w:r>
        <w:rPr>
          <w:noProof/>
          <w:color w:val="000000" w:themeColor="text1"/>
        </w:rPr>
        <mc:AlternateContent>
          <mc:Choice Requires="wps">
            <w:drawing>
              <wp:anchor distT="0" distB="0" distL="114300" distR="114300" simplePos="0" relativeHeight="251668992" behindDoc="0" locked="0" layoutInCell="1" allowOverlap="1" wp14:anchorId="53705710" wp14:editId="17C8DA81">
                <wp:simplePos x="0" y="0"/>
                <wp:positionH relativeFrom="column">
                  <wp:posOffset>1657702</wp:posOffset>
                </wp:positionH>
                <wp:positionV relativeFrom="paragraph">
                  <wp:posOffset>247242</wp:posOffset>
                </wp:positionV>
                <wp:extent cx="1413974" cy="345440"/>
                <wp:effectExtent l="0" t="0" r="15240" b="1651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974" cy="345440"/>
                        </a:xfrm>
                        <a:prstGeom prst="rect">
                          <a:avLst/>
                        </a:prstGeom>
                        <a:solidFill>
                          <a:srgbClr val="FFFFFF"/>
                        </a:solidFill>
                        <a:ln w="3175">
                          <a:solidFill>
                            <a:srgbClr val="000000"/>
                          </a:solidFill>
                          <a:miter lim="800000"/>
                          <a:headEnd/>
                          <a:tailEnd/>
                        </a:ln>
                      </wps:spPr>
                      <wps:txbx>
                        <w:txbxContent>
                          <w:p w14:paraId="2148FF2F" w14:textId="77777777" w:rsidR="004E2CFD" w:rsidRPr="000035AC" w:rsidRDefault="004E2CFD" w:rsidP="00345C6C">
                            <w:pPr>
                              <w:spacing w:before="60" w:after="0"/>
                              <w:ind w:firstLine="0"/>
                              <w:jc w:val="center"/>
                              <w:rPr>
                                <w:rFonts w:ascii="Arial" w:hAnsi="Arial" w:cs="Arial"/>
                                <w:sz w:val="16"/>
                                <w:szCs w:val="16"/>
                              </w:rPr>
                            </w:pPr>
                            <w:r>
                              <w:rPr>
                                <w:rFonts w:ascii="Arial" w:hAnsi="Arial"/>
                                <w:sz w:val="16"/>
                              </w:rPr>
                              <w:t>Erakunde autonomoak: 3</w:t>
                            </w:r>
                          </w:p>
                          <w:p w14:paraId="08726766"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Merkataritza sozietateak:</w:t>
                            </w:r>
                            <w:r>
                              <w:rPr>
                                <w:rFonts w:ascii="Arial Narrow" w:hAnsi="Arial Narrow"/>
                                <w:sz w:val="18"/>
                              </w:rPr>
                              <w:t xml:space="preserve"> </w:t>
                            </w:r>
                            <w:r>
                              <w:rPr>
                                <w:rFonts w:ascii="Arial" w:hAnsi="Arial"/>
                                <w:sz w:val="16"/>
                              </w:rPr>
                              <w:t>7</w:t>
                            </w:r>
                          </w:p>
                          <w:p w14:paraId="27F565CF" w14:textId="77777777" w:rsidR="004E2CFD" w:rsidRPr="00D05EAF" w:rsidRDefault="004E2CFD" w:rsidP="00345C6C">
                            <w:pPr>
                              <w:spacing w:before="140" w:after="100"/>
                              <w:jc w:val="center"/>
                              <w:rPr>
                                <w:rFonts w:ascii="Gill Sans MT" w:hAnsi="Gill Sans MT" w:cs="GillSans"/>
                                <w:sz w:val="18"/>
                                <w:szCs w:val="18"/>
                              </w:rPr>
                            </w:pPr>
                          </w:p>
                          <w:p w14:paraId="0C4F810E" w14:textId="77777777" w:rsidR="004E2CFD" w:rsidRPr="00725B83" w:rsidRDefault="004E2CFD" w:rsidP="00345C6C">
                            <w:pPr>
                              <w:spacing w:before="140" w:after="100"/>
                              <w:jc w:val="center"/>
                              <w:rPr>
                                <w:rFonts w:ascii="Gill Sans MT" w:hAnsi="Gill Sans MT" w:cs="GillSans"/>
                                <w:sz w:val="16"/>
                                <w:szCs w:val="16"/>
                              </w:rPr>
                            </w:pPr>
                            <w:r>
                              <w:rPr>
                                <w:rFonts w:ascii="Gill Sans MT" w:hAnsi="Gill Sans MT"/>
                                <w:sz w:val="14"/>
                              </w:rPr>
                              <w:t>Merkat. sozietateak: 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05710" id="Rectangle 20" o:spid="_x0000_s1035" style="position:absolute;left:0;text-align:left;margin-left:130.55pt;margin-top:19.45pt;width:111.35pt;height:27.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" strokeweight=".25pt">
                <v:textbox inset="1pt,1pt,1pt,1pt">
                  <w:txbxContent>
                    <w:p w14:paraId="2148FF2F" w14:textId="77777777" w:rsidR="004E2CFD" w:rsidRPr="000035AC" w:rsidRDefault="004E2CFD" w:rsidP="00345C6C">
                      <w:pPr>
                        <w:spacing w:before="60" w:after="0"/>
                        <w:ind w:firstLine="0"/>
                        <w:jc w:val="center"/>
                        <w:rPr>
                          <w:rFonts w:ascii="Arial" w:hAnsi="Arial" w:cs="Arial"/>
                          <w:sz w:val="16"/>
                          <w:szCs w:val="16"/>
                        </w:rPr>
                      </w:pPr>
                      <w:r>
                        <w:rPr>
                          <w:rFonts w:ascii="Arial" w:hAnsi="Arial"/>
                          <w:sz w:val="16"/>
                        </w:rPr>
                        <w:t>Erakunde autonomoak: 3</w:t>
                      </w:r>
                    </w:p>
                    <w:p w14:paraId="08726766" w14:textId="77777777" w:rsidR="004E2CFD" w:rsidRPr="000035AC" w:rsidRDefault="004E2CFD" w:rsidP="00345C6C">
                      <w:pPr>
                        <w:spacing w:after="0"/>
                        <w:ind w:firstLine="0"/>
                        <w:jc w:val="center"/>
                        <w:rPr>
                          <w:rFonts w:ascii="Arial" w:hAnsi="Arial" w:cs="Arial"/>
                          <w:sz w:val="16"/>
                          <w:szCs w:val="16"/>
                        </w:rPr>
                      </w:pPr>
                      <w:r>
                        <w:rPr>
                          <w:rFonts w:ascii="Arial" w:hAnsi="Arial"/>
                          <w:sz w:val="16"/>
                        </w:rPr>
                        <w:t>Merkataritza sozietateak:</w:t>
                      </w:r>
                      <w:r>
                        <w:rPr>
                          <w:rFonts w:ascii="Arial Narrow" w:hAnsi="Arial Narrow"/>
                          <w:sz w:val="18"/>
                        </w:rPr>
                        <w:t xml:space="preserve"> </w:t>
                      </w:r>
                      <w:r>
                        <w:rPr>
                          <w:rFonts w:ascii="Arial" w:hAnsi="Arial"/>
                          <w:sz w:val="16"/>
                        </w:rPr>
                        <w:t>7</w:t>
                      </w:r>
                    </w:p>
                    <w:p w14:paraId="27F565CF" w14:textId="77777777" w:rsidR="004E2CFD" w:rsidRPr="00D05EAF" w:rsidRDefault="004E2CFD" w:rsidP="00345C6C">
                      <w:pPr>
                        <w:spacing w:before="140" w:after="100"/>
                        <w:jc w:val="center"/>
                        <w:rPr>
                          <w:rFonts w:ascii="Gill Sans MT" w:hAnsi="Gill Sans MT" w:cs="GillSans"/>
                          <w:sz w:val="18"/>
                          <w:szCs w:val="18"/>
                        </w:rPr>
                      </w:pPr>
                    </w:p>
                    <w:p w14:paraId="0C4F810E" w14:textId="77777777" w:rsidR="004E2CFD" w:rsidRPr="00725B83" w:rsidRDefault="004E2CFD" w:rsidP="00345C6C">
                      <w:pPr>
                        <w:spacing w:before="140" w:after="100"/>
                        <w:jc w:val="center"/>
                        <w:rPr>
                          <w:rFonts w:ascii="Gill Sans MT" w:hAnsi="Gill Sans MT" w:cs="GillSans"/>
                          <w:sz w:val="16"/>
                          <w:szCs w:val="16"/>
                        </w:rPr>
                      </w:pPr>
                      <w:r>
                        <w:rPr>
                          <w:rFonts w:ascii="Gill Sans MT" w:hAnsi="Gill Sans MT"/>
                          <w:sz w:val="14"/>
                        </w:rPr>
                        <w:t>Merkat. sozietateak: 5</w:t>
                      </w:r>
                    </w:p>
                  </w:txbxContent>
                </v:textbox>
              </v:rect>
            </w:pict>
          </mc:Fallback>
        </mc:AlternateContent>
      </w:r>
    </w:p>
    <w:p w14:paraId="535CBFA6" w14:textId="77777777" w:rsidR="00345C6C" w:rsidRPr="00B81E61" w:rsidRDefault="00345C6C" w:rsidP="00345C6C">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p>
    <w:p w14:paraId="28311607" w14:textId="77777777" w:rsidR="00345C6C" w:rsidRPr="00B81E61" w:rsidRDefault="00345C6C" w:rsidP="00345C6C">
      <w:pPr>
        <w:tabs>
          <w:tab w:val="center" w:pos="2835"/>
          <w:tab w:val="center" w:pos="3969"/>
          <w:tab w:val="center" w:pos="5103"/>
          <w:tab w:val="center" w:pos="6237"/>
          <w:tab w:val="center" w:pos="7371"/>
        </w:tabs>
        <w:suppressAutoHyphens/>
        <w:spacing w:after="100"/>
        <w:ind w:left="-378" w:firstLine="284"/>
        <w:rPr>
          <w:rFonts w:ascii="Gill Sans MT" w:hAnsi="Gill Sans MT"/>
          <w:color w:val="000000" w:themeColor="text1"/>
          <w:spacing w:val="6"/>
          <w:sz w:val="16"/>
          <w:szCs w:val="16"/>
          <w:highlight w:val="yellow"/>
        </w:rPr>
      </w:pPr>
    </w:p>
    <w:p w14:paraId="32627450" w14:textId="0E5D0872" w:rsidR="00345C6C" w:rsidRPr="00B81E61" w:rsidRDefault="00345C6C" w:rsidP="00A02FED">
      <w:pPr>
        <w:pStyle w:val="texto"/>
        <w:spacing w:after="240"/>
        <w:rPr>
          <w:color w:val="000000" w:themeColor="text1"/>
        </w:rPr>
      </w:pPr>
      <w:r>
        <w:rPr>
          <w:color w:val="000000" w:themeColor="text1"/>
        </w:rPr>
        <w:t>2020ko urtarrilaren 1ean, Nafarroako 272 udalen biztanleria –errolda ofizialeko datuen arabera, 661.197 biztanle– honela zegoen banatuta:</w:t>
      </w:r>
    </w:p>
    <w:tbl>
      <w:tblPr>
        <w:tblW w:w="5000" w:type="pct"/>
        <w:jc w:val="center"/>
        <w:tblCellMar>
          <w:left w:w="70" w:type="dxa"/>
          <w:right w:w="70" w:type="dxa"/>
        </w:tblCellMar>
        <w:tblLook w:val="04A0" w:firstRow="1" w:lastRow="0" w:firstColumn="1" w:lastColumn="0" w:noHBand="0" w:noVBand="1"/>
      </w:tblPr>
      <w:tblGrid>
        <w:gridCol w:w="2835"/>
        <w:gridCol w:w="1255"/>
        <w:gridCol w:w="1865"/>
        <w:gridCol w:w="1415"/>
        <w:gridCol w:w="1419"/>
      </w:tblGrid>
      <w:tr w:rsidR="008E43F9" w:rsidRPr="00A02FED" w14:paraId="3E51286C" w14:textId="77777777" w:rsidTr="00C77DCA">
        <w:trPr>
          <w:trHeight w:val="227"/>
          <w:jc w:val="center"/>
        </w:trPr>
        <w:tc>
          <w:tcPr>
            <w:tcW w:w="1613" w:type="pct"/>
            <w:tcBorders>
              <w:top w:val="single" w:sz="4" w:space="0" w:color="auto"/>
              <w:left w:val="nil"/>
              <w:bottom w:val="single" w:sz="4" w:space="0" w:color="auto"/>
              <w:right w:val="nil"/>
            </w:tcBorders>
            <w:shd w:val="clear" w:color="auto" w:fill="FABF8F" w:themeFill="accent6" w:themeFillTint="99"/>
            <w:vAlign w:val="center"/>
            <w:hideMark/>
          </w:tcPr>
          <w:p w14:paraId="4C091E9A" w14:textId="77777777" w:rsidR="008E43F9" w:rsidRPr="00A02FED" w:rsidRDefault="008E43F9" w:rsidP="00C77DCA">
            <w:pPr>
              <w:pStyle w:val="cuadroCabe"/>
              <w:spacing w:line="240" w:lineRule="auto"/>
            </w:pPr>
            <w:r>
              <w:t xml:space="preserve">Biztanleria </w:t>
            </w:r>
          </w:p>
          <w:p w14:paraId="0614F237" w14:textId="33407D06" w:rsidR="008E43F9" w:rsidRPr="00A02FED" w:rsidRDefault="008E43F9" w:rsidP="00C77DCA">
            <w:pPr>
              <w:pStyle w:val="cuadroCabe"/>
              <w:spacing w:line="240" w:lineRule="auto"/>
            </w:pPr>
            <w:r>
              <w:t>tartea</w:t>
            </w:r>
          </w:p>
        </w:tc>
        <w:tc>
          <w:tcPr>
            <w:tcW w:w="714" w:type="pct"/>
            <w:tcBorders>
              <w:top w:val="single" w:sz="4" w:space="0" w:color="auto"/>
              <w:left w:val="nil"/>
              <w:bottom w:val="single" w:sz="4" w:space="0" w:color="auto"/>
              <w:right w:val="nil"/>
            </w:tcBorders>
            <w:shd w:val="clear" w:color="auto" w:fill="FABF8F" w:themeFill="accent6" w:themeFillTint="99"/>
            <w:vAlign w:val="center"/>
            <w:hideMark/>
          </w:tcPr>
          <w:p w14:paraId="6C9CD097" w14:textId="77777777" w:rsidR="008E43F9" w:rsidRPr="00A02FED" w:rsidRDefault="008E43F9" w:rsidP="00C77DCA">
            <w:pPr>
              <w:pStyle w:val="cuadroCabe"/>
              <w:spacing w:line="240" w:lineRule="auto"/>
              <w:jc w:val="right"/>
            </w:pPr>
            <w:r>
              <w:t>Udalen kopurua</w:t>
            </w:r>
          </w:p>
        </w:tc>
        <w:tc>
          <w:tcPr>
            <w:tcW w:w="1061" w:type="pct"/>
            <w:tcBorders>
              <w:top w:val="single" w:sz="4" w:space="0" w:color="auto"/>
              <w:left w:val="nil"/>
              <w:bottom w:val="single" w:sz="4" w:space="0" w:color="auto"/>
              <w:right w:val="nil"/>
            </w:tcBorders>
            <w:shd w:val="clear" w:color="auto" w:fill="FABF8F" w:themeFill="accent6" w:themeFillTint="99"/>
            <w:vAlign w:val="center"/>
            <w:hideMark/>
          </w:tcPr>
          <w:p w14:paraId="2F5B87D2" w14:textId="77777777" w:rsidR="00A02FED" w:rsidRDefault="008E43F9" w:rsidP="00C77DCA">
            <w:pPr>
              <w:pStyle w:val="cuadroCabe"/>
              <w:spacing w:line="240" w:lineRule="auto"/>
              <w:jc w:val="right"/>
            </w:pPr>
            <w:r>
              <w:t xml:space="preserve">Udalak, guztizkoaren gainean (%) </w:t>
            </w:r>
          </w:p>
          <w:p w14:paraId="56FB1BED" w14:textId="24BE309C" w:rsidR="008E43F9" w:rsidRPr="00A02FED" w:rsidRDefault="008E43F9" w:rsidP="00C77DCA">
            <w:pPr>
              <w:pStyle w:val="cuadroCabe"/>
              <w:spacing w:line="240" w:lineRule="auto"/>
              <w:jc w:val="right"/>
            </w:pPr>
          </w:p>
        </w:tc>
        <w:tc>
          <w:tcPr>
            <w:tcW w:w="805" w:type="pct"/>
            <w:tcBorders>
              <w:top w:val="single" w:sz="4" w:space="0" w:color="auto"/>
              <w:left w:val="nil"/>
              <w:bottom w:val="single" w:sz="4" w:space="0" w:color="auto"/>
              <w:right w:val="nil"/>
            </w:tcBorders>
            <w:shd w:val="clear" w:color="auto" w:fill="FABF8F" w:themeFill="accent6" w:themeFillTint="99"/>
            <w:vAlign w:val="center"/>
          </w:tcPr>
          <w:p w14:paraId="7A6B42AA" w14:textId="77777777" w:rsidR="008E43F9" w:rsidRPr="00A02FED" w:rsidRDefault="008E43F9" w:rsidP="00C77DCA">
            <w:pPr>
              <w:pStyle w:val="cuadroCabe"/>
              <w:spacing w:line="240" w:lineRule="auto"/>
              <w:jc w:val="right"/>
            </w:pPr>
            <w:r>
              <w:t xml:space="preserve">Biztanleria </w:t>
            </w:r>
          </w:p>
          <w:p w14:paraId="7FE95F5A" w14:textId="77777777" w:rsidR="008E43F9" w:rsidRPr="00A02FED" w:rsidRDefault="008E43F9" w:rsidP="00C77DCA">
            <w:pPr>
              <w:pStyle w:val="cuadroCabe"/>
              <w:spacing w:line="240" w:lineRule="auto"/>
              <w:jc w:val="right"/>
            </w:pPr>
            <w:r>
              <w:t>2020-1-1ean</w:t>
            </w:r>
          </w:p>
        </w:tc>
        <w:tc>
          <w:tcPr>
            <w:tcW w:w="807" w:type="pct"/>
            <w:tcBorders>
              <w:top w:val="single" w:sz="4" w:space="0" w:color="auto"/>
              <w:left w:val="nil"/>
              <w:bottom w:val="single" w:sz="4" w:space="0" w:color="auto"/>
              <w:right w:val="nil"/>
            </w:tcBorders>
            <w:shd w:val="clear" w:color="auto" w:fill="FABF8F" w:themeFill="accent6" w:themeFillTint="99"/>
            <w:vAlign w:val="center"/>
          </w:tcPr>
          <w:p w14:paraId="36FBF99B" w14:textId="77777777" w:rsidR="008E43F9" w:rsidRPr="00A02FED" w:rsidRDefault="008E43F9" w:rsidP="00C77DCA">
            <w:pPr>
              <w:pStyle w:val="cuadroCabe"/>
              <w:spacing w:line="240" w:lineRule="auto"/>
              <w:jc w:val="right"/>
            </w:pPr>
            <w:r>
              <w:t>Biztanleria, guztizkoaren gainean (%)</w:t>
            </w:r>
          </w:p>
        </w:tc>
      </w:tr>
      <w:tr w:rsidR="008E43F9" w:rsidRPr="00B81E61" w14:paraId="07C54C06" w14:textId="77777777" w:rsidTr="00C77DCA">
        <w:trPr>
          <w:trHeight w:val="227"/>
          <w:jc w:val="center"/>
        </w:trPr>
        <w:tc>
          <w:tcPr>
            <w:tcW w:w="1613" w:type="pct"/>
            <w:tcBorders>
              <w:top w:val="nil"/>
              <w:left w:val="nil"/>
              <w:bottom w:val="single" w:sz="2" w:space="0" w:color="auto"/>
              <w:right w:val="nil"/>
            </w:tcBorders>
            <w:shd w:val="clear" w:color="000000" w:fill="FFFFFF"/>
            <w:vAlign w:val="center"/>
            <w:hideMark/>
          </w:tcPr>
          <w:p w14:paraId="4A887BF1" w14:textId="77777777" w:rsidR="008E43F9" w:rsidRPr="00B81E61" w:rsidRDefault="008E43F9" w:rsidP="00C77DCA">
            <w:pPr>
              <w:pStyle w:val="cuatexto"/>
              <w:spacing w:line="240" w:lineRule="auto"/>
            </w:pPr>
            <w:r>
              <w:t>&lt;101</w:t>
            </w:r>
          </w:p>
        </w:tc>
        <w:tc>
          <w:tcPr>
            <w:tcW w:w="714" w:type="pct"/>
            <w:tcBorders>
              <w:top w:val="nil"/>
              <w:left w:val="nil"/>
              <w:bottom w:val="single" w:sz="2" w:space="0" w:color="auto"/>
              <w:right w:val="nil"/>
            </w:tcBorders>
            <w:shd w:val="clear" w:color="000000" w:fill="FFFFFF"/>
            <w:vAlign w:val="center"/>
            <w:hideMark/>
          </w:tcPr>
          <w:p w14:paraId="7107BC0B" w14:textId="441B083D" w:rsidR="008E43F9" w:rsidRPr="00B81E61" w:rsidRDefault="008E43F9" w:rsidP="00C77DCA">
            <w:pPr>
              <w:pStyle w:val="cuatexto"/>
              <w:spacing w:line="240" w:lineRule="auto"/>
              <w:jc w:val="right"/>
            </w:pPr>
            <w:r>
              <w:rPr>
                <w:color w:val="000000"/>
              </w:rPr>
              <w:t>48</w:t>
            </w:r>
          </w:p>
        </w:tc>
        <w:tc>
          <w:tcPr>
            <w:tcW w:w="1061" w:type="pct"/>
            <w:tcBorders>
              <w:top w:val="nil"/>
              <w:left w:val="nil"/>
              <w:bottom w:val="single" w:sz="2" w:space="0" w:color="auto"/>
              <w:right w:val="nil"/>
            </w:tcBorders>
            <w:shd w:val="clear" w:color="000000" w:fill="FFFFFF"/>
            <w:vAlign w:val="center"/>
            <w:hideMark/>
          </w:tcPr>
          <w:p w14:paraId="50C5D6A0" w14:textId="1ACE4BF6" w:rsidR="008E43F9" w:rsidRPr="00B81E61" w:rsidRDefault="008E43F9" w:rsidP="00C77DCA">
            <w:pPr>
              <w:pStyle w:val="cuatexto"/>
              <w:spacing w:line="240" w:lineRule="auto"/>
              <w:jc w:val="right"/>
            </w:pPr>
            <w:r>
              <w:rPr>
                <w:color w:val="000000"/>
              </w:rPr>
              <w:t>17,6</w:t>
            </w:r>
          </w:p>
        </w:tc>
        <w:tc>
          <w:tcPr>
            <w:tcW w:w="805" w:type="pct"/>
            <w:tcBorders>
              <w:top w:val="nil"/>
              <w:left w:val="nil"/>
              <w:bottom w:val="single" w:sz="2" w:space="0" w:color="auto"/>
              <w:right w:val="nil"/>
            </w:tcBorders>
            <w:shd w:val="clear" w:color="000000" w:fill="FFFFFF"/>
            <w:vAlign w:val="center"/>
          </w:tcPr>
          <w:p w14:paraId="50C78FDE" w14:textId="77777777" w:rsidR="008E43F9" w:rsidRPr="000468DA" w:rsidRDefault="008E43F9" w:rsidP="00C77DCA">
            <w:pPr>
              <w:pStyle w:val="cuatexto"/>
              <w:spacing w:line="240" w:lineRule="auto"/>
              <w:jc w:val="right"/>
              <w:rPr>
                <w:rFonts w:cs="Arial"/>
                <w:color w:val="000000"/>
              </w:rPr>
            </w:pPr>
            <w:r>
              <w:rPr>
                <w:color w:val="000000"/>
              </w:rPr>
              <w:t>2.921</w:t>
            </w:r>
          </w:p>
        </w:tc>
        <w:tc>
          <w:tcPr>
            <w:tcW w:w="807" w:type="pct"/>
            <w:tcBorders>
              <w:top w:val="nil"/>
              <w:left w:val="nil"/>
              <w:bottom w:val="single" w:sz="2" w:space="0" w:color="auto"/>
              <w:right w:val="nil"/>
            </w:tcBorders>
            <w:shd w:val="clear" w:color="000000" w:fill="FFFFFF"/>
            <w:vAlign w:val="center"/>
          </w:tcPr>
          <w:p w14:paraId="12E70607" w14:textId="77777777" w:rsidR="008E43F9" w:rsidRPr="000468DA" w:rsidRDefault="008E43F9" w:rsidP="00C77DCA">
            <w:pPr>
              <w:pStyle w:val="cuatexto"/>
              <w:spacing w:line="240" w:lineRule="auto"/>
              <w:jc w:val="right"/>
              <w:rPr>
                <w:rFonts w:cs="Arial"/>
                <w:color w:val="000000"/>
              </w:rPr>
            </w:pPr>
            <w:r>
              <w:rPr>
                <w:color w:val="000000"/>
              </w:rPr>
              <w:t>0,4</w:t>
            </w:r>
          </w:p>
        </w:tc>
      </w:tr>
      <w:tr w:rsidR="008E43F9" w:rsidRPr="00B81E61" w14:paraId="6695D7BE"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3702294B" w14:textId="77777777" w:rsidR="008E43F9" w:rsidRPr="00B81E61" w:rsidRDefault="008E43F9" w:rsidP="00C77DCA">
            <w:pPr>
              <w:pStyle w:val="cuatexto"/>
              <w:spacing w:line="240" w:lineRule="auto"/>
            </w:pPr>
            <w:r>
              <w:t>101-200</w:t>
            </w:r>
          </w:p>
        </w:tc>
        <w:tc>
          <w:tcPr>
            <w:tcW w:w="714" w:type="pct"/>
            <w:tcBorders>
              <w:top w:val="single" w:sz="2" w:space="0" w:color="auto"/>
              <w:left w:val="nil"/>
              <w:bottom w:val="single" w:sz="2" w:space="0" w:color="auto"/>
              <w:right w:val="nil"/>
            </w:tcBorders>
            <w:shd w:val="clear" w:color="000000" w:fill="FFFFFF"/>
            <w:vAlign w:val="center"/>
            <w:hideMark/>
          </w:tcPr>
          <w:p w14:paraId="68F6F50A" w14:textId="2702F657" w:rsidR="008E43F9" w:rsidRPr="00B81E61" w:rsidRDefault="008E43F9" w:rsidP="00C77DCA">
            <w:pPr>
              <w:pStyle w:val="cuatexto"/>
              <w:spacing w:line="240" w:lineRule="auto"/>
              <w:jc w:val="right"/>
            </w:pPr>
            <w:r>
              <w:rPr>
                <w:color w:val="000000"/>
              </w:rPr>
              <w:t>47</w:t>
            </w:r>
          </w:p>
        </w:tc>
        <w:tc>
          <w:tcPr>
            <w:tcW w:w="1061" w:type="pct"/>
            <w:tcBorders>
              <w:top w:val="single" w:sz="2" w:space="0" w:color="auto"/>
              <w:left w:val="nil"/>
              <w:bottom w:val="single" w:sz="2" w:space="0" w:color="auto"/>
              <w:right w:val="nil"/>
            </w:tcBorders>
            <w:shd w:val="clear" w:color="000000" w:fill="FFFFFF"/>
            <w:vAlign w:val="center"/>
            <w:hideMark/>
          </w:tcPr>
          <w:p w14:paraId="652375D2" w14:textId="2273EEC4" w:rsidR="008E43F9" w:rsidRPr="00B81E61" w:rsidRDefault="008E43F9" w:rsidP="00C77DCA">
            <w:pPr>
              <w:pStyle w:val="cuatexto"/>
              <w:spacing w:line="240" w:lineRule="auto"/>
              <w:jc w:val="right"/>
            </w:pPr>
            <w:r>
              <w:rPr>
                <w:color w:val="000000"/>
              </w:rPr>
              <w:t>17,3</w:t>
            </w:r>
          </w:p>
        </w:tc>
        <w:tc>
          <w:tcPr>
            <w:tcW w:w="805" w:type="pct"/>
            <w:tcBorders>
              <w:top w:val="single" w:sz="2" w:space="0" w:color="auto"/>
              <w:left w:val="nil"/>
              <w:bottom w:val="single" w:sz="2" w:space="0" w:color="auto"/>
              <w:right w:val="nil"/>
            </w:tcBorders>
            <w:shd w:val="clear" w:color="000000" w:fill="FFFFFF"/>
            <w:vAlign w:val="center"/>
          </w:tcPr>
          <w:p w14:paraId="1C6BD66D" w14:textId="77777777" w:rsidR="008E43F9" w:rsidRPr="000468DA" w:rsidRDefault="008E43F9" w:rsidP="00C77DCA">
            <w:pPr>
              <w:pStyle w:val="cuatexto"/>
              <w:spacing w:line="240" w:lineRule="auto"/>
              <w:jc w:val="right"/>
              <w:rPr>
                <w:rFonts w:cs="Arial"/>
                <w:color w:val="000000"/>
              </w:rPr>
            </w:pPr>
            <w:r>
              <w:rPr>
                <w:color w:val="000000"/>
              </w:rPr>
              <w:t>6.723</w:t>
            </w:r>
          </w:p>
        </w:tc>
        <w:tc>
          <w:tcPr>
            <w:tcW w:w="807" w:type="pct"/>
            <w:tcBorders>
              <w:top w:val="single" w:sz="2" w:space="0" w:color="auto"/>
              <w:left w:val="nil"/>
              <w:bottom w:val="single" w:sz="2" w:space="0" w:color="auto"/>
              <w:right w:val="nil"/>
            </w:tcBorders>
            <w:shd w:val="clear" w:color="000000" w:fill="FFFFFF"/>
            <w:vAlign w:val="center"/>
          </w:tcPr>
          <w:p w14:paraId="700DE4F8" w14:textId="77777777" w:rsidR="008E43F9" w:rsidRPr="000468DA" w:rsidRDefault="008E43F9" w:rsidP="00C77DCA">
            <w:pPr>
              <w:pStyle w:val="cuatexto"/>
              <w:spacing w:line="240" w:lineRule="auto"/>
              <w:jc w:val="right"/>
              <w:rPr>
                <w:rFonts w:cs="Arial"/>
                <w:color w:val="000000"/>
              </w:rPr>
            </w:pPr>
            <w:r>
              <w:rPr>
                <w:color w:val="000000"/>
              </w:rPr>
              <w:t>1,0</w:t>
            </w:r>
          </w:p>
        </w:tc>
      </w:tr>
      <w:tr w:rsidR="008E43F9" w:rsidRPr="00B81E61" w14:paraId="393ADBE8"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1D829055" w14:textId="77777777" w:rsidR="008E43F9" w:rsidRPr="00B81E61" w:rsidRDefault="008E43F9" w:rsidP="00C77DCA">
            <w:pPr>
              <w:pStyle w:val="cuatexto"/>
              <w:spacing w:line="240" w:lineRule="auto"/>
            </w:pPr>
            <w:r>
              <w:t>201-500</w:t>
            </w:r>
          </w:p>
        </w:tc>
        <w:tc>
          <w:tcPr>
            <w:tcW w:w="714" w:type="pct"/>
            <w:tcBorders>
              <w:top w:val="single" w:sz="2" w:space="0" w:color="auto"/>
              <w:left w:val="nil"/>
              <w:bottom w:val="single" w:sz="2" w:space="0" w:color="auto"/>
              <w:right w:val="nil"/>
            </w:tcBorders>
            <w:shd w:val="clear" w:color="000000" w:fill="FFFFFF"/>
            <w:vAlign w:val="center"/>
            <w:hideMark/>
          </w:tcPr>
          <w:p w14:paraId="34E7CD78" w14:textId="705B2FE9" w:rsidR="008E43F9" w:rsidRPr="00B81E61" w:rsidRDefault="008E43F9" w:rsidP="00C77DCA">
            <w:pPr>
              <w:pStyle w:val="cuatexto"/>
              <w:spacing w:line="240" w:lineRule="auto"/>
              <w:jc w:val="right"/>
            </w:pPr>
            <w:r>
              <w:rPr>
                <w:color w:val="000000"/>
              </w:rPr>
              <w:t>57</w:t>
            </w:r>
          </w:p>
        </w:tc>
        <w:tc>
          <w:tcPr>
            <w:tcW w:w="1061" w:type="pct"/>
            <w:tcBorders>
              <w:top w:val="single" w:sz="2" w:space="0" w:color="auto"/>
              <w:left w:val="nil"/>
              <w:bottom w:val="single" w:sz="2" w:space="0" w:color="auto"/>
              <w:right w:val="nil"/>
            </w:tcBorders>
            <w:shd w:val="clear" w:color="000000" w:fill="FFFFFF"/>
            <w:vAlign w:val="center"/>
            <w:hideMark/>
          </w:tcPr>
          <w:p w14:paraId="3BC23E19" w14:textId="322F047F" w:rsidR="008E43F9" w:rsidRPr="00B81E61" w:rsidRDefault="008E43F9" w:rsidP="00C77DCA">
            <w:pPr>
              <w:pStyle w:val="cuatexto"/>
              <w:spacing w:line="240" w:lineRule="auto"/>
              <w:jc w:val="right"/>
            </w:pPr>
            <w:r>
              <w:rPr>
                <w:color w:val="000000"/>
              </w:rPr>
              <w:t>21,0</w:t>
            </w:r>
          </w:p>
        </w:tc>
        <w:tc>
          <w:tcPr>
            <w:tcW w:w="805" w:type="pct"/>
            <w:tcBorders>
              <w:top w:val="single" w:sz="2" w:space="0" w:color="auto"/>
              <w:left w:val="nil"/>
              <w:bottom w:val="single" w:sz="2" w:space="0" w:color="auto"/>
              <w:right w:val="nil"/>
            </w:tcBorders>
            <w:shd w:val="clear" w:color="000000" w:fill="FFFFFF"/>
            <w:vAlign w:val="center"/>
          </w:tcPr>
          <w:p w14:paraId="25D52631" w14:textId="77777777" w:rsidR="008E43F9" w:rsidRPr="000468DA" w:rsidRDefault="008E43F9" w:rsidP="00C77DCA">
            <w:pPr>
              <w:pStyle w:val="cuatexto"/>
              <w:spacing w:line="240" w:lineRule="auto"/>
              <w:jc w:val="right"/>
              <w:rPr>
                <w:rFonts w:cs="Arial"/>
                <w:color w:val="000000"/>
              </w:rPr>
            </w:pPr>
            <w:r>
              <w:rPr>
                <w:color w:val="000000"/>
              </w:rPr>
              <w:t>18.198</w:t>
            </w:r>
          </w:p>
        </w:tc>
        <w:tc>
          <w:tcPr>
            <w:tcW w:w="807" w:type="pct"/>
            <w:tcBorders>
              <w:top w:val="single" w:sz="2" w:space="0" w:color="auto"/>
              <w:left w:val="nil"/>
              <w:bottom w:val="single" w:sz="2" w:space="0" w:color="auto"/>
              <w:right w:val="nil"/>
            </w:tcBorders>
            <w:shd w:val="clear" w:color="000000" w:fill="FFFFFF"/>
            <w:vAlign w:val="center"/>
          </w:tcPr>
          <w:p w14:paraId="7D26E8DC" w14:textId="77777777" w:rsidR="008E43F9" w:rsidRPr="000468DA" w:rsidRDefault="008E43F9" w:rsidP="00C77DCA">
            <w:pPr>
              <w:pStyle w:val="cuatexto"/>
              <w:spacing w:line="240" w:lineRule="auto"/>
              <w:jc w:val="right"/>
              <w:rPr>
                <w:rFonts w:cs="Arial"/>
                <w:color w:val="000000"/>
              </w:rPr>
            </w:pPr>
            <w:r>
              <w:rPr>
                <w:color w:val="000000"/>
              </w:rPr>
              <w:t>2,8</w:t>
            </w:r>
          </w:p>
        </w:tc>
      </w:tr>
      <w:tr w:rsidR="008E43F9" w:rsidRPr="00B81E61" w14:paraId="2A585AF6"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22131332" w14:textId="77777777" w:rsidR="008E43F9" w:rsidRPr="00B81E61" w:rsidRDefault="008E43F9" w:rsidP="00C77DCA">
            <w:pPr>
              <w:pStyle w:val="cuatexto"/>
              <w:spacing w:line="240" w:lineRule="auto"/>
            </w:pPr>
            <w:r>
              <w:t>501-1.000</w:t>
            </w:r>
          </w:p>
        </w:tc>
        <w:tc>
          <w:tcPr>
            <w:tcW w:w="714" w:type="pct"/>
            <w:tcBorders>
              <w:top w:val="single" w:sz="2" w:space="0" w:color="auto"/>
              <w:left w:val="nil"/>
              <w:bottom w:val="single" w:sz="2" w:space="0" w:color="auto"/>
              <w:right w:val="nil"/>
            </w:tcBorders>
            <w:shd w:val="clear" w:color="000000" w:fill="FFFFFF"/>
            <w:vAlign w:val="center"/>
            <w:hideMark/>
          </w:tcPr>
          <w:p w14:paraId="50D43CAE" w14:textId="45C11AE5" w:rsidR="008E43F9" w:rsidRPr="00B81E61" w:rsidRDefault="008E43F9" w:rsidP="00C77DCA">
            <w:pPr>
              <w:pStyle w:val="cuatexto"/>
              <w:spacing w:line="240" w:lineRule="auto"/>
              <w:jc w:val="right"/>
            </w:pPr>
            <w:r>
              <w:rPr>
                <w:color w:val="000000"/>
              </w:rPr>
              <w:t>37</w:t>
            </w:r>
          </w:p>
        </w:tc>
        <w:tc>
          <w:tcPr>
            <w:tcW w:w="1061" w:type="pct"/>
            <w:tcBorders>
              <w:top w:val="single" w:sz="2" w:space="0" w:color="auto"/>
              <w:left w:val="nil"/>
              <w:bottom w:val="single" w:sz="2" w:space="0" w:color="auto"/>
              <w:right w:val="nil"/>
            </w:tcBorders>
            <w:shd w:val="clear" w:color="000000" w:fill="FFFFFF"/>
            <w:vAlign w:val="center"/>
            <w:hideMark/>
          </w:tcPr>
          <w:p w14:paraId="7928BF0B" w14:textId="36848C07" w:rsidR="008E43F9" w:rsidRPr="00B81E61" w:rsidRDefault="008E43F9" w:rsidP="00C77DCA">
            <w:pPr>
              <w:pStyle w:val="cuatexto"/>
              <w:spacing w:line="240" w:lineRule="auto"/>
              <w:jc w:val="right"/>
            </w:pPr>
            <w:r>
              <w:rPr>
                <w:color w:val="000000"/>
              </w:rPr>
              <w:t>13,6</w:t>
            </w:r>
          </w:p>
        </w:tc>
        <w:tc>
          <w:tcPr>
            <w:tcW w:w="805" w:type="pct"/>
            <w:tcBorders>
              <w:top w:val="single" w:sz="2" w:space="0" w:color="auto"/>
              <w:left w:val="nil"/>
              <w:bottom w:val="single" w:sz="2" w:space="0" w:color="auto"/>
              <w:right w:val="nil"/>
            </w:tcBorders>
            <w:shd w:val="clear" w:color="000000" w:fill="FFFFFF"/>
            <w:vAlign w:val="center"/>
          </w:tcPr>
          <w:p w14:paraId="2B35EF0D" w14:textId="77777777" w:rsidR="008E43F9" w:rsidRPr="000468DA" w:rsidRDefault="008E43F9" w:rsidP="00C77DCA">
            <w:pPr>
              <w:pStyle w:val="cuatexto"/>
              <w:spacing w:line="240" w:lineRule="auto"/>
              <w:jc w:val="right"/>
              <w:rPr>
                <w:rFonts w:cs="Arial"/>
                <w:color w:val="000000"/>
              </w:rPr>
            </w:pPr>
            <w:r>
              <w:rPr>
                <w:color w:val="000000"/>
              </w:rPr>
              <w:t>26.831</w:t>
            </w:r>
          </w:p>
        </w:tc>
        <w:tc>
          <w:tcPr>
            <w:tcW w:w="807" w:type="pct"/>
            <w:tcBorders>
              <w:top w:val="single" w:sz="2" w:space="0" w:color="auto"/>
              <w:left w:val="nil"/>
              <w:bottom w:val="single" w:sz="2" w:space="0" w:color="auto"/>
              <w:right w:val="nil"/>
            </w:tcBorders>
            <w:shd w:val="clear" w:color="000000" w:fill="FFFFFF"/>
            <w:vAlign w:val="center"/>
          </w:tcPr>
          <w:p w14:paraId="4F20887C" w14:textId="77777777" w:rsidR="008E43F9" w:rsidRPr="000468DA" w:rsidRDefault="008E43F9" w:rsidP="00C77DCA">
            <w:pPr>
              <w:pStyle w:val="cuatexto"/>
              <w:spacing w:line="240" w:lineRule="auto"/>
              <w:jc w:val="right"/>
              <w:rPr>
                <w:rFonts w:cs="Arial"/>
                <w:color w:val="000000"/>
              </w:rPr>
            </w:pPr>
            <w:r>
              <w:rPr>
                <w:color w:val="000000"/>
              </w:rPr>
              <w:t>4,1</w:t>
            </w:r>
          </w:p>
        </w:tc>
      </w:tr>
      <w:tr w:rsidR="008E43F9" w:rsidRPr="00B81E61" w14:paraId="60D14EE8"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1AA6659D" w14:textId="77777777" w:rsidR="008E43F9" w:rsidRPr="00B81E61" w:rsidRDefault="008E43F9" w:rsidP="00C77DCA">
            <w:pPr>
              <w:pStyle w:val="cuatexto"/>
              <w:spacing w:line="240" w:lineRule="auto"/>
            </w:pPr>
            <w:r>
              <w:t>1.001-2.000</w:t>
            </w:r>
          </w:p>
        </w:tc>
        <w:tc>
          <w:tcPr>
            <w:tcW w:w="714" w:type="pct"/>
            <w:tcBorders>
              <w:top w:val="single" w:sz="2" w:space="0" w:color="auto"/>
              <w:left w:val="nil"/>
              <w:bottom w:val="single" w:sz="2" w:space="0" w:color="auto"/>
              <w:right w:val="nil"/>
            </w:tcBorders>
            <w:shd w:val="clear" w:color="000000" w:fill="FFFFFF"/>
            <w:vAlign w:val="center"/>
            <w:hideMark/>
          </w:tcPr>
          <w:p w14:paraId="7C94EE21" w14:textId="1AFF4F31" w:rsidR="008E43F9" w:rsidRPr="00B81E61" w:rsidRDefault="008E43F9" w:rsidP="00C77DCA">
            <w:pPr>
              <w:pStyle w:val="cuatexto"/>
              <w:spacing w:line="240" w:lineRule="auto"/>
              <w:jc w:val="right"/>
            </w:pPr>
            <w:r>
              <w:rPr>
                <w:color w:val="000000"/>
              </w:rPr>
              <w:t>22</w:t>
            </w:r>
          </w:p>
        </w:tc>
        <w:tc>
          <w:tcPr>
            <w:tcW w:w="1061" w:type="pct"/>
            <w:tcBorders>
              <w:top w:val="single" w:sz="2" w:space="0" w:color="auto"/>
              <w:left w:val="nil"/>
              <w:bottom w:val="single" w:sz="2" w:space="0" w:color="auto"/>
              <w:right w:val="nil"/>
            </w:tcBorders>
            <w:shd w:val="clear" w:color="000000" w:fill="FFFFFF"/>
            <w:vAlign w:val="center"/>
            <w:hideMark/>
          </w:tcPr>
          <w:p w14:paraId="78806DBB" w14:textId="0ED7584B" w:rsidR="008E43F9" w:rsidRPr="00B81E61" w:rsidRDefault="008E43F9" w:rsidP="00C77DCA">
            <w:pPr>
              <w:pStyle w:val="cuatexto"/>
              <w:spacing w:line="240" w:lineRule="auto"/>
              <w:jc w:val="right"/>
            </w:pPr>
            <w:r>
              <w:rPr>
                <w:color w:val="000000"/>
              </w:rPr>
              <w:t>8,1</w:t>
            </w:r>
          </w:p>
        </w:tc>
        <w:tc>
          <w:tcPr>
            <w:tcW w:w="805" w:type="pct"/>
            <w:tcBorders>
              <w:top w:val="single" w:sz="2" w:space="0" w:color="auto"/>
              <w:left w:val="nil"/>
              <w:bottom w:val="single" w:sz="2" w:space="0" w:color="auto"/>
              <w:right w:val="nil"/>
            </w:tcBorders>
            <w:shd w:val="clear" w:color="000000" w:fill="FFFFFF"/>
            <w:vAlign w:val="center"/>
          </w:tcPr>
          <w:p w14:paraId="71FEA7FA" w14:textId="77777777" w:rsidR="008E43F9" w:rsidRPr="000468DA" w:rsidRDefault="008E43F9" w:rsidP="00C77DCA">
            <w:pPr>
              <w:pStyle w:val="cuatexto"/>
              <w:spacing w:line="240" w:lineRule="auto"/>
              <w:jc w:val="right"/>
              <w:rPr>
                <w:rFonts w:cs="Arial"/>
                <w:color w:val="000000"/>
              </w:rPr>
            </w:pPr>
            <w:r>
              <w:rPr>
                <w:color w:val="000000"/>
              </w:rPr>
              <w:t>30.566</w:t>
            </w:r>
          </w:p>
        </w:tc>
        <w:tc>
          <w:tcPr>
            <w:tcW w:w="807" w:type="pct"/>
            <w:tcBorders>
              <w:top w:val="single" w:sz="2" w:space="0" w:color="auto"/>
              <w:left w:val="nil"/>
              <w:bottom w:val="single" w:sz="2" w:space="0" w:color="auto"/>
              <w:right w:val="nil"/>
            </w:tcBorders>
            <w:shd w:val="clear" w:color="000000" w:fill="FFFFFF"/>
            <w:vAlign w:val="center"/>
          </w:tcPr>
          <w:p w14:paraId="517F0433" w14:textId="77777777" w:rsidR="008E43F9" w:rsidRPr="000468DA" w:rsidRDefault="008E43F9" w:rsidP="00C77DCA">
            <w:pPr>
              <w:pStyle w:val="cuatexto"/>
              <w:spacing w:line="240" w:lineRule="auto"/>
              <w:jc w:val="right"/>
              <w:rPr>
                <w:rFonts w:cs="Arial"/>
                <w:color w:val="000000"/>
              </w:rPr>
            </w:pPr>
            <w:r>
              <w:rPr>
                <w:color w:val="000000"/>
              </w:rPr>
              <w:t>4,6</w:t>
            </w:r>
          </w:p>
        </w:tc>
      </w:tr>
      <w:tr w:rsidR="008E43F9" w:rsidRPr="00B81E61" w14:paraId="172B1CD3"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58CCFAF0" w14:textId="77777777" w:rsidR="008E43F9" w:rsidRPr="00B81E61" w:rsidRDefault="008E43F9" w:rsidP="00C77DCA">
            <w:pPr>
              <w:pStyle w:val="cuatexto"/>
              <w:spacing w:line="240" w:lineRule="auto"/>
            </w:pPr>
            <w:r>
              <w:t>2.001-3.000</w:t>
            </w:r>
          </w:p>
        </w:tc>
        <w:tc>
          <w:tcPr>
            <w:tcW w:w="714" w:type="pct"/>
            <w:tcBorders>
              <w:top w:val="single" w:sz="2" w:space="0" w:color="auto"/>
              <w:left w:val="nil"/>
              <w:bottom w:val="single" w:sz="2" w:space="0" w:color="auto"/>
              <w:right w:val="nil"/>
            </w:tcBorders>
            <w:shd w:val="clear" w:color="000000" w:fill="FFFFFF"/>
            <w:vAlign w:val="center"/>
            <w:hideMark/>
          </w:tcPr>
          <w:p w14:paraId="4AC3AF2A" w14:textId="4A33A224" w:rsidR="008E43F9" w:rsidRPr="00B81E61" w:rsidRDefault="008E43F9" w:rsidP="00C77DCA">
            <w:pPr>
              <w:pStyle w:val="cuatexto"/>
              <w:spacing w:line="240" w:lineRule="auto"/>
              <w:jc w:val="right"/>
            </w:pPr>
            <w:r>
              <w:rPr>
                <w:color w:val="000000"/>
              </w:rPr>
              <w:t>24</w:t>
            </w:r>
          </w:p>
        </w:tc>
        <w:tc>
          <w:tcPr>
            <w:tcW w:w="1061" w:type="pct"/>
            <w:tcBorders>
              <w:top w:val="single" w:sz="2" w:space="0" w:color="auto"/>
              <w:left w:val="nil"/>
              <w:bottom w:val="single" w:sz="2" w:space="0" w:color="auto"/>
              <w:right w:val="nil"/>
            </w:tcBorders>
            <w:shd w:val="clear" w:color="000000" w:fill="FFFFFF"/>
            <w:vAlign w:val="center"/>
            <w:hideMark/>
          </w:tcPr>
          <w:p w14:paraId="5023C043" w14:textId="633A5749" w:rsidR="008E43F9" w:rsidRPr="00B81E61" w:rsidRDefault="008E43F9" w:rsidP="00C77DCA">
            <w:pPr>
              <w:pStyle w:val="cuatexto"/>
              <w:spacing w:line="240" w:lineRule="auto"/>
              <w:jc w:val="right"/>
            </w:pPr>
            <w:r>
              <w:rPr>
                <w:color w:val="000000"/>
              </w:rPr>
              <w:t>8,8</w:t>
            </w:r>
          </w:p>
        </w:tc>
        <w:tc>
          <w:tcPr>
            <w:tcW w:w="805" w:type="pct"/>
            <w:tcBorders>
              <w:top w:val="single" w:sz="2" w:space="0" w:color="auto"/>
              <w:left w:val="nil"/>
              <w:bottom w:val="single" w:sz="2" w:space="0" w:color="auto"/>
              <w:right w:val="nil"/>
            </w:tcBorders>
            <w:shd w:val="clear" w:color="000000" w:fill="FFFFFF"/>
            <w:vAlign w:val="center"/>
          </w:tcPr>
          <w:p w14:paraId="0693BAA9" w14:textId="77777777" w:rsidR="008E43F9" w:rsidRPr="000468DA" w:rsidRDefault="008E43F9" w:rsidP="00C77DCA">
            <w:pPr>
              <w:pStyle w:val="cuatexto"/>
              <w:spacing w:line="240" w:lineRule="auto"/>
              <w:jc w:val="right"/>
              <w:rPr>
                <w:rFonts w:cs="Arial"/>
                <w:color w:val="000000"/>
              </w:rPr>
            </w:pPr>
            <w:r>
              <w:rPr>
                <w:color w:val="000000"/>
              </w:rPr>
              <w:t>60.271</w:t>
            </w:r>
          </w:p>
        </w:tc>
        <w:tc>
          <w:tcPr>
            <w:tcW w:w="807" w:type="pct"/>
            <w:tcBorders>
              <w:top w:val="single" w:sz="2" w:space="0" w:color="auto"/>
              <w:left w:val="nil"/>
              <w:bottom w:val="single" w:sz="2" w:space="0" w:color="auto"/>
              <w:right w:val="nil"/>
            </w:tcBorders>
            <w:shd w:val="clear" w:color="000000" w:fill="FFFFFF"/>
            <w:vAlign w:val="center"/>
          </w:tcPr>
          <w:p w14:paraId="6C6CA395" w14:textId="77777777" w:rsidR="008E43F9" w:rsidRPr="000468DA" w:rsidRDefault="008E43F9" w:rsidP="00C77DCA">
            <w:pPr>
              <w:pStyle w:val="cuatexto"/>
              <w:spacing w:line="240" w:lineRule="auto"/>
              <w:jc w:val="right"/>
              <w:rPr>
                <w:rFonts w:cs="Arial"/>
                <w:color w:val="000000"/>
              </w:rPr>
            </w:pPr>
            <w:r>
              <w:rPr>
                <w:color w:val="000000"/>
              </w:rPr>
              <w:t>9,1</w:t>
            </w:r>
          </w:p>
        </w:tc>
      </w:tr>
      <w:tr w:rsidR="008E43F9" w:rsidRPr="00B81E61" w14:paraId="3112DE9C"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6BFD8D69" w14:textId="77777777" w:rsidR="008E43F9" w:rsidRPr="00B81E61" w:rsidRDefault="008E43F9" w:rsidP="00C77DCA">
            <w:pPr>
              <w:pStyle w:val="cuatexto"/>
              <w:spacing w:line="240" w:lineRule="auto"/>
            </w:pPr>
            <w:r>
              <w:t>3.001-5.000</w:t>
            </w:r>
          </w:p>
        </w:tc>
        <w:tc>
          <w:tcPr>
            <w:tcW w:w="714" w:type="pct"/>
            <w:tcBorders>
              <w:top w:val="single" w:sz="2" w:space="0" w:color="auto"/>
              <w:left w:val="nil"/>
              <w:bottom w:val="single" w:sz="2" w:space="0" w:color="auto"/>
              <w:right w:val="nil"/>
            </w:tcBorders>
            <w:shd w:val="clear" w:color="000000" w:fill="FFFFFF"/>
            <w:vAlign w:val="center"/>
            <w:hideMark/>
          </w:tcPr>
          <w:p w14:paraId="7926EF46" w14:textId="61706D50" w:rsidR="008E43F9" w:rsidRPr="00B81E61" w:rsidRDefault="008E43F9" w:rsidP="00C77DCA">
            <w:pPr>
              <w:pStyle w:val="cuatexto"/>
              <w:spacing w:line="240" w:lineRule="auto"/>
              <w:jc w:val="right"/>
            </w:pPr>
            <w:r>
              <w:rPr>
                <w:color w:val="000000"/>
              </w:rPr>
              <w:t>16</w:t>
            </w:r>
          </w:p>
        </w:tc>
        <w:tc>
          <w:tcPr>
            <w:tcW w:w="1061" w:type="pct"/>
            <w:tcBorders>
              <w:top w:val="single" w:sz="2" w:space="0" w:color="auto"/>
              <w:left w:val="nil"/>
              <w:bottom w:val="single" w:sz="2" w:space="0" w:color="auto"/>
              <w:right w:val="nil"/>
            </w:tcBorders>
            <w:shd w:val="clear" w:color="000000" w:fill="FFFFFF"/>
            <w:vAlign w:val="center"/>
            <w:hideMark/>
          </w:tcPr>
          <w:p w14:paraId="65B653A1" w14:textId="7A24A6A7" w:rsidR="008E43F9" w:rsidRPr="00B81E61" w:rsidRDefault="008E43F9" w:rsidP="00C77DCA">
            <w:pPr>
              <w:pStyle w:val="cuatexto"/>
              <w:spacing w:line="240" w:lineRule="auto"/>
              <w:jc w:val="right"/>
            </w:pPr>
            <w:r>
              <w:rPr>
                <w:color w:val="000000"/>
              </w:rPr>
              <w:t>5,9</w:t>
            </w:r>
          </w:p>
        </w:tc>
        <w:tc>
          <w:tcPr>
            <w:tcW w:w="805" w:type="pct"/>
            <w:tcBorders>
              <w:top w:val="single" w:sz="2" w:space="0" w:color="auto"/>
              <w:left w:val="nil"/>
              <w:bottom w:val="single" w:sz="2" w:space="0" w:color="auto"/>
              <w:right w:val="nil"/>
            </w:tcBorders>
            <w:shd w:val="clear" w:color="000000" w:fill="FFFFFF"/>
            <w:vAlign w:val="center"/>
          </w:tcPr>
          <w:p w14:paraId="1EB3236D" w14:textId="77777777" w:rsidR="008E43F9" w:rsidRPr="000468DA" w:rsidRDefault="008E43F9" w:rsidP="00C77DCA">
            <w:pPr>
              <w:pStyle w:val="cuatexto"/>
              <w:spacing w:line="240" w:lineRule="auto"/>
              <w:jc w:val="right"/>
              <w:rPr>
                <w:rFonts w:cs="Arial"/>
                <w:color w:val="000000"/>
              </w:rPr>
            </w:pPr>
            <w:r>
              <w:rPr>
                <w:color w:val="000000"/>
              </w:rPr>
              <w:t>64.012</w:t>
            </w:r>
          </w:p>
        </w:tc>
        <w:tc>
          <w:tcPr>
            <w:tcW w:w="807" w:type="pct"/>
            <w:tcBorders>
              <w:top w:val="single" w:sz="2" w:space="0" w:color="auto"/>
              <w:left w:val="nil"/>
              <w:bottom w:val="single" w:sz="2" w:space="0" w:color="auto"/>
              <w:right w:val="nil"/>
            </w:tcBorders>
            <w:shd w:val="clear" w:color="000000" w:fill="FFFFFF"/>
            <w:vAlign w:val="center"/>
          </w:tcPr>
          <w:p w14:paraId="5962E191" w14:textId="77777777" w:rsidR="008E43F9" w:rsidRPr="000468DA" w:rsidRDefault="008E43F9" w:rsidP="00C77DCA">
            <w:pPr>
              <w:pStyle w:val="cuatexto"/>
              <w:spacing w:line="240" w:lineRule="auto"/>
              <w:jc w:val="right"/>
              <w:rPr>
                <w:rFonts w:cs="Arial"/>
                <w:color w:val="000000"/>
              </w:rPr>
            </w:pPr>
            <w:r>
              <w:rPr>
                <w:color w:val="000000"/>
              </w:rPr>
              <w:t>9,7</w:t>
            </w:r>
          </w:p>
        </w:tc>
      </w:tr>
      <w:tr w:rsidR="008E43F9" w:rsidRPr="00B81E61" w14:paraId="5C63DC1E"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3BF2D127" w14:textId="77777777" w:rsidR="008E43F9" w:rsidRPr="00B81E61" w:rsidRDefault="008E43F9" w:rsidP="00C77DCA">
            <w:pPr>
              <w:pStyle w:val="cuatexto"/>
              <w:spacing w:line="240" w:lineRule="auto"/>
            </w:pPr>
            <w:r>
              <w:t>5.001-10.000</w:t>
            </w:r>
          </w:p>
        </w:tc>
        <w:tc>
          <w:tcPr>
            <w:tcW w:w="714" w:type="pct"/>
            <w:tcBorders>
              <w:top w:val="single" w:sz="2" w:space="0" w:color="auto"/>
              <w:left w:val="nil"/>
              <w:bottom w:val="single" w:sz="2" w:space="0" w:color="auto"/>
              <w:right w:val="nil"/>
            </w:tcBorders>
            <w:shd w:val="clear" w:color="000000" w:fill="FFFFFF"/>
            <w:vAlign w:val="center"/>
            <w:hideMark/>
          </w:tcPr>
          <w:p w14:paraId="6D4E8DC5" w14:textId="6AFA8EFB" w:rsidR="008E43F9" w:rsidRPr="00B81E61" w:rsidRDefault="008E43F9" w:rsidP="00C77DCA">
            <w:pPr>
              <w:pStyle w:val="cuatexto"/>
              <w:spacing w:line="240" w:lineRule="auto"/>
              <w:jc w:val="right"/>
            </w:pPr>
            <w:r>
              <w:rPr>
                <w:color w:val="000000"/>
              </w:rPr>
              <w:t>9</w:t>
            </w:r>
          </w:p>
        </w:tc>
        <w:tc>
          <w:tcPr>
            <w:tcW w:w="1061" w:type="pct"/>
            <w:tcBorders>
              <w:top w:val="single" w:sz="2" w:space="0" w:color="auto"/>
              <w:left w:val="nil"/>
              <w:bottom w:val="single" w:sz="2" w:space="0" w:color="auto"/>
              <w:right w:val="nil"/>
            </w:tcBorders>
            <w:shd w:val="clear" w:color="000000" w:fill="FFFFFF"/>
            <w:vAlign w:val="center"/>
            <w:hideMark/>
          </w:tcPr>
          <w:p w14:paraId="79A1BF24" w14:textId="6B4AEF7C" w:rsidR="008E43F9" w:rsidRPr="00B81E61" w:rsidRDefault="008E43F9" w:rsidP="00C77DCA">
            <w:pPr>
              <w:pStyle w:val="cuatexto"/>
              <w:spacing w:line="240" w:lineRule="auto"/>
              <w:jc w:val="right"/>
            </w:pPr>
            <w:r>
              <w:rPr>
                <w:color w:val="000000"/>
              </w:rPr>
              <w:t>3,3</w:t>
            </w:r>
          </w:p>
        </w:tc>
        <w:tc>
          <w:tcPr>
            <w:tcW w:w="805" w:type="pct"/>
            <w:tcBorders>
              <w:top w:val="single" w:sz="2" w:space="0" w:color="auto"/>
              <w:left w:val="nil"/>
              <w:bottom w:val="single" w:sz="2" w:space="0" w:color="auto"/>
              <w:right w:val="nil"/>
            </w:tcBorders>
            <w:shd w:val="clear" w:color="000000" w:fill="FFFFFF"/>
            <w:vAlign w:val="center"/>
          </w:tcPr>
          <w:p w14:paraId="4D2EBC97" w14:textId="77777777" w:rsidR="008E43F9" w:rsidRPr="000468DA" w:rsidRDefault="008E43F9" w:rsidP="00C77DCA">
            <w:pPr>
              <w:pStyle w:val="cuatexto"/>
              <w:spacing w:line="240" w:lineRule="auto"/>
              <w:jc w:val="right"/>
              <w:rPr>
                <w:rFonts w:cs="Arial"/>
                <w:color w:val="000000"/>
              </w:rPr>
            </w:pPr>
            <w:r>
              <w:rPr>
                <w:color w:val="000000"/>
              </w:rPr>
              <w:t>66.825</w:t>
            </w:r>
          </w:p>
        </w:tc>
        <w:tc>
          <w:tcPr>
            <w:tcW w:w="807" w:type="pct"/>
            <w:tcBorders>
              <w:top w:val="single" w:sz="2" w:space="0" w:color="auto"/>
              <w:left w:val="nil"/>
              <w:bottom w:val="single" w:sz="2" w:space="0" w:color="auto"/>
              <w:right w:val="nil"/>
            </w:tcBorders>
            <w:shd w:val="clear" w:color="000000" w:fill="FFFFFF"/>
            <w:vAlign w:val="center"/>
          </w:tcPr>
          <w:p w14:paraId="1505D815" w14:textId="77777777" w:rsidR="008E43F9" w:rsidRPr="000468DA" w:rsidRDefault="008E43F9" w:rsidP="00C77DCA">
            <w:pPr>
              <w:pStyle w:val="cuatexto"/>
              <w:spacing w:line="240" w:lineRule="auto"/>
              <w:jc w:val="right"/>
              <w:rPr>
                <w:rFonts w:cs="Arial"/>
                <w:color w:val="000000"/>
              </w:rPr>
            </w:pPr>
            <w:r>
              <w:rPr>
                <w:color w:val="000000"/>
              </w:rPr>
              <w:t>10,1</w:t>
            </w:r>
          </w:p>
        </w:tc>
      </w:tr>
      <w:tr w:rsidR="008E43F9" w:rsidRPr="00B81E61" w14:paraId="6EA1AFDD"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7E00519F" w14:textId="77777777" w:rsidR="008E43F9" w:rsidRPr="00B81E61" w:rsidRDefault="008E43F9" w:rsidP="00C77DCA">
            <w:pPr>
              <w:pStyle w:val="cuatexto"/>
              <w:spacing w:line="240" w:lineRule="auto"/>
            </w:pPr>
            <w:r>
              <w:t>10.001-20.000</w:t>
            </w:r>
          </w:p>
        </w:tc>
        <w:tc>
          <w:tcPr>
            <w:tcW w:w="714" w:type="pct"/>
            <w:tcBorders>
              <w:top w:val="single" w:sz="2" w:space="0" w:color="auto"/>
              <w:left w:val="nil"/>
              <w:bottom w:val="single" w:sz="2" w:space="0" w:color="auto"/>
              <w:right w:val="nil"/>
            </w:tcBorders>
            <w:shd w:val="clear" w:color="000000" w:fill="FFFFFF"/>
            <w:vAlign w:val="center"/>
            <w:hideMark/>
          </w:tcPr>
          <w:p w14:paraId="6D484216" w14:textId="05E51D36" w:rsidR="008E43F9" w:rsidRPr="00B81E61" w:rsidRDefault="008E43F9" w:rsidP="00C77DCA">
            <w:pPr>
              <w:pStyle w:val="cuatexto"/>
              <w:spacing w:line="240" w:lineRule="auto"/>
              <w:jc w:val="right"/>
            </w:pPr>
            <w:r>
              <w:rPr>
                <w:color w:val="000000"/>
              </w:rPr>
              <w:t>8</w:t>
            </w:r>
          </w:p>
        </w:tc>
        <w:tc>
          <w:tcPr>
            <w:tcW w:w="1061" w:type="pct"/>
            <w:tcBorders>
              <w:top w:val="single" w:sz="2" w:space="0" w:color="auto"/>
              <w:left w:val="nil"/>
              <w:bottom w:val="single" w:sz="2" w:space="0" w:color="auto"/>
              <w:right w:val="nil"/>
            </w:tcBorders>
            <w:shd w:val="clear" w:color="000000" w:fill="FFFFFF"/>
            <w:vAlign w:val="center"/>
            <w:hideMark/>
          </w:tcPr>
          <w:p w14:paraId="081C339E" w14:textId="73298196" w:rsidR="008E43F9" w:rsidRPr="00B81E61" w:rsidRDefault="008E43F9" w:rsidP="00C77DCA">
            <w:pPr>
              <w:pStyle w:val="cuatexto"/>
              <w:spacing w:line="240" w:lineRule="auto"/>
              <w:jc w:val="right"/>
            </w:pPr>
            <w:r>
              <w:rPr>
                <w:color w:val="000000"/>
              </w:rPr>
              <w:t>2,9</w:t>
            </w:r>
          </w:p>
        </w:tc>
        <w:tc>
          <w:tcPr>
            <w:tcW w:w="805" w:type="pct"/>
            <w:tcBorders>
              <w:top w:val="single" w:sz="2" w:space="0" w:color="auto"/>
              <w:left w:val="nil"/>
              <w:bottom w:val="single" w:sz="2" w:space="0" w:color="auto"/>
              <w:right w:val="nil"/>
            </w:tcBorders>
            <w:shd w:val="clear" w:color="000000" w:fill="FFFFFF"/>
            <w:vAlign w:val="center"/>
          </w:tcPr>
          <w:p w14:paraId="3CF4DDFC" w14:textId="77777777" w:rsidR="008E43F9" w:rsidRPr="000468DA" w:rsidRDefault="008E43F9" w:rsidP="00C77DCA">
            <w:pPr>
              <w:pStyle w:val="cuatexto"/>
              <w:spacing w:line="240" w:lineRule="auto"/>
              <w:jc w:val="right"/>
              <w:rPr>
                <w:rFonts w:cs="Arial"/>
                <w:color w:val="000000"/>
              </w:rPr>
            </w:pPr>
            <w:r>
              <w:rPr>
                <w:color w:val="000000"/>
              </w:rPr>
              <w:t>102.279</w:t>
            </w:r>
          </w:p>
        </w:tc>
        <w:tc>
          <w:tcPr>
            <w:tcW w:w="807" w:type="pct"/>
            <w:tcBorders>
              <w:top w:val="single" w:sz="2" w:space="0" w:color="auto"/>
              <w:left w:val="nil"/>
              <w:bottom w:val="single" w:sz="2" w:space="0" w:color="auto"/>
              <w:right w:val="nil"/>
            </w:tcBorders>
            <w:shd w:val="clear" w:color="000000" w:fill="FFFFFF"/>
            <w:vAlign w:val="center"/>
          </w:tcPr>
          <w:p w14:paraId="18F4DF1F" w14:textId="77777777" w:rsidR="008E43F9" w:rsidRPr="000468DA" w:rsidRDefault="008E43F9" w:rsidP="00C77DCA">
            <w:pPr>
              <w:pStyle w:val="cuatexto"/>
              <w:spacing w:line="240" w:lineRule="auto"/>
              <w:jc w:val="right"/>
              <w:rPr>
                <w:rFonts w:cs="Arial"/>
                <w:color w:val="000000"/>
              </w:rPr>
            </w:pPr>
            <w:r>
              <w:rPr>
                <w:color w:val="000000"/>
              </w:rPr>
              <w:t>15,5</w:t>
            </w:r>
          </w:p>
        </w:tc>
      </w:tr>
      <w:tr w:rsidR="008E43F9" w:rsidRPr="00B81E61" w14:paraId="629EB957"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4BE49FBB" w14:textId="77777777" w:rsidR="008E43F9" w:rsidRPr="00B81E61" w:rsidRDefault="008E43F9" w:rsidP="00C77DCA">
            <w:pPr>
              <w:pStyle w:val="cuatexto"/>
              <w:spacing w:line="240" w:lineRule="auto"/>
            </w:pPr>
            <w:r>
              <w:t>20.001-30.000</w:t>
            </w:r>
          </w:p>
        </w:tc>
        <w:tc>
          <w:tcPr>
            <w:tcW w:w="714" w:type="pct"/>
            <w:tcBorders>
              <w:top w:val="single" w:sz="2" w:space="0" w:color="auto"/>
              <w:left w:val="nil"/>
              <w:bottom w:val="single" w:sz="2" w:space="0" w:color="auto"/>
              <w:right w:val="nil"/>
            </w:tcBorders>
            <w:shd w:val="clear" w:color="000000" w:fill="FFFFFF"/>
            <w:vAlign w:val="center"/>
            <w:hideMark/>
          </w:tcPr>
          <w:p w14:paraId="1CD098E2" w14:textId="0642A426" w:rsidR="008E43F9" w:rsidRPr="00B81E61" w:rsidRDefault="008E43F9" w:rsidP="00C77DCA">
            <w:pPr>
              <w:pStyle w:val="cuatexto"/>
              <w:spacing w:line="240" w:lineRule="auto"/>
              <w:jc w:val="right"/>
            </w:pPr>
            <w:r>
              <w:rPr>
                <w:color w:val="000000"/>
              </w:rPr>
              <w:t>2</w:t>
            </w:r>
          </w:p>
        </w:tc>
        <w:tc>
          <w:tcPr>
            <w:tcW w:w="1061" w:type="pct"/>
            <w:tcBorders>
              <w:top w:val="single" w:sz="2" w:space="0" w:color="auto"/>
              <w:left w:val="nil"/>
              <w:bottom w:val="single" w:sz="2" w:space="0" w:color="auto"/>
              <w:right w:val="nil"/>
            </w:tcBorders>
            <w:shd w:val="clear" w:color="000000" w:fill="FFFFFF"/>
            <w:vAlign w:val="center"/>
            <w:hideMark/>
          </w:tcPr>
          <w:p w14:paraId="0985E8AD" w14:textId="228D4EF7" w:rsidR="008E43F9" w:rsidRPr="00B81E61" w:rsidRDefault="008E43F9" w:rsidP="00C77DCA">
            <w:pPr>
              <w:pStyle w:val="cuatexto"/>
              <w:spacing w:line="240" w:lineRule="auto"/>
              <w:jc w:val="right"/>
            </w:pPr>
            <w:r>
              <w:rPr>
                <w:color w:val="000000"/>
              </w:rPr>
              <w:t>0,7</w:t>
            </w:r>
          </w:p>
        </w:tc>
        <w:tc>
          <w:tcPr>
            <w:tcW w:w="805" w:type="pct"/>
            <w:tcBorders>
              <w:top w:val="single" w:sz="2" w:space="0" w:color="auto"/>
              <w:left w:val="nil"/>
              <w:bottom w:val="single" w:sz="2" w:space="0" w:color="auto"/>
              <w:right w:val="nil"/>
            </w:tcBorders>
            <w:shd w:val="clear" w:color="000000" w:fill="FFFFFF"/>
            <w:vAlign w:val="center"/>
          </w:tcPr>
          <w:p w14:paraId="713BEEC4" w14:textId="77777777" w:rsidR="008E43F9" w:rsidRPr="000468DA" w:rsidRDefault="008E43F9" w:rsidP="00C77DCA">
            <w:pPr>
              <w:pStyle w:val="cuatexto"/>
              <w:spacing w:line="240" w:lineRule="auto"/>
              <w:jc w:val="right"/>
              <w:rPr>
                <w:rFonts w:cs="Arial"/>
                <w:color w:val="000000"/>
              </w:rPr>
            </w:pPr>
            <w:r>
              <w:rPr>
                <w:color w:val="000000"/>
              </w:rPr>
              <w:t>41.585</w:t>
            </w:r>
          </w:p>
        </w:tc>
        <w:tc>
          <w:tcPr>
            <w:tcW w:w="807" w:type="pct"/>
            <w:tcBorders>
              <w:top w:val="single" w:sz="2" w:space="0" w:color="auto"/>
              <w:left w:val="nil"/>
              <w:bottom w:val="single" w:sz="2" w:space="0" w:color="auto"/>
              <w:right w:val="nil"/>
            </w:tcBorders>
            <w:shd w:val="clear" w:color="000000" w:fill="FFFFFF"/>
            <w:vAlign w:val="center"/>
          </w:tcPr>
          <w:p w14:paraId="2343BEB4" w14:textId="77777777" w:rsidR="008E43F9" w:rsidRPr="000468DA" w:rsidRDefault="008E43F9" w:rsidP="00C77DCA">
            <w:pPr>
              <w:pStyle w:val="cuatexto"/>
              <w:spacing w:line="240" w:lineRule="auto"/>
              <w:jc w:val="right"/>
              <w:rPr>
                <w:rFonts w:cs="Arial"/>
                <w:color w:val="000000"/>
              </w:rPr>
            </w:pPr>
            <w:r>
              <w:rPr>
                <w:color w:val="000000"/>
              </w:rPr>
              <w:t>6,3</w:t>
            </w:r>
          </w:p>
        </w:tc>
      </w:tr>
      <w:tr w:rsidR="008E43F9" w:rsidRPr="00B81E61" w14:paraId="4B9ACA1F" w14:textId="77777777" w:rsidTr="00C77DCA">
        <w:trPr>
          <w:trHeight w:val="227"/>
          <w:jc w:val="center"/>
        </w:trPr>
        <w:tc>
          <w:tcPr>
            <w:tcW w:w="1613" w:type="pct"/>
            <w:tcBorders>
              <w:top w:val="single" w:sz="2" w:space="0" w:color="auto"/>
              <w:left w:val="nil"/>
              <w:bottom w:val="single" w:sz="2" w:space="0" w:color="auto"/>
              <w:right w:val="nil"/>
            </w:tcBorders>
            <w:shd w:val="clear" w:color="000000" w:fill="FFFFFF"/>
            <w:vAlign w:val="center"/>
            <w:hideMark/>
          </w:tcPr>
          <w:p w14:paraId="7E393789" w14:textId="77777777" w:rsidR="008E43F9" w:rsidRPr="00B81E61" w:rsidRDefault="008E43F9" w:rsidP="00C77DCA">
            <w:pPr>
              <w:pStyle w:val="cuatexto"/>
              <w:spacing w:line="240" w:lineRule="auto"/>
            </w:pPr>
            <w:r>
              <w:t>30.001-50.000</w:t>
            </w:r>
          </w:p>
        </w:tc>
        <w:tc>
          <w:tcPr>
            <w:tcW w:w="714" w:type="pct"/>
            <w:tcBorders>
              <w:top w:val="single" w:sz="2" w:space="0" w:color="auto"/>
              <w:left w:val="nil"/>
              <w:bottom w:val="single" w:sz="2" w:space="0" w:color="auto"/>
              <w:right w:val="nil"/>
            </w:tcBorders>
            <w:shd w:val="clear" w:color="000000" w:fill="FFFFFF"/>
            <w:vAlign w:val="center"/>
            <w:hideMark/>
          </w:tcPr>
          <w:p w14:paraId="7414896A" w14:textId="02F05AC4" w:rsidR="008E43F9" w:rsidRPr="00B81E61" w:rsidRDefault="008E43F9" w:rsidP="00C77DCA">
            <w:pPr>
              <w:pStyle w:val="cuatexto"/>
              <w:spacing w:line="240" w:lineRule="auto"/>
              <w:jc w:val="right"/>
            </w:pPr>
            <w:r>
              <w:rPr>
                <w:color w:val="000000"/>
              </w:rPr>
              <w:t>1</w:t>
            </w:r>
          </w:p>
        </w:tc>
        <w:tc>
          <w:tcPr>
            <w:tcW w:w="1061" w:type="pct"/>
            <w:tcBorders>
              <w:top w:val="single" w:sz="2" w:space="0" w:color="auto"/>
              <w:left w:val="nil"/>
              <w:bottom w:val="single" w:sz="2" w:space="0" w:color="auto"/>
              <w:right w:val="nil"/>
            </w:tcBorders>
            <w:shd w:val="clear" w:color="000000" w:fill="FFFFFF"/>
            <w:vAlign w:val="center"/>
            <w:hideMark/>
          </w:tcPr>
          <w:p w14:paraId="52E89115" w14:textId="1F63B777" w:rsidR="008E43F9" w:rsidRPr="00B81E61" w:rsidRDefault="008E43F9" w:rsidP="00C77DCA">
            <w:pPr>
              <w:pStyle w:val="cuatexto"/>
              <w:spacing w:line="240" w:lineRule="auto"/>
              <w:jc w:val="right"/>
            </w:pPr>
            <w:r>
              <w:rPr>
                <w:color w:val="000000"/>
              </w:rPr>
              <w:t>0,4</w:t>
            </w:r>
          </w:p>
        </w:tc>
        <w:tc>
          <w:tcPr>
            <w:tcW w:w="805" w:type="pct"/>
            <w:tcBorders>
              <w:top w:val="single" w:sz="2" w:space="0" w:color="auto"/>
              <w:left w:val="nil"/>
              <w:bottom w:val="single" w:sz="2" w:space="0" w:color="auto"/>
              <w:right w:val="nil"/>
            </w:tcBorders>
            <w:shd w:val="clear" w:color="000000" w:fill="FFFFFF"/>
            <w:vAlign w:val="center"/>
          </w:tcPr>
          <w:p w14:paraId="3F12A9EC" w14:textId="77777777" w:rsidR="008E43F9" w:rsidRPr="000468DA" w:rsidRDefault="008E43F9" w:rsidP="00C77DCA">
            <w:pPr>
              <w:pStyle w:val="cuatexto"/>
              <w:spacing w:line="240" w:lineRule="auto"/>
              <w:jc w:val="right"/>
              <w:rPr>
                <w:rFonts w:cs="Arial"/>
                <w:color w:val="000000"/>
              </w:rPr>
            </w:pPr>
            <w:r>
              <w:rPr>
                <w:color w:val="000000"/>
              </w:rPr>
              <w:t>37.042</w:t>
            </w:r>
          </w:p>
        </w:tc>
        <w:tc>
          <w:tcPr>
            <w:tcW w:w="807" w:type="pct"/>
            <w:tcBorders>
              <w:top w:val="single" w:sz="2" w:space="0" w:color="auto"/>
              <w:left w:val="nil"/>
              <w:bottom w:val="single" w:sz="2" w:space="0" w:color="auto"/>
              <w:right w:val="nil"/>
            </w:tcBorders>
            <w:shd w:val="clear" w:color="000000" w:fill="FFFFFF"/>
            <w:vAlign w:val="center"/>
          </w:tcPr>
          <w:p w14:paraId="4A0D8DAA" w14:textId="77777777" w:rsidR="008E43F9" w:rsidRPr="000468DA" w:rsidRDefault="008E43F9" w:rsidP="00C77DCA">
            <w:pPr>
              <w:pStyle w:val="cuatexto"/>
              <w:spacing w:line="240" w:lineRule="auto"/>
              <w:jc w:val="right"/>
              <w:rPr>
                <w:rFonts w:cs="Arial"/>
                <w:color w:val="000000"/>
              </w:rPr>
            </w:pPr>
            <w:r>
              <w:rPr>
                <w:color w:val="000000"/>
              </w:rPr>
              <w:t>5,6</w:t>
            </w:r>
          </w:p>
        </w:tc>
      </w:tr>
      <w:tr w:rsidR="008E43F9" w:rsidRPr="00B81E61" w14:paraId="6751E462" w14:textId="77777777" w:rsidTr="00C77DCA">
        <w:trPr>
          <w:trHeight w:val="227"/>
          <w:jc w:val="center"/>
        </w:trPr>
        <w:tc>
          <w:tcPr>
            <w:tcW w:w="1613" w:type="pct"/>
            <w:tcBorders>
              <w:top w:val="single" w:sz="2" w:space="0" w:color="auto"/>
              <w:left w:val="nil"/>
              <w:bottom w:val="single" w:sz="4" w:space="0" w:color="auto"/>
              <w:right w:val="nil"/>
            </w:tcBorders>
            <w:shd w:val="clear" w:color="000000" w:fill="FFFFFF"/>
            <w:vAlign w:val="center"/>
            <w:hideMark/>
          </w:tcPr>
          <w:p w14:paraId="0C48DD5C" w14:textId="77777777" w:rsidR="008E43F9" w:rsidRPr="00B81E61" w:rsidRDefault="008E43F9" w:rsidP="00C77DCA">
            <w:pPr>
              <w:pStyle w:val="cuatexto"/>
              <w:spacing w:line="240" w:lineRule="auto"/>
            </w:pPr>
            <w:r>
              <w:t>50.000 baino gehiago</w:t>
            </w:r>
          </w:p>
        </w:tc>
        <w:tc>
          <w:tcPr>
            <w:tcW w:w="714" w:type="pct"/>
            <w:tcBorders>
              <w:top w:val="single" w:sz="2" w:space="0" w:color="auto"/>
              <w:left w:val="nil"/>
              <w:bottom w:val="single" w:sz="4" w:space="0" w:color="auto"/>
              <w:right w:val="nil"/>
            </w:tcBorders>
            <w:shd w:val="clear" w:color="000000" w:fill="FFFFFF"/>
            <w:vAlign w:val="center"/>
            <w:hideMark/>
          </w:tcPr>
          <w:p w14:paraId="6260BA95" w14:textId="4C2AED87" w:rsidR="008E43F9" w:rsidRPr="00B81E61" w:rsidRDefault="008E43F9" w:rsidP="00C77DCA">
            <w:pPr>
              <w:pStyle w:val="cuatexto"/>
              <w:spacing w:line="240" w:lineRule="auto"/>
              <w:jc w:val="right"/>
            </w:pPr>
            <w:r>
              <w:rPr>
                <w:color w:val="000000"/>
              </w:rPr>
              <w:t>1</w:t>
            </w:r>
          </w:p>
        </w:tc>
        <w:tc>
          <w:tcPr>
            <w:tcW w:w="1061" w:type="pct"/>
            <w:tcBorders>
              <w:top w:val="single" w:sz="2" w:space="0" w:color="auto"/>
              <w:left w:val="nil"/>
              <w:bottom w:val="single" w:sz="4" w:space="0" w:color="auto"/>
              <w:right w:val="nil"/>
            </w:tcBorders>
            <w:shd w:val="clear" w:color="000000" w:fill="FFFFFF"/>
            <w:vAlign w:val="center"/>
            <w:hideMark/>
          </w:tcPr>
          <w:p w14:paraId="33E2CDC1" w14:textId="2ECCE050" w:rsidR="008E43F9" w:rsidRPr="00B81E61" w:rsidRDefault="008E43F9" w:rsidP="00C77DCA">
            <w:pPr>
              <w:pStyle w:val="cuatexto"/>
              <w:spacing w:line="240" w:lineRule="auto"/>
              <w:jc w:val="right"/>
            </w:pPr>
            <w:r>
              <w:rPr>
                <w:color w:val="000000"/>
              </w:rPr>
              <w:t>0,4</w:t>
            </w:r>
          </w:p>
        </w:tc>
        <w:tc>
          <w:tcPr>
            <w:tcW w:w="805" w:type="pct"/>
            <w:tcBorders>
              <w:top w:val="single" w:sz="2" w:space="0" w:color="auto"/>
              <w:left w:val="nil"/>
              <w:bottom w:val="single" w:sz="4" w:space="0" w:color="auto"/>
              <w:right w:val="nil"/>
            </w:tcBorders>
            <w:shd w:val="clear" w:color="000000" w:fill="FFFFFF"/>
            <w:vAlign w:val="center"/>
          </w:tcPr>
          <w:p w14:paraId="1EFC46F9" w14:textId="77777777" w:rsidR="008E43F9" w:rsidRPr="000468DA" w:rsidRDefault="008E43F9" w:rsidP="00C77DCA">
            <w:pPr>
              <w:pStyle w:val="cuatexto"/>
              <w:spacing w:line="240" w:lineRule="auto"/>
              <w:jc w:val="right"/>
              <w:rPr>
                <w:rFonts w:cs="Arial"/>
                <w:color w:val="000000"/>
              </w:rPr>
            </w:pPr>
            <w:r>
              <w:rPr>
                <w:color w:val="000000"/>
              </w:rPr>
              <w:t>203.944</w:t>
            </w:r>
          </w:p>
        </w:tc>
        <w:tc>
          <w:tcPr>
            <w:tcW w:w="807" w:type="pct"/>
            <w:tcBorders>
              <w:top w:val="single" w:sz="2" w:space="0" w:color="auto"/>
              <w:left w:val="nil"/>
              <w:bottom w:val="single" w:sz="4" w:space="0" w:color="auto"/>
              <w:right w:val="nil"/>
            </w:tcBorders>
            <w:shd w:val="clear" w:color="000000" w:fill="FFFFFF"/>
            <w:vAlign w:val="center"/>
          </w:tcPr>
          <w:p w14:paraId="4F3B7A79" w14:textId="77777777" w:rsidR="008E43F9" w:rsidRPr="000468DA" w:rsidRDefault="008E43F9" w:rsidP="00C77DCA">
            <w:pPr>
              <w:pStyle w:val="cuatexto"/>
              <w:spacing w:line="240" w:lineRule="auto"/>
              <w:jc w:val="right"/>
              <w:rPr>
                <w:rFonts w:cs="Arial"/>
                <w:color w:val="000000"/>
              </w:rPr>
            </w:pPr>
            <w:r>
              <w:rPr>
                <w:color w:val="000000"/>
              </w:rPr>
              <w:t>30,8</w:t>
            </w:r>
          </w:p>
        </w:tc>
      </w:tr>
      <w:tr w:rsidR="008E43F9" w:rsidRPr="00A02FED" w14:paraId="7240CE0F" w14:textId="77777777" w:rsidTr="00C77DCA">
        <w:trPr>
          <w:trHeight w:val="227"/>
          <w:jc w:val="center"/>
        </w:trPr>
        <w:tc>
          <w:tcPr>
            <w:tcW w:w="1613" w:type="pct"/>
            <w:tcBorders>
              <w:top w:val="single" w:sz="4" w:space="0" w:color="auto"/>
              <w:left w:val="nil"/>
              <w:bottom w:val="single" w:sz="4" w:space="0" w:color="auto"/>
              <w:right w:val="nil"/>
            </w:tcBorders>
            <w:shd w:val="clear" w:color="auto" w:fill="FABF8F" w:themeFill="accent6" w:themeFillTint="99"/>
            <w:vAlign w:val="center"/>
            <w:hideMark/>
          </w:tcPr>
          <w:p w14:paraId="4BB363E2" w14:textId="77777777" w:rsidR="008E43F9" w:rsidRPr="00A02FED" w:rsidRDefault="008E43F9" w:rsidP="00C77DCA">
            <w:pPr>
              <w:pStyle w:val="cuadroCabe"/>
              <w:spacing w:line="240" w:lineRule="auto"/>
            </w:pPr>
            <w:r>
              <w:t>Guztira</w:t>
            </w:r>
          </w:p>
        </w:tc>
        <w:tc>
          <w:tcPr>
            <w:tcW w:w="714" w:type="pct"/>
            <w:tcBorders>
              <w:top w:val="single" w:sz="4" w:space="0" w:color="auto"/>
              <w:left w:val="nil"/>
              <w:bottom w:val="single" w:sz="4" w:space="0" w:color="auto"/>
              <w:right w:val="nil"/>
            </w:tcBorders>
            <w:shd w:val="clear" w:color="auto" w:fill="FABF8F" w:themeFill="accent6" w:themeFillTint="99"/>
            <w:vAlign w:val="center"/>
            <w:hideMark/>
          </w:tcPr>
          <w:p w14:paraId="3C0BBE9A" w14:textId="77777777" w:rsidR="008E43F9" w:rsidRPr="00A02FED" w:rsidRDefault="008E43F9" w:rsidP="00C77DCA">
            <w:pPr>
              <w:pStyle w:val="cuadroCabe"/>
              <w:spacing w:line="240" w:lineRule="auto"/>
              <w:jc w:val="right"/>
            </w:pPr>
            <w:r>
              <w:t>272</w:t>
            </w:r>
          </w:p>
        </w:tc>
        <w:tc>
          <w:tcPr>
            <w:tcW w:w="1061" w:type="pct"/>
            <w:tcBorders>
              <w:top w:val="single" w:sz="4" w:space="0" w:color="auto"/>
              <w:left w:val="nil"/>
              <w:bottom w:val="single" w:sz="4" w:space="0" w:color="auto"/>
              <w:right w:val="nil"/>
            </w:tcBorders>
            <w:shd w:val="clear" w:color="auto" w:fill="FABF8F" w:themeFill="accent6" w:themeFillTint="99"/>
            <w:vAlign w:val="center"/>
            <w:hideMark/>
          </w:tcPr>
          <w:p w14:paraId="299BEA32" w14:textId="77777777" w:rsidR="008E43F9" w:rsidRPr="00A02FED" w:rsidRDefault="008E43F9" w:rsidP="00C77DCA">
            <w:pPr>
              <w:pStyle w:val="cuadroCabe"/>
              <w:spacing w:line="240" w:lineRule="auto"/>
              <w:jc w:val="right"/>
            </w:pPr>
            <w:r>
              <w:t>100</w:t>
            </w:r>
          </w:p>
        </w:tc>
        <w:tc>
          <w:tcPr>
            <w:tcW w:w="805" w:type="pct"/>
            <w:tcBorders>
              <w:top w:val="single" w:sz="4" w:space="0" w:color="auto"/>
              <w:left w:val="nil"/>
              <w:bottom w:val="single" w:sz="4" w:space="0" w:color="auto"/>
              <w:right w:val="nil"/>
            </w:tcBorders>
            <w:shd w:val="clear" w:color="auto" w:fill="FABF8F" w:themeFill="accent6" w:themeFillTint="99"/>
            <w:vAlign w:val="center"/>
          </w:tcPr>
          <w:p w14:paraId="5D74483E" w14:textId="77777777" w:rsidR="008E43F9" w:rsidRPr="00A02FED" w:rsidRDefault="008E43F9" w:rsidP="00C77DCA">
            <w:pPr>
              <w:pStyle w:val="cuadroCabe"/>
              <w:spacing w:line="240" w:lineRule="auto"/>
              <w:jc w:val="right"/>
            </w:pPr>
            <w:r>
              <w:t>661.197</w:t>
            </w:r>
          </w:p>
        </w:tc>
        <w:tc>
          <w:tcPr>
            <w:tcW w:w="807" w:type="pct"/>
            <w:tcBorders>
              <w:top w:val="single" w:sz="4" w:space="0" w:color="auto"/>
              <w:left w:val="nil"/>
              <w:bottom w:val="single" w:sz="4" w:space="0" w:color="auto"/>
              <w:right w:val="nil"/>
            </w:tcBorders>
            <w:shd w:val="clear" w:color="auto" w:fill="FABF8F" w:themeFill="accent6" w:themeFillTint="99"/>
            <w:vAlign w:val="center"/>
          </w:tcPr>
          <w:p w14:paraId="510468AF" w14:textId="77777777" w:rsidR="008E43F9" w:rsidRPr="00A02FED" w:rsidRDefault="008E43F9" w:rsidP="00C77DCA">
            <w:pPr>
              <w:pStyle w:val="cuadroCabe"/>
              <w:spacing w:line="240" w:lineRule="auto"/>
              <w:jc w:val="right"/>
            </w:pPr>
            <w:r>
              <w:t>100</w:t>
            </w:r>
          </w:p>
        </w:tc>
      </w:tr>
    </w:tbl>
    <w:p w14:paraId="3B2E131B" w14:textId="05668191" w:rsidR="00345C6C" w:rsidRPr="00A54C63" w:rsidRDefault="00683931" w:rsidP="00A02FED">
      <w:pPr>
        <w:pStyle w:val="texto"/>
        <w:spacing w:before="240"/>
        <w:rPr>
          <w:color w:val="000000" w:themeColor="text1"/>
          <w:spacing w:val="4"/>
        </w:rPr>
      </w:pPr>
      <w:r>
        <w:rPr>
          <w:color w:val="000000" w:themeColor="text1"/>
        </w:rPr>
        <w:t>Nabarmentzekoa da Nafarroako udalen ehuneko 70ek (189 udal) 1.000 biztanle baino gutxiago dutela eta, multzo osoan, biztanleriaren ehuneko zortzi osatzen dutela. Bestalde, Iruñak eta 10.000 biztanle baino gehiago dituzten gainerako 11 udalek biztanleriaren ehuneko 58 hartzen dute.</w:t>
      </w:r>
    </w:p>
    <w:p w14:paraId="719FBDCF" w14:textId="4CEEA94F" w:rsidR="00345C6C" w:rsidRDefault="00345C6C" w:rsidP="00A02FED">
      <w:pPr>
        <w:pStyle w:val="texto"/>
        <w:spacing w:after="200"/>
        <w:rPr>
          <w:color w:val="000000" w:themeColor="text1"/>
        </w:rPr>
      </w:pPr>
      <w:r>
        <w:rPr>
          <w:color w:val="000000" w:themeColor="text1"/>
        </w:rPr>
        <w:t>Ganbera honek bere txostenetan behin eta berriro adierazi bezala, biztanle kopuru txikia dutenek giza baliabide eta finantza-baliabide mugatuak izaten dituzte eta ez dute administrazio-egitura egokia eta nahikoa izaten beren eskumenak baliatzeko. Horrek zaildu egiten du zerbitzuak eraginkortasunez, efizientziaz, ekonomiaz eta kalitatez ematea.</w:t>
      </w:r>
    </w:p>
    <w:p w14:paraId="29C6E2DC" w14:textId="77777777" w:rsidR="00345C6C" w:rsidRPr="00EF0883" w:rsidRDefault="00345C6C" w:rsidP="00DA0A2D">
      <w:pPr>
        <w:pStyle w:val="Ttulo2"/>
        <w:rPr>
          <w:szCs w:val="25"/>
        </w:rPr>
      </w:pPr>
      <w:bookmarkStart w:id="47" w:name="_Toc399916261"/>
      <w:bookmarkStart w:id="48" w:name="_Toc465686684"/>
      <w:bookmarkStart w:id="49" w:name="_Toc529773878"/>
      <w:bookmarkStart w:id="50" w:name="_Toc24100138"/>
      <w:bookmarkStart w:id="51" w:name="_Toc52348286"/>
      <w:bookmarkStart w:id="52" w:name="_Toc88727711"/>
      <w:bookmarkStart w:id="53" w:name="_Toc126061970"/>
      <w:r>
        <w:lastRenderedPageBreak/>
        <w:t>IV.2. Toki sektore publikoa arrazionalizatzeko planteatu diren lege neurriak</w:t>
      </w:r>
      <w:bookmarkEnd w:id="47"/>
      <w:bookmarkEnd w:id="48"/>
      <w:bookmarkEnd w:id="49"/>
      <w:bookmarkEnd w:id="50"/>
      <w:bookmarkEnd w:id="51"/>
      <w:bookmarkEnd w:id="52"/>
      <w:bookmarkEnd w:id="53"/>
      <w:r>
        <w:t xml:space="preserve"> </w:t>
      </w:r>
    </w:p>
    <w:p w14:paraId="08E41637" w14:textId="189ACD17" w:rsidR="00376B43" w:rsidRPr="00DD4FBB" w:rsidRDefault="00376B43" w:rsidP="00376B43">
      <w:pPr>
        <w:pStyle w:val="texto"/>
        <w:rPr>
          <w:color w:val="000000" w:themeColor="text1"/>
          <w:szCs w:val="26"/>
        </w:rPr>
      </w:pPr>
      <w:bookmarkStart w:id="54" w:name="_Toc24100139"/>
      <w:bookmarkStart w:id="55" w:name="_Toc52348287"/>
      <w:bookmarkStart w:id="56" w:name="_Toc88727712"/>
      <w:r>
        <w:rPr>
          <w:color w:val="000000" w:themeColor="text1"/>
        </w:rPr>
        <w:t xml:space="preserve">2019an Nafarroako Toki Administrazioaren Erreformarako otsailaren 4ko 4/2019 Foru Legea onetsi zen. Bertan toki antolaketa berri bat diseinatu da, eta arauak onetsi behar dira hura garatzeko eta behin betiko </w:t>
      </w:r>
      <w:proofErr w:type="spellStart"/>
      <w:r>
        <w:rPr>
          <w:color w:val="000000" w:themeColor="text1"/>
        </w:rPr>
        <w:t>taxuera</w:t>
      </w:r>
      <w:proofErr w:type="spellEnd"/>
      <w:r>
        <w:rPr>
          <w:color w:val="000000" w:themeColor="text1"/>
        </w:rPr>
        <w:t xml:space="preserve"> zehazteko.</w:t>
      </w:r>
    </w:p>
    <w:p w14:paraId="3134F514" w14:textId="77777777" w:rsidR="00376B43" w:rsidRPr="00DD4FBB" w:rsidRDefault="00376B43" w:rsidP="00376B43">
      <w:pPr>
        <w:pStyle w:val="texto"/>
        <w:rPr>
          <w:color w:val="000000" w:themeColor="text1"/>
          <w:szCs w:val="26"/>
        </w:rPr>
      </w:pPr>
      <w:r>
        <w:rPr>
          <w:color w:val="000000" w:themeColor="text1"/>
        </w:rPr>
        <w:t xml:space="preserve">Besteak beste, toki finantzaketarako sistema berri bat aurreikusten zen, </w:t>
      </w:r>
      <w:proofErr w:type="spellStart"/>
      <w:r>
        <w:rPr>
          <w:color w:val="000000" w:themeColor="text1"/>
        </w:rPr>
        <w:t>zeinean</w:t>
      </w:r>
      <w:proofErr w:type="spellEnd"/>
      <w:r>
        <w:rPr>
          <w:color w:val="000000" w:themeColor="text1"/>
        </w:rPr>
        <w:t xml:space="preserve"> Toki Ogasunen Funtsa Foru Komunitateko tributu-bilketaren portzentaje finko baten bidez zuzkituko baitzen, eta modulu sistema baten bidez banatu, dirulaguntza finalisten sistema erabili ordez. Horri dagokionez, martxoaren 22ko 6/2022 Foru Legeak, Nafarroako Toki Ogasunei buruzko martxoaren 10eko 2/1995 Foru Legea aldatzen duenak, finantzaketa sistema berri bat ezarri du. Bertan, Toki Ogasunen Funtsaren zuzkidura zenbateko finko bat da, urtero eguneratzen dena, eta 7/2022 eta 8/2022 foru legeek arautzen dute haren banaketa (hurrenez hurren transferentzia arruntei eta Toki Inbertsioen Planari buruzkoak dira).</w:t>
      </w:r>
    </w:p>
    <w:p w14:paraId="57AAC37A" w14:textId="5F65A49C" w:rsidR="00376B43" w:rsidRPr="00DD4FBB" w:rsidRDefault="00376B43" w:rsidP="00D73492">
      <w:pPr>
        <w:pStyle w:val="texto"/>
        <w:spacing w:after="240"/>
        <w:rPr>
          <w:color w:val="000000" w:themeColor="text1"/>
          <w:szCs w:val="26"/>
        </w:rPr>
      </w:pPr>
      <w:r>
        <w:rPr>
          <w:color w:val="000000" w:themeColor="text1"/>
        </w:rPr>
        <w:t>Bestalde, gorago aipatutako Nafarroako Toki Administrazioaren Erreformarako otsailaren 4ko 4/2019 Foru Legeak toki entitateen mota batzuk kentzen eta beste batzuk sortzen ditu. Hain zuzen ere eskualdeen figura sortzen du; eskualde bakoitza udalen edo Nafarroako Gobernuaren ekimenez sortu behar da, eta horretarako 18 hilabeteko epea ezarri zen foru legean, 2020ko abuztuan bukatu zena. Oraindik ez da eratu inongo eskualderik.</w:t>
      </w:r>
    </w:p>
    <w:p w14:paraId="04BB6E02" w14:textId="59B9FDDA" w:rsidR="00345C6C" w:rsidRPr="00EF0883" w:rsidRDefault="00683931" w:rsidP="00DA0A2D">
      <w:pPr>
        <w:pStyle w:val="Ttulo2"/>
        <w:rPr>
          <w:szCs w:val="25"/>
        </w:rPr>
      </w:pPr>
      <w:bookmarkStart w:id="57" w:name="_Toc126061971"/>
      <w:r>
        <w:t>IV.3. 2020an</w:t>
      </w:r>
      <w:bookmarkEnd w:id="54"/>
      <w:bookmarkEnd w:id="55"/>
      <w:bookmarkEnd w:id="56"/>
      <w:r>
        <w:t xml:space="preserve"> onetsitako araudia</w:t>
      </w:r>
      <w:bookmarkEnd w:id="57"/>
    </w:p>
    <w:p w14:paraId="2577F0F6" w14:textId="4F313CD7" w:rsidR="00B95F8E" w:rsidRDefault="008E43F9" w:rsidP="00B95F8E">
      <w:pPr>
        <w:pStyle w:val="texto"/>
        <w:tabs>
          <w:tab w:val="clear" w:pos="2835"/>
          <w:tab w:val="clear" w:pos="3969"/>
          <w:tab w:val="clear" w:pos="5103"/>
          <w:tab w:val="clear" w:pos="6237"/>
          <w:tab w:val="clear" w:pos="7371"/>
          <w:tab w:val="left" w:pos="480"/>
          <w:tab w:val="num" w:pos="786"/>
          <w:tab w:val="num" w:pos="1948"/>
          <w:tab w:val="num" w:pos="5606"/>
        </w:tabs>
        <w:rPr>
          <w:color w:val="000000" w:themeColor="text1"/>
          <w:szCs w:val="26"/>
        </w:rPr>
      </w:pPr>
      <w:r>
        <w:rPr>
          <w:color w:val="000000" w:themeColor="text1"/>
        </w:rPr>
        <w:t>Nafarroako toki sektore publikoan aplikatzekoak diren arau asko onetsi ziren 2020an, eta COVID-19aren pandemiaren ondorioz hartutako neurriekin zerikusia dute hein handian. Onetsitako arauen artean, hauek nabarmentzen dira beren garrantziagatik:</w:t>
      </w:r>
    </w:p>
    <w:p w14:paraId="0563C39F" w14:textId="77777777" w:rsidR="00B95F8E" w:rsidRPr="00AF43A9" w:rsidRDefault="00B95F8E" w:rsidP="00A02FE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2/2020 Foru Legea, urtarrilaren 23koa, zeinaren bidez indarraldia luzatzen baitzaio 2017-2019 aldirako Toki Inbertsioen Plana arautzen duen abenduaren 13ko 18/2016 Foru Legeari, eta aldaketak egiten baitzaizkio..</w:t>
      </w:r>
    </w:p>
    <w:p w14:paraId="5F544B5B" w14:textId="77777777" w:rsidR="00B95F8E" w:rsidRPr="00AF43A9" w:rsidRDefault="00B95F8E" w:rsidP="00A02FE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3/2020 Foru Legea, otsailaren 27koa, toki ogasunek transferentzia arrunten eta beste laguntza batzuen kontzeptuetan Nafarroako tributuetan duten parte-hartzearen funtsaren zenbatekoa eta banaketa ezartzen dituena 2020. urterako.</w:t>
      </w:r>
    </w:p>
    <w:p w14:paraId="3FDBBC6C" w14:textId="77777777" w:rsidR="00B95F8E" w:rsidRPr="00DA0F30" w:rsidRDefault="00B95F8E" w:rsidP="00A02FE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22/2020 Foru Legea, abenduaren 29koa, Nafarroako Toki Ogasunei buruzko 2/1995 Foru Legea aldatzen duena.</w:t>
      </w:r>
    </w:p>
    <w:p w14:paraId="659AC7B1" w14:textId="77777777" w:rsidR="00D23225" w:rsidRDefault="00D23225" w:rsidP="00751965">
      <w:pPr>
        <w:pStyle w:val="texto"/>
        <w:tabs>
          <w:tab w:val="clear" w:pos="2835"/>
          <w:tab w:val="clear" w:pos="3969"/>
          <w:tab w:val="clear" w:pos="5103"/>
          <w:tab w:val="clear" w:pos="6237"/>
          <w:tab w:val="clear" w:pos="7371"/>
          <w:tab w:val="left" w:pos="480"/>
          <w:tab w:val="num" w:pos="1948"/>
          <w:tab w:val="num" w:pos="5606"/>
        </w:tabs>
        <w:rPr>
          <w:color w:val="000000" w:themeColor="text1"/>
          <w:szCs w:val="26"/>
        </w:rPr>
      </w:pPr>
      <w:r>
        <w:rPr>
          <w:color w:val="000000" w:themeColor="text1"/>
        </w:rPr>
        <w:t>2/2020 eta 3/2020 foru legeek luzatu egin zuten, zenbait doikuntza eginda, toki entitateak finantzatzeko lehengo sistemaren indarraldia, eta sistema hori aplikatzen jarraitu da harik eta aurreko apartatuan aipatu ditugun 6/2022, 7/2022 eta 8/2022 foru legeek indarra hartu duten arte.</w:t>
      </w:r>
    </w:p>
    <w:p w14:paraId="7DEBC882" w14:textId="6EF0E3E7" w:rsidR="00D23225" w:rsidRDefault="00D23225" w:rsidP="00751965">
      <w:pPr>
        <w:pStyle w:val="texto"/>
        <w:tabs>
          <w:tab w:val="clear" w:pos="2835"/>
          <w:tab w:val="clear" w:pos="3969"/>
          <w:tab w:val="clear" w:pos="5103"/>
          <w:tab w:val="clear" w:pos="6237"/>
          <w:tab w:val="clear" w:pos="7371"/>
          <w:tab w:val="left" w:pos="480"/>
          <w:tab w:val="num" w:pos="786"/>
          <w:tab w:val="num" w:pos="1948"/>
          <w:tab w:val="num" w:pos="5606"/>
        </w:tabs>
        <w:rPr>
          <w:color w:val="000000" w:themeColor="text1"/>
          <w:szCs w:val="26"/>
        </w:rPr>
      </w:pPr>
      <w:r>
        <w:rPr>
          <w:color w:val="000000" w:themeColor="text1"/>
        </w:rPr>
        <w:lastRenderedPageBreak/>
        <w:t xml:space="preserve">22/2020 Foru Legea, berriz, aplikatzekoa izan da jada 2021eko ekitalditik aurrera, eta aldaketa batzuk egin ditu Toki Ogasunei buruzko Foru Legean: prozedurak malgutu egin ditu, toki entitateen ekonomia- eta aurrekontu-kudeaketa bizkortzeko, eta aurrekontu-egonkortasunaren eta finantza-iraunkortasunaren inguruko alderdi batzuk garatu ditu, arlo horretako egungo arau-esparruarekin bat etorriz. Tributuen arloan ere aldaketa batzuk egin ditu, udalek zenbait tributuren gain dituzten ahalak handituz eta negozio kopurua milioi batetik beherakoa denean jarduera ekonomikoen gaineko zergaren salbuespena ezarriz, bai eta toki entitateentzako konpentsazioa ere, salbuespen hori dela eta. </w:t>
      </w:r>
    </w:p>
    <w:p w14:paraId="5978230E" w14:textId="77777777" w:rsidR="006556FD" w:rsidRDefault="006556FD" w:rsidP="00751965">
      <w:pPr>
        <w:pStyle w:val="texto"/>
        <w:tabs>
          <w:tab w:val="clear" w:pos="2835"/>
          <w:tab w:val="clear" w:pos="3969"/>
          <w:tab w:val="clear" w:pos="5103"/>
          <w:tab w:val="clear" w:pos="6237"/>
          <w:tab w:val="clear" w:pos="7371"/>
          <w:tab w:val="left" w:pos="480"/>
          <w:tab w:val="num" w:pos="786"/>
          <w:tab w:val="num" w:pos="1948"/>
          <w:tab w:val="num" w:pos="5606"/>
        </w:tabs>
        <w:rPr>
          <w:color w:val="000000" w:themeColor="text1"/>
          <w:szCs w:val="26"/>
        </w:rPr>
      </w:pPr>
      <w:r>
        <w:rPr>
          <w:color w:val="000000" w:themeColor="text1"/>
        </w:rPr>
        <w:t>Pandemiarekin zuzenean lotuta, hauek nabarmendu behar ditugu:</w:t>
      </w:r>
    </w:p>
    <w:p w14:paraId="70E5A56D" w14:textId="77777777" w:rsidR="006556FD" w:rsidRPr="00D23225" w:rsidRDefault="006556FD" w:rsidP="006556F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Diputatuen Kongresuaren Erabakia, 2020ko urriaren 20koa, zeinaren bidez aitortzen baita badela ezohiko larrialdi egoera bat, 2020an eta 2021ean arau fiskalak aldi baterako etetea justifikatzen duena. </w:t>
      </w:r>
    </w:p>
    <w:p w14:paraId="35084288" w14:textId="77777777" w:rsidR="006556FD" w:rsidRPr="00AF43A9" w:rsidRDefault="006556FD" w:rsidP="006556F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13/2020 Foru Legea, uztailaren 1ekoa, 25 milioi euroko aparteko kreditu bat eman, arautu eta banatzekoa, Nafarroako Toki Ogasunen parte-hartzearen funtsaren kargura, COVID-19ak eragindako osasun publikoko arrazoiak direla-eta hartu behar izan diren ohiz kanpoko neurri urgenteengatik toki entitateek dituzten beharrei erantzuteko.</w:t>
      </w:r>
    </w:p>
    <w:p w14:paraId="6E2CBDD3" w14:textId="4D8CC06D" w:rsidR="00E35D6B" w:rsidRDefault="00DA0F30" w:rsidP="00A02FED">
      <w:pPr>
        <w:pStyle w:val="texto"/>
        <w:tabs>
          <w:tab w:val="clear" w:pos="2835"/>
          <w:tab w:val="clear" w:pos="3969"/>
          <w:tab w:val="clear" w:pos="5103"/>
          <w:tab w:val="clear" w:pos="6237"/>
          <w:tab w:val="clear" w:pos="7371"/>
          <w:tab w:val="left" w:pos="480"/>
          <w:tab w:val="num" w:pos="1948"/>
          <w:tab w:val="num" w:pos="5606"/>
        </w:tabs>
        <w:rPr>
          <w:rFonts w:ascii="Arial" w:hAnsi="Arial"/>
          <w:b/>
          <w:color w:val="000000" w:themeColor="text1"/>
          <w:kern w:val="28"/>
          <w:sz w:val="25"/>
          <w:szCs w:val="26"/>
        </w:rPr>
      </w:pPr>
      <w:r>
        <w:rPr>
          <w:color w:val="000000" w:themeColor="text1"/>
        </w:rPr>
        <w:t>2020an onetsi diren eta Nafarroako toki sektore publikoaren jarduerari eragiten dioten beste arau batzuen zerrenda dago I. eranskinean.</w:t>
      </w:r>
      <w:bookmarkStart w:id="58" w:name="_Toc399916263"/>
      <w:bookmarkStart w:id="59" w:name="_Toc465686686"/>
      <w:bookmarkStart w:id="60" w:name="_Toc529773880"/>
      <w:bookmarkStart w:id="61" w:name="_Toc24100141"/>
      <w:bookmarkStart w:id="62" w:name="_Toc52348289"/>
      <w:bookmarkStart w:id="63" w:name="_Toc88727714"/>
      <w:r>
        <w:br w:type="page"/>
      </w:r>
    </w:p>
    <w:p w14:paraId="457B436F" w14:textId="34CAAFC0" w:rsidR="00345C6C" w:rsidRPr="004248BF" w:rsidRDefault="00345C6C" w:rsidP="004248BF">
      <w:pPr>
        <w:pStyle w:val="Ttulo1"/>
        <w:ind w:firstLine="0"/>
        <w:rPr>
          <w:kern w:val="0"/>
          <w:szCs w:val="25"/>
        </w:rPr>
      </w:pPr>
      <w:bookmarkStart w:id="64" w:name="_Toc126061972"/>
      <w:r>
        <w:lastRenderedPageBreak/>
        <w:t xml:space="preserve">V. 2020ko ekitaldiari dagozkion fiskalizazio jarduketen </w:t>
      </w:r>
      <w:bookmarkEnd w:id="58"/>
      <w:bookmarkEnd w:id="59"/>
      <w:bookmarkEnd w:id="60"/>
      <w:bookmarkEnd w:id="61"/>
      <w:bookmarkEnd w:id="62"/>
      <w:bookmarkEnd w:id="63"/>
      <w:r>
        <w:t>laburpen-oroitidazkia</w:t>
      </w:r>
      <w:bookmarkEnd w:id="64"/>
    </w:p>
    <w:p w14:paraId="24D6D5DD" w14:textId="0C782C2A" w:rsidR="00DA5225" w:rsidRDefault="00EF0883" w:rsidP="00CC40EE">
      <w:pPr>
        <w:pStyle w:val="texto"/>
        <w:rPr>
          <w:color w:val="000000" w:themeColor="text1"/>
        </w:rPr>
      </w:pPr>
      <w:r>
        <w:rPr>
          <w:color w:val="000000" w:themeColor="text1"/>
        </w:rPr>
        <w:t>Toki esparruan, Ganbera honek finantza- eta legezkotasun-fiskalizazioa egin zuen Iruñeko Udalaren 2020ko jarduera ekonomiko-finantzarioari buruz. Haren aurrekontuaren likidazioan aitortutako betebeharrak eta eskubideak 210,38 milioikoak eta 226,77 milioikoak dira, hurrenez hurren.</w:t>
      </w:r>
    </w:p>
    <w:p w14:paraId="60D73F46" w14:textId="61839F5D" w:rsidR="00657BCD" w:rsidRDefault="00F404B8" w:rsidP="00657BCD">
      <w:pPr>
        <w:pStyle w:val="texto"/>
        <w:rPr>
          <w:color w:val="000000" w:themeColor="text1"/>
        </w:rPr>
      </w:pPr>
      <w:r>
        <w:rPr>
          <w:color w:val="000000" w:themeColor="text1"/>
        </w:rPr>
        <w:t xml:space="preserve">Fiskalizazio horizontaleko txostena ere egin du </w:t>
      </w:r>
      <w:proofErr w:type="spellStart"/>
      <w:r>
        <w:rPr>
          <w:color w:val="000000" w:themeColor="text1"/>
        </w:rPr>
        <w:t>Jurramendiko</w:t>
      </w:r>
      <w:proofErr w:type="spellEnd"/>
      <w:r>
        <w:rPr>
          <w:color w:val="000000" w:themeColor="text1"/>
        </w:rPr>
        <w:t xml:space="preserve"> Mankomunitatearen eta Lekunberri, Lodosa, Ribaforada eta Zangozako udalen langileen ordainsariek eta kontratazioak legeria betetzeari buruz (2015-2020), eta txosten bat, Urdazubiko Udalak 2020ko ekitaldian gomendioak betetzeari buruz.</w:t>
      </w:r>
    </w:p>
    <w:p w14:paraId="3CA33EEA" w14:textId="3F6E4C8E" w:rsidR="00657BCD" w:rsidRDefault="00657BCD" w:rsidP="00657BCD">
      <w:pPr>
        <w:pStyle w:val="texto"/>
        <w:rPr>
          <w:color w:val="000000" w:themeColor="text1"/>
        </w:rPr>
      </w:pPr>
      <w:r>
        <w:rPr>
          <w:color w:val="000000" w:themeColor="text1"/>
        </w:rPr>
        <w:t>Fiskalizazio operatiboaren arloan zenbait txosten egin ditu 2020ko ekitaldia denbora-norainokoaren barruan dutenak: “Lekunberriko Udalaren ur hornikuntza eta saneamenduaren zerbitzua” (2017-2020), “Etxeetako eta saltokietako hondakinak, nola hobetu administrazioen arteko koordinazioa kudeaketa eraginkorrago eta efizienteagoa lortzeko” (2020), eta “Administrazio elektronikoaren ezarpena Nafarroako 8.000 eta 20.000 biztanle bitarteko udaletan” (2020-2021).</w:t>
      </w:r>
    </w:p>
    <w:p w14:paraId="5DB172B8" w14:textId="77777777" w:rsidR="00345C6C" w:rsidRDefault="00345C6C" w:rsidP="00CC40EE">
      <w:pPr>
        <w:pStyle w:val="texto"/>
        <w:rPr>
          <w:color w:val="000000" w:themeColor="text1"/>
        </w:rPr>
      </w:pPr>
      <w:r>
        <w:rPr>
          <w:color w:val="000000" w:themeColor="text1"/>
        </w:rPr>
        <w:t>Fiskalizazioen emaitzak txostenetan jaso, eta Nafarroako Parlamentuko Aldizkari Ofizialean eta Ganbera honen webgunean argitaratu ziren.</w:t>
      </w:r>
    </w:p>
    <w:p w14:paraId="7B8AE344" w14:textId="3E87BF7B" w:rsidR="00345C6C" w:rsidRPr="00133182" w:rsidRDefault="00133182" w:rsidP="00CC40EE">
      <w:pPr>
        <w:pStyle w:val="texto"/>
        <w:rPr>
          <w:color w:val="000000" w:themeColor="text1"/>
        </w:rPr>
      </w:pPr>
      <w:r>
        <w:rPr>
          <w:color w:val="000000" w:themeColor="text1"/>
        </w:rPr>
        <w:t>Jarraian labur azaltzen dira finantza- eta legezkotasun-fiskalizazioaren emaitza nagusiak:</w:t>
      </w:r>
    </w:p>
    <w:p w14:paraId="1A3DB386" w14:textId="201F9F0D" w:rsidR="00345C6C" w:rsidRPr="00DA6EB1" w:rsidRDefault="00CC40EE" w:rsidP="00DA6EB1">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Iruñeko Udalean finantza-auditoretzako iritzia aldekoa izan zen, eta legeria betetzeari buruzko auditoretzako iritzia ere aldekoa, bi alderdi hauetan salbu: zerbitzuen prestazioagatiko gastuak ordaintzea kontratuen gehieneko indarraldia amaituta dagoenean, eta aldez aurreko kontu-hartze mugatuak ez betetzea Toki Ogasunei buruzko Foru Legean ezarritakoa.</w:t>
      </w:r>
    </w:p>
    <w:p w14:paraId="4406F252" w14:textId="10A6847B" w:rsidR="002E09C1" w:rsidRDefault="00CC40EE" w:rsidP="00DA6EB1">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proofErr w:type="spellStart"/>
      <w:r>
        <w:rPr>
          <w:color w:val="000000" w:themeColor="text1"/>
        </w:rPr>
        <w:t>Jurramendiko</w:t>
      </w:r>
      <w:proofErr w:type="spellEnd"/>
      <w:r>
        <w:rPr>
          <w:color w:val="000000" w:themeColor="text1"/>
        </w:rPr>
        <w:t xml:space="preserve"> Mankomunitatearen eta Lekunberri, Lodosa, Ribaforada eta Zangozako udalen langileen ordainsariek eta kontratazioak legeria betetzeari buruz (2015-2020) egindako fiskalizazio horizontalean iritzi bat eman zen entitate bakoitzarentzat, eta denak aldekoak izan ziren, salbuespen batzuekin. Salbuespen horiek toki sektore publikoari buruzko 2019ko gure txostenean laburbilduta daude.</w:t>
      </w:r>
    </w:p>
    <w:p w14:paraId="7D2E93D0" w14:textId="280904AC" w:rsidR="00133182" w:rsidRPr="002E09C1" w:rsidRDefault="00133182" w:rsidP="002E09C1">
      <w:pPr>
        <w:pStyle w:val="texto"/>
        <w:tabs>
          <w:tab w:val="clear" w:pos="2835"/>
          <w:tab w:val="clear" w:pos="3969"/>
          <w:tab w:val="clear" w:pos="5103"/>
          <w:tab w:val="clear" w:pos="6237"/>
          <w:tab w:val="clear" w:pos="7371"/>
          <w:tab w:val="left" w:pos="602"/>
        </w:tabs>
        <w:ind w:left="1364" w:firstLine="0"/>
        <w:rPr>
          <w:rFonts w:cs="Arial"/>
          <w:color w:val="000000" w:themeColor="text1"/>
          <w:highlight w:val="lightGray"/>
        </w:rPr>
      </w:pPr>
    </w:p>
    <w:p w14:paraId="39489B3A" w14:textId="77777777" w:rsidR="004F62BB" w:rsidRDefault="004F62BB" w:rsidP="00CC40EE">
      <w:pPr>
        <w:tabs>
          <w:tab w:val="left" w:pos="480"/>
          <w:tab w:val="num" w:pos="1948"/>
          <w:tab w:val="num" w:pos="5040"/>
        </w:tabs>
        <w:ind w:firstLine="284"/>
        <w:rPr>
          <w:color w:val="000000" w:themeColor="text1"/>
          <w:spacing w:val="6"/>
          <w:sz w:val="26"/>
          <w:szCs w:val="24"/>
        </w:rPr>
      </w:pPr>
    </w:p>
    <w:p w14:paraId="07F386D4" w14:textId="4A1F994A" w:rsidR="00345C6C" w:rsidRPr="00B81E61" w:rsidRDefault="004C5885" w:rsidP="00CC40EE">
      <w:pPr>
        <w:tabs>
          <w:tab w:val="left" w:pos="480"/>
          <w:tab w:val="num" w:pos="1948"/>
          <w:tab w:val="num" w:pos="5040"/>
        </w:tabs>
        <w:ind w:firstLine="284"/>
        <w:rPr>
          <w:color w:val="000000" w:themeColor="text1"/>
          <w:spacing w:val="6"/>
          <w:sz w:val="26"/>
          <w:szCs w:val="24"/>
        </w:rPr>
      </w:pPr>
      <w:r>
        <w:rPr>
          <w:color w:val="000000" w:themeColor="text1"/>
          <w:sz w:val="26"/>
        </w:rPr>
        <w:t>Finantza- eta legezkotasun-gaietan, hauek izan ziren txostenetan jasotako gomendio nagusiak:</w:t>
      </w:r>
    </w:p>
    <w:p w14:paraId="24882658" w14:textId="77777777" w:rsidR="002827A0" w:rsidRPr="002827A0" w:rsidRDefault="00841C2E" w:rsidP="002827A0">
      <w:pPr>
        <w:pStyle w:val="texto"/>
        <w:numPr>
          <w:ilvl w:val="0"/>
          <w:numId w:val="2"/>
        </w:numPr>
        <w:tabs>
          <w:tab w:val="clear" w:pos="2835"/>
          <w:tab w:val="clear" w:pos="3969"/>
          <w:tab w:val="clear" w:pos="5103"/>
          <w:tab w:val="clear" w:pos="6237"/>
          <w:tab w:val="clear" w:pos="7371"/>
          <w:tab w:val="left" w:pos="480"/>
          <w:tab w:val="num" w:pos="644"/>
          <w:tab w:val="num" w:pos="720"/>
          <w:tab w:val="num" w:pos="1320"/>
          <w:tab w:val="num" w:pos="5606"/>
        </w:tabs>
        <w:ind w:left="114"/>
        <w:rPr>
          <w:rFonts w:cs="Arial"/>
          <w:i/>
          <w:color w:val="000000" w:themeColor="text1"/>
        </w:rPr>
      </w:pPr>
      <w:r>
        <w:rPr>
          <w:i/>
          <w:color w:val="000000" w:themeColor="text1"/>
        </w:rPr>
        <w:t xml:space="preserve">Kontratazio prozeduretan denbora-plangintza egokia ezartzea, kontratuen gehieneko indarraldia gainditu ez dadin. </w:t>
      </w:r>
    </w:p>
    <w:p w14:paraId="1633C1B5" w14:textId="77777777" w:rsidR="00345C6C" w:rsidRDefault="00345C6C" w:rsidP="004C5885">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i/>
          <w:color w:val="000000" w:themeColor="text1"/>
        </w:rPr>
      </w:pPr>
      <w:r>
        <w:rPr>
          <w:i/>
          <w:color w:val="000000" w:themeColor="text1"/>
        </w:rPr>
        <w:lastRenderedPageBreak/>
        <w:t>Nomina aldez aurretik fiskalizatzea.</w:t>
      </w:r>
    </w:p>
    <w:p w14:paraId="5A9AF805" w14:textId="77777777" w:rsidR="001F3DCD" w:rsidRPr="004C5885" w:rsidRDefault="001F3DCD" w:rsidP="001F3DCD">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i/>
          <w:color w:val="000000" w:themeColor="text1"/>
        </w:rPr>
      </w:pPr>
      <w:r>
        <w:rPr>
          <w:i/>
          <w:color w:val="000000" w:themeColor="text1"/>
        </w:rPr>
        <w:t>Egiturazkoak eta iraunkorrak diren lanpostu guztiak plantilla organikoan sartzea.</w:t>
      </w:r>
    </w:p>
    <w:p w14:paraId="0629CBA9" w14:textId="64FF7DD0" w:rsidR="004C5885" w:rsidRPr="004C5885" w:rsidRDefault="004C5885" w:rsidP="004C5885">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i/>
          <w:color w:val="000000" w:themeColor="text1"/>
        </w:rPr>
      </w:pPr>
      <w:r>
        <w:rPr>
          <w:i/>
          <w:color w:val="000000" w:themeColor="text1"/>
        </w:rPr>
        <w:t>Langileen kontratazioan behin-behinekotasuna ahalik gehien murriztea, behar diren deialdiak eginez, araudi indardunak baimentzen duen heinean.</w:t>
      </w:r>
    </w:p>
    <w:p w14:paraId="0C76BED5" w14:textId="77777777" w:rsidR="001F3DCD" w:rsidRPr="004C5885" w:rsidRDefault="001F3DCD" w:rsidP="001F3DCD">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i/>
          <w:color w:val="000000" w:themeColor="text1"/>
        </w:rPr>
      </w:pPr>
      <w:r>
        <w:rPr>
          <w:i/>
          <w:color w:val="000000" w:themeColor="text1"/>
        </w:rPr>
        <w:t>Lanpostuen deialdiak aurreikusitako prozedurekin bat etorriz egitea, enplegu publikorako sarbidean berdintasun, merezimendu eta gaitasun printzipioak une oro bermatuz, bai eta publikotasunaren printzipioa ere.</w:t>
      </w:r>
    </w:p>
    <w:p w14:paraId="428399D7" w14:textId="77777777" w:rsidR="004C5885" w:rsidRDefault="004C5885" w:rsidP="004C5885">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i/>
          <w:color w:val="000000" w:themeColor="text1"/>
        </w:rPr>
      </w:pPr>
      <w:r>
        <w:rPr>
          <w:i/>
          <w:color w:val="000000" w:themeColor="text1"/>
        </w:rPr>
        <w:t>Erakunde autonomoen plantilla organikoa onetsi eta argitaratzea.</w:t>
      </w:r>
    </w:p>
    <w:p w14:paraId="33DCDDE6" w14:textId="3A9BB438" w:rsidR="00CC40EE" w:rsidRDefault="00087B0A" w:rsidP="004F62BB">
      <w:pPr>
        <w:pStyle w:val="texto"/>
        <w:spacing w:before="240"/>
        <w:rPr>
          <w:rFonts w:cs="Arial"/>
          <w:color w:val="000000" w:themeColor="text1"/>
        </w:rPr>
      </w:pPr>
      <w:r>
        <w:rPr>
          <w:color w:val="000000" w:themeColor="text1"/>
        </w:rPr>
        <w:t>Urdazubiko Udalari dagokionez, txostenean jarraipena egin zitzaien 2009ko ekitaldiari buruzko fiskalizazio txostenean udal horrentzat jarritako 39 gomendioei. Izan ere, fiskalizazio hartan finantza- eta legezkotasun-iritzia aurkakoa izan zen. Txostenean ondorioztatu zen barne kontrola aski hobetu zela kontabilitatearekin eta diruzaintzarekin lotutako zenbait alderditan, baina ezin zela gauza bera esan legezkotasunaz. Hortaz, berriz adierazi zen komeni zela neurri egokiak hartzea.</w:t>
      </w:r>
    </w:p>
    <w:p w14:paraId="3B397E12" w14:textId="0EDA4690" w:rsidR="00CC40EE" w:rsidRDefault="00460B29" w:rsidP="00CC40EE">
      <w:pPr>
        <w:pStyle w:val="texto"/>
        <w:rPr>
          <w:rFonts w:cs="Arial"/>
          <w:color w:val="000000" w:themeColor="text1"/>
        </w:rPr>
      </w:pPr>
      <w:r>
        <w:rPr>
          <w:color w:val="000000" w:themeColor="text1"/>
        </w:rPr>
        <w:t xml:space="preserve">Fiskalizazio operatiboko konklusioei eta gomendioei dagokienez, gai espezifikoak direnez, Ganbera honek horiei buruz argitaratutako txostenei lotzen gatzaizkie.  </w:t>
      </w:r>
    </w:p>
    <w:p w14:paraId="37BA71BA" w14:textId="4B1AF527" w:rsidR="00345C6C" w:rsidRPr="004248BF" w:rsidRDefault="00345C6C" w:rsidP="004248BF">
      <w:pPr>
        <w:pStyle w:val="Ttulo1"/>
        <w:ind w:firstLine="0"/>
        <w:rPr>
          <w:szCs w:val="25"/>
        </w:rPr>
      </w:pPr>
      <w:r>
        <w:br w:type="page"/>
      </w:r>
      <w:bookmarkStart w:id="65" w:name="_Toc24100142"/>
      <w:bookmarkStart w:id="66" w:name="_Toc52348290"/>
      <w:bookmarkStart w:id="67" w:name="_Toc88727715"/>
      <w:bookmarkStart w:id="68" w:name="_Toc126061973"/>
      <w:r>
        <w:lastRenderedPageBreak/>
        <w:t>VI. Toki sektore publikoaren finantza egoera</w:t>
      </w:r>
      <w:bookmarkEnd w:id="65"/>
      <w:bookmarkEnd w:id="66"/>
      <w:bookmarkEnd w:id="67"/>
      <w:bookmarkEnd w:id="68"/>
    </w:p>
    <w:p w14:paraId="06A9ADC3" w14:textId="48A6FFBE" w:rsidR="00345C6C" w:rsidRDefault="00345C6C" w:rsidP="00345C6C">
      <w:pPr>
        <w:pStyle w:val="texto"/>
        <w:spacing w:after="200"/>
        <w:rPr>
          <w:color w:val="000000" w:themeColor="text1"/>
        </w:rPr>
      </w:pPr>
      <w:r>
        <w:rPr>
          <w:color w:val="000000" w:themeColor="text1"/>
        </w:rPr>
        <w:t xml:space="preserve">2020ko toki sektore publikoari buruz Toki Administrazioaren eta Despopulazioaren Zuzendaritza Nagusiak egindako txostenak toki entitateen eta haien erakunde autonomoen informazio bateratua dakar. Txosten hori 2. eranskinean dago. </w:t>
      </w:r>
    </w:p>
    <w:p w14:paraId="367BC65E" w14:textId="13300856" w:rsidR="009F35A7" w:rsidRDefault="009F35A7" w:rsidP="00345C6C">
      <w:pPr>
        <w:pStyle w:val="texto"/>
        <w:spacing w:after="200"/>
        <w:rPr>
          <w:color w:val="000000" w:themeColor="text1"/>
        </w:rPr>
      </w:pPr>
      <w:r>
        <w:rPr>
          <w:color w:val="000000" w:themeColor="text1"/>
        </w:rPr>
        <w:t xml:space="preserve">Bertan lehenbiziko aldiz aurkezten dira apartatu batean hiru sozietate publikorekin bateratutako datuak. Sozietate hauek dira: Iruñerriko Zerbitzuak SA, Iruñerriko Mankomunitatearen menpekoa; </w:t>
      </w:r>
      <w:proofErr w:type="spellStart"/>
      <w:r>
        <w:rPr>
          <w:color w:val="000000" w:themeColor="text1"/>
        </w:rPr>
        <w:t>Servicios</w:t>
      </w:r>
      <w:proofErr w:type="spellEnd"/>
      <w:r>
        <w:rPr>
          <w:color w:val="000000" w:themeColor="text1"/>
        </w:rPr>
        <w:t xml:space="preserve"> </w:t>
      </w:r>
      <w:proofErr w:type="spellStart"/>
      <w:r>
        <w:rPr>
          <w:color w:val="000000" w:themeColor="text1"/>
        </w:rPr>
        <w:t>Técnicos</w:t>
      </w:r>
      <w:proofErr w:type="spellEnd"/>
      <w:r>
        <w:rPr>
          <w:color w:val="000000" w:themeColor="text1"/>
        </w:rPr>
        <w:t xml:space="preserve"> </w:t>
      </w:r>
      <w:proofErr w:type="spellStart"/>
      <w:r>
        <w:rPr>
          <w:color w:val="000000" w:themeColor="text1"/>
        </w:rPr>
        <w:t>Mancomunados</w:t>
      </w:r>
      <w:proofErr w:type="spellEnd"/>
      <w:r>
        <w:rPr>
          <w:color w:val="000000" w:themeColor="text1"/>
        </w:rPr>
        <w:t xml:space="preserve"> SLU (</w:t>
      </w:r>
      <w:proofErr w:type="spellStart"/>
      <w:r>
        <w:rPr>
          <w:color w:val="000000" w:themeColor="text1"/>
        </w:rPr>
        <w:t>Sertecma</w:t>
      </w:r>
      <w:proofErr w:type="spellEnd"/>
      <w:r>
        <w:rPr>
          <w:color w:val="000000" w:themeColor="text1"/>
        </w:rPr>
        <w:t xml:space="preserve">) eta </w:t>
      </w:r>
      <w:proofErr w:type="spellStart"/>
      <w:r>
        <w:rPr>
          <w:color w:val="000000" w:themeColor="text1"/>
        </w:rPr>
        <w:t>Servicios</w:t>
      </w:r>
      <w:proofErr w:type="spellEnd"/>
      <w:r>
        <w:rPr>
          <w:color w:val="000000" w:themeColor="text1"/>
        </w:rPr>
        <w:t xml:space="preserve"> </w:t>
      </w:r>
      <w:proofErr w:type="spellStart"/>
      <w:r>
        <w:rPr>
          <w:color w:val="000000" w:themeColor="text1"/>
        </w:rPr>
        <w:t>Técnicos</w:t>
      </w:r>
      <w:proofErr w:type="spellEnd"/>
      <w:r>
        <w:rPr>
          <w:color w:val="000000" w:themeColor="text1"/>
        </w:rPr>
        <w:t xml:space="preserve"> de la </w:t>
      </w:r>
      <w:proofErr w:type="spellStart"/>
      <w:r>
        <w:rPr>
          <w:color w:val="000000" w:themeColor="text1"/>
        </w:rPr>
        <w:t>Mancomunidad</w:t>
      </w:r>
      <w:proofErr w:type="spellEnd"/>
      <w:r>
        <w:rPr>
          <w:color w:val="000000" w:themeColor="text1"/>
        </w:rPr>
        <w:t xml:space="preserve"> de </w:t>
      </w:r>
      <w:proofErr w:type="spellStart"/>
      <w:r>
        <w:rPr>
          <w:color w:val="000000" w:themeColor="text1"/>
        </w:rPr>
        <w:t>Montejurra</w:t>
      </w:r>
      <w:proofErr w:type="spellEnd"/>
      <w:r>
        <w:rPr>
          <w:color w:val="000000" w:themeColor="text1"/>
        </w:rPr>
        <w:t xml:space="preserve"> SA (SMSA), biak </w:t>
      </w:r>
      <w:proofErr w:type="spellStart"/>
      <w:r>
        <w:rPr>
          <w:color w:val="000000" w:themeColor="text1"/>
        </w:rPr>
        <w:t>Jurramendiko</w:t>
      </w:r>
      <w:proofErr w:type="spellEnd"/>
      <w:r>
        <w:rPr>
          <w:color w:val="000000" w:themeColor="text1"/>
        </w:rPr>
        <w:t xml:space="preserve"> Mankomunitatearen menpekoak. Hiru sozietate horiek zerbitzu mankomunatuak kudeatzen dituzten sozietate publikoen guztizko gastuaren ehuneko 98 egiten dute gutxi gorabehera. 2019ko ekitaldiari buruzko txostenean, datuak </w:t>
      </w:r>
      <w:proofErr w:type="spellStart"/>
      <w:r>
        <w:rPr>
          <w:color w:val="000000" w:themeColor="text1"/>
        </w:rPr>
        <w:t>SCPSArekin</w:t>
      </w:r>
      <w:proofErr w:type="spellEnd"/>
      <w:r>
        <w:rPr>
          <w:color w:val="000000" w:themeColor="text1"/>
        </w:rPr>
        <w:t xml:space="preserve"> bakarrik zeuden bateratuta apartatu horretan.</w:t>
      </w:r>
    </w:p>
    <w:p w14:paraId="4575C449" w14:textId="1C9687D6" w:rsidR="008433A0" w:rsidRDefault="008433A0" w:rsidP="008433A0">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spacing w:after="120"/>
        <w:rPr>
          <w:rFonts w:cs="Arial"/>
          <w:color w:val="000000" w:themeColor="text1"/>
        </w:rPr>
      </w:pPr>
      <w:bookmarkStart w:id="69" w:name="_Toc465686688"/>
      <w:bookmarkStart w:id="70" w:name="_Toc529773882"/>
      <w:bookmarkStart w:id="71" w:name="_Toc24100143"/>
      <w:bookmarkStart w:id="72" w:name="_Toc52348291"/>
      <w:bookmarkStart w:id="73" w:name="_Toc88727716"/>
      <w:r>
        <w:rPr>
          <w:color w:val="000000" w:themeColor="text1"/>
        </w:rPr>
        <w:t>Toki entitateen 2020ko jardueran eragin nabarmena izan dute COVID-19aren pandemiak eta hari erantzuteko hartutako neurri sanitario, juridiko eta ekonomikoek. Hain zuzen ere VI.4 atalean zehazten da nola eragin zioten neurri horiek toki entitateen jarduera ekonomiko-finantzarioari.</w:t>
      </w:r>
    </w:p>
    <w:p w14:paraId="51F810F1" w14:textId="77777777" w:rsidR="00345C6C" w:rsidRPr="00EF0883" w:rsidRDefault="008433A0" w:rsidP="00DA0A2D">
      <w:pPr>
        <w:pStyle w:val="Ttulo2"/>
        <w:rPr>
          <w:szCs w:val="25"/>
        </w:rPr>
      </w:pPr>
      <w:bookmarkStart w:id="74" w:name="_Toc126061974"/>
      <w:r>
        <w:t>VI.1. Diru-sarrerak</w:t>
      </w:r>
      <w:bookmarkEnd w:id="69"/>
      <w:bookmarkEnd w:id="70"/>
      <w:bookmarkEnd w:id="71"/>
      <w:bookmarkEnd w:id="72"/>
      <w:bookmarkEnd w:id="73"/>
      <w:bookmarkEnd w:id="74"/>
    </w:p>
    <w:p w14:paraId="34AEC106" w14:textId="53F492FE" w:rsidR="00345C6C" w:rsidRPr="00B81E61" w:rsidRDefault="009F50C6" w:rsidP="00345C6C">
      <w:pPr>
        <w:pStyle w:val="texto"/>
        <w:spacing w:before="120" w:after="60"/>
        <w:rPr>
          <w:color w:val="000000" w:themeColor="text1"/>
        </w:rPr>
      </w:pPr>
      <w:r>
        <w:rPr>
          <w:color w:val="000000" w:themeColor="text1"/>
        </w:rPr>
        <w:t>Jarraian, toki sektore publikoaren diru-sarreren aurrekontuaren 2020ko betetzeari buruzko laburpena azaltzen da:</w:t>
      </w:r>
    </w:p>
    <w:p w14:paraId="2F2FC3FE" w14:textId="77954B26" w:rsidR="00345C6C" w:rsidRPr="00642D26" w:rsidRDefault="00C668F9" w:rsidP="004F62BB">
      <w:pPr>
        <w:pStyle w:val="texto"/>
        <w:tabs>
          <w:tab w:val="center" w:pos="9072"/>
        </w:tabs>
        <w:spacing w:after="0"/>
        <w:ind w:right="-142"/>
        <w:jc w:val="right"/>
        <w:rPr>
          <w:rFonts w:ascii="Arial Narrow" w:hAnsi="Arial Narrow"/>
          <w:b/>
          <w:color w:val="000000" w:themeColor="text1"/>
          <w:sz w:val="18"/>
          <w:szCs w:val="18"/>
        </w:rPr>
      </w:pPr>
      <w:r>
        <w:rPr>
          <w:rFonts w:ascii="Arial Narrow" w:hAnsi="Arial Narrow"/>
          <w:color w:val="000000" w:themeColor="text1"/>
          <w:sz w:val="18"/>
        </w:rPr>
        <w:t xml:space="preserve">(Milioiak) </w:t>
      </w:r>
    </w:p>
    <w:tbl>
      <w:tblPr>
        <w:tblW w:w="5069" w:type="pct"/>
        <w:tblLayout w:type="fixed"/>
        <w:tblCellMar>
          <w:left w:w="70" w:type="dxa"/>
          <w:right w:w="70" w:type="dxa"/>
        </w:tblCellMar>
        <w:tblLook w:val="04A0" w:firstRow="1" w:lastRow="0" w:firstColumn="1" w:lastColumn="0" w:noHBand="0" w:noVBand="1"/>
      </w:tblPr>
      <w:tblGrid>
        <w:gridCol w:w="2579"/>
        <w:gridCol w:w="991"/>
        <w:gridCol w:w="991"/>
        <w:gridCol w:w="993"/>
        <w:gridCol w:w="1025"/>
        <w:gridCol w:w="1246"/>
        <w:gridCol w:w="1085"/>
      </w:tblGrid>
      <w:tr w:rsidR="004F62BB" w:rsidRPr="00C668F9" w14:paraId="262A2C19" w14:textId="77777777" w:rsidTr="005C70E8">
        <w:trPr>
          <w:trHeight w:val="284"/>
        </w:trPr>
        <w:tc>
          <w:tcPr>
            <w:tcW w:w="1447"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567EC5AF" w14:textId="77777777" w:rsidR="009F50C6" w:rsidRPr="00C668F9" w:rsidRDefault="009F50C6" w:rsidP="004F62BB">
            <w:pPr>
              <w:pStyle w:val="cuadroCabe"/>
              <w:spacing w:line="240" w:lineRule="auto"/>
              <w:rPr>
                <w:rFonts w:cs="Arial"/>
                <w:color w:val="000000" w:themeColor="text1"/>
                <w:sz w:val="16"/>
                <w:szCs w:val="16"/>
              </w:rPr>
            </w:pPr>
            <w:r>
              <w:rPr>
                <w:color w:val="000000" w:themeColor="text1"/>
                <w:sz w:val="16"/>
              </w:rPr>
              <w:t>Kapitulua</w:t>
            </w:r>
          </w:p>
        </w:tc>
        <w:tc>
          <w:tcPr>
            <w:tcW w:w="556"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5207A836" w14:textId="77777777" w:rsidR="004F62BB" w:rsidRPr="00C668F9" w:rsidRDefault="009F50C6" w:rsidP="00C668F9">
            <w:pPr>
              <w:pStyle w:val="cuadroCabe"/>
              <w:tabs>
                <w:tab w:val="clear" w:pos="2835"/>
                <w:tab w:val="right" w:pos="1065"/>
              </w:tabs>
              <w:spacing w:line="240" w:lineRule="auto"/>
              <w:ind w:left="67" w:hanging="67"/>
              <w:jc w:val="right"/>
              <w:rPr>
                <w:rFonts w:cs="Arial"/>
                <w:color w:val="000000" w:themeColor="text1"/>
                <w:sz w:val="16"/>
                <w:szCs w:val="16"/>
              </w:rPr>
            </w:pPr>
            <w:r>
              <w:rPr>
                <w:color w:val="000000" w:themeColor="text1"/>
                <w:sz w:val="16"/>
              </w:rPr>
              <w:t xml:space="preserve">Behin betiko </w:t>
            </w:r>
            <w:proofErr w:type="spellStart"/>
            <w:r>
              <w:rPr>
                <w:color w:val="000000" w:themeColor="text1"/>
                <w:sz w:val="16"/>
              </w:rPr>
              <w:t>aurreik</w:t>
            </w:r>
            <w:proofErr w:type="spellEnd"/>
            <w:r>
              <w:rPr>
                <w:color w:val="000000" w:themeColor="text1"/>
                <w:sz w:val="16"/>
              </w:rPr>
              <w:t xml:space="preserve">. </w:t>
            </w:r>
          </w:p>
          <w:p w14:paraId="58729F51" w14:textId="4C5773F0" w:rsidR="009F50C6" w:rsidRPr="00C668F9" w:rsidRDefault="009F50C6" w:rsidP="00C668F9">
            <w:pPr>
              <w:pStyle w:val="cuadroCabe"/>
              <w:tabs>
                <w:tab w:val="clear" w:pos="2835"/>
                <w:tab w:val="right" w:pos="1065"/>
              </w:tabs>
              <w:spacing w:line="240" w:lineRule="auto"/>
              <w:ind w:left="67" w:hanging="67"/>
              <w:jc w:val="right"/>
              <w:rPr>
                <w:rFonts w:cs="Arial"/>
                <w:color w:val="000000" w:themeColor="text1"/>
                <w:sz w:val="16"/>
                <w:szCs w:val="16"/>
              </w:rPr>
            </w:pPr>
          </w:p>
        </w:tc>
        <w:tc>
          <w:tcPr>
            <w:tcW w:w="556"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4056D0F9" w14:textId="77777777" w:rsidR="009F50C6" w:rsidRPr="00C668F9" w:rsidRDefault="009F50C6" w:rsidP="00C668F9">
            <w:pPr>
              <w:pStyle w:val="cuadroCabe"/>
              <w:spacing w:line="240" w:lineRule="auto"/>
              <w:jc w:val="right"/>
              <w:rPr>
                <w:rFonts w:cs="Arial"/>
                <w:color w:val="000000" w:themeColor="text1"/>
                <w:sz w:val="16"/>
                <w:szCs w:val="16"/>
              </w:rPr>
            </w:pPr>
            <w:r>
              <w:rPr>
                <w:color w:val="000000" w:themeColor="text1"/>
                <w:sz w:val="16"/>
              </w:rPr>
              <w:t>AEG 2020</w:t>
            </w:r>
          </w:p>
        </w:tc>
        <w:tc>
          <w:tcPr>
            <w:tcW w:w="557"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5D9BC589" w14:textId="77777777" w:rsidR="009F50C6" w:rsidRPr="00C668F9" w:rsidRDefault="009F50C6" w:rsidP="00C668F9">
            <w:pPr>
              <w:pStyle w:val="cuadroCabe"/>
              <w:spacing w:line="240" w:lineRule="auto"/>
              <w:jc w:val="right"/>
              <w:rPr>
                <w:rFonts w:cs="Arial"/>
                <w:color w:val="000000" w:themeColor="text1"/>
                <w:sz w:val="16"/>
                <w:szCs w:val="16"/>
              </w:rPr>
            </w:pPr>
            <w:r>
              <w:rPr>
                <w:color w:val="000000" w:themeColor="text1"/>
                <w:sz w:val="16"/>
              </w:rPr>
              <w:t xml:space="preserve"> Diru-sarrera guztien gainean (%)</w:t>
            </w:r>
          </w:p>
        </w:tc>
        <w:tc>
          <w:tcPr>
            <w:tcW w:w="575"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3BF5F3E2" w14:textId="77777777" w:rsidR="009F50C6" w:rsidRPr="00C668F9" w:rsidRDefault="009F50C6" w:rsidP="00C668F9">
            <w:pPr>
              <w:pStyle w:val="cuadroCabe"/>
              <w:spacing w:line="240" w:lineRule="auto"/>
              <w:jc w:val="right"/>
              <w:rPr>
                <w:rFonts w:cs="Arial"/>
                <w:color w:val="000000" w:themeColor="text1"/>
                <w:sz w:val="16"/>
                <w:szCs w:val="16"/>
              </w:rPr>
            </w:pPr>
            <w:r>
              <w:rPr>
                <w:color w:val="000000" w:themeColor="text1"/>
                <w:sz w:val="16"/>
              </w:rPr>
              <w:t>Betetakoa</w:t>
            </w:r>
            <w:r>
              <w:rPr>
                <w:color w:val="000000" w:themeColor="text1"/>
                <w:sz w:val="16"/>
              </w:rPr>
              <w:br/>
              <w:t>(%)</w:t>
            </w:r>
          </w:p>
        </w:tc>
        <w:tc>
          <w:tcPr>
            <w:tcW w:w="699"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6599FA25" w14:textId="662EC4F5" w:rsidR="009F50C6" w:rsidRPr="00C668F9" w:rsidRDefault="009F50C6" w:rsidP="00C668F9">
            <w:pPr>
              <w:pStyle w:val="cuadroCabe"/>
              <w:spacing w:line="240" w:lineRule="auto"/>
              <w:jc w:val="right"/>
              <w:rPr>
                <w:rFonts w:cs="Arial"/>
                <w:color w:val="000000" w:themeColor="text1"/>
                <w:sz w:val="16"/>
                <w:szCs w:val="16"/>
                <w:highlight w:val="yellow"/>
              </w:rPr>
            </w:pPr>
            <w:r>
              <w:rPr>
                <w:color w:val="000000" w:themeColor="text1"/>
                <w:sz w:val="16"/>
              </w:rPr>
              <w:t>AEG 2020/2019 aldea</w:t>
            </w:r>
          </w:p>
        </w:tc>
        <w:tc>
          <w:tcPr>
            <w:tcW w:w="609"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5F1E3D7F" w14:textId="6868E155" w:rsidR="009F50C6" w:rsidRPr="00C668F9" w:rsidRDefault="009F50C6" w:rsidP="00C668F9">
            <w:pPr>
              <w:pStyle w:val="cuadroCabe"/>
              <w:spacing w:line="240" w:lineRule="auto"/>
              <w:jc w:val="right"/>
              <w:rPr>
                <w:rFonts w:cs="Arial"/>
                <w:color w:val="000000" w:themeColor="text1"/>
                <w:sz w:val="16"/>
                <w:szCs w:val="16"/>
              </w:rPr>
            </w:pPr>
            <w:r>
              <w:rPr>
                <w:color w:val="000000" w:themeColor="text1"/>
                <w:sz w:val="16"/>
              </w:rPr>
              <w:t>2020/2019 aldea (%)</w:t>
            </w:r>
          </w:p>
        </w:tc>
      </w:tr>
      <w:tr w:rsidR="004F62BB" w:rsidRPr="00933A7F" w14:paraId="0F0D755F" w14:textId="77777777" w:rsidTr="004F62BB">
        <w:trPr>
          <w:trHeight w:val="284"/>
        </w:trPr>
        <w:tc>
          <w:tcPr>
            <w:tcW w:w="1447" w:type="pct"/>
            <w:tcBorders>
              <w:top w:val="single" w:sz="4" w:space="0" w:color="000000" w:themeColor="text1"/>
              <w:left w:val="nil"/>
              <w:bottom w:val="single" w:sz="2" w:space="0" w:color="000000"/>
              <w:right w:val="nil"/>
            </w:tcBorders>
            <w:shd w:val="clear" w:color="auto" w:fill="auto"/>
            <w:vAlign w:val="center"/>
            <w:hideMark/>
          </w:tcPr>
          <w:p w14:paraId="3AEA7155" w14:textId="7BA5942E" w:rsidR="009F50C6" w:rsidRPr="00933A7F" w:rsidRDefault="009F50C6" w:rsidP="004F62BB">
            <w:pPr>
              <w:pStyle w:val="cuatexto"/>
              <w:spacing w:line="240" w:lineRule="auto"/>
              <w:rPr>
                <w:color w:val="000000" w:themeColor="text1"/>
                <w:szCs w:val="20"/>
              </w:rPr>
            </w:pPr>
            <w:r>
              <w:rPr>
                <w:color w:val="000000" w:themeColor="text1"/>
              </w:rPr>
              <w:t>1. Zuzeneko zergak</w:t>
            </w:r>
          </w:p>
        </w:tc>
        <w:tc>
          <w:tcPr>
            <w:tcW w:w="556" w:type="pct"/>
            <w:tcBorders>
              <w:top w:val="single" w:sz="4" w:space="0" w:color="000000" w:themeColor="text1"/>
              <w:left w:val="nil"/>
              <w:bottom w:val="single" w:sz="2" w:space="0" w:color="000000"/>
              <w:right w:val="nil"/>
            </w:tcBorders>
            <w:shd w:val="clear" w:color="auto" w:fill="auto"/>
            <w:vAlign w:val="center"/>
            <w:hideMark/>
          </w:tcPr>
          <w:p w14:paraId="4F0A90D6" w14:textId="77777777" w:rsidR="009F50C6" w:rsidRPr="00933A7F" w:rsidRDefault="009F50C6" w:rsidP="00C668F9">
            <w:pPr>
              <w:spacing w:after="0"/>
              <w:ind w:left="67" w:firstLine="0"/>
              <w:jc w:val="right"/>
              <w:rPr>
                <w:rFonts w:ascii="Arial Narrow" w:hAnsi="Arial Narrow" w:cs="Calibri"/>
                <w:color w:val="000000"/>
              </w:rPr>
            </w:pPr>
            <w:r>
              <w:rPr>
                <w:rFonts w:ascii="Arial Narrow" w:hAnsi="Arial Narrow"/>
                <w:color w:val="000000"/>
              </w:rPr>
              <w:t>191,36</w:t>
            </w:r>
          </w:p>
        </w:tc>
        <w:tc>
          <w:tcPr>
            <w:tcW w:w="556" w:type="pct"/>
            <w:tcBorders>
              <w:top w:val="single" w:sz="4" w:space="0" w:color="000000" w:themeColor="text1"/>
              <w:left w:val="nil"/>
              <w:bottom w:val="single" w:sz="2" w:space="0" w:color="000000"/>
              <w:right w:val="nil"/>
            </w:tcBorders>
            <w:shd w:val="clear" w:color="auto" w:fill="auto"/>
            <w:vAlign w:val="center"/>
            <w:hideMark/>
          </w:tcPr>
          <w:p w14:paraId="63633C1B"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198,25</w:t>
            </w:r>
          </w:p>
        </w:tc>
        <w:tc>
          <w:tcPr>
            <w:tcW w:w="557" w:type="pct"/>
            <w:tcBorders>
              <w:top w:val="single" w:sz="4" w:space="0" w:color="000000" w:themeColor="text1"/>
              <w:left w:val="nil"/>
              <w:bottom w:val="single" w:sz="2" w:space="0" w:color="000000"/>
              <w:right w:val="nil"/>
            </w:tcBorders>
            <w:shd w:val="clear" w:color="auto" w:fill="auto"/>
            <w:vAlign w:val="center"/>
            <w:hideMark/>
          </w:tcPr>
          <w:p w14:paraId="7105B3E5" w14:textId="77777777" w:rsidR="009F50C6" w:rsidRPr="00933A7F" w:rsidRDefault="009F50C6" w:rsidP="00C668F9">
            <w:pPr>
              <w:spacing w:after="0"/>
              <w:ind w:firstLine="0"/>
              <w:jc w:val="right"/>
              <w:rPr>
                <w:rFonts w:ascii="Arial Narrow" w:hAnsi="Arial Narrow" w:cs="Calibri"/>
              </w:rPr>
            </w:pPr>
            <w:r>
              <w:rPr>
                <w:rFonts w:ascii="Arial Narrow" w:hAnsi="Arial Narrow"/>
              </w:rPr>
              <w:t>23</w:t>
            </w:r>
          </w:p>
        </w:tc>
        <w:tc>
          <w:tcPr>
            <w:tcW w:w="575" w:type="pct"/>
            <w:tcBorders>
              <w:top w:val="single" w:sz="4" w:space="0" w:color="000000" w:themeColor="text1"/>
              <w:left w:val="nil"/>
              <w:bottom w:val="single" w:sz="2" w:space="0" w:color="000000"/>
              <w:right w:val="nil"/>
            </w:tcBorders>
            <w:shd w:val="clear" w:color="auto" w:fill="auto"/>
            <w:vAlign w:val="center"/>
            <w:hideMark/>
          </w:tcPr>
          <w:p w14:paraId="02D33B1A" w14:textId="77777777" w:rsidR="009F50C6" w:rsidRPr="00933A7F" w:rsidRDefault="009F50C6" w:rsidP="00C668F9">
            <w:pPr>
              <w:spacing w:after="0"/>
              <w:ind w:firstLine="0"/>
              <w:jc w:val="right"/>
              <w:rPr>
                <w:rFonts w:ascii="Arial Narrow" w:hAnsi="Arial Narrow" w:cs="Calibri"/>
              </w:rPr>
            </w:pPr>
            <w:r>
              <w:rPr>
                <w:rFonts w:ascii="Arial Narrow" w:hAnsi="Arial Narrow"/>
              </w:rPr>
              <w:t>104</w:t>
            </w:r>
          </w:p>
        </w:tc>
        <w:tc>
          <w:tcPr>
            <w:tcW w:w="699" w:type="pct"/>
            <w:tcBorders>
              <w:top w:val="single" w:sz="4" w:space="0" w:color="000000" w:themeColor="text1"/>
              <w:left w:val="nil"/>
              <w:bottom w:val="single" w:sz="2" w:space="0" w:color="000000"/>
              <w:right w:val="nil"/>
            </w:tcBorders>
            <w:vAlign w:val="center"/>
          </w:tcPr>
          <w:p w14:paraId="7C8EFEED"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-1,01</w:t>
            </w:r>
          </w:p>
        </w:tc>
        <w:tc>
          <w:tcPr>
            <w:tcW w:w="609" w:type="pct"/>
            <w:tcBorders>
              <w:top w:val="single" w:sz="4" w:space="0" w:color="000000" w:themeColor="text1"/>
              <w:left w:val="nil"/>
              <w:bottom w:val="single" w:sz="2" w:space="0" w:color="000000"/>
              <w:right w:val="nil"/>
            </w:tcBorders>
            <w:vAlign w:val="center"/>
          </w:tcPr>
          <w:p w14:paraId="14D6C9EE" w14:textId="77777777" w:rsidR="009F50C6" w:rsidRPr="00933A7F" w:rsidRDefault="009F50C6" w:rsidP="00C668F9">
            <w:pPr>
              <w:spacing w:after="0"/>
              <w:ind w:hanging="36"/>
              <w:jc w:val="right"/>
              <w:rPr>
                <w:rFonts w:ascii="Arial Narrow" w:hAnsi="Arial Narrow" w:cs="Calibri"/>
              </w:rPr>
            </w:pPr>
            <w:r>
              <w:rPr>
                <w:rFonts w:ascii="Arial Narrow" w:hAnsi="Arial Narrow"/>
              </w:rPr>
              <w:t>-1</w:t>
            </w:r>
          </w:p>
        </w:tc>
      </w:tr>
      <w:tr w:rsidR="004F62BB" w:rsidRPr="00933A7F" w14:paraId="05E14A3E"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125C830C" w14:textId="524D582F" w:rsidR="009F50C6" w:rsidRPr="00933A7F" w:rsidRDefault="009F50C6" w:rsidP="004F62BB">
            <w:pPr>
              <w:pStyle w:val="cuatexto"/>
              <w:spacing w:line="240" w:lineRule="auto"/>
              <w:rPr>
                <w:color w:val="000000" w:themeColor="text1"/>
                <w:szCs w:val="20"/>
              </w:rPr>
            </w:pPr>
            <w:r>
              <w:rPr>
                <w:color w:val="000000" w:themeColor="text1"/>
              </w:rPr>
              <w:t>2. Zeharkako zergak</w:t>
            </w:r>
          </w:p>
        </w:tc>
        <w:tc>
          <w:tcPr>
            <w:tcW w:w="556" w:type="pct"/>
            <w:tcBorders>
              <w:top w:val="single" w:sz="2" w:space="0" w:color="000000"/>
              <w:left w:val="nil"/>
              <w:bottom w:val="single" w:sz="2" w:space="0" w:color="000000"/>
              <w:right w:val="nil"/>
            </w:tcBorders>
            <w:shd w:val="clear" w:color="auto" w:fill="auto"/>
            <w:vAlign w:val="center"/>
            <w:hideMark/>
          </w:tcPr>
          <w:p w14:paraId="021C2C6B" w14:textId="77777777" w:rsidR="009F50C6" w:rsidRPr="00933A7F" w:rsidRDefault="009F50C6" w:rsidP="00C668F9">
            <w:pPr>
              <w:spacing w:after="0"/>
              <w:ind w:left="67" w:firstLine="0"/>
              <w:jc w:val="right"/>
              <w:rPr>
                <w:rFonts w:ascii="Arial Narrow" w:hAnsi="Arial Narrow" w:cs="Calibri"/>
                <w:color w:val="000000"/>
              </w:rPr>
            </w:pPr>
            <w:r>
              <w:rPr>
                <w:rFonts w:ascii="Arial Narrow" w:hAnsi="Arial Narrow"/>
                <w:color w:val="000000"/>
              </w:rPr>
              <w:t>19,48</w:t>
            </w:r>
          </w:p>
        </w:tc>
        <w:tc>
          <w:tcPr>
            <w:tcW w:w="556" w:type="pct"/>
            <w:tcBorders>
              <w:top w:val="single" w:sz="2" w:space="0" w:color="000000"/>
              <w:left w:val="nil"/>
              <w:bottom w:val="single" w:sz="2" w:space="0" w:color="000000"/>
              <w:right w:val="nil"/>
            </w:tcBorders>
            <w:shd w:val="clear" w:color="auto" w:fill="auto"/>
            <w:vAlign w:val="center"/>
            <w:hideMark/>
          </w:tcPr>
          <w:p w14:paraId="0DE0BC2C"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22,40</w:t>
            </w:r>
          </w:p>
        </w:tc>
        <w:tc>
          <w:tcPr>
            <w:tcW w:w="557" w:type="pct"/>
            <w:tcBorders>
              <w:top w:val="single" w:sz="2" w:space="0" w:color="000000"/>
              <w:left w:val="nil"/>
              <w:bottom w:val="single" w:sz="2" w:space="0" w:color="000000"/>
              <w:right w:val="nil"/>
            </w:tcBorders>
            <w:shd w:val="clear" w:color="auto" w:fill="auto"/>
            <w:vAlign w:val="center"/>
            <w:hideMark/>
          </w:tcPr>
          <w:p w14:paraId="019F996A" w14:textId="77777777" w:rsidR="009F50C6" w:rsidRPr="00933A7F" w:rsidRDefault="009F50C6" w:rsidP="00C668F9">
            <w:pPr>
              <w:spacing w:after="0"/>
              <w:ind w:firstLine="0"/>
              <w:jc w:val="right"/>
              <w:rPr>
                <w:rFonts w:ascii="Arial Narrow" w:hAnsi="Arial Narrow" w:cs="Calibri"/>
              </w:rPr>
            </w:pPr>
            <w:r>
              <w:rPr>
                <w:rFonts w:ascii="Arial Narrow" w:hAnsi="Arial Narrow"/>
              </w:rPr>
              <w:t>3</w:t>
            </w:r>
          </w:p>
        </w:tc>
        <w:tc>
          <w:tcPr>
            <w:tcW w:w="575" w:type="pct"/>
            <w:tcBorders>
              <w:top w:val="single" w:sz="2" w:space="0" w:color="000000"/>
              <w:left w:val="nil"/>
              <w:bottom w:val="single" w:sz="2" w:space="0" w:color="000000"/>
              <w:right w:val="nil"/>
            </w:tcBorders>
            <w:shd w:val="clear" w:color="auto" w:fill="auto"/>
            <w:vAlign w:val="center"/>
            <w:hideMark/>
          </w:tcPr>
          <w:p w14:paraId="62CD2F2E" w14:textId="77777777" w:rsidR="009F50C6" w:rsidRPr="00933A7F" w:rsidRDefault="009F50C6" w:rsidP="00C668F9">
            <w:pPr>
              <w:spacing w:after="0"/>
              <w:ind w:firstLine="0"/>
              <w:jc w:val="right"/>
              <w:rPr>
                <w:rFonts w:ascii="Arial Narrow" w:hAnsi="Arial Narrow" w:cs="Calibri"/>
              </w:rPr>
            </w:pPr>
            <w:r>
              <w:rPr>
                <w:rFonts w:ascii="Arial Narrow" w:hAnsi="Arial Narrow"/>
              </w:rPr>
              <w:t>115</w:t>
            </w:r>
          </w:p>
        </w:tc>
        <w:tc>
          <w:tcPr>
            <w:tcW w:w="699" w:type="pct"/>
            <w:tcBorders>
              <w:top w:val="single" w:sz="2" w:space="0" w:color="000000"/>
              <w:left w:val="nil"/>
              <w:bottom w:val="single" w:sz="2" w:space="0" w:color="000000"/>
              <w:right w:val="nil"/>
            </w:tcBorders>
            <w:vAlign w:val="center"/>
          </w:tcPr>
          <w:p w14:paraId="7497CFFA"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-11,47</w:t>
            </w:r>
          </w:p>
        </w:tc>
        <w:tc>
          <w:tcPr>
            <w:tcW w:w="609" w:type="pct"/>
            <w:tcBorders>
              <w:top w:val="single" w:sz="2" w:space="0" w:color="000000"/>
              <w:left w:val="nil"/>
              <w:bottom w:val="single" w:sz="2" w:space="0" w:color="000000"/>
              <w:right w:val="nil"/>
            </w:tcBorders>
            <w:vAlign w:val="center"/>
          </w:tcPr>
          <w:p w14:paraId="7F128E12" w14:textId="77777777" w:rsidR="009F50C6" w:rsidRPr="00933A7F" w:rsidRDefault="009F50C6" w:rsidP="00C668F9">
            <w:pPr>
              <w:spacing w:after="0"/>
              <w:ind w:hanging="36"/>
              <w:jc w:val="right"/>
              <w:rPr>
                <w:rFonts w:ascii="Arial Narrow" w:hAnsi="Arial Narrow" w:cs="Calibri"/>
              </w:rPr>
            </w:pPr>
            <w:r>
              <w:rPr>
                <w:rFonts w:ascii="Arial Narrow" w:hAnsi="Arial Narrow"/>
              </w:rPr>
              <w:t>-34</w:t>
            </w:r>
          </w:p>
        </w:tc>
      </w:tr>
      <w:tr w:rsidR="004F62BB" w:rsidRPr="00933A7F" w14:paraId="1C8EBE12"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2EE9F02F" w14:textId="561EE387" w:rsidR="009F50C6" w:rsidRPr="00933A7F" w:rsidRDefault="009F50C6" w:rsidP="004F62BB">
            <w:pPr>
              <w:pStyle w:val="cuatexto"/>
              <w:spacing w:line="240" w:lineRule="auto"/>
              <w:rPr>
                <w:color w:val="000000" w:themeColor="text1"/>
                <w:szCs w:val="20"/>
              </w:rPr>
            </w:pPr>
            <w:r>
              <w:rPr>
                <w:color w:val="000000" w:themeColor="text1"/>
              </w:rPr>
              <w:t>3. Tasak, prezio publikoak eta bestelako diru-sarrerak</w:t>
            </w:r>
          </w:p>
        </w:tc>
        <w:tc>
          <w:tcPr>
            <w:tcW w:w="556" w:type="pct"/>
            <w:tcBorders>
              <w:top w:val="single" w:sz="2" w:space="0" w:color="000000"/>
              <w:left w:val="nil"/>
              <w:bottom w:val="single" w:sz="2" w:space="0" w:color="000000"/>
              <w:right w:val="nil"/>
            </w:tcBorders>
            <w:shd w:val="clear" w:color="auto" w:fill="auto"/>
            <w:vAlign w:val="center"/>
            <w:hideMark/>
          </w:tcPr>
          <w:p w14:paraId="5FB015BC" w14:textId="77777777" w:rsidR="009F50C6" w:rsidRPr="00933A7F" w:rsidRDefault="009F50C6" w:rsidP="00C668F9">
            <w:pPr>
              <w:spacing w:after="0"/>
              <w:ind w:left="67" w:firstLine="0"/>
              <w:jc w:val="right"/>
              <w:rPr>
                <w:rFonts w:ascii="Arial Narrow" w:hAnsi="Arial Narrow" w:cs="Calibri"/>
                <w:color w:val="000000"/>
              </w:rPr>
            </w:pPr>
            <w:r>
              <w:rPr>
                <w:rFonts w:ascii="Arial Narrow" w:hAnsi="Arial Narrow"/>
                <w:color w:val="000000"/>
              </w:rPr>
              <w:t>159,01</w:t>
            </w:r>
          </w:p>
        </w:tc>
        <w:tc>
          <w:tcPr>
            <w:tcW w:w="556" w:type="pct"/>
            <w:tcBorders>
              <w:top w:val="single" w:sz="2" w:space="0" w:color="000000"/>
              <w:left w:val="nil"/>
              <w:bottom w:val="single" w:sz="2" w:space="0" w:color="000000"/>
              <w:right w:val="nil"/>
            </w:tcBorders>
            <w:shd w:val="clear" w:color="auto" w:fill="auto"/>
            <w:vAlign w:val="center"/>
            <w:hideMark/>
          </w:tcPr>
          <w:p w14:paraId="013EC543"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153,82</w:t>
            </w:r>
          </w:p>
        </w:tc>
        <w:tc>
          <w:tcPr>
            <w:tcW w:w="557" w:type="pct"/>
            <w:tcBorders>
              <w:top w:val="single" w:sz="2" w:space="0" w:color="000000"/>
              <w:left w:val="nil"/>
              <w:bottom w:val="single" w:sz="2" w:space="0" w:color="000000"/>
              <w:right w:val="nil"/>
            </w:tcBorders>
            <w:shd w:val="clear" w:color="auto" w:fill="auto"/>
            <w:vAlign w:val="center"/>
            <w:hideMark/>
          </w:tcPr>
          <w:p w14:paraId="60224765" w14:textId="77777777" w:rsidR="009F50C6" w:rsidRPr="00933A7F" w:rsidRDefault="009F50C6" w:rsidP="00C668F9">
            <w:pPr>
              <w:spacing w:after="0"/>
              <w:ind w:firstLine="0"/>
              <w:jc w:val="right"/>
              <w:rPr>
                <w:rFonts w:ascii="Arial Narrow" w:hAnsi="Arial Narrow" w:cs="Calibri"/>
              </w:rPr>
            </w:pPr>
            <w:r>
              <w:rPr>
                <w:rFonts w:ascii="Arial Narrow" w:hAnsi="Arial Narrow"/>
              </w:rPr>
              <w:t>18</w:t>
            </w:r>
          </w:p>
        </w:tc>
        <w:tc>
          <w:tcPr>
            <w:tcW w:w="575" w:type="pct"/>
            <w:tcBorders>
              <w:top w:val="single" w:sz="2" w:space="0" w:color="000000"/>
              <w:left w:val="nil"/>
              <w:bottom w:val="single" w:sz="2" w:space="0" w:color="000000"/>
              <w:right w:val="nil"/>
            </w:tcBorders>
            <w:shd w:val="clear" w:color="auto" w:fill="auto"/>
            <w:vAlign w:val="center"/>
            <w:hideMark/>
          </w:tcPr>
          <w:p w14:paraId="1E19E668" w14:textId="77777777" w:rsidR="009F50C6" w:rsidRPr="00933A7F" w:rsidRDefault="009F50C6" w:rsidP="00C668F9">
            <w:pPr>
              <w:spacing w:after="0"/>
              <w:ind w:firstLine="0"/>
              <w:jc w:val="right"/>
              <w:rPr>
                <w:rFonts w:ascii="Arial Narrow" w:hAnsi="Arial Narrow" w:cs="Calibri"/>
              </w:rPr>
            </w:pPr>
            <w:r>
              <w:rPr>
                <w:rFonts w:ascii="Arial Narrow" w:hAnsi="Arial Narrow"/>
              </w:rPr>
              <w:t>97</w:t>
            </w:r>
          </w:p>
        </w:tc>
        <w:tc>
          <w:tcPr>
            <w:tcW w:w="699" w:type="pct"/>
            <w:tcBorders>
              <w:top w:val="single" w:sz="2" w:space="0" w:color="000000"/>
              <w:left w:val="nil"/>
              <w:bottom w:val="single" w:sz="2" w:space="0" w:color="000000"/>
              <w:right w:val="nil"/>
            </w:tcBorders>
            <w:vAlign w:val="center"/>
          </w:tcPr>
          <w:p w14:paraId="62A8D442"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-15,13</w:t>
            </w:r>
          </w:p>
        </w:tc>
        <w:tc>
          <w:tcPr>
            <w:tcW w:w="609" w:type="pct"/>
            <w:tcBorders>
              <w:top w:val="single" w:sz="2" w:space="0" w:color="000000"/>
              <w:left w:val="nil"/>
              <w:bottom w:val="single" w:sz="2" w:space="0" w:color="000000"/>
              <w:right w:val="nil"/>
            </w:tcBorders>
            <w:vAlign w:val="center"/>
          </w:tcPr>
          <w:p w14:paraId="01E3D5D3" w14:textId="77777777" w:rsidR="009F50C6" w:rsidRPr="00933A7F" w:rsidRDefault="009F50C6" w:rsidP="00C668F9">
            <w:pPr>
              <w:spacing w:after="0"/>
              <w:ind w:hanging="36"/>
              <w:jc w:val="right"/>
              <w:rPr>
                <w:rFonts w:ascii="Arial Narrow" w:hAnsi="Arial Narrow" w:cs="Calibri"/>
              </w:rPr>
            </w:pPr>
            <w:r>
              <w:rPr>
                <w:rFonts w:ascii="Arial Narrow" w:hAnsi="Arial Narrow"/>
              </w:rPr>
              <w:t>-9</w:t>
            </w:r>
          </w:p>
        </w:tc>
      </w:tr>
      <w:tr w:rsidR="004F62BB" w:rsidRPr="00933A7F" w14:paraId="7D8D0BD6"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2B1E77C8" w14:textId="6A7F6144" w:rsidR="009F50C6" w:rsidRPr="00933A7F" w:rsidRDefault="009F50C6" w:rsidP="004F62BB">
            <w:pPr>
              <w:pStyle w:val="cuatexto"/>
              <w:spacing w:line="240" w:lineRule="auto"/>
              <w:rPr>
                <w:color w:val="000000" w:themeColor="text1"/>
                <w:szCs w:val="20"/>
              </w:rPr>
            </w:pPr>
            <w:r>
              <w:rPr>
                <w:color w:val="000000" w:themeColor="text1"/>
              </w:rPr>
              <w:t>4. Transferentzia arruntak</w:t>
            </w:r>
          </w:p>
        </w:tc>
        <w:tc>
          <w:tcPr>
            <w:tcW w:w="556" w:type="pct"/>
            <w:tcBorders>
              <w:top w:val="single" w:sz="2" w:space="0" w:color="000000"/>
              <w:left w:val="nil"/>
              <w:bottom w:val="single" w:sz="2" w:space="0" w:color="000000"/>
              <w:right w:val="nil"/>
            </w:tcBorders>
            <w:shd w:val="clear" w:color="auto" w:fill="auto"/>
            <w:vAlign w:val="center"/>
            <w:hideMark/>
          </w:tcPr>
          <w:p w14:paraId="4AE609D3" w14:textId="77777777" w:rsidR="009F50C6" w:rsidRPr="00933A7F" w:rsidRDefault="009F50C6" w:rsidP="00C668F9">
            <w:pPr>
              <w:spacing w:after="0"/>
              <w:ind w:left="67" w:firstLine="0"/>
              <w:jc w:val="right"/>
              <w:rPr>
                <w:rFonts w:ascii="Arial Narrow" w:hAnsi="Arial Narrow" w:cs="Calibri"/>
                <w:color w:val="000000"/>
              </w:rPr>
            </w:pPr>
            <w:r>
              <w:rPr>
                <w:rFonts w:ascii="Arial Narrow" w:hAnsi="Arial Narrow"/>
                <w:color w:val="000000"/>
              </w:rPr>
              <w:t>348,37</w:t>
            </w:r>
          </w:p>
        </w:tc>
        <w:tc>
          <w:tcPr>
            <w:tcW w:w="556" w:type="pct"/>
            <w:tcBorders>
              <w:top w:val="single" w:sz="2" w:space="0" w:color="000000"/>
              <w:left w:val="nil"/>
              <w:bottom w:val="single" w:sz="2" w:space="0" w:color="000000"/>
              <w:right w:val="nil"/>
            </w:tcBorders>
            <w:shd w:val="clear" w:color="auto" w:fill="auto"/>
            <w:vAlign w:val="center"/>
            <w:hideMark/>
          </w:tcPr>
          <w:p w14:paraId="7613B924"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372,95</w:t>
            </w:r>
          </w:p>
        </w:tc>
        <w:tc>
          <w:tcPr>
            <w:tcW w:w="557" w:type="pct"/>
            <w:tcBorders>
              <w:top w:val="single" w:sz="2" w:space="0" w:color="000000"/>
              <w:left w:val="nil"/>
              <w:bottom w:val="single" w:sz="2" w:space="0" w:color="000000"/>
              <w:right w:val="nil"/>
            </w:tcBorders>
            <w:shd w:val="clear" w:color="auto" w:fill="auto"/>
            <w:vAlign w:val="center"/>
            <w:hideMark/>
          </w:tcPr>
          <w:p w14:paraId="6DB2A3F2" w14:textId="77777777" w:rsidR="009F50C6" w:rsidRPr="00933A7F" w:rsidRDefault="009F50C6" w:rsidP="00C668F9">
            <w:pPr>
              <w:spacing w:after="0"/>
              <w:ind w:firstLine="0"/>
              <w:jc w:val="right"/>
              <w:rPr>
                <w:rFonts w:ascii="Arial Narrow" w:hAnsi="Arial Narrow" w:cs="Calibri"/>
              </w:rPr>
            </w:pPr>
            <w:r>
              <w:rPr>
                <w:rFonts w:ascii="Arial Narrow" w:hAnsi="Arial Narrow"/>
              </w:rPr>
              <w:t>44</w:t>
            </w:r>
          </w:p>
        </w:tc>
        <w:tc>
          <w:tcPr>
            <w:tcW w:w="575" w:type="pct"/>
            <w:tcBorders>
              <w:top w:val="single" w:sz="2" w:space="0" w:color="000000"/>
              <w:left w:val="nil"/>
              <w:bottom w:val="single" w:sz="2" w:space="0" w:color="000000"/>
              <w:right w:val="nil"/>
            </w:tcBorders>
            <w:shd w:val="clear" w:color="auto" w:fill="auto"/>
            <w:vAlign w:val="center"/>
            <w:hideMark/>
          </w:tcPr>
          <w:p w14:paraId="79485D24" w14:textId="77777777" w:rsidR="009F50C6" w:rsidRPr="00933A7F" w:rsidRDefault="009F50C6" w:rsidP="00C668F9">
            <w:pPr>
              <w:spacing w:after="0"/>
              <w:ind w:firstLine="0"/>
              <w:jc w:val="right"/>
              <w:rPr>
                <w:rFonts w:ascii="Arial Narrow" w:hAnsi="Arial Narrow" w:cs="Calibri"/>
              </w:rPr>
            </w:pPr>
            <w:r>
              <w:rPr>
                <w:rFonts w:ascii="Arial Narrow" w:hAnsi="Arial Narrow"/>
              </w:rPr>
              <w:t>107</w:t>
            </w:r>
          </w:p>
        </w:tc>
        <w:tc>
          <w:tcPr>
            <w:tcW w:w="699" w:type="pct"/>
            <w:tcBorders>
              <w:top w:val="single" w:sz="2" w:space="0" w:color="000000"/>
              <w:left w:val="nil"/>
              <w:bottom w:val="single" w:sz="2" w:space="0" w:color="000000"/>
              <w:right w:val="nil"/>
            </w:tcBorders>
            <w:vAlign w:val="center"/>
          </w:tcPr>
          <w:p w14:paraId="682A3360"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32,36</w:t>
            </w:r>
          </w:p>
        </w:tc>
        <w:tc>
          <w:tcPr>
            <w:tcW w:w="609" w:type="pct"/>
            <w:tcBorders>
              <w:top w:val="single" w:sz="2" w:space="0" w:color="000000"/>
              <w:left w:val="nil"/>
              <w:bottom w:val="single" w:sz="2" w:space="0" w:color="000000"/>
              <w:right w:val="nil"/>
            </w:tcBorders>
            <w:vAlign w:val="center"/>
          </w:tcPr>
          <w:p w14:paraId="3601C91C" w14:textId="77777777" w:rsidR="009F50C6" w:rsidRPr="00933A7F" w:rsidRDefault="009F50C6" w:rsidP="00C668F9">
            <w:pPr>
              <w:spacing w:after="0"/>
              <w:ind w:hanging="36"/>
              <w:jc w:val="right"/>
              <w:rPr>
                <w:rFonts w:ascii="Arial Narrow" w:hAnsi="Arial Narrow" w:cs="Calibri"/>
              </w:rPr>
            </w:pPr>
            <w:r>
              <w:rPr>
                <w:rFonts w:ascii="Arial Narrow" w:hAnsi="Arial Narrow"/>
              </w:rPr>
              <w:t>10</w:t>
            </w:r>
          </w:p>
        </w:tc>
      </w:tr>
      <w:tr w:rsidR="004F62BB" w:rsidRPr="00933A7F" w14:paraId="77BFA332"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270C1AB0" w14:textId="306EC9D1" w:rsidR="009F50C6" w:rsidRPr="00933A7F" w:rsidRDefault="009F50C6" w:rsidP="00C668F9">
            <w:pPr>
              <w:pStyle w:val="cuatexto"/>
              <w:spacing w:line="240" w:lineRule="auto"/>
              <w:rPr>
                <w:color w:val="000000" w:themeColor="text1"/>
                <w:szCs w:val="20"/>
              </w:rPr>
            </w:pPr>
            <w:r>
              <w:rPr>
                <w:color w:val="000000" w:themeColor="text1"/>
              </w:rPr>
              <w:t>5. Ondarearen bidezko diru-sarrerak eta herri-aprobetxamenduak</w:t>
            </w:r>
          </w:p>
        </w:tc>
        <w:tc>
          <w:tcPr>
            <w:tcW w:w="556" w:type="pct"/>
            <w:tcBorders>
              <w:top w:val="single" w:sz="2" w:space="0" w:color="000000"/>
              <w:left w:val="nil"/>
              <w:bottom w:val="single" w:sz="2" w:space="0" w:color="000000"/>
              <w:right w:val="nil"/>
            </w:tcBorders>
            <w:shd w:val="clear" w:color="auto" w:fill="auto"/>
            <w:vAlign w:val="center"/>
            <w:hideMark/>
          </w:tcPr>
          <w:p w14:paraId="166894DA" w14:textId="77777777" w:rsidR="009F50C6" w:rsidRPr="00933A7F" w:rsidRDefault="009F50C6" w:rsidP="00C668F9">
            <w:pPr>
              <w:spacing w:after="0"/>
              <w:ind w:left="67" w:firstLine="0"/>
              <w:jc w:val="right"/>
              <w:rPr>
                <w:rFonts w:ascii="Arial Narrow" w:hAnsi="Arial Narrow" w:cs="Calibri"/>
                <w:color w:val="000000"/>
              </w:rPr>
            </w:pPr>
            <w:r>
              <w:rPr>
                <w:rFonts w:ascii="Arial Narrow" w:hAnsi="Arial Narrow"/>
                <w:color w:val="000000"/>
              </w:rPr>
              <w:t>37,99</w:t>
            </w:r>
          </w:p>
        </w:tc>
        <w:tc>
          <w:tcPr>
            <w:tcW w:w="556" w:type="pct"/>
            <w:tcBorders>
              <w:top w:val="single" w:sz="2" w:space="0" w:color="000000"/>
              <w:left w:val="nil"/>
              <w:bottom w:val="single" w:sz="2" w:space="0" w:color="000000"/>
              <w:right w:val="nil"/>
            </w:tcBorders>
            <w:shd w:val="clear" w:color="auto" w:fill="auto"/>
            <w:vAlign w:val="center"/>
            <w:hideMark/>
          </w:tcPr>
          <w:p w14:paraId="45232A8A"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34,60</w:t>
            </w:r>
          </w:p>
        </w:tc>
        <w:tc>
          <w:tcPr>
            <w:tcW w:w="557" w:type="pct"/>
            <w:tcBorders>
              <w:top w:val="single" w:sz="2" w:space="0" w:color="000000"/>
              <w:left w:val="nil"/>
              <w:bottom w:val="single" w:sz="2" w:space="0" w:color="000000"/>
              <w:right w:val="nil"/>
            </w:tcBorders>
            <w:shd w:val="clear" w:color="auto" w:fill="auto"/>
            <w:vAlign w:val="center"/>
            <w:hideMark/>
          </w:tcPr>
          <w:p w14:paraId="7123C493" w14:textId="77777777" w:rsidR="009F50C6" w:rsidRPr="00933A7F" w:rsidRDefault="009F50C6" w:rsidP="00C668F9">
            <w:pPr>
              <w:spacing w:after="0"/>
              <w:ind w:firstLine="0"/>
              <w:jc w:val="right"/>
              <w:rPr>
                <w:rFonts w:ascii="Arial Narrow" w:hAnsi="Arial Narrow" w:cs="Calibri"/>
              </w:rPr>
            </w:pPr>
            <w:r>
              <w:rPr>
                <w:rFonts w:ascii="Arial Narrow" w:hAnsi="Arial Narrow"/>
              </w:rPr>
              <w:t>4</w:t>
            </w:r>
          </w:p>
        </w:tc>
        <w:tc>
          <w:tcPr>
            <w:tcW w:w="575" w:type="pct"/>
            <w:tcBorders>
              <w:top w:val="single" w:sz="2" w:space="0" w:color="000000"/>
              <w:left w:val="nil"/>
              <w:bottom w:val="single" w:sz="2" w:space="0" w:color="000000"/>
              <w:right w:val="nil"/>
            </w:tcBorders>
            <w:shd w:val="clear" w:color="auto" w:fill="auto"/>
            <w:vAlign w:val="center"/>
            <w:hideMark/>
          </w:tcPr>
          <w:p w14:paraId="04393072" w14:textId="77777777" w:rsidR="009F50C6" w:rsidRPr="00933A7F" w:rsidRDefault="009F50C6" w:rsidP="00C668F9">
            <w:pPr>
              <w:spacing w:after="0"/>
              <w:ind w:firstLine="0"/>
              <w:jc w:val="right"/>
              <w:rPr>
                <w:rFonts w:ascii="Arial Narrow" w:hAnsi="Arial Narrow" w:cs="Calibri"/>
              </w:rPr>
            </w:pPr>
            <w:r>
              <w:rPr>
                <w:rFonts w:ascii="Arial Narrow" w:hAnsi="Arial Narrow"/>
              </w:rPr>
              <w:t>91</w:t>
            </w:r>
          </w:p>
        </w:tc>
        <w:tc>
          <w:tcPr>
            <w:tcW w:w="699" w:type="pct"/>
            <w:tcBorders>
              <w:top w:val="single" w:sz="2" w:space="0" w:color="000000"/>
              <w:left w:val="nil"/>
              <w:bottom w:val="single" w:sz="2" w:space="0" w:color="000000"/>
              <w:right w:val="nil"/>
            </w:tcBorders>
            <w:vAlign w:val="center"/>
          </w:tcPr>
          <w:p w14:paraId="21042E67"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-14,32</w:t>
            </w:r>
          </w:p>
        </w:tc>
        <w:tc>
          <w:tcPr>
            <w:tcW w:w="609" w:type="pct"/>
            <w:tcBorders>
              <w:top w:val="single" w:sz="2" w:space="0" w:color="000000"/>
              <w:left w:val="nil"/>
              <w:bottom w:val="single" w:sz="2" w:space="0" w:color="000000"/>
              <w:right w:val="nil"/>
            </w:tcBorders>
            <w:vAlign w:val="center"/>
          </w:tcPr>
          <w:p w14:paraId="3874E69B" w14:textId="77777777" w:rsidR="009F50C6" w:rsidRPr="00933A7F" w:rsidRDefault="009F50C6" w:rsidP="00C668F9">
            <w:pPr>
              <w:spacing w:after="0"/>
              <w:ind w:hanging="36"/>
              <w:jc w:val="right"/>
              <w:rPr>
                <w:rFonts w:ascii="Arial Narrow" w:hAnsi="Arial Narrow" w:cs="Calibri"/>
              </w:rPr>
            </w:pPr>
            <w:r>
              <w:rPr>
                <w:rFonts w:ascii="Arial Narrow" w:hAnsi="Arial Narrow"/>
              </w:rPr>
              <w:t>-29</w:t>
            </w:r>
          </w:p>
        </w:tc>
      </w:tr>
      <w:tr w:rsidR="004F62BB" w:rsidRPr="00933A7F" w14:paraId="3FF6AFB2"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0DE49BAB" w14:textId="69692A76" w:rsidR="009F50C6" w:rsidRPr="00933A7F" w:rsidRDefault="009F50C6" w:rsidP="004F62BB">
            <w:pPr>
              <w:pStyle w:val="cuatexto"/>
              <w:spacing w:line="240" w:lineRule="auto"/>
              <w:rPr>
                <w:b/>
                <w:i/>
                <w:iCs/>
                <w:color w:val="000000" w:themeColor="text1"/>
                <w:szCs w:val="20"/>
              </w:rPr>
            </w:pPr>
            <w:r>
              <w:rPr>
                <w:b/>
                <w:i/>
                <w:color w:val="000000" w:themeColor="text1"/>
              </w:rPr>
              <w:t>Diru-sarrera arruntak</w:t>
            </w:r>
          </w:p>
        </w:tc>
        <w:tc>
          <w:tcPr>
            <w:tcW w:w="556" w:type="pct"/>
            <w:tcBorders>
              <w:top w:val="single" w:sz="2" w:space="0" w:color="000000"/>
              <w:left w:val="nil"/>
              <w:bottom w:val="single" w:sz="2" w:space="0" w:color="000000"/>
              <w:right w:val="nil"/>
            </w:tcBorders>
            <w:shd w:val="clear" w:color="auto" w:fill="auto"/>
            <w:vAlign w:val="center"/>
            <w:hideMark/>
          </w:tcPr>
          <w:p w14:paraId="1634B52F" w14:textId="77777777" w:rsidR="009F50C6" w:rsidRPr="00933A7F" w:rsidRDefault="009F50C6" w:rsidP="00C668F9">
            <w:pPr>
              <w:spacing w:after="0"/>
              <w:ind w:left="67" w:firstLine="0"/>
              <w:jc w:val="right"/>
              <w:rPr>
                <w:rFonts w:ascii="Arial Narrow" w:hAnsi="Arial Narrow" w:cs="Calibri"/>
                <w:b/>
                <w:bCs/>
                <w:i/>
                <w:iCs/>
                <w:color w:val="000000"/>
              </w:rPr>
            </w:pPr>
            <w:r>
              <w:rPr>
                <w:rFonts w:ascii="Arial Narrow" w:hAnsi="Arial Narrow"/>
                <w:b/>
                <w:i/>
                <w:color w:val="000000"/>
              </w:rPr>
              <w:t>756,21</w:t>
            </w:r>
          </w:p>
        </w:tc>
        <w:tc>
          <w:tcPr>
            <w:tcW w:w="556" w:type="pct"/>
            <w:tcBorders>
              <w:top w:val="single" w:sz="2" w:space="0" w:color="000000"/>
              <w:left w:val="nil"/>
              <w:bottom w:val="single" w:sz="2" w:space="0" w:color="000000"/>
              <w:right w:val="nil"/>
            </w:tcBorders>
            <w:shd w:val="clear" w:color="auto" w:fill="auto"/>
            <w:vAlign w:val="center"/>
            <w:hideMark/>
          </w:tcPr>
          <w:p w14:paraId="7F17792D" w14:textId="77777777" w:rsidR="009F50C6" w:rsidRPr="00933A7F" w:rsidRDefault="009F50C6" w:rsidP="00C668F9">
            <w:pPr>
              <w:spacing w:after="0"/>
              <w:ind w:firstLine="0"/>
              <w:jc w:val="right"/>
              <w:rPr>
                <w:rFonts w:ascii="Arial Narrow" w:hAnsi="Arial Narrow" w:cs="Calibri"/>
                <w:b/>
                <w:bCs/>
                <w:i/>
                <w:iCs/>
                <w:color w:val="000000"/>
              </w:rPr>
            </w:pPr>
            <w:r>
              <w:rPr>
                <w:rFonts w:ascii="Arial Narrow" w:hAnsi="Arial Narrow"/>
                <w:b/>
                <w:i/>
                <w:color w:val="000000"/>
              </w:rPr>
              <w:t>782,02</w:t>
            </w:r>
          </w:p>
        </w:tc>
        <w:tc>
          <w:tcPr>
            <w:tcW w:w="557" w:type="pct"/>
            <w:tcBorders>
              <w:top w:val="single" w:sz="2" w:space="0" w:color="000000"/>
              <w:left w:val="nil"/>
              <w:bottom w:val="single" w:sz="2" w:space="0" w:color="000000"/>
              <w:right w:val="nil"/>
            </w:tcBorders>
            <w:shd w:val="clear" w:color="auto" w:fill="auto"/>
            <w:vAlign w:val="center"/>
            <w:hideMark/>
          </w:tcPr>
          <w:p w14:paraId="4290C0E3" w14:textId="77777777" w:rsidR="009F50C6" w:rsidRPr="00933A7F" w:rsidRDefault="009F50C6" w:rsidP="00C668F9">
            <w:pPr>
              <w:spacing w:after="0"/>
              <w:ind w:firstLine="0"/>
              <w:jc w:val="right"/>
              <w:rPr>
                <w:rFonts w:ascii="Arial Narrow" w:hAnsi="Arial Narrow" w:cs="Calibri"/>
                <w:b/>
                <w:bCs/>
                <w:i/>
                <w:iCs/>
              </w:rPr>
            </w:pPr>
            <w:r>
              <w:rPr>
                <w:rFonts w:ascii="Arial Narrow" w:hAnsi="Arial Narrow"/>
                <w:b/>
                <w:i/>
              </w:rPr>
              <w:t>91</w:t>
            </w:r>
          </w:p>
        </w:tc>
        <w:tc>
          <w:tcPr>
            <w:tcW w:w="575" w:type="pct"/>
            <w:tcBorders>
              <w:top w:val="single" w:sz="2" w:space="0" w:color="000000"/>
              <w:left w:val="nil"/>
              <w:bottom w:val="single" w:sz="2" w:space="0" w:color="000000"/>
              <w:right w:val="nil"/>
            </w:tcBorders>
            <w:shd w:val="clear" w:color="auto" w:fill="auto"/>
            <w:vAlign w:val="center"/>
            <w:hideMark/>
          </w:tcPr>
          <w:p w14:paraId="4644A2F3" w14:textId="77777777" w:rsidR="009F50C6" w:rsidRPr="00933A7F" w:rsidRDefault="009F50C6" w:rsidP="00C668F9">
            <w:pPr>
              <w:spacing w:after="0"/>
              <w:ind w:firstLine="0"/>
              <w:jc w:val="right"/>
              <w:rPr>
                <w:rFonts w:ascii="Arial Narrow" w:hAnsi="Arial Narrow" w:cs="Calibri"/>
                <w:b/>
                <w:bCs/>
                <w:i/>
                <w:iCs/>
              </w:rPr>
            </w:pPr>
            <w:r>
              <w:rPr>
                <w:rFonts w:ascii="Arial Narrow" w:hAnsi="Arial Narrow"/>
                <w:b/>
                <w:i/>
              </w:rPr>
              <w:t>103</w:t>
            </w:r>
          </w:p>
        </w:tc>
        <w:tc>
          <w:tcPr>
            <w:tcW w:w="699" w:type="pct"/>
            <w:tcBorders>
              <w:top w:val="single" w:sz="2" w:space="0" w:color="000000"/>
              <w:left w:val="nil"/>
              <w:bottom w:val="single" w:sz="2" w:space="0" w:color="000000"/>
              <w:right w:val="nil"/>
            </w:tcBorders>
            <w:vAlign w:val="center"/>
          </w:tcPr>
          <w:p w14:paraId="522C1FFD" w14:textId="77777777" w:rsidR="009F50C6" w:rsidRPr="00933A7F" w:rsidRDefault="009F50C6" w:rsidP="00C668F9">
            <w:pPr>
              <w:spacing w:after="0"/>
              <w:ind w:firstLine="0"/>
              <w:jc w:val="right"/>
              <w:rPr>
                <w:rFonts w:ascii="Arial Narrow" w:hAnsi="Arial Narrow" w:cs="Calibri"/>
                <w:b/>
                <w:bCs/>
                <w:i/>
                <w:iCs/>
                <w:color w:val="000000"/>
              </w:rPr>
            </w:pPr>
            <w:r>
              <w:rPr>
                <w:rFonts w:ascii="Arial Narrow" w:hAnsi="Arial Narrow"/>
                <w:b/>
                <w:i/>
                <w:color w:val="000000"/>
              </w:rPr>
              <w:t>-9,57</w:t>
            </w:r>
          </w:p>
        </w:tc>
        <w:tc>
          <w:tcPr>
            <w:tcW w:w="609" w:type="pct"/>
            <w:tcBorders>
              <w:top w:val="single" w:sz="2" w:space="0" w:color="000000"/>
              <w:left w:val="nil"/>
              <w:bottom w:val="single" w:sz="2" w:space="0" w:color="000000"/>
              <w:right w:val="nil"/>
            </w:tcBorders>
            <w:vAlign w:val="center"/>
          </w:tcPr>
          <w:p w14:paraId="01D41357" w14:textId="77777777" w:rsidR="009F50C6" w:rsidRPr="00933A7F" w:rsidRDefault="009F50C6" w:rsidP="00C668F9">
            <w:pPr>
              <w:spacing w:after="0"/>
              <w:ind w:hanging="36"/>
              <w:jc w:val="right"/>
              <w:rPr>
                <w:rFonts w:ascii="Arial Narrow" w:hAnsi="Arial Narrow" w:cs="Calibri"/>
                <w:b/>
                <w:bCs/>
                <w:i/>
                <w:iCs/>
              </w:rPr>
            </w:pPr>
            <w:r>
              <w:rPr>
                <w:rFonts w:ascii="Arial Narrow" w:hAnsi="Arial Narrow"/>
                <w:b/>
                <w:i/>
              </w:rPr>
              <w:t>-1</w:t>
            </w:r>
          </w:p>
        </w:tc>
      </w:tr>
      <w:tr w:rsidR="004F62BB" w:rsidRPr="00933A7F" w14:paraId="39DF7F0E"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75BF1741" w14:textId="50327E45" w:rsidR="009F50C6" w:rsidRPr="00933A7F" w:rsidRDefault="009F50C6" w:rsidP="004F62BB">
            <w:pPr>
              <w:pStyle w:val="cuatexto"/>
              <w:spacing w:line="240" w:lineRule="auto"/>
              <w:rPr>
                <w:color w:val="000000" w:themeColor="text1"/>
                <w:szCs w:val="20"/>
              </w:rPr>
            </w:pPr>
            <w:r>
              <w:rPr>
                <w:color w:val="000000" w:themeColor="text1"/>
              </w:rPr>
              <w:t>6. Inbertsio errealen besterentzea</w:t>
            </w:r>
          </w:p>
        </w:tc>
        <w:tc>
          <w:tcPr>
            <w:tcW w:w="556" w:type="pct"/>
            <w:tcBorders>
              <w:top w:val="single" w:sz="2" w:space="0" w:color="000000"/>
              <w:left w:val="nil"/>
              <w:bottom w:val="single" w:sz="2" w:space="0" w:color="000000"/>
              <w:right w:val="nil"/>
            </w:tcBorders>
            <w:shd w:val="clear" w:color="auto" w:fill="auto"/>
            <w:vAlign w:val="center"/>
            <w:hideMark/>
          </w:tcPr>
          <w:p w14:paraId="3EEC166B" w14:textId="77777777" w:rsidR="009F50C6" w:rsidRPr="00933A7F" w:rsidRDefault="009F50C6" w:rsidP="00C668F9">
            <w:pPr>
              <w:spacing w:after="0"/>
              <w:ind w:left="67" w:firstLine="0"/>
              <w:jc w:val="right"/>
              <w:rPr>
                <w:rFonts w:ascii="Arial Narrow" w:hAnsi="Arial Narrow" w:cs="Calibri"/>
                <w:color w:val="000000"/>
              </w:rPr>
            </w:pPr>
            <w:r>
              <w:rPr>
                <w:rFonts w:ascii="Arial Narrow" w:hAnsi="Arial Narrow"/>
                <w:color w:val="000000"/>
              </w:rPr>
              <w:t>16,24</w:t>
            </w:r>
          </w:p>
        </w:tc>
        <w:tc>
          <w:tcPr>
            <w:tcW w:w="556" w:type="pct"/>
            <w:tcBorders>
              <w:top w:val="single" w:sz="2" w:space="0" w:color="000000"/>
              <w:left w:val="nil"/>
              <w:bottom w:val="single" w:sz="2" w:space="0" w:color="000000"/>
              <w:right w:val="nil"/>
            </w:tcBorders>
            <w:shd w:val="clear" w:color="auto" w:fill="auto"/>
            <w:vAlign w:val="center"/>
            <w:hideMark/>
          </w:tcPr>
          <w:p w14:paraId="0224DFD1"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7,93</w:t>
            </w:r>
          </w:p>
        </w:tc>
        <w:tc>
          <w:tcPr>
            <w:tcW w:w="557" w:type="pct"/>
            <w:tcBorders>
              <w:top w:val="single" w:sz="2" w:space="0" w:color="000000"/>
              <w:left w:val="nil"/>
              <w:bottom w:val="single" w:sz="2" w:space="0" w:color="000000"/>
              <w:right w:val="nil"/>
            </w:tcBorders>
            <w:shd w:val="clear" w:color="auto" w:fill="auto"/>
            <w:vAlign w:val="center"/>
            <w:hideMark/>
          </w:tcPr>
          <w:p w14:paraId="5BAAF957" w14:textId="77777777" w:rsidR="009F50C6" w:rsidRPr="00933A7F" w:rsidRDefault="009F50C6" w:rsidP="00C668F9">
            <w:pPr>
              <w:spacing w:after="0"/>
              <w:ind w:firstLine="0"/>
              <w:jc w:val="right"/>
              <w:rPr>
                <w:rFonts w:ascii="Arial Narrow" w:hAnsi="Arial Narrow" w:cs="Calibri"/>
              </w:rPr>
            </w:pPr>
            <w:r>
              <w:rPr>
                <w:rFonts w:ascii="Arial Narrow" w:hAnsi="Arial Narrow"/>
              </w:rPr>
              <w:t>1</w:t>
            </w:r>
          </w:p>
        </w:tc>
        <w:tc>
          <w:tcPr>
            <w:tcW w:w="575" w:type="pct"/>
            <w:tcBorders>
              <w:top w:val="single" w:sz="2" w:space="0" w:color="000000"/>
              <w:left w:val="nil"/>
              <w:bottom w:val="single" w:sz="2" w:space="0" w:color="000000"/>
              <w:right w:val="nil"/>
            </w:tcBorders>
            <w:shd w:val="clear" w:color="auto" w:fill="auto"/>
            <w:vAlign w:val="center"/>
            <w:hideMark/>
          </w:tcPr>
          <w:p w14:paraId="492C6316" w14:textId="77777777" w:rsidR="009F50C6" w:rsidRPr="00933A7F" w:rsidRDefault="009F50C6" w:rsidP="00C668F9">
            <w:pPr>
              <w:spacing w:after="0"/>
              <w:ind w:firstLine="0"/>
              <w:jc w:val="right"/>
              <w:rPr>
                <w:rFonts w:ascii="Arial Narrow" w:hAnsi="Arial Narrow" w:cs="Calibri"/>
              </w:rPr>
            </w:pPr>
            <w:r>
              <w:rPr>
                <w:rFonts w:ascii="Arial Narrow" w:hAnsi="Arial Narrow"/>
              </w:rPr>
              <w:t>49</w:t>
            </w:r>
          </w:p>
        </w:tc>
        <w:tc>
          <w:tcPr>
            <w:tcW w:w="699" w:type="pct"/>
            <w:tcBorders>
              <w:top w:val="single" w:sz="2" w:space="0" w:color="000000"/>
              <w:left w:val="nil"/>
              <w:bottom w:val="single" w:sz="2" w:space="0" w:color="000000"/>
              <w:right w:val="nil"/>
            </w:tcBorders>
            <w:vAlign w:val="center"/>
          </w:tcPr>
          <w:p w14:paraId="46E223B9"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-3,09</w:t>
            </w:r>
          </w:p>
        </w:tc>
        <w:tc>
          <w:tcPr>
            <w:tcW w:w="609" w:type="pct"/>
            <w:tcBorders>
              <w:top w:val="single" w:sz="2" w:space="0" w:color="000000"/>
              <w:left w:val="nil"/>
              <w:bottom w:val="single" w:sz="2" w:space="0" w:color="000000"/>
              <w:right w:val="nil"/>
            </w:tcBorders>
            <w:vAlign w:val="center"/>
          </w:tcPr>
          <w:p w14:paraId="6C815D26" w14:textId="77777777" w:rsidR="009F50C6" w:rsidRPr="00933A7F" w:rsidRDefault="009F50C6" w:rsidP="00C668F9">
            <w:pPr>
              <w:spacing w:after="0"/>
              <w:ind w:hanging="36"/>
              <w:jc w:val="right"/>
              <w:rPr>
                <w:rFonts w:ascii="Arial Narrow" w:hAnsi="Arial Narrow" w:cs="Calibri"/>
              </w:rPr>
            </w:pPr>
            <w:r>
              <w:rPr>
                <w:rFonts w:ascii="Arial Narrow" w:hAnsi="Arial Narrow"/>
              </w:rPr>
              <w:t>-28</w:t>
            </w:r>
          </w:p>
        </w:tc>
      </w:tr>
      <w:tr w:rsidR="004F62BB" w:rsidRPr="00933A7F" w14:paraId="53BAF6B0"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4E1A067D" w14:textId="7CCA3CA9" w:rsidR="009F50C6" w:rsidRPr="00933A7F" w:rsidRDefault="009F50C6" w:rsidP="004F62BB">
            <w:pPr>
              <w:pStyle w:val="cuatexto"/>
              <w:spacing w:line="240" w:lineRule="auto"/>
              <w:rPr>
                <w:color w:val="000000" w:themeColor="text1"/>
                <w:szCs w:val="20"/>
              </w:rPr>
            </w:pPr>
            <w:r>
              <w:rPr>
                <w:color w:val="000000" w:themeColor="text1"/>
              </w:rPr>
              <w:t>7. Kapital-transferentziak</w:t>
            </w:r>
          </w:p>
        </w:tc>
        <w:tc>
          <w:tcPr>
            <w:tcW w:w="556" w:type="pct"/>
            <w:tcBorders>
              <w:top w:val="single" w:sz="2" w:space="0" w:color="000000"/>
              <w:left w:val="nil"/>
              <w:bottom w:val="single" w:sz="2" w:space="0" w:color="000000"/>
              <w:right w:val="nil"/>
            </w:tcBorders>
            <w:shd w:val="clear" w:color="auto" w:fill="auto"/>
            <w:vAlign w:val="center"/>
            <w:hideMark/>
          </w:tcPr>
          <w:p w14:paraId="5777D169" w14:textId="77777777" w:rsidR="009F50C6" w:rsidRPr="00933A7F" w:rsidRDefault="009F50C6" w:rsidP="00C668F9">
            <w:pPr>
              <w:spacing w:after="0"/>
              <w:ind w:left="67" w:firstLine="0"/>
              <w:jc w:val="right"/>
              <w:rPr>
                <w:rFonts w:ascii="Arial Narrow" w:hAnsi="Arial Narrow" w:cs="Calibri"/>
                <w:color w:val="000000"/>
              </w:rPr>
            </w:pPr>
            <w:r>
              <w:rPr>
                <w:rFonts w:ascii="Arial Narrow" w:hAnsi="Arial Narrow"/>
                <w:color w:val="000000"/>
              </w:rPr>
              <w:t>69,88</w:t>
            </w:r>
          </w:p>
        </w:tc>
        <w:tc>
          <w:tcPr>
            <w:tcW w:w="556" w:type="pct"/>
            <w:tcBorders>
              <w:top w:val="single" w:sz="2" w:space="0" w:color="000000"/>
              <w:left w:val="nil"/>
              <w:bottom w:val="single" w:sz="2" w:space="0" w:color="000000"/>
              <w:right w:val="nil"/>
            </w:tcBorders>
            <w:shd w:val="clear" w:color="auto" w:fill="auto"/>
            <w:vAlign w:val="center"/>
            <w:hideMark/>
          </w:tcPr>
          <w:p w14:paraId="2AA9877B"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56,59</w:t>
            </w:r>
          </w:p>
        </w:tc>
        <w:tc>
          <w:tcPr>
            <w:tcW w:w="557" w:type="pct"/>
            <w:tcBorders>
              <w:top w:val="single" w:sz="2" w:space="0" w:color="000000"/>
              <w:left w:val="nil"/>
              <w:bottom w:val="single" w:sz="2" w:space="0" w:color="000000"/>
              <w:right w:val="nil"/>
            </w:tcBorders>
            <w:shd w:val="clear" w:color="auto" w:fill="auto"/>
            <w:vAlign w:val="center"/>
            <w:hideMark/>
          </w:tcPr>
          <w:p w14:paraId="44BF4776" w14:textId="77777777" w:rsidR="009F50C6" w:rsidRPr="00933A7F" w:rsidRDefault="009F50C6" w:rsidP="00C668F9">
            <w:pPr>
              <w:spacing w:after="0"/>
              <w:ind w:firstLine="0"/>
              <w:jc w:val="right"/>
              <w:rPr>
                <w:rFonts w:ascii="Arial Narrow" w:hAnsi="Arial Narrow" w:cs="Calibri"/>
              </w:rPr>
            </w:pPr>
            <w:r>
              <w:rPr>
                <w:rFonts w:ascii="Arial Narrow" w:hAnsi="Arial Narrow"/>
              </w:rPr>
              <w:t>7</w:t>
            </w:r>
          </w:p>
        </w:tc>
        <w:tc>
          <w:tcPr>
            <w:tcW w:w="575" w:type="pct"/>
            <w:tcBorders>
              <w:top w:val="single" w:sz="2" w:space="0" w:color="000000"/>
              <w:left w:val="nil"/>
              <w:bottom w:val="single" w:sz="2" w:space="0" w:color="000000"/>
              <w:right w:val="nil"/>
            </w:tcBorders>
            <w:shd w:val="clear" w:color="auto" w:fill="auto"/>
            <w:vAlign w:val="center"/>
            <w:hideMark/>
          </w:tcPr>
          <w:p w14:paraId="7925422B" w14:textId="77777777" w:rsidR="009F50C6" w:rsidRPr="00933A7F" w:rsidRDefault="009F50C6" w:rsidP="00C668F9">
            <w:pPr>
              <w:spacing w:after="0"/>
              <w:ind w:firstLine="0"/>
              <w:jc w:val="right"/>
              <w:rPr>
                <w:rFonts w:ascii="Arial Narrow" w:hAnsi="Arial Narrow" w:cs="Calibri"/>
              </w:rPr>
            </w:pPr>
            <w:r>
              <w:rPr>
                <w:rFonts w:ascii="Arial Narrow" w:hAnsi="Arial Narrow"/>
              </w:rPr>
              <w:t>81</w:t>
            </w:r>
          </w:p>
        </w:tc>
        <w:tc>
          <w:tcPr>
            <w:tcW w:w="699" w:type="pct"/>
            <w:tcBorders>
              <w:top w:val="single" w:sz="2" w:space="0" w:color="000000"/>
              <w:left w:val="nil"/>
              <w:bottom w:val="single" w:sz="2" w:space="0" w:color="000000"/>
              <w:right w:val="nil"/>
            </w:tcBorders>
            <w:vAlign w:val="center"/>
          </w:tcPr>
          <w:p w14:paraId="256876B1"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-26,92</w:t>
            </w:r>
          </w:p>
        </w:tc>
        <w:tc>
          <w:tcPr>
            <w:tcW w:w="609" w:type="pct"/>
            <w:tcBorders>
              <w:top w:val="single" w:sz="2" w:space="0" w:color="000000"/>
              <w:left w:val="nil"/>
              <w:bottom w:val="single" w:sz="2" w:space="0" w:color="000000"/>
              <w:right w:val="nil"/>
            </w:tcBorders>
            <w:vAlign w:val="center"/>
          </w:tcPr>
          <w:p w14:paraId="339E1C93" w14:textId="77777777" w:rsidR="009F50C6" w:rsidRPr="00933A7F" w:rsidRDefault="009F50C6" w:rsidP="00C668F9">
            <w:pPr>
              <w:spacing w:after="0"/>
              <w:ind w:hanging="36"/>
              <w:jc w:val="right"/>
              <w:rPr>
                <w:rFonts w:ascii="Arial Narrow" w:hAnsi="Arial Narrow" w:cs="Calibri"/>
              </w:rPr>
            </w:pPr>
            <w:r>
              <w:rPr>
                <w:rFonts w:ascii="Arial Narrow" w:hAnsi="Arial Narrow"/>
              </w:rPr>
              <w:t>-32</w:t>
            </w:r>
          </w:p>
        </w:tc>
      </w:tr>
      <w:tr w:rsidR="004F62BB" w:rsidRPr="00933A7F" w14:paraId="612E3745"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46969C1F" w14:textId="142C7942" w:rsidR="009F50C6" w:rsidRPr="00933A7F" w:rsidRDefault="009F50C6" w:rsidP="004F62BB">
            <w:pPr>
              <w:pStyle w:val="cuatexto"/>
              <w:spacing w:line="240" w:lineRule="auto"/>
              <w:rPr>
                <w:b/>
                <w:i/>
                <w:iCs/>
                <w:color w:val="000000" w:themeColor="text1"/>
                <w:szCs w:val="20"/>
              </w:rPr>
            </w:pPr>
            <w:r>
              <w:rPr>
                <w:b/>
                <w:i/>
                <w:color w:val="000000" w:themeColor="text1"/>
              </w:rPr>
              <w:t>Kapitaleko diru-sarrerak</w:t>
            </w:r>
          </w:p>
        </w:tc>
        <w:tc>
          <w:tcPr>
            <w:tcW w:w="556" w:type="pct"/>
            <w:tcBorders>
              <w:top w:val="single" w:sz="2" w:space="0" w:color="000000"/>
              <w:left w:val="nil"/>
              <w:bottom w:val="single" w:sz="2" w:space="0" w:color="000000"/>
              <w:right w:val="nil"/>
            </w:tcBorders>
            <w:shd w:val="clear" w:color="auto" w:fill="auto"/>
            <w:vAlign w:val="center"/>
            <w:hideMark/>
          </w:tcPr>
          <w:p w14:paraId="1AF03777" w14:textId="77777777" w:rsidR="009F50C6" w:rsidRPr="00933A7F" w:rsidRDefault="009F50C6" w:rsidP="00C668F9">
            <w:pPr>
              <w:spacing w:after="0"/>
              <w:ind w:left="67" w:firstLine="0"/>
              <w:jc w:val="right"/>
              <w:rPr>
                <w:rFonts w:ascii="Arial Narrow" w:hAnsi="Arial Narrow" w:cs="Calibri"/>
                <w:b/>
                <w:bCs/>
                <w:i/>
                <w:iCs/>
                <w:color w:val="000000"/>
              </w:rPr>
            </w:pPr>
            <w:r>
              <w:rPr>
                <w:rFonts w:ascii="Arial Narrow" w:hAnsi="Arial Narrow"/>
                <w:b/>
                <w:i/>
                <w:color w:val="000000"/>
              </w:rPr>
              <w:t>86,11</w:t>
            </w:r>
          </w:p>
        </w:tc>
        <w:tc>
          <w:tcPr>
            <w:tcW w:w="556" w:type="pct"/>
            <w:tcBorders>
              <w:top w:val="single" w:sz="2" w:space="0" w:color="000000"/>
              <w:left w:val="nil"/>
              <w:bottom w:val="single" w:sz="2" w:space="0" w:color="000000"/>
              <w:right w:val="nil"/>
            </w:tcBorders>
            <w:shd w:val="clear" w:color="auto" w:fill="auto"/>
            <w:vAlign w:val="center"/>
            <w:hideMark/>
          </w:tcPr>
          <w:p w14:paraId="0C8CA0C8" w14:textId="77777777" w:rsidR="009F50C6" w:rsidRPr="00933A7F" w:rsidRDefault="009F50C6" w:rsidP="00C668F9">
            <w:pPr>
              <w:spacing w:after="0"/>
              <w:ind w:firstLine="0"/>
              <w:jc w:val="right"/>
              <w:rPr>
                <w:rFonts w:ascii="Arial Narrow" w:hAnsi="Arial Narrow" w:cs="Calibri"/>
                <w:b/>
                <w:bCs/>
                <w:i/>
                <w:iCs/>
                <w:color w:val="000000"/>
              </w:rPr>
            </w:pPr>
            <w:r>
              <w:rPr>
                <w:rFonts w:ascii="Arial Narrow" w:hAnsi="Arial Narrow"/>
                <w:b/>
                <w:i/>
                <w:color w:val="000000"/>
              </w:rPr>
              <w:t>64,52</w:t>
            </w:r>
          </w:p>
        </w:tc>
        <w:tc>
          <w:tcPr>
            <w:tcW w:w="557" w:type="pct"/>
            <w:tcBorders>
              <w:top w:val="single" w:sz="2" w:space="0" w:color="000000"/>
              <w:left w:val="nil"/>
              <w:bottom w:val="single" w:sz="2" w:space="0" w:color="000000"/>
              <w:right w:val="nil"/>
            </w:tcBorders>
            <w:shd w:val="clear" w:color="auto" w:fill="auto"/>
            <w:vAlign w:val="center"/>
            <w:hideMark/>
          </w:tcPr>
          <w:p w14:paraId="0A00D640" w14:textId="77777777" w:rsidR="009F50C6" w:rsidRPr="00933A7F" w:rsidRDefault="009F50C6" w:rsidP="00C668F9">
            <w:pPr>
              <w:spacing w:after="0"/>
              <w:ind w:firstLine="0"/>
              <w:jc w:val="right"/>
              <w:rPr>
                <w:rFonts w:ascii="Arial Narrow" w:hAnsi="Arial Narrow" w:cs="Calibri"/>
                <w:b/>
                <w:bCs/>
                <w:i/>
                <w:iCs/>
              </w:rPr>
            </w:pPr>
            <w:r>
              <w:rPr>
                <w:rFonts w:ascii="Arial Narrow" w:hAnsi="Arial Narrow"/>
                <w:b/>
                <w:i/>
              </w:rPr>
              <w:t>8</w:t>
            </w:r>
          </w:p>
        </w:tc>
        <w:tc>
          <w:tcPr>
            <w:tcW w:w="575" w:type="pct"/>
            <w:tcBorders>
              <w:top w:val="single" w:sz="2" w:space="0" w:color="000000"/>
              <w:left w:val="nil"/>
              <w:bottom w:val="single" w:sz="2" w:space="0" w:color="000000"/>
              <w:right w:val="nil"/>
            </w:tcBorders>
            <w:shd w:val="clear" w:color="auto" w:fill="auto"/>
            <w:vAlign w:val="center"/>
            <w:hideMark/>
          </w:tcPr>
          <w:p w14:paraId="5D281490" w14:textId="77777777" w:rsidR="009F50C6" w:rsidRPr="00933A7F" w:rsidRDefault="009F50C6" w:rsidP="00C668F9">
            <w:pPr>
              <w:spacing w:after="0"/>
              <w:ind w:firstLine="0"/>
              <w:jc w:val="right"/>
              <w:rPr>
                <w:rFonts w:ascii="Arial Narrow" w:hAnsi="Arial Narrow" w:cs="Calibri"/>
                <w:b/>
                <w:bCs/>
                <w:i/>
                <w:iCs/>
              </w:rPr>
            </w:pPr>
            <w:r>
              <w:rPr>
                <w:rFonts w:ascii="Arial Narrow" w:hAnsi="Arial Narrow"/>
                <w:b/>
                <w:i/>
              </w:rPr>
              <w:t>75</w:t>
            </w:r>
          </w:p>
        </w:tc>
        <w:tc>
          <w:tcPr>
            <w:tcW w:w="699" w:type="pct"/>
            <w:tcBorders>
              <w:top w:val="single" w:sz="2" w:space="0" w:color="000000"/>
              <w:left w:val="nil"/>
              <w:bottom w:val="single" w:sz="2" w:space="0" w:color="000000"/>
              <w:right w:val="nil"/>
            </w:tcBorders>
            <w:vAlign w:val="center"/>
          </w:tcPr>
          <w:p w14:paraId="65A9C4CF" w14:textId="77777777" w:rsidR="009F50C6" w:rsidRPr="00933A7F" w:rsidRDefault="009F50C6" w:rsidP="00C668F9">
            <w:pPr>
              <w:spacing w:after="0"/>
              <w:ind w:firstLine="0"/>
              <w:jc w:val="right"/>
              <w:rPr>
                <w:rFonts w:ascii="Arial Narrow" w:hAnsi="Arial Narrow" w:cs="Calibri"/>
                <w:b/>
                <w:bCs/>
                <w:i/>
                <w:iCs/>
                <w:color w:val="000000"/>
              </w:rPr>
            </w:pPr>
            <w:r>
              <w:rPr>
                <w:rFonts w:ascii="Arial Narrow" w:hAnsi="Arial Narrow"/>
                <w:b/>
                <w:i/>
                <w:color w:val="000000"/>
              </w:rPr>
              <w:t>-30,01</w:t>
            </w:r>
          </w:p>
        </w:tc>
        <w:tc>
          <w:tcPr>
            <w:tcW w:w="609" w:type="pct"/>
            <w:tcBorders>
              <w:top w:val="single" w:sz="2" w:space="0" w:color="000000"/>
              <w:left w:val="nil"/>
              <w:bottom w:val="single" w:sz="2" w:space="0" w:color="000000"/>
              <w:right w:val="nil"/>
            </w:tcBorders>
            <w:vAlign w:val="center"/>
          </w:tcPr>
          <w:p w14:paraId="3CF013A3" w14:textId="77777777" w:rsidR="009F50C6" w:rsidRPr="00933A7F" w:rsidRDefault="009F50C6" w:rsidP="00C668F9">
            <w:pPr>
              <w:spacing w:after="0"/>
              <w:ind w:hanging="36"/>
              <w:jc w:val="right"/>
              <w:rPr>
                <w:rFonts w:ascii="Arial Narrow" w:hAnsi="Arial Narrow" w:cs="Calibri"/>
                <w:b/>
                <w:bCs/>
                <w:i/>
                <w:iCs/>
              </w:rPr>
            </w:pPr>
            <w:r>
              <w:rPr>
                <w:rFonts w:ascii="Arial Narrow" w:hAnsi="Arial Narrow"/>
                <w:b/>
                <w:i/>
              </w:rPr>
              <w:t>-32</w:t>
            </w:r>
          </w:p>
        </w:tc>
      </w:tr>
      <w:tr w:rsidR="004F62BB" w:rsidRPr="00933A7F" w14:paraId="2AE2F0CC"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450B30DA" w14:textId="27F186BA" w:rsidR="009F50C6" w:rsidRPr="00933A7F" w:rsidRDefault="009F50C6" w:rsidP="004F62BB">
            <w:pPr>
              <w:pStyle w:val="cuatexto"/>
              <w:spacing w:line="240" w:lineRule="auto"/>
              <w:rPr>
                <w:color w:val="000000" w:themeColor="text1"/>
                <w:szCs w:val="20"/>
              </w:rPr>
            </w:pPr>
            <w:r>
              <w:rPr>
                <w:color w:val="000000" w:themeColor="text1"/>
              </w:rPr>
              <w:t>8. Finantza-aktiboak</w:t>
            </w:r>
          </w:p>
        </w:tc>
        <w:tc>
          <w:tcPr>
            <w:tcW w:w="556" w:type="pct"/>
            <w:tcBorders>
              <w:top w:val="single" w:sz="2" w:space="0" w:color="000000"/>
              <w:left w:val="nil"/>
              <w:bottom w:val="single" w:sz="2" w:space="0" w:color="000000"/>
              <w:right w:val="nil"/>
            </w:tcBorders>
            <w:shd w:val="clear" w:color="auto" w:fill="auto"/>
            <w:vAlign w:val="center"/>
            <w:hideMark/>
          </w:tcPr>
          <w:p w14:paraId="595DEC6B" w14:textId="77777777" w:rsidR="009F50C6" w:rsidRPr="00933A7F" w:rsidRDefault="009F50C6" w:rsidP="00C668F9">
            <w:pPr>
              <w:spacing w:after="0"/>
              <w:ind w:left="67" w:firstLine="0"/>
              <w:jc w:val="right"/>
              <w:rPr>
                <w:rFonts w:ascii="Arial Narrow" w:hAnsi="Arial Narrow" w:cs="Calibri"/>
                <w:color w:val="000000"/>
              </w:rPr>
            </w:pPr>
            <w:r>
              <w:rPr>
                <w:rFonts w:ascii="Arial Narrow" w:hAnsi="Arial Narrow"/>
                <w:color w:val="000000"/>
              </w:rPr>
              <w:t>93,45</w:t>
            </w:r>
          </w:p>
        </w:tc>
        <w:tc>
          <w:tcPr>
            <w:tcW w:w="556" w:type="pct"/>
            <w:tcBorders>
              <w:top w:val="single" w:sz="2" w:space="0" w:color="000000"/>
              <w:left w:val="nil"/>
              <w:bottom w:val="single" w:sz="2" w:space="0" w:color="000000"/>
              <w:right w:val="nil"/>
            </w:tcBorders>
            <w:shd w:val="clear" w:color="auto" w:fill="auto"/>
            <w:vAlign w:val="center"/>
            <w:hideMark/>
          </w:tcPr>
          <w:p w14:paraId="03439AD1"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1,39</w:t>
            </w:r>
          </w:p>
        </w:tc>
        <w:tc>
          <w:tcPr>
            <w:tcW w:w="557" w:type="pct"/>
            <w:tcBorders>
              <w:top w:val="single" w:sz="2" w:space="0" w:color="000000"/>
              <w:left w:val="nil"/>
              <w:bottom w:val="single" w:sz="2" w:space="0" w:color="000000"/>
              <w:right w:val="nil"/>
            </w:tcBorders>
            <w:shd w:val="clear" w:color="auto" w:fill="auto"/>
            <w:vAlign w:val="center"/>
            <w:hideMark/>
          </w:tcPr>
          <w:p w14:paraId="53970483" w14:textId="77777777" w:rsidR="009F50C6" w:rsidRPr="00933A7F" w:rsidRDefault="009F50C6" w:rsidP="00C668F9">
            <w:pPr>
              <w:spacing w:after="0"/>
              <w:ind w:firstLine="0"/>
              <w:jc w:val="right"/>
              <w:rPr>
                <w:rFonts w:ascii="Arial Narrow" w:hAnsi="Arial Narrow" w:cs="Calibri"/>
              </w:rPr>
            </w:pPr>
            <w:r>
              <w:rPr>
                <w:rFonts w:ascii="Arial Narrow" w:hAnsi="Arial Narrow"/>
              </w:rPr>
              <w:t>0</w:t>
            </w:r>
          </w:p>
        </w:tc>
        <w:tc>
          <w:tcPr>
            <w:tcW w:w="575" w:type="pct"/>
            <w:tcBorders>
              <w:top w:val="single" w:sz="2" w:space="0" w:color="000000"/>
              <w:left w:val="nil"/>
              <w:bottom w:val="single" w:sz="2" w:space="0" w:color="000000"/>
              <w:right w:val="nil"/>
            </w:tcBorders>
            <w:shd w:val="clear" w:color="auto" w:fill="auto"/>
            <w:vAlign w:val="center"/>
            <w:hideMark/>
          </w:tcPr>
          <w:p w14:paraId="63950575" w14:textId="77777777" w:rsidR="009F50C6" w:rsidRPr="00933A7F" w:rsidRDefault="009F50C6" w:rsidP="00C668F9">
            <w:pPr>
              <w:spacing w:after="0"/>
              <w:ind w:firstLine="0"/>
              <w:jc w:val="right"/>
              <w:rPr>
                <w:rFonts w:ascii="Arial Narrow" w:hAnsi="Arial Narrow" w:cs="Calibri"/>
              </w:rPr>
            </w:pPr>
            <w:r>
              <w:rPr>
                <w:rFonts w:ascii="Arial Narrow" w:hAnsi="Arial Narrow"/>
              </w:rPr>
              <w:t>1</w:t>
            </w:r>
          </w:p>
        </w:tc>
        <w:tc>
          <w:tcPr>
            <w:tcW w:w="699" w:type="pct"/>
            <w:tcBorders>
              <w:top w:val="single" w:sz="2" w:space="0" w:color="000000"/>
              <w:left w:val="nil"/>
              <w:bottom w:val="single" w:sz="2" w:space="0" w:color="000000"/>
              <w:right w:val="nil"/>
            </w:tcBorders>
            <w:vAlign w:val="center"/>
          </w:tcPr>
          <w:p w14:paraId="66FF519D"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-0,96</w:t>
            </w:r>
          </w:p>
        </w:tc>
        <w:tc>
          <w:tcPr>
            <w:tcW w:w="609" w:type="pct"/>
            <w:tcBorders>
              <w:top w:val="single" w:sz="2" w:space="0" w:color="000000"/>
              <w:left w:val="nil"/>
              <w:bottom w:val="single" w:sz="2" w:space="0" w:color="000000"/>
              <w:right w:val="nil"/>
            </w:tcBorders>
            <w:vAlign w:val="center"/>
          </w:tcPr>
          <w:p w14:paraId="6BEAD464" w14:textId="77777777" w:rsidR="009F50C6" w:rsidRPr="00933A7F" w:rsidRDefault="009F50C6" w:rsidP="00C668F9">
            <w:pPr>
              <w:spacing w:after="0"/>
              <w:ind w:hanging="36"/>
              <w:jc w:val="right"/>
              <w:rPr>
                <w:rFonts w:ascii="Arial Narrow" w:hAnsi="Arial Narrow" w:cs="Calibri"/>
              </w:rPr>
            </w:pPr>
            <w:r>
              <w:rPr>
                <w:rFonts w:ascii="Arial Narrow" w:hAnsi="Arial Narrow"/>
              </w:rPr>
              <w:t>-41</w:t>
            </w:r>
          </w:p>
        </w:tc>
      </w:tr>
      <w:tr w:rsidR="004F62BB" w:rsidRPr="00933A7F" w14:paraId="65640555" w14:textId="77777777" w:rsidTr="004F62BB">
        <w:trPr>
          <w:trHeight w:val="284"/>
        </w:trPr>
        <w:tc>
          <w:tcPr>
            <w:tcW w:w="1447" w:type="pct"/>
            <w:tcBorders>
              <w:top w:val="single" w:sz="2" w:space="0" w:color="000000"/>
              <w:left w:val="nil"/>
              <w:bottom w:val="single" w:sz="2" w:space="0" w:color="000000"/>
              <w:right w:val="nil"/>
            </w:tcBorders>
            <w:shd w:val="clear" w:color="auto" w:fill="auto"/>
            <w:vAlign w:val="center"/>
            <w:hideMark/>
          </w:tcPr>
          <w:p w14:paraId="5F3C8E4F" w14:textId="69212E65" w:rsidR="009F50C6" w:rsidRPr="00933A7F" w:rsidRDefault="009F50C6" w:rsidP="004F62BB">
            <w:pPr>
              <w:pStyle w:val="cuatexto"/>
              <w:spacing w:line="240" w:lineRule="auto"/>
              <w:rPr>
                <w:color w:val="000000" w:themeColor="text1"/>
                <w:szCs w:val="20"/>
              </w:rPr>
            </w:pPr>
            <w:r>
              <w:rPr>
                <w:color w:val="000000" w:themeColor="text1"/>
              </w:rPr>
              <w:t>9. Finantza-pasiboak</w:t>
            </w:r>
          </w:p>
        </w:tc>
        <w:tc>
          <w:tcPr>
            <w:tcW w:w="556" w:type="pct"/>
            <w:tcBorders>
              <w:top w:val="single" w:sz="2" w:space="0" w:color="000000"/>
              <w:left w:val="nil"/>
              <w:bottom w:val="single" w:sz="2" w:space="0" w:color="000000"/>
              <w:right w:val="nil"/>
            </w:tcBorders>
            <w:shd w:val="clear" w:color="auto" w:fill="auto"/>
            <w:vAlign w:val="center"/>
            <w:hideMark/>
          </w:tcPr>
          <w:p w14:paraId="312C627D" w14:textId="77777777" w:rsidR="009F50C6" w:rsidRPr="00933A7F" w:rsidRDefault="009F50C6" w:rsidP="00C668F9">
            <w:pPr>
              <w:spacing w:after="0"/>
              <w:ind w:left="67" w:firstLine="0"/>
              <w:jc w:val="right"/>
              <w:rPr>
                <w:rFonts w:ascii="Arial Narrow" w:hAnsi="Arial Narrow" w:cs="Calibri"/>
                <w:color w:val="000000"/>
              </w:rPr>
            </w:pPr>
            <w:r>
              <w:rPr>
                <w:rFonts w:ascii="Arial Narrow" w:hAnsi="Arial Narrow"/>
                <w:color w:val="000000"/>
              </w:rPr>
              <w:t>22,65</w:t>
            </w:r>
          </w:p>
        </w:tc>
        <w:tc>
          <w:tcPr>
            <w:tcW w:w="556" w:type="pct"/>
            <w:tcBorders>
              <w:top w:val="single" w:sz="2" w:space="0" w:color="000000"/>
              <w:left w:val="nil"/>
              <w:bottom w:val="single" w:sz="2" w:space="0" w:color="000000"/>
              <w:right w:val="nil"/>
            </w:tcBorders>
            <w:shd w:val="clear" w:color="auto" w:fill="auto"/>
            <w:vAlign w:val="center"/>
            <w:hideMark/>
          </w:tcPr>
          <w:p w14:paraId="0ECB1D92"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7,39</w:t>
            </w:r>
          </w:p>
        </w:tc>
        <w:tc>
          <w:tcPr>
            <w:tcW w:w="557" w:type="pct"/>
            <w:tcBorders>
              <w:top w:val="single" w:sz="2" w:space="0" w:color="000000"/>
              <w:left w:val="nil"/>
              <w:bottom w:val="single" w:sz="2" w:space="0" w:color="000000"/>
              <w:right w:val="nil"/>
            </w:tcBorders>
            <w:shd w:val="clear" w:color="auto" w:fill="auto"/>
            <w:vAlign w:val="center"/>
            <w:hideMark/>
          </w:tcPr>
          <w:p w14:paraId="213A1A72" w14:textId="77777777" w:rsidR="009F50C6" w:rsidRPr="00933A7F" w:rsidRDefault="009F50C6" w:rsidP="00C668F9">
            <w:pPr>
              <w:spacing w:after="0"/>
              <w:ind w:firstLine="0"/>
              <w:jc w:val="right"/>
              <w:rPr>
                <w:rFonts w:ascii="Arial Narrow" w:hAnsi="Arial Narrow" w:cs="Calibri"/>
              </w:rPr>
            </w:pPr>
            <w:r>
              <w:rPr>
                <w:rFonts w:ascii="Arial Narrow" w:hAnsi="Arial Narrow"/>
              </w:rPr>
              <w:t>1</w:t>
            </w:r>
          </w:p>
        </w:tc>
        <w:tc>
          <w:tcPr>
            <w:tcW w:w="575" w:type="pct"/>
            <w:tcBorders>
              <w:top w:val="single" w:sz="2" w:space="0" w:color="000000"/>
              <w:left w:val="nil"/>
              <w:bottom w:val="single" w:sz="2" w:space="0" w:color="000000"/>
              <w:right w:val="nil"/>
            </w:tcBorders>
            <w:shd w:val="clear" w:color="auto" w:fill="auto"/>
            <w:vAlign w:val="center"/>
            <w:hideMark/>
          </w:tcPr>
          <w:p w14:paraId="4D1547ED" w14:textId="77777777" w:rsidR="009F50C6" w:rsidRPr="00933A7F" w:rsidRDefault="009F50C6" w:rsidP="00C668F9">
            <w:pPr>
              <w:spacing w:after="0"/>
              <w:ind w:firstLine="0"/>
              <w:jc w:val="right"/>
              <w:rPr>
                <w:rFonts w:ascii="Arial Narrow" w:hAnsi="Arial Narrow" w:cs="Calibri"/>
              </w:rPr>
            </w:pPr>
            <w:r>
              <w:rPr>
                <w:rFonts w:ascii="Arial Narrow" w:hAnsi="Arial Narrow"/>
              </w:rPr>
              <w:t>33</w:t>
            </w:r>
          </w:p>
        </w:tc>
        <w:tc>
          <w:tcPr>
            <w:tcW w:w="699" w:type="pct"/>
            <w:tcBorders>
              <w:top w:val="single" w:sz="2" w:space="0" w:color="000000"/>
              <w:left w:val="nil"/>
              <w:bottom w:val="single" w:sz="2" w:space="0" w:color="000000"/>
              <w:right w:val="nil"/>
            </w:tcBorders>
            <w:vAlign w:val="center"/>
          </w:tcPr>
          <w:p w14:paraId="447537FF" w14:textId="77777777" w:rsidR="009F50C6" w:rsidRPr="00933A7F" w:rsidRDefault="009F50C6" w:rsidP="00C668F9">
            <w:pPr>
              <w:spacing w:after="0"/>
              <w:ind w:firstLine="0"/>
              <w:jc w:val="right"/>
              <w:rPr>
                <w:rFonts w:ascii="Arial Narrow" w:hAnsi="Arial Narrow" w:cs="Calibri"/>
                <w:color w:val="000000"/>
              </w:rPr>
            </w:pPr>
            <w:r>
              <w:rPr>
                <w:rFonts w:ascii="Arial Narrow" w:hAnsi="Arial Narrow"/>
                <w:color w:val="000000"/>
              </w:rPr>
              <w:t>4,45</w:t>
            </w:r>
          </w:p>
        </w:tc>
        <w:tc>
          <w:tcPr>
            <w:tcW w:w="609" w:type="pct"/>
            <w:tcBorders>
              <w:top w:val="single" w:sz="2" w:space="0" w:color="000000"/>
              <w:left w:val="nil"/>
              <w:bottom w:val="single" w:sz="2" w:space="0" w:color="000000"/>
              <w:right w:val="nil"/>
            </w:tcBorders>
            <w:vAlign w:val="center"/>
          </w:tcPr>
          <w:p w14:paraId="5FF216DD" w14:textId="77777777" w:rsidR="009F50C6" w:rsidRPr="00933A7F" w:rsidRDefault="009F50C6" w:rsidP="00C668F9">
            <w:pPr>
              <w:spacing w:after="0"/>
              <w:ind w:hanging="36"/>
              <w:jc w:val="right"/>
              <w:rPr>
                <w:rFonts w:ascii="Arial Narrow" w:hAnsi="Arial Narrow" w:cs="Calibri"/>
              </w:rPr>
            </w:pPr>
            <w:r>
              <w:rPr>
                <w:rFonts w:ascii="Arial Narrow" w:hAnsi="Arial Narrow"/>
              </w:rPr>
              <w:t>152</w:t>
            </w:r>
          </w:p>
        </w:tc>
      </w:tr>
      <w:tr w:rsidR="004F62BB" w:rsidRPr="00933A7F" w14:paraId="53017EBF" w14:textId="77777777" w:rsidTr="00C668F9">
        <w:trPr>
          <w:trHeight w:val="284"/>
        </w:trPr>
        <w:tc>
          <w:tcPr>
            <w:tcW w:w="1447" w:type="pct"/>
            <w:tcBorders>
              <w:top w:val="single" w:sz="2" w:space="0" w:color="000000"/>
              <w:left w:val="nil"/>
              <w:bottom w:val="single" w:sz="4" w:space="0" w:color="000000"/>
              <w:right w:val="nil"/>
            </w:tcBorders>
            <w:shd w:val="clear" w:color="auto" w:fill="auto"/>
            <w:vAlign w:val="center"/>
            <w:hideMark/>
          </w:tcPr>
          <w:p w14:paraId="492D810B" w14:textId="11ECE45E" w:rsidR="009F50C6" w:rsidRPr="00933A7F" w:rsidRDefault="009F50C6" w:rsidP="004F62BB">
            <w:pPr>
              <w:pStyle w:val="cuatexto"/>
              <w:spacing w:line="240" w:lineRule="auto"/>
              <w:rPr>
                <w:b/>
                <w:i/>
                <w:iCs/>
                <w:color w:val="000000" w:themeColor="text1"/>
                <w:szCs w:val="20"/>
              </w:rPr>
            </w:pPr>
            <w:r>
              <w:rPr>
                <w:b/>
                <w:i/>
                <w:color w:val="000000" w:themeColor="text1"/>
              </w:rPr>
              <w:t>Diru-sarrera finantzarioak</w:t>
            </w:r>
          </w:p>
        </w:tc>
        <w:tc>
          <w:tcPr>
            <w:tcW w:w="556" w:type="pct"/>
            <w:tcBorders>
              <w:top w:val="single" w:sz="2" w:space="0" w:color="000000"/>
              <w:left w:val="nil"/>
              <w:bottom w:val="single" w:sz="4" w:space="0" w:color="000000"/>
              <w:right w:val="nil"/>
            </w:tcBorders>
            <w:shd w:val="clear" w:color="auto" w:fill="auto"/>
            <w:vAlign w:val="center"/>
            <w:hideMark/>
          </w:tcPr>
          <w:p w14:paraId="71BC63CD" w14:textId="77777777" w:rsidR="009F50C6" w:rsidRPr="00933A7F" w:rsidRDefault="009F50C6" w:rsidP="00C668F9">
            <w:pPr>
              <w:spacing w:after="0"/>
              <w:ind w:left="67" w:firstLine="0"/>
              <w:jc w:val="right"/>
              <w:rPr>
                <w:rFonts w:ascii="Arial Narrow" w:hAnsi="Arial Narrow" w:cs="Calibri"/>
                <w:b/>
                <w:bCs/>
                <w:i/>
                <w:iCs/>
                <w:color w:val="000000"/>
              </w:rPr>
            </w:pPr>
            <w:r>
              <w:rPr>
                <w:rFonts w:ascii="Arial Narrow" w:hAnsi="Arial Narrow"/>
                <w:b/>
                <w:i/>
                <w:color w:val="000000"/>
              </w:rPr>
              <w:t>116,10</w:t>
            </w:r>
          </w:p>
        </w:tc>
        <w:tc>
          <w:tcPr>
            <w:tcW w:w="556" w:type="pct"/>
            <w:tcBorders>
              <w:top w:val="single" w:sz="2" w:space="0" w:color="000000"/>
              <w:left w:val="nil"/>
              <w:bottom w:val="single" w:sz="4" w:space="0" w:color="000000"/>
              <w:right w:val="nil"/>
            </w:tcBorders>
            <w:shd w:val="clear" w:color="auto" w:fill="auto"/>
            <w:vAlign w:val="center"/>
            <w:hideMark/>
          </w:tcPr>
          <w:p w14:paraId="634DA363" w14:textId="77777777" w:rsidR="009F50C6" w:rsidRPr="00933A7F" w:rsidRDefault="009F50C6" w:rsidP="00C668F9">
            <w:pPr>
              <w:spacing w:after="0"/>
              <w:ind w:firstLine="0"/>
              <w:jc w:val="right"/>
              <w:rPr>
                <w:rFonts w:ascii="Arial Narrow" w:hAnsi="Arial Narrow" w:cs="Calibri"/>
                <w:b/>
                <w:bCs/>
                <w:i/>
                <w:iCs/>
                <w:color w:val="000000"/>
              </w:rPr>
            </w:pPr>
            <w:r>
              <w:rPr>
                <w:rFonts w:ascii="Arial Narrow" w:hAnsi="Arial Narrow"/>
                <w:b/>
                <w:i/>
                <w:color w:val="000000"/>
              </w:rPr>
              <w:t>8,78</w:t>
            </w:r>
          </w:p>
        </w:tc>
        <w:tc>
          <w:tcPr>
            <w:tcW w:w="557" w:type="pct"/>
            <w:tcBorders>
              <w:top w:val="single" w:sz="2" w:space="0" w:color="000000"/>
              <w:left w:val="nil"/>
              <w:bottom w:val="single" w:sz="4" w:space="0" w:color="000000"/>
              <w:right w:val="nil"/>
            </w:tcBorders>
            <w:shd w:val="clear" w:color="auto" w:fill="auto"/>
            <w:vAlign w:val="center"/>
            <w:hideMark/>
          </w:tcPr>
          <w:p w14:paraId="3481E6CE" w14:textId="77777777" w:rsidR="009F50C6" w:rsidRPr="00933A7F" w:rsidRDefault="009F50C6" w:rsidP="00C668F9">
            <w:pPr>
              <w:spacing w:after="0"/>
              <w:ind w:firstLine="0"/>
              <w:jc w:val="right"/>
              <w:rPr>
                <w:rFonts w:ascii="Arial Narrow" w:hAnsi="Arial Narrow" w:cs="Calibri"/>
                <w:b/>
                <w:bCs/>
                <w:i/>
                <w:iCs/>
              </w:rPr>
            </w:pPr>
            <w:r>
              <w:rPr>
                <w:rFonts w:ascii="Arial Narrow" w:hAnsi="Arial Narrow"/>
                <w:b/>
                <w:i/>
              </w:rPr>
              <w:t>1</w:t>
            </w:r>
          </w:p>
        </w:tc>
        <w:tc>
          <w:tcPr>
            <w:tcW w:w="575" w:type="pct"/>
            <w:tcBorders>
              <w:top w:val="single" w:sz="2" w:space="0" w:color="000000"/>
              <w:left w:val="nil"/>
              <w:bottom w:val="single" w:sz="4" w:space="0" w:color="000000"/>
              <w:right w:val="nil"/>
            </w:tcBorders>
            <w:shd w:val="clear" w:color="auto" w:fill="auto"/>
            <w:vAlign w:val="center"/>
            <w:hideMark/>
          </w:tcPr>
          <w:p w14:paraId="76803E81" w14:textId="77777777" w:rsidR="009F50C6" w:rsidRPr="00933A7F" w:rsidRDefault="009F50C6" w:rsidP="00C668F9">
            <w:pPr>
              <w:spacing w:after="0"/>
              <w:ind w:firstLine="0"/>
              <w:jc w:val="right"/>
              <w:rPr>
                <w:rFonts w:ascii="Arial Narrow" w:hAnsi="Arial Narrow" w:cs="Calibri"/>
                <w:b/>
                <w:bCs/>
                <w:i/>
                <w:iCs/>
              </w:rPr>
            </w:pPr>
            <w:r>
              <w:rPr>
                <w:rFonts w:ascii="Arial Narrow" w:hAnsi="Arial Narrow"/>
                <w:b/>
                <w:i/>
              </w:rPr>
              <w:t>8</w:t>
            </w:r>
          </w:p>
        </w:tc>
        <w:tc>
          <w:tcPr>
            <w:tcW w:w="699" w:type="pct"/>
            <w:tcBorders>
              <w:top w:val="single" w:sz="2" w:space="0" w:color="000000"/>
              <w:left w:val="nil"/>
              <w:bottom w:val="single" w:sz="4" w:space="0" w:color="000000"/>
              <w:right w:val="nil"/>
            </w:tcBorders>
            <w:vAlign w:val="center"/>
          </w:tcPr>
          <w:p w14:paraId="30EADA9E" w14:textId="77777777" w:rsidR="009F50C6" w:rsidRPr="00933A7F" w:rsidRDefault="009F50C6" w:rsidP="00C668F9">
            <w:pPr>
              <w:spacing w:after="0"/>
              <w:ind w:firstLine="0"/>
              <w:jc w:val="right"/>
              <w:rPr>
                <w:rFonts w:ascii="Arial Narrow" w:hAnsi="Arial Narrow" w:cs="Calibri"/>
                <w:b/>
                <w:bCs/>
                <w:i/>
                <w:iCs/>
                <w:color w:val="000000"/>
              </w:rPr>
            </w:pPr>
            <w:r>
              <w:rPr>
                <w:rFonts w:ascii="Arial Narrow" w:hAnsi="Arial Narrow"/>
                <w:b/>
                <w:i/>
                <w:color w:val="000000"/>
              </w:rPr>
              <w:t>3,50</w:t>
            </w:r>
          </w:p>
        </w:tc>
        <w:tc>
          <w:tcPr>
            <w:tcW w:w="609" w:type="pct"/>
            <w:tcBorders>
              <w:top w:val="single" w:sz="2" w:space="0" w:color="000000"/>
              <w:left w:val="nil"/>
              <w:bottom w:val="single" w:sz="4" w:space="0" w:color="000000"/>
              <w:right w:val="nil"/>
            </w:tcBorders>
            <w:vAlign w:val="center"/>
          </w:tcPr>
          <w:p w14:paraId="3CD1ADB3" w14:textId="77777777" w:rsidR="009F50C6" w:rsidRPr="00933A7F" w:rsidRDefault="009F50C6" w:rsidP="00C668F9">
            <w:pPr>
              <w:spacing w:after="0"/>
              <w:ind w:hanging="36"/>
              <w:jc w:val="right"/>
              <w:rPr>
                <w:rFonts w:ascii="Arial Narrow" w:hAnsi="Arial Narrow" w:cs="Calibri"/>
                <w:b/>
                <w:bCs/>
                <w:i/>
                <w:iCs/>
              </w:rPr>
            </w:pPr>
            <w:r>
              <w:rPr>
                <w:rFonts w:ascii="Arial Narrow" w:hAnsi="Arial Narrow"/>
                <w:b/>
                <w:i/>
              </w:rPr>
              <w:t>66</w:t>
            </w:r>
          </w:p>
        </w:tc>
      </w:tr>
      <w:tr w:rsidR="004F62BB" w:rsidRPr="00C668F9" w14:paraId="64155B6E" w14:textId="77777777" w:rsidTr="00C668F9">
        <w:trPr>
          <w:trHeight w:val="284"/>
        </w:trPr>
        <w:tc>
          <w:tcPr>
            <w:tcW w:w="1447" w:type="pct"/>
            <w:tcBorders>
              <w:top w:val="single" w:sz="4" w:space="0" w:color="000000"/>
              <w:left w:val="nil"/>
              <w:bottom w:val="single" w:sz="4" w:space="0" w:color="000000"/>
              <w:right w:val="nil"/>
            </w:tcBorders>
            <w:shd w:val="clear" w:color="auto" w:fill="FABF8F" w:themeFill="accent6" w:themeFillTint="99"/>
            <w:vAlign w:val="center"/>
            <w:hideMark/>
          </w:tcPr>
          <w:p w14:paraId="7B68539A" w14:textId="32C49B3D" w:rsidR="009F50C6" w:rsidRPr="00C668F9" w:rsidRDefault="009F50C6" w:rsidP="004F62BB">
            <w:pPr>
              <w:pStyle w:val="cuadroCabe"/>
              <w:rPr>
                <w:rFonts w:cs="Arial"/>
                <w:szCs w:val="18"/>
              </w:rPr>
            </w:pPr>
            <w:r>
              <w:t>Guztira</w:t>
            </w:r>
          </w:p>
        </w:tc>
        <w:tc>
          <w:tcPr>
            <w:tcW w:w="556" w:type="pct"/>
            <w:tcBorders>
              <w:top w:val="single" w:sz="4" w:space="0" w:color="000000"/>
              <w:left w:val="nil"/>
              <w:bottom w:val="single" w:sz="4" w:space="0" w:color="000000"/>
              <w:right w:val="nil"/>
            </w:tcBorders>
            <w:shd w:val="clear" w:color="auto" w:fill="FABF8F" w:themeFill="accent6" w:themeFillTint="99"/>
            <w:vAlign w:val="center"/>
            <w:hideMark/>
          </w:tcPr>
          <w:p w14:paraId="6C5C4290" w14:textId="77777777" w:rsidR="009F50C6" w:rsidRPr="00C668F9" w:rsidRDefault="009F50C6" w:rsidP="00C668F9">
            <w:pPr>
              <w:pStyle w:val="cuadroCabe"/>
              <w:ind w:left="67"/>
              <w:jc w:val="right"/>
              <w:rPr>
                <w:rFonts w:cs="Arial"/>
                <w:color w:val="000000"/>
                <w:szCs w:val="18"/>
              </w:rPr>
            </w:pPr>
            <w:r>
              <w:rPr>
                <w:color w:val="000000"/>
              </w:rPr>
              <w:t>958,42</w:t>
            </w:r>
          </w:p>
        </w:tc>
        <w:tc>
          <w:tcPr>
            <w:tcW w:w="556" w:type="pct"/>
            <w:tcBorders>
              <w:top w:val="single" w:sz="4" w:space="0" w:color="000000"/>
              <w:left w:val="nil"/>
              <w:bottom w:val="single" w:sz="4" w:space="0" w:color="000000"/>
              <w:right w:val="nil"/>
            </w:tcBorders>
            <w:shd w:val="clear" w:color="auto" w:fill="FABF8F" w:themeFill="accent6" w:themeFillTint="99"/>
            <w:vAlign w:val="center"/>
            <w:hideMark/>
          </w:tcPr>
          <w:p w14:paraId="2A7285D3" w14:textId="77777777" w:rsidR="009F50C6" w:rsidRPr="00C668F9" w:rsidRDefault="009F50C6" w:rsidP="00C668F9">
            <w:pPr>
              <w:pStyle w:val="cuadroCabe"/>
              <w:jc w:val="right"/>
              <w:rPr>
                <w:rFonts w:cs="Arial"/>
                <w:color w:val="000000"/>
                <w:szCs w:val="18"/>
              </w:rPr>
            </w:pPr>
            <w:r>
              <w:rPr>
                <w:color w:val="000000"/>
              </w:rPr>
              <w:t>855,31</w:t>
            </w:r>
          </w:p>
        </w:tc>
        <w:tc>
          <w:tcPr>
            <w:tcW w:w="557" w:type="pct"/>
            <w:tcBorders>
              <w:top w:val="single" w:sz="4" w:space="0" w:color="000000"/>
              <w:left w:val="nil"/>
              <w:bottom w:val="single" w:sz="4" w:space="0" w:color="000000"/>
              <w:right w:val="nil"/>
            </w:tcBorders>
            <w:shd w:val="clear" w:color="auto" w:fill="FABF8F" w:themeFill="accent6" w:themeFillTint="99"/>
            <w:vAlign w:val="center"/>
            <w:hideMark/>
          </w:tcPr>
          <w:p w14:paraId="0684BEB5" w14:textId="77777777" w:rsidR="009F50C6" w:rsidRPr="00C668F9" w:rsidRDefault="009F50C6" w:rsidP="00C668F9">
            <w:pPr>
              <w:pStyle w:val="cuadroCabe"/>
              <w:jc w:val="right"/>
              <w:rPr>
                <w:rFonts w:cs="Arial"/>
                <w:szCs w:val="18"/>
              </w:rPr>
            </w:pPr>
            <w:r>
              <w:t>100</w:t>
            </w:r>
          </w:p>
        </w:tc>
        <w:tc>
          <w:tcPr>
            <w:tcW w:w="575" w:type="pct"/>
            <w:tcBorders>
              <w:top w:val="single" w:sz="4" w:space="0" w:color="000000"/>
              <w:left w:val="nil"/>
              <w:bottom w:val="single" w:sz="4" w:space="0" w:color="000000"/>
              <w:right w:val="nil"/>
            </w:tcBorders>
            <w:shd w:val="clear" w:color="auto" w:fill="FABF8F" w:themeFill="accent6" w:themeFillTint="99"/>
            <w:vAlign w:val="center"/>
            <w:hideMark/>
          </w:tcPr>
          <w:p w14:paraId="2D94CB12" w14:textId="77777777" w:rsidR="009F50C6" w:rsidRPr="00C668F9" w:rsidRDefault="009F50C6" w:rsidP="00C668F9">
            <w:pPr>
              <w:pStyle w:val="cuadroCabe"/>
              <w:jc w:val="right"/>
              <w:rPr>
                <w:rFonts w:cs="Arial"/>
                <w:szCs w:val="18"/>
              </w:rPr>
            </w:pPr>
            <w:r>
              <w:t>89</w:t>
            </w:r>
          </w:p>
        </w:tc>
        <w:tc>
          <w:tcPr>
            <w:tcW w:w="699" w:type="pct"/>
            <w:tcBorders>
              <w:top w:val="single" w:sz="4" w:space="0" w:color="000000"/>
              <w:left w:val="nil"/>
              <w:bottom w:val="single" w:sz="4" w:space="0" w:color="000000"/>
              <w:right w:val="nil"/>
            </w:tcBorders>
            <w:shd w:val="clear" w:color="auto" w:fill="FABF8F" w:themeFill="accent6" w:themeFillTint="99"/>
            <w:vAlign w:val="center"/>
          </w:tcPr>
          <w:p w14:paraId="403F368C" w14:textId="77777777" w:rsidR="009F50C6" w:rsidRPr="00C668F9" w:rsidRDefault="009F50C6" w:rsidP="00C668F9">
            <w:pPr>
              <w:pStyle w:val="cuadroCabe"/>
              <w:jc w:val="right"/>
              <w:rPr>
                <w:rFonts w:cs="Arial"/>
                <w:bCs/>
                <w:color w:val="000000"/>
                <w:szCs w:val="18"/>
              </w:rPr>
            </w:pPr>
            <w:r>
              <w:rPr>
                <w:color w:val="000000"/>
              </w:rPr>
              <w:t>-36,09</w:t>
            </w:r>
          </w:p>
        </w:tc>
        <w:tc>
          <w:tcPr>
            <w:tcW w:w="609" w:type="pct"/>
            <w:tcBorders>
              <w:top w:val="single" w:sz="4" w:space="0" w:color="000000"/>
              <w:left w:val="nil"/>
              <w:bottom w:val="single" w:sz="4" w:space="0" w:color="000000"/>
              <w:right w:val="nil"/>
            </w:tcBorders>
            <w:shd w:val="clear" w:color="auto" w:fill="FABF8F" w:themeFill="accent6" w:themeFillTint="99"/>
            <w:vAlign w:val="center"/>
          </w:tcPr>
          <w:p w14:paraId="541C7DDD" w14:textId="77777777" w:rsidR="009F50C6" w:rsidRPr="00C668F9" w:rsidRDefault="009F50C6" w:rsidP="00C668F9">
            <w:pPr>
              <w:pStyle w:val="cuadroCabe"/>
              <w:jc w:val="right"/>
              <w:rPr>
                <w:rFonts w:cs="Arial"/>
                <w:szCs w:val="18"/>
              </w:rPr>
            </w:pPr>
            <w:r>
              <w:t>-4</w:t>
            </w:r>
          </w:p>
        </w:tc>
      </w:tr>
    </w:tbl>
    <w:p w14:paraId="22616421" w14:textId="39BAA16B" w:rsidR="00345C6C" w:rsidRPr="00082610" w:rsidRDefault="00345C6C" w:rsidP="00C668F9">
      <w:pPr>
        <w:pStyle w:val="texto"/>
        <w:spacing w:before="60" w:after="40"/>
        <w:ind w:right="-142" w:firstLine="0"/>
        <w:rPr>
          <w:rFonts w:ascii="Arial" w:hAnsi="Arial" w:cs="Arial"/>
          <w:color w:val="000000" w:themeColor="text1"/>
          <w:sz w:val="14"/>
          <w:szCs w:val="14"/>
        </w:rPr>
      </w:pPr>
      <w:r>
        <w:rPr>
          <w:rFonts w:ascii="Arial" w:hAnsi="Arial"/>
          <w:color w:val="000000" w:themeColor="text1"/>
          <w:sz w:val="14"/>
        </w:rPr>
        <w:t>(*) Toki entitateak eta haien menpeko erakunde autonomoak sartu dira, baina ez sozietate publikoak, fundazio publikoak eta partzuergoak.</w:t>
      </w:r>
    </w:p>
    <w:p w14:paraId="0D4AFF50" w14:textId="6D6A0EEA" w:rsidR="009F50C6" w:rsidRDefault="00345C6C" w:rsidP="00345C6C">
      <w:pPr>
        <w:pStyle w:val="texto"/>
        <w:spacing w:before="120"/>
        <w:rPr>
          <w:color w:val="000000" w:themeColor="text1"/>
        </w:rPr>
      </w:pPr>
      <w:r>
        <w:rPr>
          <w:color w:val="000000" w:themeColor="text1"/>
        </w:rPr>
        <w:lastRenderedPageBreak/>
        <w:t xml:space="preserve">Diru-sarrerei buruzko 2020rako behin betiko aurreikuspenek 958,42 milioi euro egiten dute, eta ehuneko 89ko betetze maila dute. Diru-sarrera arruntek ehuneko 103ko betetze maila dute. Kapitaleko diru-sarrerak eta finantzarioak, berriz, hurrenez hurren ehuneko 75eraino eta ehuneko zortziraino bete ziren. </w:t>
      </w:r>
    </w:p>
    <w:p w14:paraId="113151D1" w14:textId="49E4650E" w:rsidR="009F50C6" w:rsidRDefault="009F50C6" w:rsidP="00345C6C">
      <w:pPr>
        <w:pStyle w:val="texto"/>
        <w:rPr>
          <w:color w:val="000000" w:themeColor="text1"/>
        </w:rPr>
      </w:pPr>
      <w:r>
        <w:rPr>
          <w:color w:val="000000" w:themeColor="text1"/>
        </w:rPr>
        <w:t>Aitortutako eskubide garbiek 855,31 milioi egin zuten. Horietatik ehuneko 91 diru-sarrera arruntak izan ziren (gehienbat transferentziak eta tributuak), eta kapitalekoak ehuneko zortzi izan ziren.</w:t>
      </w:r>
    </w:p>
    <w:p w14:paraId="2C1C89C8" w14:textId="19DEB9CF" w:rsidR="009F50C6" w:rsidRDefault="009F50C6" w:rsidP="00345C6C">
      <w:pPr>
        <w:pStyle w:val="texto"/>
        <w:rPr>
          <w:color w:val="000000" w:themeColor="text1"/>
        </w:rPr>
      </w:pPr>
      <w:r>
        <w:rPr>
          <w:color w:val="000000" w:themeColor="text1"/>
        </w:rPr>
        <w:t>2020ko guztizko diru-sarrerak 2019koak baino ehuneko lau gutxiago izan ziren. Diru-sarrera arruntetan ehuneko bateko jaitsiera dago, transferentzia arrunten 32,36 milioiko gehikuntzak ia osorik konpentsatzen baititu gainerako kapituluetako diru-sarreren jaitsierak. Kapitaleko diru-sarreretan, berriz, ehuneko 32ko beherakada dago, eta arrazoi nagusia kapital-transferentzien bidezko diru-sarreren murrizketa da, 26,92 milioikoa.</w:t>
      </w:r>
    </w:p>
    <w:p w14:paraId="5DDE82BD" w14:textId="0A7DFCE2" w:rsidR="008433A0" w:rsidRDefault="009F50C6" w:rsidP="008433A0">
      <w:pPr>
        <w:pStyle w:val="texto"/>
        <w:rPr>
          <w:color w:val="000000" w:themeColor="text1"/>
        </w:rPr>
      </w:pPr>
      <w:r>
        <w:rPr>
          <w:color w:val="000000" w:themeColor="text1"/>
        </w:rPr>
        <w:t>Guztizko diru-sarreretatik, ehuneko 85 udalei dagokie, ehuneko 13 mankomunitate eta batasunei eta gainerako ehuneko bia kontzejuei. Banaketa hori aurreko ekitaldikoaren antzekoa da.</w:t>
      </w:r>
    </w:p>
    <w:p w14:paraId="3C4A78A2" w14:textId="11333332" w:rsidR="00887977" w:rsidRPr="002F17A2" w:rsidRDefault="008433A0" w:rsidP="008433A0">
      <w:pPr>
        <w:pStyle w:val="texto"/>
        <w:rPr>
          <w:color w:val="000000" w:themeColor="text1"/>
        </w:rPr>
      </w:pPr>
      <w:r>
        <w:rPr>
          <w:color w:val="000000" w:themeColor="text1"/>
        </w:rPr>
        <w:t>Banaketan eragin handirik ez badute ere, azpimarratzekoak dira diru-sarreren urtetik urterako aldaketan udalen, mankomunitateen eta kontzejuen artean dauden desberdintasunak: ehuneko biko, 11ko eta 38ko jaitsiera izan dute hurrenez hurren, eta horrek zerikusia du toki entitate mota bakoitzak diru-sarreren egitura desberdina izatearekin.</w:t>
      </w:r>
    </w:p>
    <w:p w14:paraId="1002AEE1" w14:textId="6AECEA73" w:rsidR="00051F60" w:rsidRDefault="00051F60" w:rsidP="004E2CFD">
      <w:pPr>
        <w:pStyle w:val="texto"/>
        <w:spacing w:after="0"/>
        <w:rPr>
          <w:color w:val="000000" w:themeColor="text1"/>
        </w:rPr>
      </w:pPr>
      <w:r>
        <w:rPr>
          <w:color w:val="000000" w:themeColor="text1"/>
        </w:rPr>
        <w:t>Toki sektore publikoaren 2020ko guztizko diru-sarrerak, gorago aipatutako hiru sozietateekin bateratuta, 933,78 milioikoak dira orotara. Hona hemen xehakapena:</w:t>
      </w:r>
    </w:p>
    <w:p w14:paraId="08EF80FF" w14:textId="53A647E2" w:rsidR="008E43F9" w:rsidRPr="00642D26" w:rsidRDefault="007A1EC0" w:rsidP="00642D26">
      <w:pPr>
        <w:pStyle w:val="texto"/>
        <w:tabs>
          <w:tab w:val="center" w:pos="8789"/>
        </w:tabs>
        <w:spacing w:after="0"/>
        <w:jc w:val="right"/>
        <w:rPr>
          <w:rFonts w:ascii="Arial Narrow" w:hAnsi="Arial Narrow"/>
          <w:color w:val="000000" w:themeColor="text1"/>
          <w:sz w:val="18"/>
          <w:szCs w:val="18"/>
        </w:rPr>
      </w:pPr>
      <w:r>
        <w:rPr>
          <w:rFonts w:ascii="Arial Narrow" w:hAnsi="Arial Narrow"/>
          <w:color w:val="000000" w:themeColor="text1"/>
          <w:sz w:val="18"/>
        </w:rPr>
        <w:t>(Milioiak)</w:t>
      </w:r>
    </w:p>
    <w:tbl>
      <w:tblPr>
        <w:tblW w:w="8802" w:type="dxa"/>
        <w:tblInd w:w="70" w:type="dxa"/>
        <w:tblCellMar>
          <w:left w:w="70" w:type="dxa"/>
          <w:right w:w="70" w:type="dxa"/>
        </w:tblCellMar>
        <w:tblLook w:val="04A0" w:firstRow="1" w:lastRow="0" w:firstColumn="1" w:lastColumn="0" w:noHBand="0" w:noVBand="1"/>
      </w:tblPr>
      <w:tblGrid>
        <w:gridCol w:w="3332"/>
        <w:gridCol w:w="1383"/>
        <w:gridCol w:w="1222"/>
        <w:gridCol w:w="1403"/>
        <w:gridCol w:w="1462"/>
      </w:tblGrid>
      <w:tr w:rsidR="00642D26" w:rsidRPr="007A1EC0" w14:paraId="244F08C5" w14:textId="77777777" w:rsidTr="004E2CFD">
        <w:trPr>
          <w:trHeight w:val="227"/>
        </w:trPr>
        <w:tc>
          <w:tcPr>
            <w:tcW w:w="3332" w:type="dxa"/>
            <w:tcBorders>
              <w:top w:val="single" w:sz="4" w:space="0" w:color="000000"/>
              <w:left w:val="nil"/>
              <w:bottom w:val="single" w:sz="4" w:space="0" w:color="000000"/>
              <w:right w:val="nil"/>
            </w:tcBorders>
            <w:shd w:val="clear" w:color="auto" w:fill="FABF8F" w:themeFill="accent6" w:themeFillTint="99"/>
            <w:vAlign w:val="center"/>
          </w:tcPr>
          <w:p w14:paraId="51FBA0EA" w14:textId="77777777" w:rsidR="00642D26" w:rsidRPr="007A1EC0" w:rsidRDefault="00642D26" w:rsidP="004E2CFD">
            <w:pPr>
              <w:pStyle w:val="cuadroCabe"/>
              <w:spacing w:line="240" w:lineRule="auto"/>
              <w:rPr>
                <w:sz w:val="16"/>
                <w:szCs w:val="16"/>
              </w:rPr>
            </w:pPr>
            <w:r>
              <w:rPr>
                <w:sz w:val="16"/>
              </w:rPr>
              <w:t>DIRU-SARRERAK 2020</w:t>
            </w:r>
          </w:p>
        </w:tc>
        <w:tc>
          <w:tcPr>
            <w:tcW w:w="1383" w:type="dxa"/>
            <w:vMerge w:val="restart"/>
            <w:tcBorders>
              <w:top w:val="single" w:sz="4" w:space="0" w:color="000000"/>
              <w:left w:val="nil"/>
              <w:right w:val="nil"/>
            </w:tcBorders>
            <w:shd w:val="clear" w:color="auto" w:fill="FABF8F" w:themeFill="accent6" w:themeFillTint="99"/>
            <w:vAlign w:val="center"/>
          </w:tcPr>
          <w:p w14:paraId="3D590D2C" w14:textId="77777777" w:rsidR="00642D26" w:rsidRPr="007A1EC0" w:rsidRDefault="00642D26" w:rsidP="004E2CFD">
            <w:pPr>
              <w:pStyle w:val="cuadroCabe"/>
              <w:spacing w:line="240" w:lineRule="auto"/>
              <w:jc w:val="right"/>
              <w:rPr>
                <w:sz w:val="16"/>
                <w:szCs w:val="16"/>
              </w:rPr>
            </w:pPr>
            <w:r>
              <w:rPr>
                <w:sz w:val="16"/>
              </w:rPr>
              <w:t xml:space="preserve">Sozietateekin bateratu gabe </w:t>
            </w:r>
          </w:p>
          <w:p w14:paraId="1C5B147F" w14:textId="77777777" w:rsidR="00642D26" w:rsidRPr="007A1EC0" w:rsidRDefault="00642D26" w:rsidP="004E2CFD">
            <w:pPr>
              <w:pStyle w:val="cuadroCabe"/>
              <w:spacing w:line="240" w:lineRule="auto"/>
              <w:jc w:val="right"/>
              <w:rPr>
                <w:sz w:val="16"/>
                <w:szCs w:val="16"/>
              </w:rPr>
            </w:pPr>
          </w:p>
        </w:tc>
        <w:tc>
          <w:tcPr>
            <w:tcW w:w="2625" w:type="dxa"/>
            <w:gridSpan w:val="2"/>
            <w:tcBorders>
              <w:top w:val="single" w:sz="4" w:space="0" w:color="000000"/>
              <w:left w:val="nil"/>
              <w:bottom w:val="single" w:sz="4" w:space="0" w:color="000000"/>
              <w:right w:val="nil"/>
            </w:tcBorders>
            <w:shd w:val="clear" w:color="auto" w:fill="FABF8F" w:themeFill="accent6" w:themeFillTint="99"/>
            <w:vAlign w:val="center"/>
          </w:tcPr>
          <w:p w14:paraId="1C7CB020" w14:textId="77777777" w:rsidR="00642D26" w:rsidRPr="007A1EC0" w:rsidRDefault="00642D26" w:rsidP="004E2CFD">
            <w:pPr>
              <w:pStyle w:val="cuadroCabe"/>
              <w:spacing w:line="240" w:lineRule="auto"/>
              <w:jc w:val="right"/>
              <w:rPr>
                <w:sz w:val="16"/>
                <w:szCs w:val="16"/>
              </w:rPr>
            </w:pPr>
            <w:r>
              <w:rPr>
                <w:sz w:val="16"/>
              </w:rPr>
              <w:t>3 sozietaterekin bateratuta</w:t>
            </w:r>
          </w:p>
        </w:tc>
        <w:tc>
          <w:tcPr>
            <w:tcW w:w="1462" w:type="dxa"/>
            <w:vMerge w:val="restart"/>
            <w:tcBorders>
              <w:top w:val="single" w:sz="4" w:space="0" w:color="000000"/>
              <w:left w:val="nil"/>
              <w:right w:val="nil"/>
            </w:tcBorders>
            <w:shd w:val="clear" w:color="auto" w:fill="FABF8F" w:themeFill="accent6" w:themeFillTint="99"/>
            <w:vAlign w:val="center"/>
          </w:tcPr>
          <w:p w14:paraId="24F3C939" w14:textId="77777777" w:rsidR="00642D26" w:rsidRPr="007A1EC0" w:rsidRDefault="00642D26" w:rsidP="004E2CFD">
            <w:pPr>
              <w:pStyle w:val="cuadroCabe"/>
              <w:spacing w:line="240" w:lineRule="auto"/>
              <w:jc w:val="right"/>
              <w:rPr>
                <w:sz w:val="16"/>
                <w:szCs w:val="16"/>
              </w:rPr>
            </w:pPr>
            <w:r>
              <w:rPr>
                <w:sz w:val="16"/>
              </w:rPr>
              <w:t xml:space="preserve">Bateratzearen eragina </w:t>
            </w:r>
          </w:p>
          <w:p w14:paraId="66DC1643" w14:textId="0B0B10D5" w:rsidR="00642D26" w:rsidRPr="007A1EC0" w:rsidRDefault="00642D26" w:rsidP="004E2CFD">
            <w:pPr>
              <w:pStyle w:val="cuadroCabe"/>
              <w:spacing w:line="240" w:lineRule="auto"/>
              <w:jc w:val="right"/>
              <w:rPr>
                <w:sz w:val="16"/>
                <w:szCs w:val="16"/>
              </w:rPr>
            </w:pPr>
          </w:p>
        </w:tc>
      </w:tr>
      <w:tr w:rsidR="00642D26" w:rsidRPr="007A1EC0" w14:paraId="095E1D3D" w14:textId="77777777" w:rsidTr="004E2CFD">
        <w:trPr>
          <w:trHeight w:val="170"/>
        </w:trPr>
        <w:tc>
          <w:tcPr>
            <w:tcW w:w="3332" w:type="dxa"/>
            <w:tcBorders>
              <w:top w:val="single" w:sz="4" w:space="0" w:color="000000"/>
              <w:left w:val="nil"/>
              <w:bottom w:val="single" w:sz="4" w:space="0" w:color="000000"/>
              <w:right w:val="nil"/>
            </w:tcBorders>
            <w:shd w:val="clear" w:color="auto" w:fill="FABF8F" w:themeFill="accent6" w:themeFillTint="99"/>
            <w:vAlign w:val="center"/>
            <w:hideMark/>
          </w:tcPr>
          <w:p w14:paraId="07102DC9" w14:textId="77777777" w:rsidR="00642D26" w:rsidRPr="007A1EC0" w:rsidRDefault="00642D26" w:rsidP="004E2CFD">
            <w:pPr>
              <w:pStyle w:val="cuadroCabe"/>
              <w:spacing w:line="240" w:lineRule="auto"/>
              <w:rPr>
                <w:sz w:val="16"/>
                <w:szCs w:val="16"/>
              </w:rPr>
            </w:pPr>
            <w:r>
              <w:rPr>
                <w:sz w:val="16"/>
              </w:rPr>
              <w:t>Kapitulua</w:t>
            </w:r>
          </w:p>
        </w:tc>
        <w:tc>
          <w:tcPr>
            <w:tcW w:w="1383" w:type="dxa"/>
            <w:vMerge/>
            <w:tcBorders>
              <w:left w:val="nil"/>
              <w:bottom w:val="single" w:sz="4" w:space="0" w:color="000000"/>
              <w:right w:val="nil"/>
            </w:tcBorders>
            <w:shd w:val="clear" w:color="auto" w:fill="FABF8F" w:themeFill="accent6" w:themeFillTint="99"/>
            <w:vAlign w:val="center"/>
            <w:hideMark/>
          </w:tcPr>
          <w:p w14:paraId="12B91EB0" w14:textId="77777777" w:rsidR="00642D26" w:rsidRPr="007A1EC0" w:rsidRDefault="00642D26" w:rsidP="004E2CFD">
            <w:pPr>
              <w:pStyle w:val="cuadroCabe"/>
              <w:spacing w:line="240" w:lineRule="auto"/>
              <w:jc w:val="right"/>
              <w:rPr>
                <w:sz w:val="16"/>
                <w:szCs w:val="16"/>
              </w:rPr>
            </w:pPr>
          </w:p>
        </w:tc>
        <w:tc>
          <w:tcPr>
            <w:tcW w:w="1222" w:type="dxa"/>
            <w:tcBorders>
              <w:top w:val="single" w:sz="4" w:space="0" w:color="000000"/>
              <w:left w:val="nil"/>
              <w:bottom w:val="single" w:sz="4" w:space="0" w:color="000000"/>
              <w:right w:val="nil"/>
            </w:tcBorders>
            <w:shd w:val="clear" w:color="auto" w:fill="FABF8F" w:themeFill="accent6" w:themeFillTint="99"/>
            <w:vAlign w:val="center"/>
            <w:hideMark/>
          </w:tcPr>
          <w:p w14:paraId="040CBB4A" w14:textId="77777777" w:rsidR="00642D26" w:rsidRPr="007A1EC0" w:rsidRDefault="00642D26" w:rsidP="004E2CFD">
            <w:pPr>
              <w:pStyle w:val="cuadroCabe"/>
              <w:spacing w:line="240" w:lineRule="auto"/>
              <w:jc w:val="right"/>
              <w:rPr>
                <w:sz w:val="16"/>
                <w:szCs w:val="16"/>
              </w:rPr>
            </w:pPr>
            <w:r>
              <w:rPr>
                <w:sz w:val="16"/>
              </w:rPr>
              <w:t>Diru-sarrerak 2020</w:t>
            </w:r>
          </w:p>
        </w:tc>
        <w:tc>
          <w:tcPr>
            <w:tcW w:w="1403" w:type="dxa"/>
            <w:tcBorders>
              <w:top w:val="single" w:sz="4" w:space="0" w:color="000000"/>
              <w:left w:val="nil"/>
              <w:bottom w:val="single" w:sz="4" w:space="0" w:color="000000"/>
              <w:right w:val="nil"/>
            </w:tcBorders>
            <w:shd w:val="clear" w:color="auto" w:fill="FABF8F" w:themeFill="accent6" w:themeFillTint="99"/>
            <w:vAlign w:val="center"/>
            <w:hideMark/>
          </w:tcPr>
          <w:p w14:paraId="268DC751" w14:textId="77777777" w:rsidR="00642D26" w:rsidRPr="007A1EC0" w:rsidRDefault="00642D26" w:rsidP="004E2CFD">
            <w:pPr>
              <w:pStyle w:val="cuadroCabe"/>
              <w:spacing w:line="240" w:lineRule="auto"/>
              <w:jc w:val="right"/>
              <w:rPr>
                <w:sz w:val="16"/>
                <w:szCs w:val="16"/>
              </w:rPr>
            </w:pPr>
            <w:r>
              <w:rPr>
                <w:sz w:val="16"/>
              </w:rPr>
              <w:t>Diru-sarrera guztien gainean (%)</w:t>
            </w:r>
          </w:p>
          <w:p w14:paraId="7779BA68" w14:textId="6A3C4E1E" w:rsidR="00642D26" w:rsidRPr="007A1EC0" w:rsidRDefault="00642D26" w:rsidP="004E2CFD">
            <w:pPr>
              <w:pStyle w:val="cuadroCabe"/>
              <w:spacing w:line="240" w:lineRule="auto"/>
              <w:jc w:val="right"/>
              <w:rPr>
                <w:sz w:val="16"/>
                <w:szCs w:val="16"/>
              </w:rPr>
            </w:pPr>
            <w:r>
              <w:rPr>
                <w:sz w:val="16"/>
              </w:rPr>
              <w:t xml:space="preserve"> </w:t>
            </w:r>
          </w:p>
        </w:tc>
        <w:tc>
          <w:tcPr>
            <w:tcW w:w="1462" w:type="dxa"/>
            <w:vMerge/>
            <w:tcBorders>
              <w:left w:val="nil"/>
              <w:bottom w:val="single" w:sz="4" w:space="0" w:color="000000"/>
              <w:right w:val="nil"/>
            </w:tcBorders>
            <w:shd w:val="clear" w:color="auto" w:fill="FABF8F" w:themeFill="accent6" w:themeFillTint="99"/>
            <w:vAlign w:val="center"/>
            <w:hideMark/>
          </w:tcPr>
          <w:p w14:paraId="21BDCC94" w14:textId="77777777" w:rsidR="00642D26" w:rsidRPr="007A1EC0" w:rsidRDefault="00642D26" w:rsidP="004E2CFD">
            <w:pPr>
              <w:pStyle w:val="cuadroCabe"/>
              <w:spacing w:line="240" w:lineRule="auto"/>
              <w:jc w:val="right"/>
              <w:rPr>
                <w:sz w:val="16"/>
                <w:szCs w:val="16"/>
              </w:rPr>
            </w:pPr>
          </w:p>
        </w:tc>
      </w:tr>
      <w:tr w:rsidR="00642D26" w:rsidRPr="00933A7F" w14:paraId="4F54A417"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7A946DF8" w14:textId="18881484" w:rsidR="00642D26" w:rsidRPr="00933A7F" w:rsidRDefault="00642D26" w:rsidP="004E2CFD">
            <w:pPr>
              <w:pStyle w:val="cuatexto"/>
              <w:spacing w:line="240" w:lineRule="auto"/>
              <w:rPr>
                <w:szCs w:val="20"/>
              </w:rPr>
            </w:pPr>
            <w:r>
              <w:t>1. Zuzeneko zergak</w:t>
            </w:r>
          </w:p>
        </w:tc>
        <w:tc>
          <w:tcPr>
            <w:tcW w:w="1383" w:type="dxa"/>
            <w:tcBorders>
              <w:top w:val="nil"/>
              <w:left w:val="nil"/>
              <w:bottom w:val="single" w:sz="4" w:space="0" w:color="000000"/>
              <w:right w:val="nil"/>
            </w:tcBorders>
            <w:shd w:val="clear" w:color="auto" w:fill="auto"/>
            <w:vAlign w:val="center"/>
            <w:hideMark/>
          </w:tcPr>
          <w:p w14:paraId="2B4BC7DE" w14:textId="77777777" w:rsidR="00642D26" w:rsidRPr="00933A7F" w:rsidRDefault="00642D26" w:rsidP="004E2CFD">
            <w:pPr>
              <w:pStyle w:val="cuatexto"/>
              <w:spacing w:line="240" w:lineRule="auto"/>
              <w:jc w:val="right"/>
              <w:rPr>
                <w:color w:val="000000"/>
                <w:szCs w:val="20"/>
              </w:rPr>
            </w:pPr>
            <w:r>
              <w:rPr>
                <w:color w:val="000000"/>
              </w:rPr>
              <w:t>198,25</w:t>
            </w:r>
          </w:p>
        </w:tc>
        <w:tc>
          <w:tcPr>
            <w:tcW w:w="1222" w:type="dxa"/>
            <w:tcBorders>
              <w:top w:val="nil"/>
              <w:left w:val="nil"/>
              <w:bottom w:val="single" w:sz="4" w:space="0" w:color="000000"/>
              <w:right w:val="nil"/>
            </w:tcBorders>
            <w:shd w:val="clear" w:color="auto" w:fill="auto"/>
            <w:vAlign w:val="center"/>
            <w:hideMark/>
          </w:tcPr>
          <w:p w14:paraId="3BFB3AE0" w14:textId="77777777" w:rsidR="00642D26" w:rsidRPr="00933A7F" w:rsidRDefault="00642D26" w:rsidP="004E2CFD">
            <w:pPr>
              <w:pStyle w:val="cuatexto"/>
              <w:spacing w:line="240" w:lineRule="auto"/>
              <w:jc w:val="right"/>
              <w:rPr>
                <w:color w:val="000000"/>
                <w:szCs w:val="20"/>
              </w:rPr>
            </w:pPr>
            <w:r>
              <w:rPr>
                <w:color w:val="000000"/>
              </w:rPr>
              <w:t>198,25</w:t>
            </w:r>
          </w:p>
        </w:tc>
        <w:tc>
          <w:tcPr>
            <w:tcW w:w="1403" w:type="dxa"/>
            <w:tcBorders>
              <w:top w:val="nil"/>
              <w:left w:val="nil"/>
              <w:bottom w:val="single" w:sz="4" w:space="0" w:color="000000"/>
              <w:right w:val="nil"/>
            </w:tcBorders>
            <w:shd w:val="clear" w:color="auto" w:fill="auto"/>
            <w:vAlign w:val="center"/>
            <w:hideMark/>
          </w:tcPr>
          <w:p w14:paraId="300E8874" w14:textId="77777777" w:rsidR="00642D26" w:rsidRPr="00933A7F" w:rsidRDefault="00642D26" w:rsidP="004E2CFD">
            <w:pPr>
              <w:pStyle w:val="cuatexto"/>
              <w:spacing w:line="240" w:lineRule="auto"/>
              <w:jc w:val="right"/>
              <w:rPr>
                <w:szCs w:val="20"/>
              </w:rPr>
            </w:pPr>
            <w:r>
              <w:t>21,2</w:t>
            </w:r>
          </w:p>
        </w:tc>
        <w:tc>
          <w:tcPr>
            <w:tcW w:w="1462" w:type="dxa"/>
            <w:tcBorders>
              <w:top w:val="nil"/>
              <w:left w:val="nil"/>
              <w:bottom w:val="single" w:sz="4" w:space="0" w:color="000000"/>
              <w:right w:val="nil"/>
            </w:tcBorders>
            <w:shd w:val="clear" w:color="auto" w:fill="auto"/>
            <w:vAlign w:val="center"/>
            <w:hideMark/>
          </w:tcPr>
          <w:p w14:paraId="5FF183A8" w14:textId="77777777" w:rsidR="00642D26" w:rsidRPr="00933A7F" w:rsidRDefault="00642D26" w:rsidP="004E2CFD">
            <w:pPr>
              <w:pStyle w:val="cuatexto"/>
              <w:spacing w:line="240" w:lineRule="auto"/>
              <w:jc w:val="right"/>
              <w:rPr>
                <w:color w:val="000000"/>
                <w:szCs w:val="20"/>
              </w:rPr>
            </w:pPr>
            <w:r>
              <w:rPr>
                <w:color w:val="000000"/>
              </w:rPr>
              <w:t>0,00</w:t>
            </w:r>
          </w:p>
        </w:tc>
      </w:tr>
      <w:tr w:rsidR="00642D26" w:rsidRPr="00933A7F" w14:paraId="07BC8E43"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7D27DAF2" w14:textId="2AEE6D7B" w:rsidR="00642D26" w:rsidRPr="00933A7F" w:rsidRDefault="00642D26" w:rsidP="004E2CFD">
            <w:pPr>
              <w:pStyle w:val="cuatexto"/>
              <w:spacing w:line="240" w:lineRule="auto"/>
              <w:rPr>
                <w:szCs w:val="20"/>
              </w:rPr>
            </w:pPr>
            <w:r>
              <w:t>2. Zeharkako zergak</w:t>
            </w:r>
          </w:p>
        </w:tc>
        <w:tc>
          <w:tcPr>
            <w:tcW w:w="1383" w:type="dxa"/>
            <w:tcBorders>
              <w:top w:val="nil"/>
              <w:left w:val="nil"/>
              <w:bottom w:val="single" w:sz="4" w:space="0" w:color="000000"/>
              <w:right w:val="nil"/>
            </w:tcBorders>
            <w:shd w:val="clear" w:color="auto" w:fill="auto"/>
            <w:vAlign w:val="center"/>
            <w:hideMark/>
          </w:tcPr>
          <w:p w14:paraId="7D0778E3" w14:textId="77777777" w:rsidR="00642D26" w:rsidRPr="00933A7F" w:rsidRDefault="00642D26" w:rsidP="004E2CFD">
            <w:pPr>
              <w:pStyle w:val="cuatexto"/>
              <w:spacing w:line="240" w:lineRule="auto"/>
              <w:jc w:val="right"/>
              <w:rPr>
                <w:color w:val="000000"/>
                <w:szCs w:val="20"/>
              </w:rPr>
            </w:pPr>
            <w:r>
              <w:rPr>
                <w:color w:val="000000"/>
              </w:rPr>
              <w:t>22,40</w:t>
            </w:r>
          </w:p>
        </w:tc>
        <w:tc>
          <w:tcPr>
            <w:tcW w:w="1222" w:type="dxa"/>
            <w:tcBorders>
              <w:top w:val="nil"/>
              <w:left w:val="nil"/>
              <w:bottom w:val="single" w:sz="4" w:space="0" w:color="000000"/>
              <w:right w:val="nil"/>
            </w:tcBorders>
            <w:shd w:val="clear" w:color="auto" w:fill="auto"/>
            <w:vAlign w:val="center"/>
            <w:hideMark/>
          </w:tcPr>
          <w:p w14:paraId="2973BE76" w14:textId="77777777" w:rsidR="00642D26" w:rsidRPr="00933A7F" w:rsidRDefault="00642D26" w:rsidP="004E2CFD">
            <w:pPr>
              <w:pStyle w:val="cuatexto"/>
              <w:spacing w:line="240" w:lineRule="auto"/>
              <w:jc w:val="right"/>
              <w:rPr>
                <w:color w:val="000000"/>
                <w:szCs w:val="20"/>
              </w:rPr>
            </w:pPr>
            <w:r>
              <w:rPr>
                <w:color w:val="000000"/>
              </w:rPr>
              <w:t>22,40</w:t>
            </w:r>
          </w:p>
        </w:tc>
        <w:tc>
          <w:tcPr>
            <w:tcW w:w="1403" w:type="dxa"/>
            <w:tcBorders>
              <w:top w:val="nil"/>
              <w:left w:val="nil"/>
              <w:bottom w:val="single" w:sz="4" w:space="0" w:color="000000"/>
              <w:right w:val="nil"/>
            </w:tcBorders>
            <w:shd w:val="clear" w:color="auto" w:fill="auto"/>
            <w:vAlign w:val="center"/>
            <w:hideMark/>
          </w:tcPr>
          <w:p w14:paraId="585E718F" w14:textId="77777777" w:rsidR="00642D26" w:rsidRPr="00933A7F" w:rsidRDefault="00642D26" w:rsidP="004E2CFD">
            <w:pPr>
              <w:pStyle w:val="cuatexto"/>
              <w:spacing w:line="240" w:lineRule="auto"/>
              <w:jc w:val="right"/>
              <w:rPr>
                <w:szCs w:val="20"/>
              </w:rPr>
            </w:pPr>
            <w:r>
              <w:t>2,4</w:t>
            </w:r>
          </w:p>
        </w:tc>
        <w:tc>
          <w:tcPr>
            <w:tcW w:w="1462" w:type="dxa"/>
            <w:tcBorders>
              <w:top w:val="nil"/>
              <w:left w:val="nil"/>
              <w:bottom w:val="single" w:sz="4" w:space="0" w:color="000000"/>
              <w:right w:val="nil"/>
            </w:tcBorders>
            <w:shd w:val="clear" w:color="auto" w:fill="auto"/>
            <w:vAlign w:val="center"/>
            <w:hideMark/>
          </w:tcPr>
          <w:p w14:paraId="787A5284" w14:textId="77777777" w:rsidR="00642D26" w:rsidRPr="00933A7F" w:rsidRDefault="00642D26" w:rsidP="004E2CFD">
            <w:pPr>
              <w:pStyle w:val="cuatexto"/>
              <w:spacing w:line="240" w:lineRule="auto"/>
              <w:jc w:val="right"/>
              <w:rPr>
                <w:color w:val="000000"/>
                <w:szCs w:val="20"/>
              </w:rPr>
            </w:pPr>
            <w:r>
              <w:rPr>
                <w:color w:val="000000"/>
              </w:rPr>
              <w:t>0,00</w:t>
            </w:r>
          </w:p>
        </w:tc>
      </w:tr>
      <w:tr w:rsidR="00642D26" w:rsidRPr="00933A7F" w14:paraId="670D6F04"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67AA6100" w14:textId="1D89BBC7" w:rsidR="00642D26" w:rsidRPr="00933A7F" w:rsidRDefault="00642D26" w:rsidP="004E2CFD">
            <w:pPr>
              <w:pStyle w:val="cuatexto"/>
              <w:spacing w:line="240" w:lineRule="auto"/>
              <w:rPr>
                <w:szCs w:val="20"/>
              </w:rPr>
            </w:pPr>
            <w:r>
              <w:t>3. Tasak, prezio publikoak eta beste diru-sarrera batzuk</w:t>
            </w:r>
          </w:p>
        </w:tc>
        <w:tc>
          <w:tcPr>
            <w:tcW w:w="1383" w:type="dxa"/>
            <w:tcBorders>
              <w:top w:val="nil"/>
              <w:left w:val="nil"/>
              <w:bottom w:val="single" w:sz="4" w:space="0" w:color="000000"/>
              <w:right w:val="nil"/>
            </w:tcBorders>
            <w:shd w:val="clear" w:color="auto" w:fill="auto"/>
            <w:vAlign w:val="center"/>
            <w:hideMark/>
          </w:tcPr>
          <w:p w14:paraId="0E5833D7" w14:textId="77777777" w:rsidR="00642D26" w:rsidRPr="00933A7F" w:rsidRDefault="00642D26" w:rsidP="004E2CFD">
            <w:pPr>
              <w:pStyle w:val="cuatexto"/>
              <w:spacing w:line="240" w:lineRule="auto"/>
              <w:jc w:val="right"/>
              <w:rPr>
                <w:color w:val="000000"/>
                <w:szCs w:val="20"/>
              </w:rPr>
            </w:pPr>
            <w:r>
              <w:rPr>
                <w:color w:val="000000"/>
              </w:rPr>
              <w:t>153,82</w:t>
            </w:r>
          </w:p>
        </w:tc>
        <w:tc>
          <w:tcPr>
            <w:tcW w:w="1222" w:type="dxa"/>
            <w:tcBorders>
              <w:top w:val="nil"/>
              <w:left w:val="nil"/>
              <w:bottom w:val="single" w:sz="4" w:space="0" w:color="000000"/>
              <w:right w:val="nil"/>
            </w:tcBorders>
            <w:shd w:val="clear" w:color="auto" w:fill="auto"/>
            <w:vAlign w:val="center"/>
            <w:hideMark/>
          </w:tcPr>
          <w:p w14:paraId="13B64A5F" w14:textId="77777777" w:rsidR="00642D26" w:rsidRPr="00933A7F" w:rsidRDefault="00642D26" w:rsidP="004E2CFD">
            <w:pPr>
              <w:pStyle w:val="cuatexto"/>
              <w:spacing w:line="240" w:lineRule="auto"/>
              <w:jc w:val="right"/>
              <w:rPr>
                <w:color w:val="000000"/>
                <w:szCs w:val="20"/>
              </w:rPr>
            </w:pPr>
            <w:r>
              <w:rPr>
                <w:color w:val="000000"/>
              </w:rPr>
              <w:t>218,09</w:t>
            </w:r>
          </w:p>
        </w:tc>
        <w:tc>
          <w:tcPr>
            <w:tcW w:w="1403" w:type="dxa"/>
            <w:tcBorders>
              <w:top w:val="nil"/>
              <w:left w:val="nil"/>
              <w:bottom w:val="single" w:sz="4" w:space="0" w:color="000000"/>
              <w:right w:val="nil"/>
            </w:tcBorders>
            <w:shd w:val="clear" w:color="auto" w:fill="auto"/>
            <w:vAlign w:val="center"/>
            <w:hideMark/>
          </w:tcPr>
          <w:p w14:paraId="534FE445" w14:textId="77777777" w:rsidR="00642D26" w:rsidRPr="00933A7F" w:rsidRDefault="00642D26" w:rsidP="004E2CFD">
            <w:pPr>
              <w:pStyle w:val="cuatexto"/>
              <w:spacing w:line="240" w:lineRule="auto"/>
              <w:jc w:val="right"/>
              <w:rPr>
                <w:szCs w:val="20"/>
              </w:rPr>
            </w:pPr>
            <w:r>
              <w:t>23,4</w:t>
            </w:r>
          </w:p>
        </w:tc>
        <w:tc>
          <w:tcPr>
            <w:tcW w:w="1462" w:type="dxa"/>
            <w:tcBorders>
              <w:top w:val="nil"/>
              <w:left w:val="nil"/>
              <w:bottom w:val="single" w:sz="4" w:space="0" w:color="000000"/>
              <w:right w:val="nil"/>
            </w:tcBorders>
            <w:shd w:val="clear" w:color="auto" w:fill="auto"/>
            <w:vAlign w:val="center"/>
            <w:hideMark/>
          </w:tcPr>
          <w:p w14:paraId="656822D7" w14:textId="77777777" w:rsidR="00642D26" w:rsidRPr="00933A7F" w:rsidRDefault="00642D26" w:rsidP="004E2CFD">
            <w:pPr>
              <w:pStyle w:val="cuatexto"/>
              <w:spacing w:line="240" w:lineRule="auto"/>
              <w:jc w:val="right"/>
              <w:rPr>
                <w:color w:val="000000"/>
                <w:szCs w:val="20"/>
              </w:rPr>
            </w:pPr>
            <w:r>
              <w:rPr>
                <w:color w:val="000000"/>
              </w:rPr>
              <w:t>64,27</w:t>
            </w:r>
          </w:p>
        </w:tc>
      </w:tr>
      <w:tr w:rsidR="00642D26" w:rsidRPr="00933A7F" w14:paraId="4C92A555"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0968CF4A" w14:textId="1873D752" w:rsidR="00642D26" w:rsidRPr="00933A7F" w:rsidRDefault="00642D26" w:rsidP="004E2CFD">
            <w:pPr>
              <w:pStyle w:val="cuatexto"/>
              <w:spacing w:line="240" w:lineRule="auto"/>
              <w:rPr>
                <w:szCs w:val="20"/>
              </w:rPr>
            </w:pPr>
            <w:r>
              <w:t>4. Transferentzia arruntak</w:t>
            </w:r>
          </w:p>
        </w:tc>
        <w:tc>
          <w:tcPr>
            <w:tcW w:w="1383" w:type="dxa"/>
            <w:tcBorders>
              <w:top w:val="nil"/>
              <w:left w:val="nil"/>
              <w:bottom w:val="single" w:sz="4" w:space="0" w:color="000000"/>
              <w:right w:val="nil"/>
            </w:tcBorders>
            <w:shd w:val="clear" w:color="auto" w:fill="auto"/>
            <w:vAlign w:val="center"/>
            <w:hideMark/>
          </w:tcPr>
          <w:p w14:paraId="14E4ED67" w14:textId="77777777" w:rsidR="00642D26" w:rsidRPr="00933A7F" w:rsidRDefault="00642D26" w:rsidP="004E2CFD">
            <w:pPr>
              <w:pStyle w:val="cuatexto"/>
              <w:spacing w:line="240" w:lineRule="auto"/>
              <w:jc w:val="right"/>
              <w:rPr>
                <w:color w:val="000000"/>
                <w:szCs w:val="20"/>
              </w:rPr>
            </w:pPr>
            <w:r>
              <w:rPr>
                <w:color w:val="000000"/>
              </w:rPr>
              <w:t>372,95</w:t>
            </w:r>
          </w:p>
        </w:tc>
        <w:tc>
          <w:tcPr>
            <w:tcW w:w="1222" w:type="dxa"/>
            <w:tcBorders>
              <w:top w:val="nil"/>
              <w:left w:val="nil"/>
              <w:bottom w:val="single" w:sz="4" w:space="0" w:color="000000"/>
              <w:right w:val="nil"/>
            </w:tcBorders>
            <w:shd w:val="clear" w:color="auto" w:fill="auto"/>
            <w:vAlign w:val="center"/>
            <w:hideMark/>
          </w:tcPr>
          <w:p w14:paraId="5FBA4B65" w14:textId="77777777" w:rsidR="00642D26" w:rsidRPr="00933A7F" w:rsidRDefault="00642D26" w:rsidP="004E2CFD">
            <w:pPr>
              <w:pStyle w:val="cuatexto"/>
              <w:spacing w:line="240" w:lineRule="auto"/>
              <w:jc w:val="right"/>
              <w:rPr>
                <w:color w:val="000000"/>
                <w:szCs w:val="20"/>
              </w:rPr>
            </w:pPr>
            <w:r>
              <w:rPr>
                <w:color w:val="000000"/>
              </w:rPr>
              <w:t>380,46</w:t>
            </w:r>
          </w:p>
        </w:tc>
        <w:tc>
          <w:tcPr>
            <w:tcW w:w="1403" w:type="dxa"/>
            <w:tcBorders>
              <w:top w:val="nil"/>
              <w:left w:val="nil"/>
              <w:bottom w:val="single" w:sz="4" w:space="0" w:color="000000"/>
              <w:right w:val="nil"/>
            </w:tcBorders>
            <w:shd w:val="clear" w:color="auto" w:fill="auto"/>
            <w:vAlign w:val="center"/>
            <w:hideMark/>
          </w:tcPr>
          <w:p w14:paraId="08EB5336" w14:textId="77777777" w:rsidR="00642D26" w:rsidRPr="00933A7F" w:rsidRDefault="00642D26" w:rsidP="004E2CFD">
            <w:pPr>
              <w:pStyle w:val="cuatexto"/>
              <w:spacing w:line="240" w:lineRule="auto"/>
              <w:jc w:val="right"/>
              <w:rPr>
                <w:szCs w:val="20"/>
              </w:rPr>
            </w:pPr>
            <w:r>
              <w:t>40,7</w:t>
            </w:r>
          </w:p>
        </w:tc>
        <w:tc>
          <w:tcPr>
            <w:tcW w:w="1462" w:type="dxa"/>
            <w:tcBorders>
              <w:top w:val="nil"/>
              <w:left w:val="nil"/>
              <w:bottom w:val="single" w:sz="4" w:space="0" w:color="000000"/>
              <w:right w:val="nil"/>
            </w:tcBorders>
            <w:shd w:val="clear" w:color="auto" w:fill="auto"/>
            <w:vAlign w:val="center"/>
            <w:hideMark/>
          </w:tcPr>
          <w:p w14:paraId="32DC681B" w14:textId="77777777" w:rsidR="00642D26" w:rsidRPr="00933A7F" w:rsidRDefault="00642D26" w:rsidP="004E2CFD">
            <w:pPr>
              <w:pStyle w:val="cuatexto"/>
              <w:spacing w:line="240" w:lineRule="auto"/>
              <w:jc w:val="right"/>
              <w:rPr>
                <w:color w:val="000000"/>
                <w:szCs w:val="20"/>
              </w:rPr>
            </w:pPr>
            <w:r>
              <w:rPr>
                <w:color w:val="000000"/>
              </w:rPr>
              <w:t>7,51</w:t>
            </w:r>
          </w:p>
        </w:tc>
      </w:tr>
      <w:tr w:rsidR="00642D26" w:rsidRPr="00933A7F" w14:paraId="413C6657"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30DD7955" w14:textId="7F78AD5B" w:rsidR="00642D26" w:rsidRPr="00933A7F" w:rsidRDefault="00642D26" w:rsidP="004E2CFD">
            <w:pPr>
              <w:pStyle w:val="cuatexto"/>
              <w:spacing w:line="240" w:lineRule="auto"/>
              <w:rPr>
                <w:color w:val="000000"/>
                <w:szCs w:val="20"/>
              </w:rPr>
            </w:pPr>
            <w:r>
              <w:rPr>
                <w:color w:val="000000"/>
              </w:rPr>
              <w:t>5. Ondarearen bidezko diru-sarrerak eta herri-aprobetxamenduak</w:t>
            </w:r>
          </w:p>
        </w:tc>
        <w:tc>
          <w:tcPr>
            <w:tcW w:w="1383" w:type="dxa"/>
            <w:tcBorders>
              <w:top w:val="nil"/>
              <w:left w:val="nil"/>
              <w:bottom w:val="single" w:sz="4" w:space="0" w:color="000000"/>
              <w:right w:val="nil"/>
            </w:tcBorders>
            <w:shd w:val="clear" w:color="auto" w:fill="auto"/>
            <w:vAlign w:val="center"/>
            <w:hideMark/>
          </w:tcPr>
          <w:p w14:paraId="3B848859" w14:textId="77777777" w:rsidR="00642D26" w:rsidRPr="00933A7F" w:rsidRDefault="00642D26" w:rsidP="004E2CFD">
            <w:pPr>
              <w:pStyle w:val="cuatexto"/>
              <w:spacing w:line="240" w:lineRule="auto"/>
              <w:jc w:val="right"/>
              <w:rPr>
                <w:color w:val="000000"/>
                <w:szCs w:val="20"/>
              </w:rPr>
            </w:pPr>
            <w:r>
              <w:rPr>
                <w:color w:val="000000"/>
              </w:rPr>
              <w:t>34,60</w:t>
            </w:r>
          </w:p>
        </w:tc>
        <w:tc>
          <w:tcPr>
            <w:tcW w:w="1222" w:type="dxa"/>
            <w:tcBorders>
              <w:top w:val="nil"/>
              <w:left w:val="nil"/>
              <w:bottom w:val="single" w:sz="4" w:space="0" w:color="000000"/>
              <w:right w:val="nil"/>
            </w:tcBorders>
            <w:shd w:val="clear" w:color="auto" w:fill="auto"/>
            <w:vAlign w:val="center"/>
            <w:hideMark/>
          </w:tcPr>
          <w:p w14:paraId="5FF47B43" w14:textId="77777777" w:rsidR="00642D26" w:rsidRPr="00933A7F" w:rsidRDefault="00642D26" w:rsidP="004E2CFD">
            <w:pPr>
              <w:pStyle w:val="cuatexto"/>
              <w:spacing w:line="240" w:lineRule="auto"/>
              <w:jc w:val="right"/>
              <w:rPr>
                <w:color w:val="000000"/>
                <w:szCs w:val="20"/>
              </w:rPr>
            </w:pPr>
            <w:r>
              <w:rPr>
                <w:color w:val="000000"/>
              </w:rPr>
              <w:t>34,61</w:t>
            </w:r>
          </w:p>
        </w:tc>
        <w:tc>
          <w:tcPr>
            <w:tcW w:w="1403" w:type="dxa"/>
            <w:tcBorders>
              <w:top w:val="nil"/>
              <w:left w:val="nil"/>
              <w:bottom w:val="single" w:sz="4" w:space="0" w:color="000000"/>
              <w:right w:val="nil"/>
            </w:tcBorders>
            <w:shd w:val="clear" w:color="auto" w:fill="auto"/>
            <w:vAlign w:val="center"/>
            <w:hideMark/>
          </w:tcPr>
          <w:p w14:paraId="41299D12" w14:textId="77777777" w:rsidR="00642D26" w:rsidRPr="00933A7F" w:rsidRDefault="00642D26" w:rsidP="004E2CFD">
            <w:pPr>
              <w:pStyle w:val="cuatexto"/>
              <w:spacing w:line="240" w:lineRule="auto"/>
              <w:jc w:val="right"/>
              <w:rPr>
                <w:szCs w:val="20"/>
              </w:rPr>
            </w:pPr>
            <w:r>
              <w:t>3,7</w:t>
            </w:r>
          </w:p>
        </w:tc>
        <w:tc>
          <w:tcPr>
            <w:tcW w:w="1462" w:type="dxa"/>
            <w:tcBorders>
              <w:top w:val="nil"/>
              <w:left w:val="nil"/>
              <w:bottom w:val="single" w:sz="4" w:space="0" w:color="000000"/>
              <w:right w:val="nil"/>
            </w:tcBorders>
            <w:shd w:val="clear" w:color="auto" w:fill="auto"/>
            <w:vAlign w:val="center"/>
            <w:hideMark/>
          </w:tcPr>
          <w:p w14:paraId="42C2AB8F" w14:textId="77777777" w:rsidR="00642D26" w:rsidRPr="00933A7F" w:rsidRDefault="00642D26" w:rsidP="004E2CFD">
            <w:pPr>
              <w:pStyle w:val="cuatexto"/>
              <w:spacing w:line="240" w:lineRule="auto"/>
              <w:jc w:val="right"/>
              <w:rPr>
                <w:color w:val="000000"/>
                <w:szCs w:val="20"/>
              </w:rPr>
            </w:pPr>
            <w:r>
              <w:rPr>
                <w:color w:val="000000"/>
              </w:rPr>
              <w:t>0,01</w:t>
            </w:r>
          </w:p>
        </w:tc>
      </w:tr>
      <w:tr w:rsidR="00642D26" w:rsidRPr="00933A7F" w14:paraId="0BCE76AE"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452EE5D5" w14:textId="216FA45A" w:rsidR="00642D26" w:rsidRPr="00933A7F" w:rsidRDefault="00642D26" w:rsidP="004E2CFD">
            <w:pPr>
              <w:pStyle w:val="cuatexto"/>
              <w:spacing w:line="240" w:lineRule="auto"/>
              <w:rPr>
                <w:b/>
                <w:bCs/>
                <w:i/>
                <w:iCs/>
                <w:szCs w:val="20"/>
              </w:rPr>
            </w:pPr>
            <w:r>
              <w:rPr>
                <w:b/>
                <w:i/>
              </w:rPr>
              <w:t>Diru-sarrera arruntak</w:t>
            </w:r>
          </w:p>
        </w:tc>
        <w:tc>
          <w:tcPr>
            <w:tcW w:w="1383" w:type="dxa"/>
            <w:tcBorders>
              <w:top w:val="nil"/>
              <w:left w:val="nil"/>
              <w:bottom w:val="single" w:sz="4" w:space="0" w:color="000000"/>
              <w:right w:val="nil"/>
            </w:tcBorders>
            <w:shd w:val="clear" w:color="auto" w:fill="auto"/>
            <w:vAlign w:val="center"/>
            <w:hideMark/>
          </w:tcPr>
          <w:p w14:paraId="3333E822" w14:textId="77777777" w:rsidR="00642D26" w:rsidRPr="00933A7F" w:rsidRDefault="00642D26" w:rsidP="004E2CFD">
            <w:pPr>
              <w:pStyle w:val="cuatexto"/>
              <w:spacing w:line="240" w:lineRule="auto"/>
              <w:jc w:val="right"/>
              <w:rPr>
                <w:b/>
                <w:bCs/>
                <w:i/>
                <w:iCs/>
                <w:color w:val="000000"/>
                <w:szCs w:val="20"/>
              </w:rPr>
            </w:pPr>
            <w:r>
              <w:rPr>
                <w:b/>
                <w:i/>
                <w:color w:val="000000"/>
              </w:rPr>
              <w:t>782,02</w:t>
            </w:r>
          </w:p>
        </w:tc>
        <w:tc>
          <w:tcPr>
            <w:tcW w:w="1222" w:type="dxa"/>
            <w:tcBorders>
              <w:top w:val="nil"/>
              <w:left w:val="nil"/>
              <w:bottom w:val="single" w:sz="4" w:space="0" w:color="000000"/>
              <w:right w:val="nil"/>
            </w:tcBorders>
            <w:shd w:val="clear" w:color="auto" w:fill="auto"/>
            <w:vAlign w:val="center"/>
            <w:hideMark/>
          </w:tcPr>
          <w:p w14:paraId="367A7366" w14:textId="77777777" w:rsidR="00642D26" w:rsidRPr="00933A7F" w:rsidRDefault="00642D26" w:rsidP="004E2CFD">
            <w:pPr>
              <w:pStyle w:val="cuatexto"/>
              <w:spacing w:line="240" w:lineRule="auto"/>
              <w:jc w:val="right"/>
              <w:rPr>
                <w:b/>
                <w:bCs/>
                <w:i/>
                <w:iCs/>
                <w:color w:val="000000"/>
                <w:szCs w:val="20"/>
              </w:rPr>
            </w:pPr>
            <w:r>
              <w:rPr>
                <w:b/>
                <w:i/>
                <w:color w:val="000000"/>
              </w:rPr>
              <w:t>853,81</w:t>
            </w:r>
          </w:p>
        </w:tc>
        <w:tc>
          <w:tcPr>
            <w:tcW w:w="1403" w:type="dxa"/>
            <w:tcBorders>
              <w:top w:val="nil"/>
              <w:left w:val="nil"/>
              <w:bottom w:val="single" w:sz="4" w:space="0" w:color="000000"/>
              <w:right w:val="nil"/>
            </w:tcBorders>
            <w:shd w:val="clear" w:color="auto" w:fill="auto"/>
            <w:vAlign w:val="center"/>
            <w:hideMark/>
          </w:tcPr>
          <w:p w14:paraId="12A9E494" w14:textId="77777777" w:rsidR="00642D26" w:rsidRPr="00933A7F" w:rsidRDefault="00642D26" w:rsidP="004E2CFD">
            <w:pPr>
              <w:pStyle w:val="cuatexto"/>
              <w:spacing w:line="240" w:lineRule="auto"/>
              <w:jc w:val="right"/>
              <w:rPr>
                <w:b/>
                <w:bCs/>
                <w:i/>
                <w:iCs/>
                <w:szCs w:val="20"/>
              </w:rPr>
            </w:pPr>
            <w:r>
              <w:rPr>
                <w:b/>
                <w:i/>
              </w:rPr>
              <w:t>91,4</w:t>
            </w:r>
          </w:p>
        </w:tc>
        <w:tc>
          <w:tcPr>
            <w:tcW w:w="1462" w:type="dxa"/>
            <w:tcBorders>
              <w:top w:val="nil"/>
              <w:left w:val="nil"/>
              <w:bottom w:val="single" w:sz="4" w:space="0" w:color="000000"/>
              <w:right w:val="nil"/>
            </w:tcBorders>
            <w:shd w:val="clear" w:color="auto" w:fill="auto"/>
            <w:vAlign w:val="center"/>
            <w:hideMark/>
          </w:tcPr>
          <w:p w14:paraId="543EE470" w14:textId="77777777" w:rsidR="00642D26" w:rsidRPr="00933A7F" w:rsidRDefault="00642D26" w:rsidP="004E2CFD">
            <w:pPr>
              <w:pStyle w:val="cuatexto"/>
              <w:spacing w:line="240" w:lineRule="auto"/>
              <w:jc w:val="right"/>
              <w:rPr>
                <w:b/>
                <w:bCs/>
                <w:i/>
                <w:iCs/>
                <w:color w:val="000000"/>
                <w:szCs w:val="20"/>
              </w:rPr>
            </w:pPr>
            <w:r>
              <w:rPr>
                <w:b/>
                <w:i/>
                <w:color w:val="000000"/>
              </w:rPr>
              <w:t>71,80</w:t>
            </w:r>
          </w:p>
        </w:tc>
      </w:tr>
      <w:tr w:rsidR="00642D26" w:rsidRPr="00933A7F" w14:paraId="5ACFB1A9"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0AABAA76" w14:textId="74DCE1D9" w:rsidR="00642D26" w:rsidRPr="00933A7F" w:rsidRDefault="00642D26" w:rsidP="004E2CFD">
            <w:pPr>
              <w:pStyle w:val="cuatexto"/>
              <w:spacing w:line="240" w:lineRule="auto"/>
              <w:rPr>
                <w:szCs w:val="20"/>
              </w:rPr>
            </w:pPr>
            <w:r>
              <w:t>6. Inbertsio errealen besterentzea</w:t>
            </w:r>
          </w:p>
        </w:tc>
        <w:tc>
          <w:tcPr>
            <w:tcW w:w="1383" w:type="dxa"/>
            <w:tcBorders>
              <w:top w:val="nil"/>
              <w:left w:val="nil"/>
              <w:bottom w:val="single" w:sz="4" w:space="0" w:color="000000"/>
              <w:right w:val="nil"/>
            </w:tcBorders>
            <w:shd w:val="clear" w:color="auto" w:fill="auto"/>
            <w:vAlign w:val="center"/>
            <w:hideMark/>
          </w:tcPr>
          <w:p w14:paraId="76B71BA6" w14:textId="77777777" w:rsidR="00642D26" w:rsidRPr="00933A7F" w:rsidRDefault="00642D26" w:rsidP="004E2CFD">
            <w:pPr>
              <w:pStyle w:val="cuatexto"/>
              <w:spacing w:line="240" w:lineRule="auto"/>
              <w:jc w:val="right"/>
              <w:rPr>
                <w:color w:val="000000"/>
                <w:szCs w:val="20"/>
              </w:rPr>
            </w:pPr>
            <w:r>
              <w:rPr>
                <w:color w:val="000000"/>
              </w:rPr>
              <w:t>7,93</w:t>
            </w:r>
          </w:p>
        </w:tc>
        <w:tc>
          <w:tcPr>
            <w:tcW w:w="1222" w:type="dxa"/>
            <w:tcBorders>
              <w:top w:val="nil"/>
              <w:left w:val="nil"/>
              <w:bottom w:val="single" w:sz="4" w:space="0" w:color="000000"/>
              <w:right w:val="nil"/>
            </w:tcBorders>
            <w:shd w:val="clear" w:color="auto" w:fill="auto"/>
            <w:vAlign w:val="center"/>
            <w:hideMark/>
          </w:tcPr>
          <w:p w14:paraId="1F3512CE" w14:textId="77777777" w:rsidR="00642D26" w:rsidRPr="00933A7F" w:rsidRDefault="00642D26" w:rsidP="004E2CFD">
            <w:pPr>
              <w:pStyle w:val="cuatexto"/>
              <w:spacing w:line="240" w:lineRule="auto"/>
              <w:jc w:val="right"/>
              <w:rPr>
                <w:color w:val="000000"/>
                <w:szCs w:val="20"/>
              </w:rPr>
            </w:pPr>
            <w:r>
              <w:rPr>
                <w:color w:val="000000"/>
              </w:rPr>
              <w:t>7,96</w:t>
            </w:r>
          </w:p>
        </w:tc>
        <w:tc>
          <w:tcPr>
            <w:tcW w:w="1403" w:type="dxa"/>
            <w:tcBorders>
              <w:top w:val="nil"/>
              <w:left w:val="nil"/>
              <w:bottom w:val="single" w:sz="4" w:space="0" w:color="000000"/>
              <w:right w:val="nil"/>
            </w:tcBorders>
            <w:shd w:val="clear" w:color="auto" w:fill="auto"/>
            <w:vAlign w:val="center"/>
            <w:hideMark/>
          </w:tcPr>
          <w:p w14:paraId="521F198A" w14:textId="77777777" w:rsidR="00642D26" w:rsidRPr="00933A7F" w:rsidRDefault="00642D26" w:rsidP="004E2CFD">
            <w:pPr>
              <w:pStyle w:val="cuatexto"/>
              <w:spacing w:line="240" w:lineRule="auto"/>
              <w:jc w:val="right"/>
              <w:rPr>
                <w:szCs w:val="20"/>
              </w:rPr>
            </w:pPr>
            <w:r>
              <w:t>0,9</w:t>
            </w:r>
          </w:p>
        </w:tc>
        <w:tc>
          <w:tcPr>
            <w:tcW w:w="1462" w:type="dxa"/>
            <w:tcBorders>
              <w:top w:val="nil"/>
              <w:left w:val="nil"/>
              <w:bottom w:val="single" w:sz="4" w:space="0" w:color="000000"/>
              <w:right w:val="nil"/>
            </w:tcBorders>
            <w:shd w:val="clear" w:color="auto" w:fill="auto"/>
            <w:vAlign w:val="center"/>
            <w:hideMark/>
          </w:tcPr>
          <w:p w14:paraId="07AB89BC" w14:textId="77777777" w:rsidR="00642D26" w:rsidRPr="00933A7F" w:rsidRDefault="00642D26" w:rsidP="004E2CFD">
            <w:pPr>
              <w:pStyle w:val="cuatexto"/>
              <w:spacing w:line="240" w:lineRule="auto"/>
              <w:jc w:val="right"/>
              <w:rPr>
                <w:color w:val="000000"/>
                <w:szCs w:val="20"/>
              </w:rPr>
            </w:pPr>
            <w:r>
              <w:rPr>
                <w:color w:val="000000"/>
              </w:rPr>
              <w:t>0,04</w:t>
            </w:r>
          </w:p>
        </w:tc>
      </w:tr>
      <w:tr w:rsidR="00642D26" w:rsidRPr="00933A7F" w14:paraId="274F1D15"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6CDF7B5B" w14:textId="0E5D45C5" w:rsidR="00642D26" w:rsidRPr="00933A7F" w:rsidRDefault="00642D26" w:rsidP="004E2CFD">
            <w:pPr>
              <w:pStyle w:val="cuatexto"/>
              <w:spacing w:line="240" w:lineRule="auto"/>
              <w:rPr>
                <w:color w:val="000000"/>
                <w:szCs w:val="20"/>
              </w:rPr>
            </w:pPr>
            <w:r>
              <w:rPr>
                <w:color w:val="000000"/>
              </w:rPr>
              <w:t>7. Kapital-transferentziak</w:t>
            </w:r>
          </w:p>
        </w:tc>
        <w:tc>
          <w:tcPr>
            <w:tcW w:w="1383" w:type="dxa"/>
            <w:tcBorders>
              <w:top w:val="nil"/>
              <w:left w:val="nil"/>
              <w:bottom w:val="single" w:sz="4" w:space="0" w:color="000000"/>
              <w:right w:val="nil"/>
            </w:tcBorders>
            <w:shd w:val="clear" w:color="auto" w:fill="auto"/>
            <w:vAlign w:val="center"/>
            <w:hideMark/>
          </w:tcPr>
          <w:p w14:paraId="548C3F87" w14:textId="77777777" w:rsidR="00642D26" w:rsidRPr="00933A7F" w:rsidRDefault="00642D26" w:rsidP="004E2CFD">
            <w:pPr>
              <w:pStyle w:val="cuatexto"/>
              <w:spacing w:line="240" w:lineRule="auto"/>
              <w:jc w:val="right"/>
              <w:rPr>
                <w:color w:val="000000"/>
                <w:szCs w:val="20"/>
              </w:rPr>
            </w:pPr>
            <w:r>
              <w:rPr>
                <w:color w:val="000000"/>
              </w:rPr>
              <w:t>56,59</w:t>
            </w:r>
          </w:p>
        </w:tc>
        <w:tc>
          <w:tcPr>
            <w:tcW w:w="1222" w:type="dxa"/>
            <w:tcBorders>
              <w:top w:val="nil"/>
              <w:left w:val="nil"/>
              <w:bottom w:val="single" w:sz="4" w:space="0" w:color="000000"/>
              <w:right w:val="nil"/>
            </w:tcBorders>
            <w:shd w:val="clear" w:color="auto" w:fill="auto"/>
            <w:vAlign w:val="center"/>
            <w:hideMark/>
          </w:tcPr>
          <w:p w14:paraId="4EF911AF" w14:textId="77777777" w:rsidR="00642D26" w:rsidRPr="00933A7F" w:rsidRDefault="00642D26" w:rsidP="004E2CFD">
            <w:pPr>
              <w:pStyle w:val="cuatexto"/>
              <w:spacing w:line="240" w:lineRule="auto"/>
              <w:jc w:val="right"/>
              <w:rPr>
                <w:color w:val="000000"/>
                <w:szCs w:val="20"/>
              </w:rPr>
            </w:pPr>
            <w:r>
              <w:rPr>
                <w:color w:val="000000"/>
              </w:rPr>
              <w:t>60,47</w:t>
            </w:r>
          </w:p>
        </w:tc>
        <w:tc>
          <w:tcPr>
            <w:tcW w:w="1403" w:type="dxa"/>
            <w:tcBorders>
              <w:top w:val="nil"/>
              <w:left w:val="nil"/>
              <w:bottom w:val="single" w:sz="4" w:space="0" w:color="000000"/>
              <w:right w:val="nil"/>
            </w:tcBorders>
            <w:shd w:val="clear" w:color="auto" w:fill="auto"/>
            <w:vAlign w:val="center"/>
            <w:hideMark/>
          </w:tcPr>
          <w:p w14:paraId="4428461C" w14:textId="77777777" w:rsidR="00642D26" w:rsidRPr="00933A7F" w:rsidRDefault="00642D26" w:rsidP="004E2CFD">
            <w:pPr>
              <w:pStyle w:val="cuatexto"/>
              <w:spacing w:line="240" w:lineRule="auto"/>
              <w:jc w:val="right"/>
              <w:rPr>
                <w:szCs w:val="20"/>
              </w:rPr>
            </w:pPr>
            <w:r>
              <w:t>6,5</w:t>
            </w:r>
          </w:p>
        </w:tc>
        <w:tc>
          <w:tcPr>
            <w:tcW w:w="1462" w:type="dxa"/>
            <w:tcBorders>
              <w:top w:val="nil"/>
              <w:left w:val="nil"/>
              <w:bottom w:val="single" w:sz="4" w:space="0" w:color="000000"/>
              <w:right w:val="nil"/>
            </w:tcBorders>
            <w:shd w:val="clear" w:color="auto" w:fill="auto"/>
            <w:vAlign w:val="center"/>
            <w:hideMark/>
          </w:tcPr>
          <w:p w14:paraId="6EFAD1CA" w14:textId="77777777" w:rsidR="00642D26" w:rsidRPr="00933A7F" w:rsidRDefault="00642D26" w:rsidP="004E2CFD">
            <w:pPr>
              <w:pStyle w:val="cuatexto"/>
              <w:spacing w:line="240" w:lineRule="auto"/>
              <w:jc w:val="right"/>
              <w:rPr>
                <w:color w:val="000000"/>
                <w:szCs w:val="20"/>
              </w:rPr>
            </w:pPr>
            <w:r>
              <w:rPr>
                <w:color w:val="000000"/>
              </w:rPr>
              <w:t>3,88</w:t>
            </w:r>
          </w:p>
        </w:tc>
      </w:tr>
      <w:tr w:rsidR="00642D26" w:rsidRPr="00933A7F" w14:paraId="519DCE0E"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211B7B48" w14:textId="2E23F18B" w:rsidR="00642D26" w:rsidRPr="00933A7F" w:rsidRDefault="00642D26" w:rsidP="004E2CFD">
            <w:pPr>
              <w:pStyle w:val="cuatexto"/>
              <w:spacing w:line="240" w:lineRule="auto"/>
              <w:rPr>
                <w:b/>
                <w:bCs/>
                <w:i/>
                <w:iCs/>
                <w:szCs w:val="20"/>
              </w:rPr>
            </w:pPr>
            <w:r>
              <w:rPr>
                <w:b/>
                <w:i/>
              </w:rPr>
              <w:t>Kapitaleko diru-sarrerak</w:t>
            </w:r>
          </w:p>
        </w:tc>
        <w:tc>
          <w:tcPr>
            <w:tcW w:w="1383" w:type="dxa"/>
            <w:tcBorders>
              <w:top w:val="nil"/>
              <w:left w:val="nil"/>
              <w:bottom w:val="single" w:sz="4" w:space="0" w:color="000000"/>
              <w:right w:val="nil"/>
            </w:tcBorders>
            <w:shd w:val="clear" w:color="auto" w:fill="auto"/>
            <w:vAlign w:val="center"/>
            <w:hideMark/>
          </w:tcPr>
          <w:p w14:paraId="36554C07" w14:textId="77777777" w:rsidR="00642D26" w:rsidRPr="00933A7F" w:rsidRDefault="00642D26" w:rsidP="004E2CFD">
            <w:pPr>
              <w:pStyle w:val="cuatexto"/>
              <w:spacing w:line="240" w:lineRule="auto"/>
              <w:jc w:val="right"/>
              <w:rPr>
                <w:b/>
                <w:bCs/>
                <w:i/>
                <w:iCs/>
                <w:color w:val="000000"/>
                <w:szCs w:val="20"/>
              </w:rPr>
            </w:pPr>
            <w:r>
              <w:rPr>
                <w:b/>
                <w:i/>
                <w:color w:val="000000"/>
              </w:rPr>
              <w:t>64,52</w:t>
            </w:r>
          </w:p>
        </w:tc>
        <w:tc>
          <w:tcPr>
            <w:tcW w:w="1222" w:type="dxa"/>
            <w:tcBorders>
              <w:top w:val="nil"/>
              <w:left w:val="nil"/>
              <w:bottom w:val="single" w:sz="4" w:space="0" w:color="000000"/>
              <w:right w:val="nil"/>
            </w:tcBorders>
            <w:shd w:val="clear" w:color="auto" w:fill="auto"/>
            <w:vAlign w:val="center"/>
            <w:hideMark/>
          </w:tcPr>
          <w:p w14:paraId="54C58242" w14:textId="77777777" w:rsidR="00642D26" w:rsidRPr="00933A7F" w:rsidRDefault="00642D26" w:rsidP="004E2CFD">
            <w:pPr>
              <w:pStyle w:val="cuatexto"/>
              <w:spacing w:line="240" w:lineRule="auto"/>
              <w:jc w:val="right"/>
              <w:rPr>
                <w:b/>
                <w:bCs/>
                <w:i/>
                <w:iCs/>
                <w:color w:val="000000"/>
                <w:szCs w:val="20"/>
              </w:rPr>
            </w:pPr>
            <w:r>
              <w:rPr>
                <w:b/>
                <w:i/>
                <w:color w:val="000000"/>
              </w:rPr>
              <w:t>68,44</w:t>
            </w:r>
          </w:p>
        </w:tc>
        <w:tc>
          <w:tcPr>
            <w:tcW w:w="1403" w:type="dxa"/>
            <w:tcBorders>
              <w:top w:val="nil"/>
              <w:left w:val="nil"/>
              <w:bottom w:val="single" w:sz="4" w:space="0" w:color="000000"/>
              <w:right w:val="nil"/>
            </w:tcBorders>
            <w:shd w:val="clear" w:color="auto" w:fill="auto"/>
            <w:vAlign w:val="center"/>
            <w:hideMark/>
          </w:tcPr>
          <w:p w14:paraId="3822EFBA" w14:textId="77777777" w:rsidR="00642D26" w:rsidRPr="00933A7F" w:rsidRDefault="00642D26" w:rsidP="004E2CFD">
            <w:pPr>
              <w:pStyle w:val="cuatexto"/>
              <w:spacing w:line="240" w:lineRule="auto"/>
              <w:jc w:val="right"/>
              <w:rPr>
                <w:b/>
                <w:bCs/>
                <w:i/>
                <w:iCs/>
                <w:szCs w:val="20"/>
              </w:rPr>
            </w:pPr>
            <w:r>
              <w:rPr>
                <w:b/>
                <w:i/>
              </w:rPr>
              <w:t>7,3</w:t>
            </w:r>
          </w:p>
        </w:tc>
        <w:tc>
          <w:tcPr>
            <w:tcW w:w="1462" w:type="dxa"/>
            <w:tcBorders>
              <w:top w:val="nil"/>
              <w:left w:val="nil"/>
              <w:bottom w:val="single" w:sz="4" w:space="0" w:color="000000"/>
              <w:right w:val="nil"/>
            </w:tcBorders>
            <w:shd w:val="clear" w:color="auto" w:fill="auto"/>
            <w:vAlign w:val="center"/>
            <w:hideMark/>
          </w:tcPr>
          <w:p w14:paraId="30308CFF" w14:textId="77777777" w:rsidR="00642D26" w:rsidRPr="00933A7F" w:rsidRDefault="00642D26" w:rsidP="004E2CFD">
            <w:pPr>
              <w:pStyle w:val="cuatexto"/>
              <w:spacing w:line="240" w:lineRule="auto"/>
              <w:jc w:val="right"/>
              <w:rPr>
                <w:b/>
                <w:bCs/>
                <w:i/>
                <w:iCs/>
                <w:color w:val="000000"/>
                <w:szCs w:val="20"/>
              </w:rPr>
            </w:pPr>
            <w:r>
              <w:rPr>
                <w:b/>
                <w:i/>
                <w:color w:val="000000"/>
              </w:rPr>
              <w:t>3,92</w:t>
            </w:r>
          </w:p>
        </w:tc>
      </w:tr>
      <w:tr w:rsidR="00642D26" w:rsidRPr="00933A7F" w14:paraId="683AA9F8"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2DF6CA80" w14:textId="680D1BFB" w:rsidR="00642D26" w:rsidRPr="00933A7F" w:rsidRDefault="00642D26" w:rsidP="004E2CFD">
            <w:pPr>
              <w:pStyle w:val="cuatexto"/>
              <w:spacing w:line="240" w:lineRule="auto"/>
              <w:rPr>
                <w:szCs w:val="20"/>
              </w:rPr>
            </w:pPr>
            <w:r>
              <w:t>8. Finantza-aktiboak</w:t>
            </w:r>
          </w:p>
        </w:tc>
        <w:tc>
          <w:tcPr>
            <w:tcW w:w="1383" w:type="dxa"/>
            <w:tcBorders>
              <w:top w:val="nil"/>
              <w:left w:val="nil"/>
              <w:bottom w:val="single" w:sz="4" w:space="0" w:color="000000"/>
              <w:right w:val="nil"/>
            </w:tcBorders>
            <w:shd w:val="clear" w:color="auto" w:fill="auto"/>
            <w:vAlign w:val="center"/>
            <w:hideMark/>
          </w:tcPr>
          <w:p w14:paraId="6FC35B0D" w14:textId="77777777" w:rsidR="00642D26" w:rsidRPr="00933A7F" w:rsidRDefault="00642D26" w:rsidP="004E2CFD">
            <w:pPr>
              <w:pStyle w:val="cuatexto"/>
              <w:spacing w:line="240" w:lineRule="auto"/>
              <w:jc w:val="right"/>
              <w:rPr>
                <w:color w:val="000000"/>
                <w:szCs w:val="20"/>
              </w:rPr>
            </w:pPr>
            <w:r>
              <w:rPr>
                <w:color w:val="000000"/>
              </w:rPr>
              <w:t>1,39</w:t>
            </w:r>
          </w:p>
        </w:tc>
        <w:tc>
          <w:tcPr>
            <w:tcW w:w="1222" w:type="dxa"/>
            <w:tcBorders>
              <w:top w:val="nil"/>
              <w:left w:val="nil"/>
              <w:bottom w:val="single" w:sz="4" w:space="0" w:color="000000"/>
              <w:right w:val="nil"/>
            </w:tcBorders>
            <w:shd w:val="clear" w:color="auto" w:fill="auto"/>
            <w:vAlign w:val="center"/>
            <w:hideMark/>
          </w:tcPr>
          <w:p w14:paraId="0591E4A4" w14:textId="77777777" w:rsidR="00642D26" w:rsidRPr="00933A7F" w:rsidRDefault="00642D26" w:rsidP="004E2CFD">
            <w:pPr>
              <w:pStyle w:val="cuatexto"/>
              <w:spacing w:line="240" w:lineRule="auto"/>
              <w:jc w:val="right"/>
              <w:rPr>
                <w:color w:val="000000"/>
                <w:szCs w:val="20"/>
              </w:rPr>
            </w:pPr>
            <w:r>
              <w:rPr>
                <w:color w:val="000000"/>
              </w:rPr>
              <w:t>4,14</w:t>
            </w:r>
          </w:p>
        </w:tc>
        <w:tc>
          <w:tcPr>
            <w:tcW w:w="1403" w:type="dxa"/>
            <w:tcBorders>
              <w:top w:val="nil"/>
              <w:left w:val="nil"/>
              <w:bottom w:val="single" w:sz="4" w:space="0" w:color="000000"/>
              <w:right w:val="nil"/>
            </w:tcBorders>
            <w:shd w:val="clear" w:color="auto" w:fill="auto"/>
            <w:vAlign w:val="center"/>
            <w:hideMark/>
          </w:tcPr>
          <w:p w14:paraId="48FD1DAD" w14:textId="77777777" w:rsidR="00642D26" w:rsidRPr="00933A7F" w:rsidRDefault="00642D26" w:rsidP="004E2CFD">
            <w:pPr>
              <w:pStyle w:val="cuatexto"/>
              <w:spacing w:line="240" w:lineRule="auto"/>
              <w:jc w:val="right"/>
              <w:rPr>
                <w:szCs w:val="20"/>
              </w:rPr>
            </w:pPr>
            <w:r>
              <w:t>0,4</w:t>
            </w:r>
          </w:p>
        </w:tc>
        <w:tc>
          <w:tcPr>
            <w:tcW w:w="1462" w:type="dxa"/>
            <w:tcBorders>
              <w:top w:val="nil"/>
              <w:left w:val="nil"/>
              <w:bottom w:val="single" w:sz="4" w:space="0" w:color="000000"/>
              <w:right w:val="nil"/>
            </w:tcBorders>
            <w:shd w:val="clear" w:color="auto" w:fill="auto"/>
            <w:vAlign w:val="center"/>
            <w:hideMark/>
          </w:tcPr>
          <w:p w14:paraId="0A9A9B0B" w14:textId="77777777" w:rsidR="00642D26" w:rsidRPr="00933A7F" w:rsidRDefault="00642D26" w:rsidP="004E2CFD">
            <w:pPr>
              <w:pStyle w:val="cuatexto"/>
              <w:spacing w:line="240" w:lineRule="auto"/>
              <w:jc w:val="right"/>
              <w:rPr>
                <w:color w:val="000000"/>
                <w:szCs w:val="20"/>
              </w:rPr>
            </w:pPr>
            <w:r>
              <w:rPr>
                <w:color w:val="000000"/>
              </w:rPr>
              <w:t>2,75</w:t>
            </w:r>
          </w:p>
        </w:tc>
      </w:tr>
      <w:tr w:rsidR="00642D26" w:rsidRPr="00933A7F" w14:paraId="0AFA7E93"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2D97790B" w14:textId="4774BC6D" w:rsidR="00642D26" w:rsidRPr="00933A7F" w:rsidRDefault="00642D26" w:rsidP="004E2CFD">
            <w:pPr>
              <w:pStyle w:val="cuatexto"/>
              <w:spacing w:line="240" w:lineRule="auto"/>
              <w:rPr>
                <w:szCs w:val="20"/>
              </w:rPr>
            </w:pPr>
            <w:r>
              <w:t>9. Finantza-pasiboak</w:t>
            </w:r>
          </w:p>
        </w:tc>
        <w:tc>
          <w:tcPr>
            <w:tcW w:w="1383" w:type="dxa"/>
            <w:tcBorders>
              <w:top w:val="nil"/>
              <w:left w:val="nil"/>
              <w:bottom w:val="single" w:sz="4" w:space="0" w:color="000000"/>
              <w:right w:val="nil"/>
            </w:tcBorders>
            <w:shd w:val="clear" w:color="auto" w:fill="auto"/>
            <w:vAlign w:val="center"/>
            <w:hideMark/>
          </w:tcPr>
          <w:p w14:paraId="270B6EB1" w14:textId="77777777" w:rsidR="00642D26" w:rsidRPr="00933A7F" w:rsidRDefault="00642D26" w:rsidP="004E2CFD">
            <w:pPr>
              <w:pStyle w:val="cuatexto"/>
              <w:spacing w:line="240" w:lineRule="auto"/>
              <w:jc w:val="right"/>
              <w:rPr>
                <w:color w:val="000000"/>
                <w:szCs w:val="20"/>
              </w:rPr>
            </w:pPr>
            <w:r>
              <w:rPr>
                <w:color w:val="000000"/>
              </w:rPr>
              <w:t>7,39</w:t>
            </w:r>
          </w:p>
        </w:tc>
        <w:tc>
          <w:tcPr>
            <w:tcW w:w="1222" w:type="dxa"/>
            <w:tcBorders>
              <w:top w:val="nil"/>
              <w:left w:val="nil"/>
              <w:bottom w:val="single" w:sz="4" w:space="0" w:color="000000"/>
              <w:right w:val="nil"/>
            </w:tcBorders>
            <w:shd w:val="clear" w:color="auto" w:fill="auto"/>
            <w:vAlign w:val="center"/>
            <w:hideMark/>
          </w:tcPr>
          <w:p w14:paraId="7A315BDC" w14:textId="77777777" w:rsidR="00642D26" w:rsidRPr="00933A7F" w:rsidRDefault="00642D26" w:rsidP="004E2CFD">
            <w:pPr>
              <w:pStyle w:val="cuatexto"/>
              <w:spacing w:line="240" w:lineRule="auto"/>
              <w:jc w:val="right"/>
              <w:rPr>
                <w:color w:val="000000"/>
                <w:szCs w:val="20"/>
              </w:rPr>
            </w:pPr>
            <w:r>
              <w:rPr>
                <w:color w:val="000000"/>
              </w:rPr>
              <w:t>7,39</w:t>
            </w:r>
          </w:p>
        </w:tc>
        <w:tc>
          <w:tcPr>
            <w:tcW w:w="1403" w:type="dxa"/>
            <w:tcBorders>
              <w:top w:val="nil"/>
              <w:left w:val="nil"/>
              <w:bottom w:val="single" w:sz="4" w:space="0" w:color="000000"/>
              <w:right w:val="nil"/>
            </w:tcBorders>
            <w:shd w:val="clear" w:color="auto" w:fill="auto"/>
            <w:vAlign w:val="center"/>
            <w:hideMark/>
          </w:tcPr>
          <w:p w14:paraId="529E033A" w14:textId="77777777" w:rsidR="00642D26" w:rsidRPr="00933A7F" w:rsidRDefault="00642D26" w:rsidP="004E2CFD">
            <w:pPr>
              <w:pStyle w:val="cuatexto"/>
              <w:spacing w:line="240" w:lineRule="auto"/>
              <w:jc w:val="right"/>
              <w:rPr>
                <w:szCs w:val="20"/>
              </w:rPr>
            </w:pPr>
            <w:r>
              <w:t>0,8</w:t>
            </w:r>
          </w:p>
        </w:tc>
        <w:tc>
          <w:tcPr>
            <w:tcW w:w="1462" w:type="dxa"/>
            <w:tcBorders>
              <w:top w:val="nil"/>
              <w:left w:val="nil"/>
              <w:bottom w:val="single" w:sz="4" w:space="0" w:color="000000"/>
              <w:right w:val="nil"/>
            </w:tcBorders>
            <w:shd w:val="clear" w:color="auto" w:fill="auto"/>
            <w:vAlign w:val="center"/>
            <w:hideMark/>
          </w:tcPr>
          <w:p w14:paraId="69C0228E" w14:textId="77777777" w:rsidR="00642D26" w:rsidRPr="00933A7F" w:rsidRDefault="00642D26" w:rsidP="004E2CFD">
            <w:pPr>
              <w:pStyle w:val="cuatexto"/>
              <w:spacing w:line="240" w:lineRule="auto"/>
              <w:jc w:val="right"/>
              <w:rPr>
                <w:color w:val="000000"/>
                <w:szCs w:val="20"/>
              </w:rPr>
            </w:pPr>
            <w:r>
              <w:rPr>
                <w:color w:val="000000"/>
              </w:rPr>
              <w:t>0,00</w:t>
            </w:r>
          </w:p>
        </w:tc>
      </w:tr>
      <w:tr w:rsidR="00642D26" w:rsidRPr="00933A7F" w14:paraId="48DBEF6E" w14:textId="77777777" w:rsidTr="00642D26">
        <w:trPr>
          <w:trHeight w:val="255"/>
        </w:trPr>
        <w:tc>
          <w:tcPr>
            <w:tcW w:w="3332" w:type="dxa"/>
            <w:tcBorders>
              <w:top w:val="nil"/>
              <w:left w:val="nil"/>
              <w:bottom w:val="single" w:sz="4" w:space="0" w:color="000000"/>
              <w:right w:val="nil"/>
            </w:tcBorders>
            <w:shd w:val="clear" w:color="auto" w:fill="auto"/>
            <w:vAlign w:val="center"/>
            <w:hideMark/>
          </w:tcPr>
          <w:p w14:paraId="46D690D6" w14:textId="31B19368" w:rsidR="00642D26" w:rsidRPr="00933A7F" w:rsidRDefault="00642D26" w:rsidP="004E2CFD">
            <w:pPr>
              <w:pStyle w:val="cuatexto"/>
              <w:spacing w:line="240" w:lineRule="auto"/>
              <w:rPr>
                <w:b/>
                <w:bCs/>
                <w:i/>
                <w:iCs/>
                <w:szCs w:val="20"/>
              </w:rPr>
            </w:pPr>
            <w:r>
              <w:rPr>
                <w:b/>
                <w:i/>
              </w:rPr>
              <w:t>Diru-sarrera finantzarioak</w:t>
            </w:r>
          </w:p>
        </w:tc>
        <w:tc>
          <w:tcPr>
            <w:tcW w:w="1383" w:type="dxa"/>
            <w:tcBorders>
              <w:top w:val="nil"/>
              <w:left w:val="nil"/>
              <w:bottom w:val="single" w:sz="4" w:space="0" w:color="000000"/>
              <w:right w:val="nil"/>
            </w:tcBorders>
            <w:shd w:val="clear" w:color="auto" w:fill="auto"/>
            <w:vAlign w:val="center"/>
            <w:hideMark/>
          </w:tcPr>
          <w:p w14:paraId="307F4DDD" w14:textId="77777777" w:rsidR="00642D26" w:rsidRPr="00933A7F" w:rsidRDefault="00642D26" w:rsidP="004E2CFD">
            <w:pPr>
              <w:pStyle w:val="cuatexto"/>
              <w:spacing w:line="240" w:lineRule="auto"/>
              <w:jc w:val="right"/>
              <w:rPr>
                <w:b/>
                <w:bCs/>
                <w:i/>
                <w:iCs/>
                <w:color w:val="000000"/>
                <w:szCs w:val="20"/>
              </w:rPr>
            </w:pPr>
            <w:r>
              <w:rPr>
                <w:b/>
                <w:i/>
                <w:color w:val="000000"/>
              </w:rPr>
              <w:t>8,78</w:t>
            </w:r>
          </w:p>
        </w:tc>
        <w:tc>
          <w:tcPr>
            <w:tcW w:w="1222" w:type="dxa"/>
            <w:tcBorders>
              <w:top w:val="nil"/>
              <w:left w:val="nil"/>
              <w:bottom w:val="single" w:sz="4" w:space="0" w:color="000000"/>
              <w:right w:val="nil"/>
            </w:tcBorders>
            <w:shd w:val="clear" w:color="auto" w:fill="auto"/>
            <w:vAlign w:val="center"/>
            <w:hideMark/>
          </w:tcPr>
          <w:p w14:paraId="50FF432F" w14:textId="77777777" w:rsidR="00642D26" w:rsidRPr="00933A7F" w:rsidRDefault="00642D26" w:rsidP="004E2CFD">
            <w:pPr>
              <w:pStyle w:val="cuatexto"/>
              <w:spacing w:line="240" w:lineRule="auto"/>
              <w:jc w:val="right"/>
              <w:rPr>
                <w:b/>
                <w:bCs/>
                <w:i/>
                <w:iCs/>
                <w:color w:val="000000"/>
                <w:szCs w:val="20"/>
              </w:rPr>
            </w:pPr>
            <w:r>
              <w:rPr>
                <w:b/>
                <w:i/>
                <w:color w:val="000000"/>
              </w:rPr>
              <w:t>11,53</w:t>
            </w:r>
          </w:p>
        </w:tc>
        <w:tc>
          <w:tcPr>
            <w:tcW w:w="1403" w:type="dxa"/>
            <w:tcBorders>
              <w:top w:val="nil"/>
              <w:left w:val="nil"/>
              <w:bottom w:val="single" w:sz="4" w:space="0" w:color="000000"/>
              <w:right w:val="nil"/>
            </w:tcBorders>
            <w:shd w:val="clear" w:color="auto" w:fill="auto"/>
            <w:vAlign w:val="center"/>
            <w:hideMark/>
          </w:tcPr>
          <w:p w14:paraId="6BC13EFC" w14:textId="77777777" w:rsidR="00642D26" w:rsidRPr="00933A7F" w:rsidRDefault="00642D26" w:rsidP="004E2CFD">
            <w:pPr>
              <w:pStyle w:val="cuatexto"/>
              <w:spacing w:line="240" w:lineRule="auto"/>
              <w:jc w:val="right"/>
              <w:rPr>
                <w:b/>
                <w:bCs/>
                <w:i/>
                <w:iCs/>
                <w:szCs w:val="20"/>
              </w:rPr>
            </w:pPr>
            <w:r>
              <w:rPr>
                <w:b/>
                <w:i/>
              </w:rPr>
              <w:t>1,2</w:t>
            </w:r>
          </w:p>
        </w:tc>
        <w:tc>
          <w:tcPr>
            <w:tcW w:w="1462" w:type="dxa"/>
            <w:tcBorders>
              <w:top w:val="nil"/>
              <w:left w:val="nil"/>
              <w:bottom w:val="single" w:sz="4" w:space="0" w:color="000000"/>
              <w:right w:val="nil"/>
            </w:tcBorders>
            <w:shd w:val="clear" w:color="auto" w:fill="auto"/>
            <w:vAlign w:val="center"/>
            <w:hideMark/>
          </w:tcPr>
          <w:p w14:paraId="08A54F32" w14:textId="77777777" w:rsidR="00642D26" w:rsidRPr="00933A7F" w:rsidRDefault="00642D26" w:rsidP="004E2CFD">
            <w:pPr>
              <w:pStyle w:val="cuatexto"/>
              <w:spacing w:line="240" w:lineRule="auto"/>
              <w:jc w:val="right"/>
              <w:rPr>
                <w:b/>
                <w:bCs/>
                <w:i/>
                <w:iCs/>
                <w:color w:val="000000"/>
                <w:szCs w:val="20"/>
              </w:rPr>
            </w:pPr>
            <w:r>
              <w:rPr>
                <w:b/>
                <w:i/>
                <w:color w:val="000000"/>
              </w:rPr>
              <w:t>2,75</w:t>
            </w:r>
          </w:p>
        </w:tc>
      </w:tr>
      <w:tr w:rsidR="00642D26" w:rsidRPr="007A1EC0" w14:paraId="56853274" w14:textId="77777777" w:rsidTr="005C70E8">
        <w:trPr>
          <w:trHeight w:val="255"/>
        </w:trPr>
        <w:tc>
          <w:tcPr>
            <w:tcW w:w="3332" w:type="dxa"/>
            <w:tcBorders>
              <w:top w:val="nil"/>
              <w:left w:val="nil"/>
              <w:bottom w:val="single" w:sz="4" w:space="0" w:color="000000"/>
              <w:right w:val="nil"/>
            </w:tcBorders>
            <w:shd w:val="clear" w:color="auto" w:fill="FABF8F" w:themeFill="accent6" w:themeFillTint="99"/>
            <w:vAlign w:val="center"/>
            <w:hideMark/>
          </w:tcPr>
          <w:p w14:paraId="387D26A1" w14:textId="5F2A1A6A" w:rsidR="00642D26" w:rsidRPr="007A1EC0" w:rsidRDefault="00642D26" w:rsidP="004E2CFD">
            <w:pPr>
              <w:pStyle w:val="cuadroCabe"/>
              <w:spacing w:line="240" w:lineRule="auto"/>
            </w:pPr>
            <w:r>
              <w:t>Guztira</w:t>
            </w:r>
          </w:p>
        </w:tc>
        <w:tc>
          <w:tcPr>
            <w:tcW w:w="1383" w:type="dxa"/>
            <w:tcBorders>
              <w:top w:val="nil"/>
              <w:left w:val="nil"/>
              <w:bottom w:val="single" w:sz="4" w:space="0" w:color="000000"/>
              <w:right w:val="nil"/>
            </w:tcBorders>
            <w:shd w:val="clear" w:color="auto" w:fill="FABF8F" w:themeFill="accent6" w:themeFillTint="99"/>
            <w:vAlign w:val="center"/>
            <w:hideMark/>
          </w:tcPr>
          <w:p w14:paraId="343FB5E5" w14:textId="77777777" w:rsidR="00642D26" w:rsidRPr="007A1EC0" w:rsidRDefault="00642D26" w:rsidP="004E2CFD">
            <w:pPr>
              <w:pStyle w:val="cuadroCabe"/>
              <w:spacing w:line="240" w:lineRule="auto"/>
              <w:jc w:val="right"/>
            </w:pPr>
            <w:r>
              <w:t>855,31</w:t>
            </w:r>
          </w:p>
        </w:tc>
        <w:tc>
          <w:tcPr>
            <w:tcW w:w="1222" w:type="dxa"/>
            <w:tcBorders>
              <w:top w:val="nil"/>
              <w:left w:val="nil"/>
              <w:bottom w:val="single" w:sz="4" w:space="0" w:color="000000"/>
              <w:right w:val="nil"/>
            </w:tcBorders>
            <w:shd w:val="clear" w:color="auto" w:fill="FABF8F" w:themeFill="accent6" w:themeFillTint="99"/>
            <w:vAlign w:val="center"/>
            <w:hideMark/>
          </w:tcPr>
          <w:p w14:paraId="15D119BA" w14:textId="77777777" w:rsidR="00642D26" w:rsidRPr="007A1EC0" w:rsidRDefault="00642D26" w:rsidP="004E2CFD">
            <w:pPr>
              <w:pStyle w:val="cuadroCabe"/>
              <w:spacing w:line="240" w:lineRule="auto"/>
              <w:jc w:val="right"/>
            </w:pPr>
            <w:r>
              <w:t>933,78</w:t>
            </w:r>
          </w:p>
        </w:tc>
        <w:tc>
          <w:tcPr>
            <w:tcW w:w="1403" w:type="dxa"/>
            <w:tcBorders>
              <w:top w:val="nil"/>
              <w:left w:val="nil"/>
              <w:bottom w:val="single" w:sz="4" w:space="0" w:color="000000"/>
              <w:right w:val="nil"/>
            </w:tcBorders>
            <w:shd w:val="clear" w:color="auto" w:fill="FABF8F" w:themeFill="accent6" w:themeFillTint="99"/>
            <w:vAlign w:val="center"/>
            <w:hideMark/>
          </w:tcPr>
          <w:p w14:paraId="11D4B35D" w14:textId="77777777" w:rsidR="00642D26" w:rsidRPr="007A1EC0" w:rsidRDefault="00642D26" w:rsidP="004E2CFD">
            <w:pPr>
              <w:pStyle w:val="cuadroCabe"/>
              <w:spacing w:line="240" w:lineRule="auto"/>
              <w:jc w:val="right"/>
            </w:pPr>
            <w:r>
              <w:t>100,0</w:t>
            </w:r>
          </w:p>
        </w:tc>
        <w:tc>
          <w:tcPr>
            <w:tcW w:w="1462" w:type="dxa"/>
            <w:tcBorders>
              <w:top w:val="nil"/>
              <w:left w:val="nil"/>
              <w:bottom w:val="single" w:sz="4" w:space="0" w:color="000000"/>
              <w:right w:val="nil"/>
            </w:tcBorders>
            <w:shd w:val="clear" w:color="auto" w:fill="FABF8F" w:themeFill="accent6" w:themeFillTint="99"/>
            <w:vAlign w:val="center"/>
            <w:hideMark/>
          </w:tcPr>
          <w:p w14:paraId="7E59CFC8" w14:textId="77777777" w:rsidR="00642D26" w:rsidRPr="007A1EC0" w:rsidRDefault="00642D26" w:rsidP="004E2CFD">
            <w:pPr>
              <w:pStyle w:val="cuadroCabe"/>
              <w:spacing w:line="240" w:lineRule="auto"/>
              <w:jc w:val="right"/>
            </w:pPr>
            <w:r>
              <w:t>78,47</w:t>
            </w:r>
          </w:p>
        </w:tc>
      </w:tr>
    </w:tbl>
    <w:p w14:paraId="0320AEDC" w14:textId="77777777" w:rsidR="00DB45F1" w:rsidRDefault="00751965" w:rsidP="00EE593C">
      <w:pPr>
        <w:pStyle w:val="texto"/>
        <w:rPr>
          <w:color w:val="000000" w:themeColor="text1"/>
        </w:rPr>
      </w:pPr>
      <w:r>
        <w:rPr>
          <w:color w:val="000000" w:themeColor="text1"/>
        </w:rPr>
        <w:lastRenderedPageBreak/>
        <w:t>Hiru sozietateen bateratzea kontuan hartuta, toki sektore publikoaren guztizko diru-sarrerak 933,78 milioikoak dira. Bateratzearen eragina 78,47 milioikoa da; horietatik ehuneko 82 dagokie tasa, prezio publiko eta beste diru-sarrera batzuei eta ehuneko 15 jasotako transferentziei.</w:t>
      </w:r>
    </w:p>
    <w:p w14:paraId="17E0F2A2" w14:textId="2878F959" w:rsidR="00DB45F1" w:rsidRDefault="008C027D" w:rsidP="004B1F4E">
      <w:pPr>
        <w:pStyle w:val="texto"/>
        <w:spacing w:after="120"/>
        <w:rPr>
          <w:color w:val="000000" w:themeColor="text1"/>
        </w:rPr>
      </w:pPr>
      <w:r>
        <w:rPr>
          <w:color w:val="000000" w:themeColor="text1"/>
        </w:rPr>
        <w:t>Azpimarratzekoa da toki sektore publikoak transferentzien bidez izandako diru-sarrerak –kontuan harturik toki entitateak, haien erakunde autonomoak eta haiek partaidetza osoa duten sozietate guztiak– funtsean Nafarroako Aurrekontu Orokorretatik (NAOetatik) datozela, eta Aurrekontu Orokorren betetze datuek, 2020ko ekitaldian, guztira 397,01 milioiko transferentzia arruntak eta kapitalekoak islatzen dituztela, sailkapen funtzional honen arabera:</w:t>
      </w:r>
    </w:p>
    <w:p w14:paraId="1709EB1E" w14:textId="77F3C7C2" w:rsidR="008E43F9" w:rsidRPr="00EE593C" w:rsidRDefault="00CF0526" w:rsidP="00EE593C">
      <w:pPr>
        <w:pStyle w:val="texto"/>
        <w:tabs>
          <w:tab w:val="center" w:pos="9072"/>
        </w:tabs>
        <w:spacing w:after="0"/>
        <w:ind w:right="-142"/>
        <w:jc w:val="right"/>
        <w:rPr>
          <w:rFonts w:ascii="Arial Narrow" w:hAnsi="Arial Narrow"/>
          <w:color w:val="000000" w:themeColor="text1"/>
          <w:sz w:val="18"/>
          <w:szCs w:val="18"/>
        </w:rPr>
      </w:pPr>
      <w:r>
        <w:rPr>
          <w:rFonts w:ascii="Arial Narrow" w:hAnsi="Arial Narrow"/>
          <w:color w:val="000000" w:themeColor="text1"/>
          <w:sz w:val="18"/>
        </w:rPr>
        <w:t xml:space="preserve">(Milioiak) </w:t>
      </w:r>
    </w:p>
    <w:tbl>
      <w:tblPr>
        <w:tblW w:w="8881" w:type="dxa"/>
        <w:tblCellMar>
          <w:left w:w="70" w:type="dxa"/>
          <w:right w:w="70" w:type="dxa"/>
        </w:tblCellMar>
        <w:tblLook w:val="04A0" w:firstRow="1" w:lastRow="0" w:firstColumn="1" w:lastColumn="0" w:noHBand="0" w:noVBand="1"/>
      </w:tblPr>
      <w:tblGrid>
        <w:gridCol w:w="3261"/>
        <w:gridCol w:w="1655"/>
        <w:gridCol w:w="1393"/>
        <w:gridCol w:w="1542"/>
        <w:gridCol w:w="1030"/>
      </w:tblGrid>
      <w:tr w:rsidR="00C70DD5" w:rsidRPr="00E27795" w14:paraId="3D79528B" w14:textId="77777777" w:rsidTr="008B5AD0">
        <w:trPr>
          <w:trHeight w:val="255"/>
        </w:trPr>
        <w:tc>
          <w:tcPr>
            <w:tcW w:w="3261" w:type="dxa"/>
            <w:tcBorders>
              <w:top w:val="single" w:sz="4" w:space="0" w:color="000000"/>
              <w:left w:val="nil"/>
              <w:right w:val="nil"/>
            </w:tcBorders>
            <w:shd w:val="clear" w:color="auto" w:fill="FABF8F" w:themeFill="accent6" w:themeFillTint="99"/>
            <w:vAlign w:val="center"/>
          </w:tcPr>
          <w:p w14:paraId="2A62C8E9" w14:textId="77777777" w:rsidR="00C70DD5" w:rsidRPr="00E27795" w:rsidRDefault="00C70DD5" w:rsidP="00E27795">
            <w:pPr>
              <w:pStyle w:val="cuadroCabe"/>
              <w:spacing w:line="240" w:lineRule="auto"/>
              <w:rPr>
                <w:sz w:val="16"/>
                <w:szCs w:val="16"/>
              </w:rPr>
            </w:pPr>
          </w:p>
        </w:tc>
        <w:tc>
          <w:tcPr>
            <w:tcW w:w="3048" w:type="dxa"/>
            <w:gridSpan w:val="2"/>
            <w:tcBorders>
              <w:top w:val="single" w:sz="4" w:space="0" w:color="000000"/>
              <w:left w:val="nil"/>
              <w:bottom w:val="single" w:sz="4" w:space="0" w:color="000000"/>
              <w:right w:val="nil"/>
            </w:tcBorders>
            <w:shd w:val="clear" w:color="auto" w:fill="FABF8F" w:themeFill="accent6" w:themeFillTint="99"/>
            <w:vAlign w:val="center"/>
          </w:tcPr>
          <w:p w14:paraId="7FCE6275" w14:textId="74EBB9EE" w:rsidR="00C70DD5" w:rsidRPr="00E27795" w:rsidRDefault="00C70DD5" w:rsidP="00E27795">
            <w:pPr>
              <w:pStyle w:val="cuadroCabe"/>
              <w:spacing w:line="240" w:lineRule="auto"/>
              <w:jc w:val="center"/>
              <w:rPr>
                <w:sz w:val="16"/>
                <w:szCs w:val="16"/>
              </w:rPr>
            </w:pPr>
            <w:r>
              <w:rPr>
                <w:sz w:val="16"/>
              </w:rPr>
              <w:t>2020</w:t>
            </w:r>
          </w:p>
        </w:tc>
        <w:tc>
          <w:tcPr>
            <w:tcW w:w="1542" w:type="dxa"/>
            <w:vMerge w:val="restart"/>
            <w:tcBorders>
              <w:top w:val="single" w:sz="4" w:space="0" w:color="000000"/>
              <w:left w:val="nil"/>
              <w:right w:val="nil"/>
            </w:tcBorders>
            <w:shd w:val="clear" w:color="auto" w:fill="FABF8F" w:themeFill="accent6" w:themeFillTint="99"/>
            <w:vAlign w:val="center"/>
          </w:tcPr>
          <w:p w14:paraId="2BA41A04" w14:textId="4AC91812" w:rsidR="00C70DD5" w:rsidRPr="00E27795" w:rsidRDefault="00C70DD5" w:rsidP="00E27795">
            <w:pPr>
              <w:pStyle w:val="cuadroCabe"/>
              <w:spacing w:line="240" w:lineRule="auto"/>
              <w:jc w:val="right"/>
              <w:rPr>
                <w:sz w:val="16"/>
                <w:szCs w:val="16"/>
              </w:rPr>
            </w:pPr>
            <w:r>
              <w:rPr>
                <w:sz w:val="16"/>
              </w:rPr>
              <w:t>2020/2019 aldea (absolutua)</w:t>
            </w:r>
          </w:p>
        </w:tc>
        <w:tc>
          <w:tcPr>
            <w:tcW w:w="1030" w:type="dxa"/>
            <w:vMerge w:val="restart"/>
            <w:tcBorders>
              <w:top w:val="single" w:sz="4" w:space="0" w:color="000000"/>
              <w:left w:val="nil"/>
              <w:right w:val="nil"/>
            </w:tcBorders>
            <w:shd w:val="clear" w:color="auto" w:fill="FABF8F" w:themeFill="accent6" w:themeFillTint="99"/>
            <w:vAlign w:val="center"/>
          </w:tcPr>
          <w:p w14:paraId="5186DA80" w14:textId="46818475" w:rsidR="00C70DD5" w:rsidRPr="00E27795" w:rsidRDefault="00C70DD5" w:rsidP="00E27795">
            <w:pPr>
              <w:pStyle w:val="cuadroCabe"/>
              <w:spacing w:line="240" w:lineRule="auto"/>
              <w:jc w:val="right"/>
              <w:rPr>
                <w:sz w:val="16"/>
                <w:szCs w:val="16"/>
              </w:rPr>
            </w:pPr>
            <w:r>
              <w:rPr>
                <w:sz w:val="16"/>
              </w:rPr>
              <w:t>2020/2019 aldea (%)</w:t>
            </w:r>
          </w:p>
        </w:tc>
      </w:tr>
      <w:tr w:rsidR="00C70DD5" w:rsidRPr="00E27795" w14:paraId="4BED267B" w14:textId="77777777" w:rsidTr="00C91EFD">
        <w:trPr>
          <w:trHeight w:val="255"/>
        </w:trPr>
        <w:tc>
          <w:tcPr>
            <w:tcW w:w="3261" w:type="dxa"/>
            <w:tcBorders>
              <w:top w:val="nil"/>
              <w:left w:val="nil"/>
              <w:bottom w:val="single" w:sz="4" w:space="0" w:color="000000"/>
              <w:right w:val="nil"/>
            </w:tcBorders>
            <w:shd w:val="clear" w:color="auto" w:fill="FABF8F" w:themeFill="accent6" w:themeFillTint="99"/>
            <w:vAlign w:val="center"/>
            <w:hideMark/>
          </w:tcPr>
          <w:p w14:paraId="37CBD32A" w14:textId="77777777" w:rsidR="00C70DD5" w:rsidRPr="00E27795" w:rsidRDefault="00C70DD5" w:rsidP="00E27795">
            <w:pPr>
              <w:pStyle w:val="cuadroCabe"/>
              <w:spacing w:line="240" w:lineRule="auto"/>
              <w:rPr>
                <w:sz w:val="16"/>
                <w:szCs w:val="16"/>
              </w:rPr>
            </w:pPr>
            <w:r>
              <w:rPr>
                <w:sz w:val="16"/>
              </w:rPr>
              <w:t>Funtzioa</w:t>
            </w:r>
          </w:p>
        </w:tc>
        <w:tc>
          <w:tcPr>
            <w:tcW w:w="1655" w:type="dxa"/>
            <w:tcBorders>
              <w:top w:val="nil"/>
              <w:left w:val="nil"/>
              <w:bottom w:val="single" w:sz="4" w:space="0" w:color="000000"/>
              <w:right w:val="nil"/>
            </w:tcBorders>
            <w:shd w:val="clear" w:color="auto" w:fill="FABF8F" w:themeFill="accent6" w:themeFillTint="99"/>
            <w:vAlign w:val="center"/>
            <w:hideMark/>
          </w:tcPr>
          <w:p w14:paraId="2170D504" w14:textId="4054DC99" w:rsidR="00C70DD5" w:rsidRPr="00E27795" w:rsidRDefault="00C70DD5" w:rsidP="00E27795">
            <w:pPr>
              <w:pStyle w:val="cuadroCabe"/>
              <w:spacing w:line="240" w:lineRule="auto"/>
              <w:jc w:val="right"/>
              <w:rPr>
                <w:sz w:val="16"/>
                <w:szCs w:val="16"/>
              </w:rPr>
            </w:pPr>
            <w:r>
              <w:rPr>
                <w:sz w:val="16"/>
              </w:rPr>
              <w:t>ABGak NAOetan</w:t>
            </w:r>
          </w:p>
        </w:tc>
        <w:tc>
          <w:tcPr>
            <w:tcW w:w="1393" w:type="dxa"/>
            <w:tcBorders>
              <w:top w:val="nil"/>
              <w:left w:val="nil"/>
              <w:bottom w:val="single" w:sz="4" w:space="0" w:color="000000"/>
              <w:right w:val="nil"/>
            </w:tcBorders>
            <w:shd w:val="clear" w:color="auto" w:fill="FABF8F" w:themeFill="accent6" w:themeFillTint="99"/>
            <w:vAlign w:val="center"/>
            <w:hideMark/>
          </w:tcPr>
          <w:p w14:paraId="00A8BD5E" w14:textId="77777777" w:rsidR="00C70DD5" w:rsidRPr="00E27795" w:rsidRDefault="00C70DD5" w:rsidP="00E27795">
            <w:pPr>
              <w:pStyle w:val="cuadroCabe"/>
              <w:spacing w:line="240" w:lineRule="auto"/>
              <w:jc w:val="right"/>
              <w:rPr>
                <w:sz w:val="16"/>
                <w:szCs w:val="16"/>
              </w:rPr>
            </w:pPr>
            <w:r>
              <w:rPr>
                <w:sz w:val="16"/>
              </w:rPr>
              <w:t>Guztizkoaren gainean (%)</w:t>
            </w:r>
          </w:p>
        </w:tc>
        <w:tc>
          <w:tcPr>
            <w:tcW w:w="1542" w:type="dxa"/>
            <w:vMerge/>
            <w:tcBorders>
              <w:left w:val="nil"/>
              <w:bottom w:val="single" w:sz="4" w:space="0" w:color="000000"/>
              <w:right w:val="nil"/>
            </w:tcBorders>
            <w:shd w:val="clear" w:color="auto" w:fill="FABF8F" w:themeFill="accent6" w:themeFillTint="99"/>
            <w:vAlign w:val="center"/>
            <w:hideMark/>
          </w:tcPr>
          <w:p w14:paraId="64757A7D" w14:textId="75C3EC9D" w:rsidR="00C70DD5" w:rsidRPr="00E27795" w:rsidRDefault="00C70DD5" w:rsidP="00E27795">
            <w:pPr>
              <w:pStyle w:val="cuadroCabe"/>
              <w:spacing w:line="240" w:lineRule="auto"/>
              <w:jc w:val="right"/>
              <w:rPr>
                <w:sz w:val="16"/>
                <w:szCs w:val="16"/>
                <w:highlight w:val="yellow"/>
              </w:rPr>
            </w:pPr>
          </w:p>
        </w:tc>
        <w:tc>
          <w:tcPr>
            <w:tcW w:w="1030" w:type="dxa"/>
            <w:vMerge/>
            <w:tcBorders>
              <w:left w:val="nil"/>
              <w:bottom w:val="single" w:sz="4" w:space="0" w:color="000000"/>
              <w:right w:val="nil"/>
            </w:tcBorders>
            <w:shd w:val="clear" w:color="auto" w:fill="FABF8F" w:themeFill="accent6" w:themeFillTint="99"/>
            <w:vAlign w:val="center"/>
            <w:hideMark/>
          </w:tcPr>
          <w:p w14:paraId="09E90839" w14:textId="7AD7DCEA" w:rsidR="00C70DD5" w:rsidRPr="00E27795" w:rsidRDefault="00C70DD5" w:rsidP="00E27795">
            <w:pPr>
              <w:pStyle w:val="cuadroCabe"/>
              <w:spacing w:line="240" w:lineRule="auto"/>
              <w:jc w:val="right"/>
              <w:rPr>
                <w:sz w:val="16"/>
                <w:szCs w:val="16"/>
                <w:highlight w:val="yellow"/>
              </w:rPr>
            </w:pPr>
          </w:p>
        </w:tc>
      </w:tr>
      <w:tr w:rsidR="008C027D" w:rsidRPr="00933A7F" w14:paraId="7BBFF373" w14:textId="77777777" w:rsidTr="004B1F4E">
        <w:trPr>
          <w:trHeight w:val="255"/>
        </w:trPr>
        <w:tc>
          <w:tcPr>
            <w:tcW w:w="3261" w:type="dxa"/>
            <w:tcBorders>
              <w:top w:val="nil"/>
              <w:left w:val="nil"/>
              <w:bottom w:val="single" w:sz="2" w:space="0" w:color="auto"/>
              <w:right w:val="nil"/>
            </w:tcBorders>
            <w:shd w:val="clear" w:color="auto" w:fill="auto"/>
            <w:vAlign w:val="center"/>
            <w:hideMark/>
          </w:tcPr>
          <w:p w14:paraId="63EA2A3A" w14:textId="77777777" w:rsidR="008C027D" w:rsidRPr="00933A7F" w:rsidRDefault="008C027D" w:rsidP="00E27795">
            <w:pPr>
              <w:pStyle w:val="cuatexto"/>
              <w:spacing w:line="240" w:lineRule="auto"/>
              <w:rPr>
                <w:szCs w:val="20"/>
              </w:rPr>
            </w:pPr>
            <w:r>
              <w:t>94. Transferentziak beste administrazio batzuei</w:t>
            </w:r>
          </w:p>
        </w:tc>
        <w:tc>
          <w:tcPr>
            <w:tcW w:w="1655" w:type="dxa"/>
            <w:tcBorders>
              <w:top w:val="nil"/>
              <w:left w:val="nil"/>
              <w:bottom w:val="single" w:sz="2" w:space="0" w:color="auto"/>
              <w:right w:val="nil"/>
            </w:tcBorders>
            <w:shd w:val="clear" w:color="auto" w:fill="auto"/>
            <w:vAlign w:val="center"/>
            <w:hideMark/>
          </w:tcPr>
          <w:p w14:paraId="2962E257" w14:textId="7A4609F6" w:rsidR="008C027D" w:rsidRPr="00933A7F" w:rsidRDefault="008C027D" w:rsidP="00E27795">
            <w:pPr>
              <w:pStyle w:val="cuatexto"/>
              <w:spacing w:line="240" w:lineRule="auto"/>
              <w:jc w:val="right"/>
              <w:rPr>
                <w:szCs w:val="20"/>
              </w:rPr>
            </w:pPr>
            <w:r>
              <w:t xml:space="preserve">265,64 </w:t>
            </w:r>
          </w:p>
        </w:tc>
        <w:tc>
          <w:tcPr>
            <w:tcW w:w="1393" w:type="dxa"/>
            <w:tcBorders>
              <w:top w:val="nil"/>
              <w:left w:val="nil"/>
              <w:bottom w:val="single" w:sz="2" w:space="0" w:color="auto"/>
              <w:right w:val="nil"/>
            </w:tcBorders>
            <w:shd w:val="clear" w:color="auto" w:fill="auto"/>
            <w:vAlign w:val="center"/>
            <w:hideMark/>
          </w:tcPr>
          <w:p w14:paraId="5191F354" w14:textId="53BD9B71" w:rsidR="008C027D" w:rsidRPr="00933A7F" w:rsidRDefault="008C027D" w:rsidP="00E27795">
            <w:pPr>
              <w:pStyle w:val="cuatexto"/>
              <w:spacing w:line="240" w:lineRule="auto"/>
              <w:jc w:val="right"/>
              <w:rPr>
                <w:szCs w:val="20"/>
              </w:rPr>
            </w:pPr>
            <w:r>
              <w:t>67</w:t>
            </w:r>
          </w:p>
        </w:tc>
        <w:tc>
          <w:tcPr>
            <w:tcW w:w="1542" w:type="dxa"/>
            <w:tcBorders>
              <w:top w:val="nil"/>
              <w:left w:val="nil"/>
              <w:bottom w:val="single" w:sz="2" w:space="0" w:color="auto"/>
              <w:right w:val="nil"/>
            </w:tcBorders>
            <w:shd w:val="clear" w:color="auto" w:fill="auto"/>
            <w:vAlign w:val="center"/>
            <w:hideMark/>
          </w:tcPr>
          <w:p w14:paraId="6730C18B" w14:textId="53EDEBE7" w:rsidR="008C027D" w:rsidRPr="00933A7F" w:rsidRDefault="008C027D" w:rsidP="00E27795">
            <w:pPr>
              <w:pStyle w:val="cuatexto"/>
              <w:spacing w:line="240" w:lineRule="auto"/>
              <w:jc w:val="right"/>
              <w:rPr>
                <w:szCs w:val="20"/>
              </w:rPr>
            </w:pPr>
            <w:r>
              <w:t xml:space="preserve">20,66 </w:t>
            </w:r>
          </w:p>
        </w:tc>
        <w:tc>
          <w:tcPr>
            <w:tcW w:w="1030" w:type="dxa"/>
            <w:tcBorders>
              <w:top w:val="nil"/>
              <w:left w:val="nil"/>
              <w:bottom w:val="single" w:sz="2" w:space="0" w:color="auto"/>
              <w:right w:val="nil"/>
            </w:tcBorders>
            <w:shd w:val="clear" w:color="auto" w:fill="auto"/>
            <w:vAlign w:val="center"/>
            <w:hideMark/>
          </w:tcPr>
          <w:p w14:paraId="547DDE24" w14:textId="50589F04" w:rsidR="008C027D" w:rsidRPr="00933A7F" w:rsidRDefault="008C027D" w:rsidP="00E27795">
            <w:pPr>
              <w:pStyle w:val="cuatexto"/>
              <w:spacing w:line="240" w:lineRule="auto"/>
              <w:jc w:val="right"/>
              <w:rPr>
                <w:szCs w:val="20"/>
              </w:rPr>
            </w:pPr>
            <w:r>
              <w:t>8</w:t>
            </w:r>
          </w:p>
        </w:tc>
      </w:tr>
      <w:tr w:rsidR="008C027D" w:rsidRPr="00933A7F" w14:paraId="235FF129" w14:textId="77777777" w:rsidTr="004B1F4E">
        <w:trPr>
          <w:trHeight w:val="255"/>
        </w:trPr>
        <w:tc>
          <w:tcPr>
            <w:tcW w:w="3261" w:type="dxa"/>
            <w:tcBorders>
              <w:top w:val="single" w:sz="2" w:space="0" w:color="auto"/>
              <w:left w:val="nil"/>
              <w:bottom w:val="single" w:sz="2" w:space="0" w:color="auto"/>
              <w:right w:val="nil"/>
            </w:tcBorders>
            <w:shd w:val="clear" w:color="auto" w:fill="auto"/>
            <w:vAlign w:val="center"/>
            <w:hideMark/>
          </w:tcPr>
          <w:p w14:paraId="0DEB83F5" w14:textId="77777777" w:rsidR="008C027D" w:rsidRPr="00933A7F" w:rsidRDefault="008C027D" w:rsidP="00E27795">
            <w:pPr>
              <w:pStyle w:val="cuatexto"/>
              <w:spacing w:line="240" w:lineRule="auto"/>
              <w:rPr>
                <w:szCs w:val="20"/>
              </w:rPr>
            </w:pPr>
            <w:r>
              <w:t>32. Hezkuntza</w:t>
            </w:r>
          </w:p>
        </w:tc>
        <w:tc>
          <w:tcPr>
            <w:tcW w:w="1655" w:type="dxa"/>
            <w:tcBorders>
              <w:top w:val="single" w:sz="2" w:space="0" w:color="auto"/>
              <w:left w:val="nil"/>
              <w:bottom w:val="single" w:sz="2" w:space="0" w:color="auto"/>
              <w:right w:val="nil"/>
            </w:tcBorders>
            <w:shd w:val="clear" w:color="auto" w:fill="auto"/>
            <w:vAlign w:val="center"/>
            <w:hideMark/>
          </w:tcPr>
          <w:p w14:paraId="1F32072D" w14:textId="19981576" w:rsidR="008C027D" w:rsidRPr="00933A7F" w:rsidRDefault="008C027D" w:rsidP="00E27795">
            <w:pPr>
              <w:pStyle w:val="cuatexto"/>
              <w:spacing w:line="240" w:lineRule="auto"/>
              <w:jc w:val="right"/>
              <w:rPr>
                <w:szCs w:val="20"/>
              </w:rPr>
            </w:pPr>
            <w:r>
              <w:t xml:space="preserve">29,61 </w:t>
            </w:r>
          </w:p>
        </w:tc>
        <w:tc>
          <w:tcPr>
            <w:tcW w:w="1393" w:type="dxa"/>
            <w:tcBorders>
              <w:top w:val="single" w:sz="2" w:space="0" w:color="auto"/>
              <w:left w:val="nil"/>
              <w:bottom w:val="single" w:sz="2" w:space="0" w:color="auto"/>
              <w:right w:val="nil"/>
            </w:tcBorders>
            <w:shd w:val="clear" w:color="auto" w:fill="auto"/>
            <w:vAlign w:val="center"/>
            <w:hideMark/>
          </w:tcPr>
          <w:p w14:paraId="5D4A1386" w14:textId="2818A6A4" w:rsidR="008C027D" w:rsidRPr="00933A7F" w:rsidRDefault="008C027D" w:rsidP="00E27795">
            <w:pPr>
              <w:pStyle w:val="cuatexto"/>
              <w:spacing w:line="240" w:lineRule="auto"/>
              <w:jc w:val="right"/>
              <w:rPr>
                <w:szCs w:val="20"/>
              </w:rPr>
            </w:pPr>
            <w:r>
              <w:t>7</w:t>
            </w:r>
          </w:p>
        </w:tc>
        <w:tc>
          <w:tcPr>
            <w:tcW w:w="1542" w:type="dxa"/>
            <w:tcBorders>
              <w:top w:val="single" w:sz="2" w:space="0" w:color="auto"/>
              <w:left w:val="nil"/>
              <w:bottom w:val="single" w:sz="2" w:space="0" w:color="auto"/>
              <w:right w:val="nil"/>
            </w:tcBorders>
            <w:shd w:val="clear" w:color="auto" w:fill="auto"/>
            <w:vAlign w:val="center"/>
            <w:hideMark/>
          </w:tcPr>
          <w:p w14:paraId="7DDBF523" w14:textId="4CC626A0" w:rsidR="008C027D" w:rsidRPr="00933A7F" w:rsidRDefault="008C027D" w:rsidP="00E27795">
            <w:pPr>
              <w:pStyle w:val="cuatexto"/>
              <w:spacing w:line="240" w:lineRule="auto"/>
              <w:jc w:val="right"/>
              <w:rPr>
                <w:szCs w:val="20"/>
              </w:rPr>
            </w:pPr>
            <w:r>
              <w:t xml:space="preserve">2,39 </w:t>
            </w:r>
          </w:p>
        </w:tc>
        <w:tc>
          <w:tcPr>
            <w:tcW w:w="1030" w:type="dxa"/>
            <w:tcBorders>
              <w:top w:val="single" w:sz="2" w:space="0" w:color="auto"/>
              <w:left w:val="nil"/>
              <w:bottom w:val="single" w:sz="2" w:space="0" w:color="auto"/>
              <w:right w:val="nil"/>
            </w:tcBorders>
            <w:shd w:val="clear" w:color="auto" w:fill="auto"/>
            <w:vAlign w:val="center"/>
            <w:hideMark/>
          </w:tcPr>
          <w:p w14:paraId="7A582A69" w14:textId="7DD7EBE2" w:rsidR="008C027D" w:rsidRPr="00933A7F" w:rsidRDefault="00F914F0" w:rsidP="00E27795">
            <w:pPr>
              <w:pStyle w:val="cuatexto"/>
              <w:spacing w:line="240" w:lineRule="auto"/>
              <w:jc w:val="right"/>
              <w:rPr>
                <w:szCs w:val="20"/>
              </w:rPr>
            </w:pPr>
            <w:r>
              <w:t>9</w:t>
            </w:r>
          </w:p>
        </w:tc>
      </w:tr>
      <w:tr w:rsidR="008C027D" w:rsidRPr="00933A7F" w14:paraId="593A56A8" w14:textId="77777777" w:rsidTr="004B1F4E">
        <w:trPr>
          <w:trHeight w:val="255"/>
        </w:trPr>
        <w:tc>
          <w:tcPr>
            <w:tcW w:w="3261" w:type="dxa"/>
            <w:tcBorders>
              <w:top w:val="single" w:sz="2" w:space="0" w:color="auto"/>
              <w:left w:val="nil"/>
              <w:bottom w:val="single" w:sz="2" w:space="0" w:color="auto"/>
              <w:right w:val="nil"/>
            </w:tcBorders>
            <w:shd w:val="clear" w:color="auto" w:fill="auto"/>
            <w:vAlign w:val="center"/>
            <w:hideMark/>
          </w:tcPr>
          <w:p w14:paraId="32B384D7" w14:textId="77777777" w:rsidR="008C027D" w:rsidRPr="00933A7F" w:rsidRDefault="008C027D" w:rsidP="00E27795">
            <w:pPr>
              <w:pStyle w:val="cuatexto"/>
              <w:spacing w:line="240" w:lineRule="auto"/>
              <w:rPr>
                <w:szCs w:val="20"/>
              </w:rPr>
            </w:pPr>
            <w:r>
              <w:t>23. Gizarte zerbitzuak eta sustapena</w:t>
            </w:r>
          </w:p>
        </w:tc>
        <w:tc>
          <w:tcPr>
            <w:tcW w:w="1655" w:type="dxa"/>
            <w:tcBorders>
              <w:top w:val="single" w:sz="2" w:space="0" w:color="auto"/>
              <w:left w:val="nil"/>
              <w:bottom w:val="single" w:sz="2" w:space="0" w:color="auto"/>
              <w:right w:val="nil"/>
            </w:tcBorders>
            <w:shd w:val="clear" w:color="auto" w:fill="auto"/>
            <w:vAlign w:val="center"/>
            <w:hideMark/>
          </w:tcPr>
          <w:p w14:paraId="2BFC08DE" w14:textId="0C3A43A5" w:rsidR="008C027D" w:rsidRPr="00933A7F" w:rsidRDefault="008C027D" w:rsidP="00E27795">
            <w:pPr>
              <w:pStyle w:val="cuatexto"/>
              <w:spacing w:line="240" w:lineRule="auto"/>
              <w:jc w:val="right"/>
              <w:rPr>
                <w:szCs w:val="20"/>
              </w:rPr>
            </w:pPr>
            <w:r>
              <w:t xml:space="preserve">27,81 </w:t>
            </w:r>
          </w:p>
        </w:tc>
        <w:tc>
          <w:tcPr>
            <w:tcW w:w="1393" w:type="dxa"/>
            <w:tcBorders>
              <w:top w:val="single" w:sz="2" w:space="0" w:color="auto"/>
              <w:left w:val="nil"/>
              <w:bottom w:val="single" w:sz="2" w:space="0" w:color="auto"/>
              <w:right w:val="nil"/>
            </w:tcBorders>
            <w:shd w:val="clear" w:color="auto" w:fill="auto"/>
            <w:vAlign w:val="center"/>
            <w:hideMark/>
          </w:tcPr>
          <w:p w14:paraId="7EED018A" w14:textId="76938A1E" w:rsidR="008C027D" w:rsidRPr="00933A7F" w:rsidRDefault="008C027D" w:rsidP="00E27795">
            <w:pPr>
              <w:pStyle w:val="cuatexto"/>
              <w:spacing w:line="240" w:lineRule="auto"/>
              <w:jc w:val="right"/>
              <w:rPr>
                <w:szCs w:val="20"/>
              </w:rPr>
            </w:pPr>
            <w:r>
              <w:t>7</w:t>
            </w:r>
          </w:p>
        </w:tc>
        <w:tc>
          <w:tcPr>
            <w:tcW w:w="1542" w:type="dxa"/>
            <w:tcBorders>
              <w:top w:val="single" w:sz="2" w:space="0" w:color="auto"/>
              <w:left w:val="nil"/>
              <w:bottom w:val="single" w:sz="2" w:space="0" w:color="auto"/>
              <w:right w:val="nil"/>
            </w:tcBorders>
            <w:shd w:val="clear" w:color="auto" w:fill="auto"/>
            <w:vAlign w:val="center"/>
            <w:hideMark/>
          </w:tcPr>
          <w:p w14:paraId="6561039E" w14:textId="5E572666" w:rsidR="008C027D" w:rsidRPr="00933A7F" w:rsidRDefault="008C027D" w:rsidP="00E27795">
            <w:pPr>
              <w:pStyle w:val="cuatexto"/>
              <w:spacing w:line="240" w:lineRule="auto"/>
              <w:jc w:val="right"/>
              <w:rPr>
                <w:szCs w:val="20"/>
              </w:rPr>
            </w:pPr>
            <w:r>
              <w:t xml:space="preserve">4,66 </w:t>
            </w:r>
          </w:p>
        </w:tc>
        <w:tc>
          <w:tcPr>
            <w:tcW w:w="1030" w:type="dxa"/>
            <w:tcBorders>
              <w:top w:val="single" w:sz="2" w:space="0" w:color="auto"/>
              <w:left w:val="nil"/>
              <w:bottom w:val="single" w:sz="2" w:space="0" w:color="auto"/>
              <w:right w:val="nil"/>
            </w:tcBorders>
            <w:shd w:val="clear" w:color="auto" w:fill="auto"/>
            <w:vAlign w:val="center"/>
            <w:hideMark/>
          </w:tcPr>
          <w:p w14:paraId="55D4A13C" w14:textId="0D9444A9" w:rsidR="008C027D" w:rsidRPr="00933A7F" w:rsidRDefault="00F914F0" w:rsidP="00E27795">
            <w:pPr>
              <w:pStyle w:val="cuatexto"/>
              <w:spacing w:line="240" w:lineRule="auto"/>
              <w:jc w:val="right"/>
              <w:rPr>
                <w:szCs w:val="20"/>
              </w:rPr>
            </w:pPr>
            <w:r>
              <w:t>20</w:t>
            </w:r>
          </w:p>
        </w:tc>
      </w:tr>
      <w:tr w:rsidR="008C027D" w:rsidRPr="00933A7F" w14:paraId="0D6F6A3A" w14:textId="77777777" w:rsidTr="004B1F4E">
        <w:trPr>
          <w:trHeight w:val="255"/>
        </w:trPr>
        <w:tc>
          <w:tcPr>
            <w:tcW w:w="3261" w:type="dxa"/>
            <w:tcBorders>
              <w:top w:val="single" w:sz="2" w:space="0" w:color="auto"/>
              <w:left w:val="nil"/>
              <w:bottom w:val="single" w:sz="2" w:space="0" w:color="auto"/>
              <w:right w:val="nil"/>
            </w:tcBorders>
            <w:shd w:val="clear" w:color="auto" w:fill="auto"/>
            <w:vAlign w:val="center"/>
            <w:hideMark/>
          </w:tcPr>
          <w:p w14:paraId="2E1B5F65" w14:textId="77777777" w:rsidR="008C027D" w:rsidRPr="00933A7F" w:rsidRDefault="008C027D" w:rsidP="00E27795">
            <w:pPr>
              <w:pStyle w:val="cuatexto"/>
              <w:spacing w:line="240" w:lineRule="auto"/>
              <w:rPr>
                <w:szCs w:val="20"/>
              </w:rPr>
            </w:pPr>
            <w:r>
              <w:t>26. Etxebizitza eskuratzea eta sustatzea</w:t>
            </w:r>
          </w:p>
        </w:tc>
        <w:tc>
          <w:tcPr>
            <w:tcW w:w="1655" w:type="dxa"/>
            <w:tcBorders>
              <w:top w:val="single" w:sz="2" w:space="0" w:color="auto"/>
              <w:left w:val="nil"/>
              <w:bottom w:val="single" w:sz="2" w:space="0" w:color="auto"/>
              <w:right w:val="nil"/>
            </w:tcBorders>
            <w:shd w:val="clear" w:color="auto" w:fill="auto"/>
            <w:vAlign w:val="center"/>
            <w:hideMark/>
          </w:tcPr>
          <w:p w14:paraId="6B2782E6" w14:textId="02B5BF18" w:rsidR="008C027D" w:rsidRPr="00933A7F" w:rsidRDefault="008C027D" w:rsidP="00E27795">
            <w:pPr>
              <w:pStyle w:val="cuatexto"/>
              <w:spacing w:line="240" w:lineRule="auto"/>
              <w:jc w:val="right"/>
              <w:rPr>
                <w:szCs w:val="20"/>
              </w:rPr>
            </w:pPr>
            <w:r>
              <w:t xml:space="preserve">27,01 </w:t>
            </w:r>
          </w:p>
        </w:tc>
        <w:tc>
          <w:tcPr>
            <w:tcW w:w="1393" w:type="dxa"/>
            <w:tcBorders>
              <w:top w:val="single" w:sz="2" w:space="0" w:color="auto"/>
              <w:left w:val="nil"/>
              <w:bottom w:val="single" w:sz="2" w:space="0" w:color="auto"/>
              <w:right w:val="nil"/>
            </w:tcBorders>
            <w:shd w:val="clear" w:color="auto" w:fill="auto"/>
            <w:vAlign w:val="center"/>
            <w:hideMark/>
          </w:tcPr>
          <w:p w14:paraId="65D5B042" w14:textId="1E333A65" w:rsidR="008C027D" w:rsidRPr="00933A7F" w:rsidRDefault="008C027D" w:rsidP="00E27795">
            <w:pPr>
              <w:pStyle w:val="cuatexto"/>
              <w:spacing w:line="240" w:lineRule="auto"/>
              <w:jc w:val="right"/>
              <w:rPr>
                <w:szCs w:val="20"/>
              </w:rPr>
            </w:pPr>
            <w:r>
              <w:t>7</w:t>
            </w:r>
          </w:p>
        </w:tc>
        <w:tc>
          <w:tcPr>
            <w:tcW w:w="1542" w:type="dxa"/>
            <w:tcBorders>
              <w:top w:val="single" w:sz="2" w:space="0" w:color="auto"/>
              <w:left w:val="nil"/>
              <w:bottom w:val="single" w:sz="2" w:space="0" w:color="auto"/>
              <w:right w:val="nil"/>
            </w:tcBorders>
            <w:shd w:val="clear" w:color="auto" w:fill="auto"/>
            <w:vAlign w:val="center"/>
            <w:hideMark/>
          </w:tcPr>
          <w:p w14:paraId="51D7B3CF" w14:textId="31A0E3A2" w:rsidR="008C027D" w:rsidRPr="00933A7F" w:rsidRDefault="008C027D" w:rsidP="00E27795">
            <w:pPr>
              <w:pStyle w:val="cuatexto"/>
              <w:spacing w:line="240" w:lineRule="auto"/>
              <w:jc w:val="right"/>
              <w:rPr>
                <w:szCs w:val="20"/>
              </w:rPr>
            </w:pPr>
            <w:r>
              <w:t xml:space="preserve">2,97 </w:t>
            </w:r>
          </w:p>
        </w:tc>
        <w:tc>
          <w:tcPr>
            <w:tcW w:w="1030" w:type="dxa"/>
            <w:tcBorders>
              <w:top w:val="single" w:sz="2" w:space="0" w:color="auto"/>
              <w:left w:val="nil"/>
              <w:bottom w:val="single" w:sz="2" w:space="0" w:color="auto"/>
              <w:right w:val="nil"/>
            </w:tcBorders>
            <w:shd w:val="clear" w:color="auto" w:fill="auto"/>
            <w:vAlign w:val="center"/>
            <w:hideMark/>
          </w:tcPr>
          <w:p w14:paraId="5B19F240" w14:textId="67216B86" w:rsidR="008C027D" w:rsidRPr="00933A7F" w:rsidRDefault="00F914F0" w:rsidP="00E27795">
            <w:pPr>
              <w:pStyle w:val="cuatexto"/>
              <w:spacing w:line="240" w:lineRule="auto"/>
              <w:jc w:val="right"/>
              <w:rPr>
                <w:szCs w:val="20"/>
              </w:rPr>
            </w:pPr>
            <w:r>
              <w:t>12</w:t>
            </w:r>
          </w:p>
        </w:tc>
      </w:tr>
      <w:tr w:rsidR="008C027D" w:rsidRPr="00933A7F" w14:paraId="3B083CB1" w14:textId="77777777" w:rsidTr="004B1F4E">
        <w:trPr>
          <w:trHeight w:val="255"/>
        </w:trPr>
        <w:tc>
          <w:tcPr>
            <w:tcW w:w="3261" w:type="dxa"/>
            <w:tcBorders>
              <w:top w:val="single" w:sz="2" w:space="0" w:color="auto"/>
              <w:left w:val="nil"/>
              <w:bottom w:val="single" w:sz="2" w:space="0" w:color="auto"/>
              <w:right w:val="nil"/>
            </w:tcBorders>
            <w:shd w:val="clear" w:color="auto" w:fill="auto"/>
            <w:vAlign w:val="center"/>
            <w:hideMark/>
          </w:tcPr>
          <w:p w14:paraId="064AF8E8" w14:textId="77777777" w:rsidR="008C027D" w:rsidRPr="00933A7F" w:rsidRDefault="008C027D" w:rsidP="00E27795">
            <w:pPr>
              <w:pStyle w:val="cuatexto"/>
              <w:spacing w:line="240" w:lineRule="auto"/>
              <w:rPr>
                <w:szCs w:val="20"/>
              </w:rPr>
            </w:pPr>
            <w:r>
              <w:t>45. Azpiegiturak</w:t>
            </w:r>
          </w:p>
        </w:tc>
        <w:tc>
          <w:tcPr>
            <w:tcW w:w="1655" w:type="dxa"/>
            <w:tcBorders>
              <w:top w:val="single" w:sz="2" w:space="0" w:color="auto"/>
              <w:left w:val="nil"/>
              <w:bottom w:val="single" w:sz="2" w:space="0" w:color="auto"/>
              <w:right w:val="nil"/>
            </w:tcBorders>
            <w:shd w:val="clear" w:color="auto" w:fill="auto"/>
            <w:vAlign w:val="center"/>
            <w:hideMark/>
          </w:tcPr>
          <w:p w14:paraId="053B9ADA" w14:textId="39E40C80" w:rsidR="008C027D" w:rsidRPr="00933A7F" w:rsidRDefault="008C027D" w:rsidP="00E27795">
            <w:pPr>
              <w:pStyle w:val="cuatexto"/>
              <w:spacing w:line="240" w:lineRule="auto"/>
              <w:jc w:val="right"/>
              <w:rPr>
                <w:szCs w:val="20"/>
              </w:rPr>
            </w:pPr>
            <w:r>
              <w:t xml:space="preserve">12,55 </w:t>
            </w:r>
          </w:p>
        </w:tc>
        <w:tc>
          <w:tcPr>
            <w:tcW w:w="1393" w:type="dxa"/>
            <w:tcBorders>
              <w:top w:val="single" w:sz="2" w:space="0" w:color="auto"/>
              <w:left w:val="nil"/>
              <w:bottom w:val="single" w:sz="2" w:space="0" w:color="auto"/>
              <w:right w:val="nil"/>
            </w:tcBorders>
            <w:shd w:val="clear" w:color="auto" w:fill="auto"/>
            <w:vAlign w:val="center"/>
            <w:hideMark/>
          </w:tcPr>
          <w:p w14:paraId="5AB04402" w14:textId="71EEBA5E" w:rsidR="008C027D" w:rsidRPr="00933A7F" w:rsidRDefault="008C027D" w:rsidP="00E27795">
            <w:pPr>
              <w:pStyle w:val="cuatexto"/>
              <w:spacing w:line="240" w:lineRule="auto"/>
              <w:jc w:val="right"/>
              <w:rPr>
                <w:szCs w:val="20"/>
              </w:rPr>
            </w:pPr>
            <w:r>
              <w:t>3</w:t>
            </w:r>
          </w:p>
        </w:tc>
        <w:tc>
          <w:tcPr>
            <w:tcW w:w="1542" w:type="dxa"/>
            <w:tcBorders>
              <w:top w:val="single" w:sz="2" w:space="0" w:color="auto"/>
              <w:left w:val="nil"/>
              <w:bottom w:val="single" w:sz="2" w:space="0" w:color="auto"/>
              <w:right w:val="nil"/>
            </w:tcBorders>
            <w:shd w:val="clear" w:color="auto" w:fill="auto"/>
            <w:vAlign w:val="center"/>
            <w:hideMark/>
          </w:tcPr>
          <w:p w14:paraId="372DDE03" w14:textId="3EA86C39" w:rsidR="008C027D" w:rsidRPr="00933A7F" w:rsidRDefault="00BC201A" w:rsidP="00E27795">
            <w:pPr>
              <w:pStyle w:val="cuatexto"/>
              <w:spacing w:line="240" w:lineRule="auto"/>
              <w:jc w:val="right"/>
              <w:rPr>
                <w:szCs w:val="20"/>
              </w:rPr>
            </w:pPr>
            <w:r>
              <w:t xml:space="preserve">- 16,25 </w:t>
            </w:r>
          </w:p>
        </w:tc>
        <w:tc>
          <w:tcPr>
            <w:tcW w:w="1030" w:type="dxa"/>
            <w:tcBorders>
              <w:top w:val="single" w:sz="2" w:space="0" w:color="auto"/>
              <w:left w:val="nil"/>
              <w:bottom w:val="single" w:sz="2" w:space="0" w:color="auto"/>
              <w:right w:val="nil"/>
            </w:tcBorders>
            <w:shd w:val="clear" w:color="auto" w:fill="auto"/>
            <w:vAlign w:val="center"/>
            <w:hideMark/>
          </w:tcPr>
          <w:p w14:paraId="75AAF865" w14:textId="2E270D6B" w:rsidR="008C027D" w:rsidRPr="00933A7F" w:rsidRDefault="00F914F0" w:rsidP="00E27795">
            <w:pPr>
              <w:pStyle w:val="cuatexto"/>
              <w:spacing w:line="240" w:lineRule="auto"/>
              <w:jc w:val="right"/>
              <w:rPr>
                <w:szCs w:val="20"/>
              </w:rPr>
            </w:pPr>
            <w:r>
              <w:t>-56</w:t>
            </w:r>
          </w:p>
        </w:tc>
      </w:tr>
      <w:tr w:rsidR="008C027D" w:rsidRPr="00933A7F" w14:paraId="0A417765" w14:textId="77777777" w:rsidTr="004B1F4E">
        <w:trPr>
          <w:trHeight w:val="255"/>
        </w:trPr>
        <w:tc>
          <w:tcPr>
            <w:tcW w:w="3261" w:type="dxa"/>
            <w:tcBorders>
              <w:top w:val="single" w:sz="2" w:space="0" w:color="auto"/>
              <w:left w:val="nil"/>
              <w:bottom w:val="single" w:sz="2" w:space="0" w:color="auto"/>
              <w:right w:val="nil"/>
            </w:tcBorders>
            <w:shd w:val="clear" w:color="auto" w:fill="auto"/>
            <w:vAlign w:val="center"/>
            <w:hideMark/>
          </w:tcPr>
          <w:p w14:paraId="460D31D6" w14:textId="77777777" w:rsidR="008C027D" w:rsidRPr="00933A7F" w:rsidRDefault="008C027D" w:rsidP="00E27795">
            <w:pPr>
              <w:pStyle w:val="cuatexto"/>
              <w:spacing w:line="240" w:lineRule="auto"/>
              <w:rPr>
                <w:szCs w:val="20"/>
              </w:rPr>
            </w:pPr>
            <w:r>
              <w:t>44. Garraiorako dirulaguntzak</w:t>
            </w:r>
          </w:p>
        </w:tc>
        <w:tc>
          <w:tcPr>
            <w:tcW w:w="1655" w:type="dxa"/>
            <w:tcBorders>
              <w:top w:val="single" w:sz="2" w:space="0" w:color="auto"/>
              <w:left w:val="nil"/>
              <w:bottom w:val="single" w:sz="2" w:space="0" w:color="auto"/>
              <w:right w:val="nil"/>
            </w:tcBorders>
            <w:shd w:val="clear" w:color="auto" w:fill="auto"/>
            <w:vAlign w:val="center"/>
            <w:hideMark/>
          </w:tcPr>
          <w:p w14:paraId="033DA8ED" w14:textId="0C44A407" w:rsidR="008C027D" w:rsidRPr="00933A7F" w:rsidRDefault="008C027D" w:rsidP="00E27795">
            <w:pPr>
              <w:pStyle w:val="cuatexto"/>
              <w:spacing w:line="240" w:lineRule="auto"/>
              <w:jc w:val="right"/>
              <w:rPr>
                <w:szCs w:val="20"/>
              </w:rPr>
            </w:pPr>
            <w:r>
              <w:t xml:space="preserve">11,35 </w:t>
            </w:r>
          </w:p>
        </w:tc>
        <w:tc>
          <w:tcPr>
            <w:tcW w:w="1393" w:type="dxa"/>
            <w:tcBorders>
              <w:top w:val="single" w:sz="2" w:space="0" w:color="auto"/>
              <w:left w:val="nil"/>
              <w:bottom w:val="single" w:sz="2" w:space="0" w:color="auto"/>
              <w:right w:val="nil"/>
            </w:tcBorders>
            <w:shd w:val="clear" w:color="auto" w:fill="auto"/>
            <w:vAlign w:val="center"/>
            <w:hideMark/>
          </w:tcPr>
          <w:p w14:paraId="6F8638D4" w14:textId="5586A516" w:rsidR="008C027D" w:rsidRPr="00933A7F" w:rsidRDefault="008C027D" w:rsidP="00E27795">
            <w:pPr>
              <w:pStyle w:val="cuatexto"/>
              <w:spacing w:line="240" w:lineRule="auto"/>
              <w:jc w:val="right"/>
              <w:rPr>
                <w:szCs w:val="20"/>
              </w:rPr>
            </w:pPr>
            <w:r>
              <w:t>3</w:t>
            </w:r>
          </w:p>
        </w:tc>
        <w:tc>
          <w:tcPr>
            <w:tcW w:w="1542" w:type="dxa"/>
            <w:tcBorders>
              <w:top w:val="single" w:sz="2" w:space="0" w:color="auto"/>
              <w:left w:val="nil"/>
              <w:bottom w:val="single" w:sz="2" w:space="0" w:color="auto"/>
              <w:right w:val="nil"/>
            </w:tcBorders>
            <w:shd w:val="clear" w:color="auto" w:fill="auto"/>
            <w:vAlign w:val="center"/>
            <w:hideMark/>
          </w:tcPr>
          <w:p w14:paraId="0B3F07B8" w14:textId="3C52946C" w:rsidR="008C027D" w:rsidRPr="00933A7F" w:rsidRDefault="008C027D" w:rsidP="00E27795">
            <w:pPr>
              <w:pStyle w:val="cuatexto"/>
              <w:spacing w:line="240" w:lineRule="auto"/>
              <w:jc w:val="right"/>
              <w:rPr>
                <w:szCs w:val="20"/>
              </w:rPr>
            </w:pPr>
            <w:r>
              <w:t xml:space="preserve">1,12 </w:t>
            </w:r>
          </w:p>
        </w:tc>
        <w:tc>
          <w:tcPr>
            <w:tcW w:w="1030" w:type="dxa"/>
            <w:tcBorders>
              <w:top w:val="single" w:sz="2" w:space="0" w:color="auto"/>
              <w:left w:val="nil"/>
              <w:bottom w:val="single" w:sz="2" w:space="0" w:color="auto"/>
              <w:right w:val="nil"/>
            </w:tcBorders>
            <w:shd w:val="clear" w:color="auto" w:fill="auto"/>
            <w:vAlign w:val="center"/>
            <w:hideMark/>
          </w:tcPr>
          <w:p w14:paraId="0C17DB37" w14:textId="1E67ACBA" w:rsidR="008C027D" w:rsidRPr="00933A7F" w:rsidRDefault="00F914F0" w:rsidP="00E27795">
            <w:pPr>
              <w:pStyle w:val="cuatexto"/>
              <w:spacing w:line="240" w:lineRule="auto"/>
              <w:jc w:val="right"/>
              <w:rPr>
                <w:szCs w:val="20"/>
              </w:rPr>
            </w:pPr>
            <w:r>
              <w:t>11</w:t>
            </w:r>
          </w:p>
        </w:tc>
      </w:tr>
      <w:tr w:rsidR="008C027D" w:rsidRPr="00933A7F" w14:paraId="3091E7FC" w14:textId="77777777" w:rsidTr="004B1F4E">
        <w:trPr>
          <w:trHeight w:val="255"/>
        </w:trPr>
        <w:tc>
          <w:tcPr>
            <w:tcW w:w="3261" w:type="dxa"/>
            <w:tcBorders>
              <w:top w:val="single" w:sz="2" w:space="0" w:color="auto"/>
              <w:left w:val="nil"/>
              <w:bottom w:val="single" w:sz="2" w:space="0" w:color="auto"/>
              <w:right w:val="nil"/>
            </w:tcBorders>
            <w:shd w:val="clear" w:color="auto" w:fill="auto"/>
            <w:vAlign w:val="center"/>
            <w:hideMark/>
          </w:tcPr>
          <w:p w14:paraId="0C8E09D4" w14:textId="77777777" w:rsidR="008C027D" w:rsidRPr="00933A7F" w:rsidRDefault="008C027D" w:rsidP="00E27795">
            <w:pPr>
              <w:pStyle w:val="cuatexto"/>
              <w:spacing w:line="240" w:lineRule="auto"/>
              <w:rPr>
                <w:szCs w:val="20"/>
              </w:rPr>
            </w:pPr>
            <w:r>
              <w:t>33. Kultura</w:t>
            </w:r>
          </w:p>
        </w:tc>
        <w:tc>
          <w:tcPr>
            <w:tcW w:w="1655" w:type="dxa"/>
            <w:tcBorders>
              <w:top w:val="single" w:sz="2" w:space="0" w:color="auto"/>
              <w:left w:val="nil"/>
              <w:bottom w:val="single" w:sz="2" w:space="0" w:color="auto"/>
              <w:right w:val="nil"/>
            </w:tcBorders>
            <w:shd w:val="clear" w:color="auto" w:fill="auto"/>
            <w:vAlign w:val="center"/>
            <w:hideMark/>
          </w:tcPr>
          <w:p w14:paraId="401BBCF8" w14:textId="3941C6D8" w:rsidR="008C027D" w:rsidRPr="00933A7F" w:rsidRDefault="008C027D" w:rsidP="00E27795">
            <w:pPr>
              <w:pStyle w:val="cuatexto"/>
              <w:spacing w:line="240" w:lineRule="auto"/>
              <w:jc w:val="right"/>
              <w:rPr>
                <w:szCs w:val="20"/>
              </w:rPr>
            </w:pPr>
            <w:r>
              <w:t xml:space="preserve">6,39 </w:t>
            </w:r>
          </w:p>
        </w:tc>
        <w:tc>
          <w:tcPr>
            <w:tcW w:w="1393" w:type="dxa"/>
            <w:tcBorders>
              <w:top w:val="single" w:sz="2" w:space="0" w:color="auto"/>
              <w:left w:val="nil"/>
              <w:bottom w:val="single" w:sz="2" w:space="0" w:color="auto"/>
              <w:right w:val="nil"/>
            </w:tcBorders>
            <w:shd w:val="clear" w:color="auto" w:fill="auto"/>
            <w:vAlign w:val="center"/>
            <w:hideMark/>
          </w:tcPr>
          <w:p w14:paraId="032D3D5B" w14:textId="32EAE4CB" w:rsidR="008C027D" w:rsidRPr="00933A7F" w:rsidRDefault="008C027D" w:rsidP="00E27795">
            <w:pPr>
              <w:pStyle w:val="cuatexto"/>
              <w:spacing w:line="240" w:lineRule="auto"/>
              <w:jc w:val="right"/>
              <w:rPr>
                <w:szCs w:val="20"/>
              </w:rPr>
            </w:pPr>
            <w:r>
              <w:t>2</w:t>
            </w:r>
          </w:p>
        </w:tc>
        <w:tc>
          <w:tcPr>
            <w:tcW w:w="1542" w:type="dxa"/>
            <w:tcBorders>
              <w:top w:val="single" w:sz="2" w:space="0" w:color="auto"/>
              <w:left w:val="nil"/>
              <w:bottom w:val="single" w:sz="2" w:space="0" w:color="auto"/>
              <w:right w:val="nil"/>
            </w:tcBorders>
            <w:shd w:val="clear" w:color="auto" w:fill="auto"/>
            <w:vAlign w:val="center"/>
            <w:hideMark/>
          </w:tcPr>
          <w:p w14:paraId="79977591" w14:textId="098987A8" w:rsidR="008C027D" w:rsidRPr="00933A7F" w:rsidRDefault="00BC201A" w:rsidP="00E27795">
            <w:pPr>
              <w:pStyle w:val="cuatexto"/>
              <w:spacing w:line="240" w:lineRule="auto"/>
              <w:jc w:val="right"/>
              <w:rPr>
                <w:szCs w:val="20"/>
              </w:rPr>
            </w:pPr>
            <w:r>
              <w:t xml:space="preserve">- 2,89 </w:t>
            </w:r>
          </w:p>
        </w:tc>
        <w:tc>
          <w:tcPr>
            <w:tcW w:w="1030" w:type="dxa"/>
            <w:tcBorders>
              <w:top w:val="single" w:sz="2" w:space="0" w:color="auto"/>
              <w:left w:val="nil"/>
              <w:bottom w:val="single" w:sz="2" w:space="0" w:color="auto"/>
              <w:right w:val="nil"/>
            </w:tcBorders>
            <w:shd w:val="clear" w:color="auto" w:fill="auto"/>
            <w:vAlign w:val="center"/>
            <w:hideMark/>
          </w:tcPr>
          <w:p w14:paraId="42862DA5" w14:textId="5F7B2E06" w:rsidR="008C027D" w:rsidRPr="00933A7F" w:rsidRDefault="00F914F0" w:rsidP="00E27795">
            <w:pPr>
              <w:pStyle w:val="cuatexto"/>
              <w:spacing w:line="240" w:lineRule="auto"/>
              <w:jc w:val="right"/>
              <w:rPr>
                <w:szCs w:val="20"/>
              </w:rPr>
            </w:pPr>
            <w:r>
              <w:t>-31</w:t>
            </w:r>
          </w:p>
        </w:tc>
      </w:tr>
      <w:tr w:rsidR="008C027D" w:rsidRPr="00933A7F" w14:paraId="19307DC4" w14:textId="77777777" w:rsidTr="004B1F4E">
        <w:trPr>
          <w:trHeight w:val="255"/>
        </w:trPr>
        <w:tc>
          <w:tcPr>
            <w:tcW w:w="3261" w:type="dxa"/>
            <w:tcBorders>
              <w:top w:val="single" w:sz="2" w:space="0" w:color="auto"/>
              <w:left w:val="nil"/>
              <w:bottom w:val="single" w:sz="4" w:space="0" w:color="000000"/>
              <w:right w:val="nil"/>
            </w:tcBorders>
            <w:shd w:val="clear" w:color="auto" w:fill="auto"/>
            <w:vAlign w:val="center"/>
            <w:hideMark/>
          </w:tcPr>
          <w:p w14:paraId="687D8E9A" w14:textId="77777777" w:rsidR="008C027D" w:rsidRPr="00933A7F" w:rsidRDefault="008C027D" w:rsidP="00E27795">
            <w:pPr>
              <w:pStyle w:val="cuatexto"/>
              <w:spacing w:line="240" w:lineRule="auto"/>
              <w:rPr>
                <w:szCs w:val="20"/>
              </w:rPr>
            </w:pPr>
            <w:r>
              <w:t xml:space="preserve">Gainerakoak </w:t>
            </w:r>
          </w:p>
        </w:tc>
        <w:tc>
          <w:tcPr>
            <w:tcW w:w="1655" w:type="dxa"/>
            <w:tcBorders>
              <w:top w:val="single" w:sz="2" w:space="0" w:color="auto"/>
              <w:left w:val="nil"/>
              <w:bottom w:val="single" w:sz="4" w:space="0" w:color="000000"/>
              <w:right w:val="nil"/>
            </w:tcBorders>
            <w:shd w:val="clear" w:color="auto" w:fill="auto"/>
            <w:vAlign w:val="center"/>
            <w:hideMark/>
          </w:tcPr>
          <w:p w14:paraId="33D4A4E7" w14:textId="77F9ED8F" w:rsidR="008C027D" w:rsidRPr="00933A7F" w:rsidRDefault="008C027D" w:rsidP="00E27795">
            <w:pPr>
              <w:pStyle w:val="cuatexto"/>
              <w:spacing w:line="240" w:lineRule="auto"/>
              <w:jc w:val="right"/>
              <w:rPr>
                <w:szCs w:val="20"/>
              </w:rPr>
            </w:pPr>
            <w:r>
              <w:t xml:space="preserve">16,64 </w:t>
            </w:r>
          </w:p>
        </w:tc>
        <w:tc>
          <w:tcPr>
            <w:tcW w:w="1393" w:type="dxa"/>
            <w:tcBorders>
              <w:top w:val="single" w:sz="2" w:space="0" w:color="auto"/>
              <w:left w:val="nil"/>
              <w:bottom w:val="single" w:sz="4" w:space="0" w:color="000000"/>
              <w:right w:val="nil"/>
            </w:tcBorders>
            <w:shd w:val="clear" w:color="auto" w:fill="auto"/>
            <w:vAlign w:val="center"/>
            <w:hideMark/>
          </w:tcPr>
          <w:p w14:paraId="7FC70E87" w14:textId="2D530E0A" w:rsidR="008C027D" w:rsidRPr="00933A7F" w:rsidRDefault="008C027D" w:rsidP="00E27795">
            <w:pPr>
              <w:pStyle w:val="cuatexto"/>
              <w:spacing w:line="240" w:lineRule="auto"/>
              <w:jc w:val="right"/>
              <w:rPr>
                <w:szCs w:val="20"/>
              </w:rPr>
            </w:pPr>
            <w:r>
              <w:t>4</w:t>
            </w:r>
          </w:p>
        </w:tc>
        <w:tc>
          <w:tcPr>
            <w:tcW w:w="1542" w:type="dxa"/>
            <w:tcBorders>
              <w:top w:val="single" w:sz="2" w:space="0" w:color="auto"/>
              <w:left w:val="nil"/>
              <w:bottom w:val="single" w:sz="4" w:space="0" w:color="000000"/>
              <w:right w:val="nil"/>
            </w:tcBorders>
            <w:shd w:val="clear" w:color="auto" w:fill="auto"/>
            <w:vAlign w:val="center"/>
            <w:hideMark/>
          </w:tcPr>
          <w:p w14:paraId="12853E5E" w14:textId="72A4CEFC" w:rsidR="008C027D" w:rsidRPr="00933A7F" w:rsidRDefault="008C027D" w:rsidP="00E27795">
            <w:pPr>
              <w:pStyle w:val="cuatexto"/>
              <w:spacing w:line="240" w:lineRule="auto"/>
              <w:jc w:val="right"/>
              <w:rPr>
                <w:szCs w:val="20"/>
              </w:rPr>
            </w:pPr>
            <w:r>
              <w:t xml:space="preserve">4,23 </w:t>
            </w:r>
          </w:p>
        </w:tc>
        <w:tc>
          <w:tcPr>
            <w:tcW w:w="1030" w:type="dxa"/>
            <w:tcBorders>
              <w:top w:val="single" w:sz="2" w:space="0" w:color="auto"/>
              <w:left w:val="nil"/>
              <w:bottom w:val="single" w:sz="4" w:space="0" w:color="000000"/>
              <w:right w:val="nil"/>
            </w:tcBorders>
            <w:shd w:val="clear" w:color="auto" w:fill="auto"/>
            <w:vAlign w:val="center"/>
            <w:hideMark/>
          </w:tcPr>
          <w:p w14:paraId="1CB6503A" w14:textId="017C151A" w:rsidR="008C027D" w:rsidRPr="00933A7F" w:rsidRDefault="00F914F0" w:rsidP="00E27795">
            <w:pPr>
              <w:pStyle w:val="cuatexto"/>
              <w:spacing w:line="240" w:lineRule="auto"/>
              <w:jc w:val="right"/>
              <w:rPr>
                <w:szCs w:val="20"/>
              </w:rPr>
            </w:pPr>
            <w:r>
              <w:t>34</w:t>
            </w:r>
          </w:p>
        </w:tc>
      </w:tr>
      <w:tr w:rsidR="008C027D" w:rsidRPr="00E27795" w14:paraId="3FF47CEA" w14:textId="77777777" w:rsidTr="004B1F4E">
        <w:trPr>
          <w:trHeight w:val="255"/>
        </w:trPr>
        <w:tc>
          <w:tcPr>
            <w:tcW w:w="3261" w:type="dxa"/>
            <w:tcBorders>
              <w:top w:val="single" w:sz="4" w:space="0" w:color="000000"/>
              <w:left w:val="nil"/>
              <w:bottom w:val="single" w:sz="4" w:space="0" w:color="000000"/>
              <w:right w:val="nil"/>
            </w:tcBorders>
            <w:shd w:val="clear" w:color="auto" w:fill="FABF8F" w:themeFill="accent6" w:themeFillTint="99"/>
            <w:vAlign w:val="center"/>
            <w:hideMark/>
          </w:tcPr>
          <w:p w14:paraId="7455809F" w14:textId="77777777" w:rsidR="008C027D" w:rsidRPr="00E27795" w:rsidRDefault="008C027D" w:rsidP="00E27795">
            <w:pPr>
              <w:pStyle w:val="cuadroCabe"/>
              <w:spacing w:line="240" w:lineRule="auto"/>
              <w:rPr>
                <w:sz w:val="16"/>
                <w:szCs w:val="16"/>
              </w:rPr>
            </w:pPr>
            <w:r>
              <w:rPr>
                <w:sz w:val="16"/>
              </w:rPr>
              <w:t> </w:t>
            </w:r>
          </w:p>
        </w:tc>
        <w:tc>
          <w:tcPr>
            <w:tcW w:w="1655" w:type="dxa"/>
            <w:tcBorders>
              <w:top w:val="single" w:sz="4" w:space="0" w:color="000000"/>
              <w:left w:val="nil"/>
              <w:bottom w:val="single" w:sz="4" w:space="0" w:color="000000"/>
              <w:right w:val="nil"/>
            </w:tcBorders>
            <w:shd w:val="clear" w:color="auto" w:fill="FABF8F" w:themeFill="accent6" w:themeFillTint="99"/>
            <w:vAlign w:val="center"/>
            <w:hideMark/>
          </w:tcPr>
          <w:p w14:paraId="0F344B5A" w14:textId="50D2BF3E" w:rsidR="008C027D" w:rsidRPr="00E27795" w:rsidRDefault="008C027D" w:rsidP="00E27795">
            <w:pPr>
              <w:pStyle w:val="cuadroCabe"/>
              <w:spacing w:line="240" w:lineRule="auto"/>
              <w:jc w:val="right"/>
              <w:rPr>
                <w:sz w:val="16"/>
                <w:szCs w:val="16"/>
              </w:rPr>
            </w:pPr>
            <w:r>
              <w:rPr>
                <w:sz w:val="16"/>
              </w:rPr>
              <w:t xml:space="preserve">397,01 </w:t>
            </w:r>
          </w:p>
        </w:tc>
        <w:tc>
          <w:tcPr>
            <w:tcW w:w="1393" w:type="dxa"/>
            <w:tcBorders>
              <w:top w:val="single" w:sz="4" w:space="0" w:color="000000"/>
              <w:left w:val="nil"/>
              <w:bottom w:val="single" w:sz="4" w:space="0" w:color="000000"/>
              <w:right w:val="nil"/>
            </w:tcBorders>
            <w:shd w:val="clear" w:color="auto" w:fill="FABF8F" w:themeFill="accent6" w:themeFillTint="99"/>
            <w:vAlign w:val="center"/>
            <w:hideMark/>
          </w:tcPr>
          <w:p w14:paraId="643B6B46" w14:textId="41D84F42" w:rsidR="008C027D" w:rsidRPr="00E27795" w:rsidRDefault="008C027D" w:rsidP="00E27795">
            <w:pPr>
              <w:pStyle w:val="cuadroCabe"/>
              <w:spacing w:line="240" w:lineRule="auto"/>
              <w:jc w:val="right"/>
              <w:rPr>
                <w:sz w:val="16"/>
                <w:szCs w:val="16"/>
              </w:rPr>
            </w:pPr>
            <w:r>
              <w:rPr>
                <w:sz w:val="16"/>
              </w:rPr>
              <w:t>100</w:t>
            </w:r>
          </w:p>
        </w:tc>
        <w:tc>
          <w:tcPr>
            <w:tcW w:w="1542" w:type="dxa"/>
            <w:tcBorders>
              <w:top w:val="single" w:sz="4" w:space="0" w:color="000000"/>
              <w:left w:val="nil"/>
              <w:bottom w:val="single" w:sz="4" w:space="0" w:color="000000"/>
              <w:right w:val="nil"/>
            </w:tcBorders>
            <w:shd w:val="clear" w:color="auto" w:fill="FABF8F" w:themeFill="accent6" w:themeFillTint="99"/>
            <w:vAlign w:val="center"/>
            <w:hideMark/>
          </w:tcPr>
          <w:p w14:paraId="568F4361" w14:textId="109537E4" w:rsidR="008C027D" w:rsidRPr="00E27795" w:rsidRDefault="008C027D" w:rsidP="00E27795">
            <w:pPr>
              <w:pStyle w:val="cuadroCabe"/>
              <w:spacing w:line="240" w:lineRule="auto"/>
              <w:jc w:val="right"/>
              <w:rPr>
                <w:sz w:val="16"/>
                <w:szCs w:val="16"/>
              </w:rPr>
            </w:pPr>
            <w:r>
              <w:rPr>
                <w:sz w:val="16"/>
              </w:rPr>
              <w:t xml:space="preserve">16,89 </w:t>
            </w:r>
          </w:p>
        </w:tc>
        <w:tc>
          <w:tcPr>
            <w:tcW w:w="1030" w:type="dxa"/>
            <w:tcBorders>
              <w:top w:val="single" w:sz="4" w:space="0" w:color="000000"/>
              <w:left w:val="nil"/>
              <w:bottom w:val="single" w:sz="4" w:space="0" w:color="000000"/>
              <w:right w:val="nil"/>
            </w:tcBorders>
            <w:shd w:val="clear" w:color="auto" w:fill="FABF8F" w:themeFill="accent6" w:themeFillTint="99"/>
            <w:vAlign w:val="center"/>
            <w:hideMark/>
          </w:tcPr>
          <w:p w14:paraId="5118D01B" w14:textId="2A8EC5E3" w:rsidR="008C027D" w:rsidRPr="00E27795" w:rsidRDefault="00F914F0" w:rsidP="00E27795">
            <w:pPr>
              <w:pStyle w:val="cuadroCabe"/>
              <w:spacing w:line="240" w:lineRule="auto"/>
              <w:jc w:val="right"/>
              <w:rPr>
                <w:sz w:val="16"/>
                <w:szCs w:val="16"/>
              </w:rPr>
            </w:pPr>
            <w:r>
              <w:rPr>
                <w:sz w:val="16"/>
              </w:rPr>
              <w:t>4</w:t>
            </w:r>
          </w:p>
        </w:tc>
      </w:tr>
    </w:tbl>
    <w:p w14:paraId="2169066F" w14:textId="1ACA0B50" w:rsidR="00345C6C" w:rsidRPr="00EF0883" w:rsidRDefault="00345C6C" w:rsidP="00136925">
      <w:pPr>
        <w:pStyle w:val="Ttulo2"/>
        <w:rPr>
          <w:szCs w:val="25"/>
        </w:rPr>
      </w:pPr>
      <w:bookmarkStart w:id="75" w:name="_Toc465686689"/>
      <w:bookmarkStart w:id="76" w:name="_Toc529773883"/>
      <w:bookmarkStart w:id="77" w:name="_Toc24100144"/>
      <w:bookmarkStart w:id="78" w:name="_Toc52348292"/>
      <w:bookmarkStart w:id="79" w:name="_Toc88727717"/>
      <w:bookmarkStart w:id="80" w:name="_Toc126061975"/>
      <w:r>
        <w:t>VI.2. Gastuak</w:t>
      </w:r>
      <w:bookmarkEnd w:id="75"/>
      <w:bookmarkEnd w:id="76"/>
      <w:bookmarkEnd w:id="77"/>
      <w:bookmarkEnd w:id="78"/>
      <w:bookmarkEnd w:id="79"/>
      <w:bookmarkEnd w:id="80"/>
    </w:p>
    <w:p w14:paraId="5528999A" w14:textId="77777777" w:rsidR="00345C6C" w:rsidRPr="00B81E61" w:rsidRDefault="00345C6C" w:rsidP="004B1F4E">
      <w:pPr>
        <w:pStyle w:val="texto"/>
        <w:spacing w:after="0"/>
        <w:rPr>
          <w:color w:val="000000" w:themeColor="text1"/>
        </w:rPr>
      </w:pPr>
      <w:r>
        <w:rPr>
          <w:color w:val="000000" w:themeColor="text1"/>
        </w:rPr>
        <w:t>Jarraian, toki sektore publikoaren gastuen aurrekontuaren 2020ko betetzeari buruzko laburpena azaltzen da:</w:t>
      </w:r>
    </w:p>
    <w:p w14:paraId="11999B84" w14:textId="58C4B9A7" w:rsidR="00345C6C" w:rsidRPr="0003647B" w:rsidRDefault="00CF0526" w:rsidP="0003647B">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 xml:space="preserve">(Milioiak) </w:t>
      </w:r>
    </w:p>
    <w:tbl>
      <w:tblPr>
        <w:tblW w:w="4999" w:type="pct"/>
        <w:tblLayout w:type="fixed"/>
        <w:tblCellMar>
          <w:left w:w="70" w:type="dxa"/>
          <w:right w:w="70" w:type="dxa"/>
        </w:tblCellMar>
        <w:tblLook w:val="04A0" w:firstRow="1" w:lastRow="0" w:firstColumn="1" w:lastColumn="0" w:noHBand="0" w:noVBand="1"/>
      </w:tblPr>
      <w:tblGrid>
        <w:gridCol w:w="2500"/>
        <w:gridCol w:w="1159"/>
        <w:gridCol w:w="1019"/>
        <w:gridCol w:w="995"/>
        <w:gridCol w:w="954"/>
        <w:gridCol w:w="1174"/>
        <w:gridCol w:w="986"/>
      </w:tblGrid>
      <w:tr w:rsidR="0003647B" w:rsidRPr="00E27795" w14:paraId="3C90D61E" w14:textId="77777777" w:rsidTr="004B1F4E">
        <w:trPr>
          <w:trHeight w:val="255"/>
        </w:trPr>
        <w:tc>
          <w:tcPr>
            <w:tcW w:w="1422" w:type="pct"/>
            <w:tcBorders>
              <w:top w:val="single" w:sz="4" w:space="0" w:color="000000"/>
              <w:left w:val="nil"/>
              <w:bottom w:val="single" w:sz="4" w:space="0" w:color="000000"/>
              <w:right w:val="nil"/>
            </w:tcBorders>
            <w:shd w:val="clear" w:color="auto" w:fill="FABF8F" w:themeFill="accent6" w:themeFillTint="99"/>
            <w:vAlign w:val="center"/>
            <w:hideMark/>
          </w:tcPr>
          <w:p w14:paraId="4CEFC003" w14:textId="77777777" w:rsidR="009F50C6" w:rsidRPr="00E27795" w:rsidRDefault="009F50C6" w:rsidP="00E27795">
            <w:pPr>
              <w:pStyle w:val="cuadroCabe"/>
              <w:spacing w:line="240" w:lineRule="auto"/>
              <w:jc w:val="left"/>
              <w:rPr>
                <w:sz w:val="16"/>
                <w:szCs w:val="16"/>
              </w:rPr>
            </w:pPr>
            <w:r>
              <w:rPr>
                <w:sz w:val="16"/>
              </w:rPr>
              <w:t>Kapitulua</w:t>
            </w:r>
          </w:p>
        </w:tc>
        <w:tc>
          <w:tcPr>
            <w:tcW w:w="659" w:type="pct"/>
            <w:tcBorders>
              <w:top w:val="single" w:sz="4" w:space="0" w:color="000000"/>
              <w:left w:val="nil"/>
              <w:bottom w:val="single" w:sz="4" w:space="0" w:color="000000"/>
              <w:right w:val="nil"/>
            </w:tcBorders>
            <w:shd w:val="clear" w:color="auto" w:fill="FABF8F" w:themeFill="accent6" w:themeFillTint="99"/>
            <w:vAlign w:val="center"/>
            <w:hideMark/>
          </w:tcPr>
          <w:p w14:paraId="728D6168" w14:textId="77777777" w:rsidR="0003647B" w:rsidRPr="00E27795" w:rsidRDefault="009F50C6" w:rsidP="00E27795">
            <w:pPr>
              <w:pStyle w:val="cuadroCabe"/>
              <w:spacing w:line="240" w:lineRule="auto"/>
              <w:jc w:val="right"/>
              <w:rPr>
                <w:sz w:val="16"/>
                <w:szCs w:val="16"/>
              </w:rPr>
            </w:pPr>
            <w:r>
              <w:rPr>
                <w:sz w:val="16"/>
              </w:rPr>
              <w:t xml:space="preserve">Behin betiko kredituak </w:t>
            </w:r>
          </w:p>
          <w:p w14:paraId="24A6219C" w14:textId="65C931EE" w:rsidR="009F50C6" w:rsidRPr="00E27795" w:rsidRDefault="009F50C6" w:rsidP="00E27795">
            <w:pPr>
              <w:pStyle w:val="cuadroCabe"/>
              <w:spacing w:line="240" w:lineRule="auto"/>
              <w:jc w:val="right"/>
              <w:rPr>
                <w:sz w:val="16"/>
                <w:szCs w:val="16"/>
              </w:rPr>
            </w:pPr>
          </w:p>
        </w:tc>
        <w:tc>
          <w:tcPr>
            <w:tcW w:w="580" w:type="pct"/>
            <w:tcBorders>
              <w:top w:val="single" w:sz="4" w:space="0" w:color="000000"/>
              <w:left w:val="nil"/>
              <w:bottom w:val="single" w:sz="4" w:space="0" w:color="000000"/>
              <w:right w:val="nil"/>
            </w:tcBorders>
            <w:shd w:val="clear" w:color="auto" w:fill="FABF8F" w:themeFill="accent6" w:themeFillTint="99"/>
            <w:vAlign w:val="center"/>
            <w:hideMark/>
          </w:tcPr>
          <w:p w14:paraId="14643471" w14:textId="77777777" w:rsidR="009F50C6" w:rsidRPr="00E27795" w:rsidRDefault="009F50C6" w:rsidP="00E27795">
            <w:pPr>
              <w:pStyle w:val="cuadroCabe"/>
              <w:spacing w:line="240" w:lineRule="auto"/>
              <w:jc w:val="right"/>
              <w:rPr>
                <w:sz w:val="16"/>
                <w:szCs w:val="16"/>
              </w:rPr>
            </w:pPr>
            <w:r>
              <w:rPr>
                <w:sz w:val="16"/>
              </w:rPr>
              <w:t>ABG 2020</w:t>
            </w:r>
          </w:p>
        </w:tc>
        <w:tc>
          <w:tcPr>
            <w:tcW w:w="566" w:type="pct"/>
            <w:tcBorders>
              <w:top w:val="single" w:sz="4" w:space="0" w:color="000000"/>
              <w:left w:val="nil"/>
              <w:bottom w:val="single" w:sz="4" w:space="0" w:color="000000"/>
              <w:right w:val="nil"/>
            </w:tcBorders>
            <w:shd w:val="clear" w:color="auto" w:fill="FABF8F" w:themeFill="accent6" w:themeFillTint="99"/>
            <w:vAlign w:val="center"/>
            <w:hideMark/>
          </w:tcPr>
          <w:p w14:paraId="633C9390" w14:textId="77777777" w:rsidR="009F50C6" w:rsidRPr="00E27795" w:rsidRDefault="009F50C6" w:rsidP="00E27795">
            <w:pPr>
              <w:pStyle w:val="cuadroCabe"/>
              <w:spacing w:line="240" w:lineRule="auto"/>
              <w:jc w:val="right"/>
              <w:rPr>
                <w:sz w:val="16"/>
                <w:szCs w:val="16"/>
              </w:rPr>
            </w:pPr>
            <w:r>
              <w:rPr>
                <w:sz w:val="16"/>
              </w:rPr>
              <w:t>Gastu guztien gainean (%)</w:t>
            </w:r>
          </w:p>
        </w:tc>
        <w:tc>
          <w:tcPr>
            <w:tcW w:w="543" w:type="pct"/>
            <w:tcBorders>
              <w:top w:val="single" w:sz="4" w:space="0" w:color="000000"/>
              <w:left w:val="nil"/>
              <w:bottom w:val="single" w:sz="4" w:space="0" w:color="000000"/>
              <w:right w:val="nil"/>
            </w:tcBorders>
            <w:shd w:val="clear" w:color="auto" w:fill="FABF8F" w:themeFill="accent6" w:themeFillTint="99"/>
            <w:vAlign w:val="center"/>
            <w:hideMark/>
          </w:tcPr>
          <w:p w14:paraId="25F5E437" w14:textId="77777777" w:rsidR="009F50C6" w:rsidRPr="00E27795" w:rsidRDefault="009F50C6" w:rsidP="00E27795">
            <w:pPr>
              <w:pStyle w:val="cuadroCabe"/>
              <w:spacing w:line="240" w:lineRule="auto"/>
              <w:jc w:val="right"/>
              <w:rPr>
                <w:sz w:val="16"/>
                <w:szCs w:val="16"/>
              </w:rPr>
            </w:pPr>
            <w:r>
              <w:rPr>
                <w:sz w:val="16"/>
              </w:rPr>
              <w:t>Betetzea (%)</w:t>
            </w:r>
          </w:p>
        </w:tc>
        <w:tc>
          <w:tcPr>
            <w:tcW w:w="668" w:type="pct"/>
            <w:tcBorders>
              <w:top w:val="single" w:sz="4" w:space="0" w:color="000000"/>
              <w:left w:val="nil"/>
              <w:bottom w:val="single" w:sz="4" w:space="0" w:color="000000"/>
              <w:right w:val="nil"/>
            </w:tcBorders>
            <w:shd w:val="clear" w:color="auto" w:fill="FABF8F" w:themeFill="accent6" w:themeFillTint="99"/>
            <w:vAlign w:val="center"/>
          </w:tcPr>
          <w:p w14:paraId="6540D0D8" w14:textId="2A1D5473" w:rsidR="009F50C6" w:rsidRPr="00E27795" w:rsidRDefault="009F50C6" w:rsidP="00E27795">
            <w:pPr>
              <w:pStyle w:val="cuadroCabe"/>
              <w:spacing w:line="240" w:lineRule="auto"/>
              <w:jc w:val="right"/>
              <w:rPr>
                <w:sz w:val="16"/>
                <w:szCs w:val="16"/>
              </w:rPr>
            </w:pPr>
            <w:r>
              <w:rPr>
                <w:sz w:val="16"/>
              </w:rPr>
              <w:t>AEG 2020/2019 aldea</w:t>
            </w:r>
          </w:p>
        </w:tc>
        <w:tc>
          <w:tcPr>
            <w:tcW w:w="561" w:type="pct"/>
            <w:tcBorders>
              <w:top w:val="single" w:sz="4" w:space="0" w:color="000000"/>
              <w:left w:val="nil"/>
              <w:bottom w:val="single" w:sz="4" w:space="0" w:color="000000"/>
              <w:right w:val="nil"/>
            </w:tcBorders>
            <w:shd w:val="clear" w:color="auto" w:fill="FABF8F" w:themeFill="accent6" w:themeFillTint="99"/>
            <w:vAlign w:val="center"/>
          </w:tcPr>
          <w:p w14:paraId="0298D786" w14:textId="734FDCCC" w:rsidR="009F50C6" w:rsidRPr="00E27795" w:rsidRDefault="009F50C6" w:rsidP="00E27795">
            <w:pPr>
              <w:pStyle w:val="cuadroCabe"/>
              <w:spacing w:line="240" w:lineRule="auto"/>
              <w:jc w:val="right"/>
              <w:rPr>
                <w:sz w:val="16"/>
                <w:szCs w:val="16"/>
              </w:rPr>
            </w:pPr>
            <w:r>
              <w:rPr>
                <w:sz w:val="16"/>
              </w:rPr>
              <w:t>2020/2019 aldea (%)</w:t>
            </w:r>
          </w:p>
        </w:tc>
      </w:tr>
      <w:tr w:rsidR="009F50C6" w:rsidRPr="00933A7F" w14:paraId="20799F41" w14:textId="77777777" w:rsidTr="004B1F4E">
        <w:trPr>
          <w:trHeight w:val="255"/>
        </w:trPr>
        <w:tc>
          <w:tcPr>
            <w:tcW w:w="1422" w:type="pct"/>
            <w:tcBorders>
              <w:top w:val="single" w:sz="4" w:space="0" w:color="000000"/>
              <w:left w:val="nil"/>
              <w:bottom w:val="single" w:sz="2" w:space="0" w:color="auto"/>
            </w:tcBorders>
            <w:shd w:val="clear" w:color="auto" w:fill="auto"/>
            <w:vAlign w:val="center"/>
            <w:hideMark/>
          </w:tcPr>
          <w:p w14:paraId="1B731DB6" w14:textId="6EA6D1D2" w:rsidR="009F50C6" w:rsidRPr="00933A7F" w:rsidRDefault="0003647B" w:rsidP="00E27795">
            <w:pPr>
              <w:pStyle w:val="cuatexto"/>
              <w:spacing w:line="240" w:lineRule="auto"/>
              <w:rPr>
                <w:color w:val="000000" w:themeColor="text1"/>
                <w:sz w:val="19"/>
                <w:szCs w:val="19"/>
              </w:rPr>
            </w:pPr>
            <w:r>
              <w:rPr>
                <w:color w:val="000000" w:themeColor="text1"/>
                <w:sz w:val="19"/>
              </w:rPr>
              <w:t>1. Langile-gastuak</w:t>
            </w:r>
          </w:p>
        </w:tc>
        <w:tc>
          <w:tcPr>
            <w:tcW w:w="659" w:type="pct"/>
            <w:tcBorders>
              <w:top w:val="single" w:sz="4" w:space="0" w:color="auto"/>
              <w:left w:val="nil"/>
              <w:bottom w:val="single" w:sz="2" w:space="0" w:color="auto"/>
              <w:right w:val="nil"/>
            </w:tcBorders>
            <w:shd w:val="clear" w:color="auto" w:fill="auto"/>
            <w:vAlign w:val="center"/>
            <w:hideMark/>
          </w:tcPr>
          <w:p w14:paraId="2A478D4F"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323,74</w:t>
            </w:r>
          </w:p>
        </w:tc>
        <w:tc>
          <w:tcPr>
            <w:tcW w:w="580" w:type="pct"/>
            <w:tcBorders>
              <w:top w:val="single" w:sz="4" w:space="0" w:color="auto"/>
              <w:left w:val="nil"/>
              <w:bottom w:val="single" w:sz="2" w:space="0" w:color="auto"/>
              <w:right w:val="nil"/>
            </w:tcBorders>
            <w:shd w:val="clear" w:color="auto" w:fill="auto"/>
            <w:vAlign w:val="center"/>
            <w:hideMark/>
          </w:tcPr>
          <w:p w14:paraId="1604E066"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310,96</w:t>
            </w:r>
          </w:p>
        </w:tc>
        <w:tc>
          <w:tcPr>
            <w:tcW w:w="566" w:type="pct"/>
            <w:tcBorders>
              <w:top w:val="single" w:sz="4" w:space="0" w:color="auto"/>
              <w:left w:val="nil"/>
              <w:bottom w:val="single" w:sz="2" w:space="0" w:color="auto"/>
              <w:right w:val="nil"/>
            </w:tcBorders>
            <w:shd w:val="clear" w:color="auto" w:fill="auto"/>
            <w:vAlign w:val="center"/>
            <w:hideMark/>
          </w:tcPr>
          <w:p w14:paraId="54217495" w14:textId="77777777" w:rsidR="009F50C6" w:rsidRPr="00933A7F" w:rsidRDefault="009F50C6" w:rsidP="00E27795">
            <w:pPr>
              <w:spacing w:after="0"/>
              <w:ind w:hanging="77"/>
              <w:jc w:val="right"/>
              <w:rPr>
                <w:rFonts w:ascii="Arial Narrow" w:hAnsi="Arial Narrow" w:cs="Calibri"/>
                <w:sz w:val="19"/>
                <w:szCs w:val="19"/>
              </w:rPr>
            </w:pPr>
            <w:r>
              <w:rPr>
                <w:rFonts w:ascii="Arial Narrow" w:hAnsi="Arial Narrow"/>
                <w:sz w:val="19"/>
              </w:rPr>
              <w:t>38,9</w:t>
            </w:r>
          </w:p>
        </w:tc>
        <w:tc>
          <w:tcPr>
            <w:tcW w:w="543" w:type="pct"/>
            <w:tcBorders>
              <w:top w:val="single" w:sz="4" w:space="0" w:color="auto"/>
              <w:left w:val="nil"/>
              <w:bottom w:val="single" w:sz="2" w:space="0" w:color="auto"/>
              <w:right w:val="nil"/>
            </w:tcBorders>
            <w:shd w:val="clear" w:color="auto" w:fill="auto"/>
            <w:vAlign w:val="center"/>
            <w:hideMark/>
          </w:tcPr>
          <w:p w14:paraId="22825591"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96</w:t>
            </w:r>
          </w:p>
        </w:tc>
        <w:tc>
          <w:tcPr>
            <w:tcW w:w="668" w:type="pct"/>
            <w:tcBorders>
              <w:top w:val="single" w:sz="4" w:space="0" w:color="auto"/>
              <w:left w:val="nil"/>
              <w:bottom w:val="single" w:sz="2" w:space="0" w:color="auto"/>
              <w:right w:val="nil"/>
            </w:tcBorders>
            <w:shd w:val="clear" w:color="auto" w:fill="auto"/>
            <w:vAlign w:val="center"/>
          </w:tcPr>
          <w:p w14:paraId="7D19628E" w14:textId="77777777" w:rsidR="009F50C6" w:rsidRPr="00933A7F" w:rsidRDefault="009F50C6" w:rsidP="00E27795">
            <w:pPr>
              <w:spacing w:after="0"/>
              <w:ind w:firstLine="0"/>
              <w:jc w:val="right"/>
              <w:rPr>
                <w:rFonts w:ascii="Arial Narrow" w:hAnsi="Arial Narrow" w:cs="Arial"/>
                <w:sz w:val="19"/>
                <w:szCs w:val="19"/>
              </w:rPr>
            </w:pPr>
            <w:r>
              <w:rPr>
                <w:rFonts w:ascii="Arial Narrow" w:hAnsi="Arial Narrow"/>
                <w:sz w:val="19"/>
              </w:rPr>
              <w:t>12</w:t>
            </w:r>
          </w:p>
        </w:tc>
        <w:tc>
          <w:tcPr>
            <w:tcW w:w="561" w:type="pct"/>
            <w:tcBorders>
              <w:top w:val="single" w:sz="4" w:space="0" w:color="auto"/>
              <w:left w:val="nil"/>
              <w:bottom w:val="single" w:sz="2" w:space="0" w:color="auto"/>
              <w:right w:val="nil"/>
            </w:tcBorders>
            <w:vAlign w:val="center"/>
          </w:tcPr>
          <w:p w14:paraId="51E6DB58"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4</w:t>
            </w:r>
          </w:p>
        </w:tc>
      </w:tr>
      <w:tr w:rsidR="009F50C6" w:rsidRPr="00933A7F" w14:paraId="1C04FC21"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74DF43BF" w14:textId="2A69730E" w:rsidR="009F50C6" w:rsidRPr="00933A7F" w:rsidRDefault="0003647B" w:rsidP="00E27795">
            <w:pPr>
              <w:pStyle w:val="cuatexto"/>
              <w:spacing w:line="240" w:lineRule="auto"/>
              <w:rPr>
                <w:color w:val="000000" w:themeColor="text1"/>
                <w:sz w:val="19"/>
                <w:szCs w:val="19"/>
              </w:rPr>
            </w:pPr>
            <w:r>
              <w:rPr>
                <w:color w:val="000000" w:themeColor="text1"/>
                <w:sz w:val="19"/>
              </w:rPr>
              <w:t>2. Ondasun eta zerbitzuetako gastu arruntak</w:t>
            </w:r>
          </w:p>
        </w:tc>
        <w:tc>
          <w:tcPr>
            <w:tcW w:w="659" w:type="pct"/>
            <w:tcBorders>
              <w:top w:val="single" w:sz="2" w:space="0" w:color="auto"/>
              <w:left w:val="nil"/>
              <w:bottom w:val="single" w:sz="2" w:space="0" w:color="auto"/>
              <w:right w:val="nil"/>
            </w:tcBorders>
            <w:shd w:val="clear" w:color="auto" w:fill="auto"/>
            <w:vAlign w:val="center"/>
            <w:hideMark/>
          </w:tcPr>
          <w:p w14:paraId="3436ED00"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298,95</w:t>
            </w:r>
          </w:p>
        </w:tc>
        <w:tc>
          <w:tcPr>
            <w:tcW w:w="580" w:type="pct"/>
            <w:tcBorders>
              <w:top w:val="single" w:sz="2" w:space="0" w:color="auto"/>
              <w:left w:val="nil"/>
              <w:bottom w:val="single" w:sz="2" w:space="0" w:color="auto"/>
              <w:right w:val="nil"/>
            </w:tcBorders>
            <w:shd w:val="clear" w:color="auto" w:fill="auto"/>
            <w:vAlign w:val="center"/>
            <w:hideMark/>
          </w:tcPr>
          <w:p w14:paraId="3A2EE128"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255,79</w:t>
            </w:r>
          </w:p>
        </w:tc>
        <w:tc>
          <w:tcPr>
            <w:tcW w:w="566" w:type="pct"/>
            <w:tcBorders>
              <w:top w:val="single" w:sz="2" w:space="0" w:color="auto"/>
              <w:left w:val="nil"/>
              <w:bottom w:val="single" w:sz="2" w:space="0" w:color="auto"/>
              <w:right w:val="nil"/>
            </w:tcBorders>
            <w:shd w:val="clear" w:color="auto" w:fill="auto"/>
            <w:vAlign w:val="center"/>
            <w:hideMark/>
          </w:tcPr>
          <w:p w14:paraId="3380924D" w14:textId="77777777" w:rsidR="009F50C6" w:rsidRPr="00933A7F" w:rsidRDefault="009F50C6" w:rsidP="00E27795">
            <w:pPr>
              <w:spacing w:after="0"/>
              <w:ind w:hanging="77"/>
              <w:jc w:val="right"/>
              <w:rPr>
                <w:rFonts w:ascii="Arial Narrow" w:hAnsi="Arial Narrow" w:cs="Calibri"/>
                <w:sz w:val="19"/>
                <w:szCs w:val="19"/>
              </w:rPr>
            </w:pPr>
            <w:r>
              <w:rPr>
                <w:rFonts w:ascii="Arial Narrow" w:hAnsi="Arial Narrow"/>
                <w:sz w:val="19"/>
              </w:rPr>
              <w:t>32,0</w:t>
            </w:r>
          </w:p>
        </w:tc>
        <w:tc>
          <w:tcPr>
            <w:tcW w:w="543" w:type="pct"/>
            <w:tcBorders>
              <w:top w:val="single" w:sz="2" w:space="0" w:color="auto"/>
              <w:left w:val="nil"/>
              <w:bottom w:val="single" w:sz="2" w:space="0" w:color="auto"/>
              <w:right w:val="nil"/>
            </w:tcBorders>
            <w:shd w:val="clear" w:color="auto" w:fill="auto"/>
            <w:vAlign w:val="center"/>
            <w:hideMark/>
          </w:tcPr>
          <w:p w14:paraId="6679547C"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86</w:t>
            </w:r>
          </w:p>
        </w:tc>
        <w:tc>
          <w:tcPr>
            <w:tcW w:w="668" w:type="pct"/>
            <w:tcBorders>
              <w:top w:val="single" w:sz="2" w:space="0" w:color="auto"/>
              <w:left w:val="nil"/>
              <w:bottom w:val="single" w:sz="2" w:space="0" w:color="auto"/>
              <w:right w:val="nil"/>
            </w:tcBorders>
            <w:shd w:val="clear" w:color="auto" w:fill="auto"/>
            <w:vAlign w:val="center"/>
          </w:tcPr>
          <w:p w14:paraId="57AB01F2" w14:textId="77777777" w:rsidR="009F50C6" w:rsidRPr="00933A7F" w:rsidRDefault="009F50C6" w:rsidP="00E27795">
            <w:pPr>
              <w:spacing w:after="0"/>
              <w:ind w:firstLine="0"/>
              <w:jc w:val="right"/>
              <w:rPr>
                <w:rFonts w:ascii="Arial Narrow" w:hAnsi="Arial Narrow" w:cs="Arial"/>
                <w:sz w:val="19"/>
                <w:szCs w:val="19"/>
              </w:rPr>
            </w:pPr>
            <w:r>
              <w:rPr>
                <w:rFonts w:ascii="Arial Narrow" w:hAnsi="Arial Narrow"/>
                <w:sz w:val="19"/>
              </w:rPr>
              <w:t>-27</w:t>
            </w:r>
          </w:p>
        </w:tc>
        <w:tc>
          <w:tcPr>
            <w:tcW w:w="561" w:type="pct"/>
            <w:tcBorders>
              <w:top w:val="single" w:sz="2" w:space="0" w:color="auto"/>
              <w:left w:val="nil"/>
              <w:bottom w:val="single" w:sz="2" w:space="0" w:color="auto"/>
              <w:right w:val="nil"/>
            </w:tcBorders>
            <w:vAlign w:val="center"/>
          </w:tcPr>
          <w:p w14:paraId="56768624"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-10</w:t>
            </w:r>
          </w:p>
        </w:tc>
      </w:tr>
      <w:tr w:rsidR="009F50C6" w:rsidRPr="00933A7F" w14:paraId="5967452D"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06494ACB" w14:textId="7FFA0361" w:rsidR="009F50C6" w:rsidRPr="00933A7F" w:rsidRDefault="0003647B" w:rsidP="00E27795">
            <w:pPr>
              <w:pStyle w:val="cuatexto"/>
              <w:spacing w:line="240" w:lineRule="auto"/>
              <w:rPr>
                <w:color w:val="000000" w:themeColor="text1"/>
                <w:sz w:val="19"/>
                <w:szCs w:val="19"/>
              </w:rPr>
            </w:pPr>
            <w:r>
              <w:rPr>
                <w:color w:val="000000" w:themeColor="text1"/>
                <w:sz w:val="19"/>
              </w:rPr>
              <w:t>3. Finantza-gastuak</w:t>
            </w:r>
          </w:p>
        </w:tc>
        <w:tc>
          <w:tcPr>
            <w:tcW w:w="659" w:type="pct"/>
            <w:tcBorders>
              <w:top w:val="single" w:sz="2" w:space="0" w:color="auto"/>
              <w:left w:val="nil"/>
              <w:bottom w:val="single" w:sz="2" w:space="0" w:color="auto"/>
              <w:right w:val="nil"/>
            </w:tcBorders>
            <w:shd w:val="clear" w:color="auto" w:fill="auto"/>
            <w:vAlign w:val="center"/>
            <w:hideMark/>
          </w:tcPr>
          <w:p w14:paraId="44C70831"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2,48</w:t>
            </w:r>
          </w:p>
        </w:tc>
        <w:tc>
          <w:tcPr>
            <w:tcW w:w="580" w:type="pct"/>
            <w:tcBorders>
              <w:top w:val="single" w:sz="2" w:space="0" w:color="auto"/>
              <w:left w:val="nil"/>
              <w:bottom w:val="single" w:sz="2" w:space="0" w:color="auto"/>
              <w:right w:val="nil"/>
            </w:tcBorders>
            <w:shd w:val="clear" w:color="auto" w:fill="auto"/>
            <w:vAlign w:val="center"/>
            <w:hideMark/>
          </w:tcPr>
          <w:p w14:paraId="22920D5B"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1,78</w:t>
            </w:r>
          </w:p>
        </w:tc>
        <w:tc>
          <w:tcPr>
            <w:tcW w:w="566" w:type="pct"/>
            <w:tcBorders>
              <w:top w:val="single" w:sz="2" w:space="0" w:color="auto"/>
              <w:left w:val="nil"/>
              <w:bottom w:val="single" w:sz="2" w:space="0" w:color="auto"/>
              <w:right w:val="nil"/>
            </w:tcBorders>
            <w:shd w:val="clear" w:color="auto" w:fill="auto"/>
            <w:vAlign w:val="center"/>
            <w:hideMark/>
          </w:tcPr>
          <w:p w14:paraId="58170F75" w14:textId="77777777" w:rsidR="009F50C6" w:rsidRPr="00933A7F" w:rsidRDefault="009F50C6" w:rsidP="00E27795">
            <w:pPr>
              <w:spacing w:after="0"/>
              <w:ind w:hanging="77"/>
              <w:jc w:val="right"/>
              <w:rPr>
                <w:rFonts w:ascii="Arial Narrow" w:hAnsi="Arial Narrow" w:cs="Calibri"/>
                <w:sz w:val="19"/>
                <w:szCs w:val="19"/>
              </w:rPr>
            </w:pPr>
            <w:r>
              <w:rPr>
                <w:rFonts w:ascii="Arial Narrow" w:hAnsi="Arial Narrow"/>
                <w:sz w:val="19"/>
              </w:rPr>
              <w:t>0,2</w:t>
            </w:r>
          </w:p>
        </w:tc>
        <w:tc>
          <w:tcPr>
            <w:tcW w:w="543" w:type="pct"/>
            <w:tcBorders>
              <w:top w:val="single" w:sz="2" w:space="0" w:color="auto"/>
              <w:left w:val="nil"/>
              <w:bottom w:val="single" w:sz="2" w:space="0" w:color="auto"/>
              <w:right w:val="nil"/>
            </w:tcBorders>
            <w:shd w:val="clear" w:color="auto" w:fill="auto"/>
            <w:vAlign w:val="center"/>
            <w:hideMark/>
          </w:tcPr>
          <w:p w14:paraId="07B8EC93"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72</w:t>
            </w:r>
          </w:p>
        </w:tc>
        <w:tc>
          <w:tcPr>
            <w:tcW w:w="668" w:type="pct"/>
            <w:tcBorders>
              <w:top w:val="single" w:sz="2" w:space="0" w:color="auto"/>
              <w:left w:val="nil"/>
              <w:bottom w:val="single" w:sz="2" w:space="0" w:color="auto"/>
              <w:right w:val="nil"/>
            </w:tcBorders>
            <w:shd w:val="clear" w:color="auto" w:fill="auto"/>
            <w:vAlign w:val="center"/>
          </w:tcPr>
          <w:p w14:paraId="5C587A8C" w14:textId="77777777" w:rsidR="009F50C6" w:rsidRPr="00933A7F" w:rsidRDefault="009F50C6" w:rsidP="00E27795">
            <w:pPr>
              <w:spacing w:after="0"/>
              <w:ind w:firstLine="0"/>
              <w:jc w:val="right"/>
              <w:rPr>
                <w:rFonts w:ascii="Arial Narrow" w:hAnsi="Arial Narrow" w:cs="Arial"/>
                <w:sz w:val="19"/>
                <w:szCs w:val="19"/>
              </w:rPr>
            </w:pPr>
            <w:r>
              <w:rPr>
                <w:rFonts w:ascii="Arial Narrow" w:hAnsi="Arial Narrow"/>
                <w:sz w:val="19"/>
              </w:rPr>
              <w:t>0</w:t>
            </w:r>
          </w:p>
        </w:tc>
        <w:tc>
          <w:tcPr>
            <w:tcW w:w="561" w:type="pct"/>
            <w:tcBorders>
              <w:top w:val="single" w:sz="2" w:space="0" w:color="auto"/>
              <w:left w:val="nil"/>
              <w:bottom w:val="single" w:sz="2" w:space="0" w:color="auto"/>
              <w:right w:val="nil"/>
            </w:tcBorders>
            <w:vAlign w:val="center"/>
          </w:tcPr>
          <w:p w14:paraId="49624113"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9</w:t>
            </w:r>
          </w:p>
        </w:tc>
      </w:tr>
      <w:tr w:rsidR="009F50C6" w:rsidRPr="00933A7F" w14:paraId="232FA96D"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69D5AFEE" w14:textId="7353B724" w:rsidR="009F50C6" w:rsidRPr="00933A7F" w:rsidRDefault="0003647B" w:rsidP="00E27795">
            <w:pPr>
              <w:pStyle w:val="cuatexto"/>
              <w:spacing w:line="240" w:lineRule="auto"/>
              <w:rPr>
                <w:color w:val="000000" w:themeColor="text1"/>
                <w:sz w:val="19"/>
                <w:szCs w:val="19"/>
              </w:rPr>
            </w:pPr>
            <w:r>
              <w:rPr>
                <w:color w:val="000000" w:themeColor="text1"/>
                <w:sz w:val="19"/>
              </w:rPr>
              <w:t>4. Transferentzia arruntak</w:t>
            </w:r>
          </w:p>
        </w:tc>
        <w:tc>
          <w:tcPr>
            <w:tcW w:w="659" w:type="pct"/>
            <w:tcBorders>
              <w:top w:val="single" w:sz="2" w:space="0" w:color="auto"/>
              <w:left w:val="nil"/>
              <w:bottom w:val="single" w:sz="2" w:space="0" w:color="auto"/>
              <w:right w:val="nil"/>
            </w:tcBorders>
            <w:shd w:val="clear" w:color="auto" w:fill="auto"/>
            <w:vAlign w:val="center"/>
            <w:hideMark/>
          </w:tcPr>
          <w:p w14:paraId="45CB1C78"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86,18</w:t>
            </w:r>
          </w:p>
        </w:tc>
        <w:tc>
          <w:tcPr>
            <w:tcW w:w="580" w:type="pct"/>
            <w:tcBorders>
              <w:top w:val="single" w:sz="2" w:space="0" w:color="auto"/>
              <w:left w:val="nil"/>
              <w:bottom w:val="single" w:sz="2" w:space="0" w:color="auto"/>
              <w:right w:val="nil"/>
            </w:tcBorders>
            <w:shd w:val="clear" w:color="auto" w:fill="auto"/>
            <w:vAlign w:val="center"/>
            <w:hideMark/>
          </w:tcPr>
          <w:p w14:paraId="1C100DB9"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76,43</w:t>
            </w:r>
          </w:p>
        </w:tc>
        <w:tc>
          <w:tcPr>
            <w:tcW w:w="566" w:type="pct"/>
            <w:tcBorders>
              <w:top w:val="single" w:sz="2" w:space="0" w:color="auto"/>
              <w:left w:val="nil"/>
              <w:bottom w:val="single" w:sz="2" w:space="0" w:color="auto"/>
              <w:right w:val="nil"/>
            </w:tcBorders>
            <w:shd w:val="clear" w:color="auto" w:fill="auto"/>
            <w:vAlign w:val="center"/>
            <w:hideMark/>
          </w:tcPr>
          <w:p w14:paraId="2EEB3BCA" w14:textId="77777777" w:rsidR="009F50C6" w:rsidRPr="00933A7F" w:rsidRDefault="009F50C6" w:rsidP="00E27795">
            <w:pPr>
              <w:spacing w:after="0"/>
              <w:ind w:hanging="77"/>
              <w:jc w:val="right"/>
              <w:rPr>
                <w:rFonts w:ascii="Arial Narrow" w:hAnsi="Arial Narrow" w:cs="Calibri"/>
                <w:sz w:val="19"/>
                <w:szCs w:val="19"/>
              </w:rPr>
            </w:pPr>
            <w:r>
              <w:rPr>
                <w:rFonts w:ascii="Arial Narrow" w:hAnsi="Arial Narrow"/>
                <w:sz w:val="19"/>
              </w:rPr>
              <w:t>9,6</w:t>
            </w:r>
          </w:p>
        </w:tc>
        <w:tc>
          <w:tcPr>
            <w:tcW w:w="543" w:type="pct"/>
            <w:tcBorders>
              <w:top w:val="single" w:sz="2" w:space="0" w:color="auto"/>
              <w:left w:val="nil"/>
              <w:bottom w:val="single" w:sz="2" w:space="0" w:color="auto"/>
              <w:right w:val="nil"/>
            </w:tcBorders>
            <w:shd w:val="clear" w:color="auto" w:fill="auto"/>
            <w:vAlign w:val="center"/>
            <w:hideMark/>
          </w:tcPr>
          <w:p w14:paraId="11617619"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89</w:t>
            </w:r>
          </w:p>
        </w:tc>
        <w:tc>
          <w:tcPr>
            <w:tcW w:w="668" w:type="pct"/>
            <w:tcBorders>
              <w:top w:val="single" w:sz="2" w:space="0" w:color="auto"/>
              <w:left w:val="nil"/>
              <w:bottom w:val="single" w:sz="2" w:space="0" w:color="auto"/>
              <w:right w:val="nil"/>
            </w:tcBorders>
            <w:shd w:val="clear" w:color="auto" w:fill="auto"/>
            <w:vAlign w:val="center"/>
          </w:tcPr>
          <w:p w14:paraId="62FC5C05" w14:textId="77777777" w:rsidR="009F50C6" w:rsidRPr="00933A7F" w:rsidRDefault="009F50C6" w:rsidP="00E27795">
            <w:pPr>
              <w:spacing w:after="0"/>
              <w:ind w:firstLine="0"/>
              <w:jc w:val="right"/>
              <w:rPr>
                <w:rFonts w:ascii="Arial Narrow" w:hAnsi="Arial Narrow" w:cs="Arial"/>
                <w:sz w:val="19"/>
                <w:szCs w:val="19"/>
              </w:rPr>
            </w:pPr>
            <w:r>
              <w:rPr>
                <w:rFonts w:ascii="Arial Narrow" w:hAnsi="Arial Narrow"/>
                <w:sz w:val="19"/>
              </w:rPr>
              <w:t>5</w:t>
            </w:r>
          </w:p>
        </w:tc>
        <w:tc>
          <w:tcPr>
            <w:tcW w:w="561" w:type="pct"/>
            <w:tcBorders>
              <w:top w:val="single" w:sz="2" w:space="0" w:color="auto"/>
              <w:left w:val="nil"/>
              <w:bottom w:val="single" w:sz="2" w:space="0" w:color="auto"/>
              <w:right w:val="nil"/>
            </w:tcBorders>
            <w:vAlign w:val="center"/>
          </w:tcPr>
          <w:p w14:paraId="06631BD7"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6</w:t>
            </w:r>
          </w:p>
        </w:tc>
      </w:tr>
      <w:tr w:rsidR="009F50C6" w:rsidRPr="00933A7F" w14:paraId="72304480"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7683756A" w14:textId="63DC81C4" w:rsidR="009F50C6" w:rsidRPr="00933A7F" w:rsidRDefault="009F50C6" w:rsidP="00E27795">
            <w:pPr>
              <w:pStyle w:val="cuatexto"/>
              <w:spacing w:line="240" w:lineRule="auto"/>
              <w:rPr>
                <w:b/>
                <w:i/>
                <w:iCs/>
                <w:color w:val="000000" w:themeColor="text1"/>
                <w:sz w:val="19"/>
                <w:szCs w:val="19"/>
              </w:rPr>
            </w:pPr>
            <w:r>
              <w:rPr>
                <w:b/>
                <w:i/>
                <w:color w:val="000000" w:themeColor="text1"/>
                <w:sz w:val="19"/>
              </w:rPr>
              <w:t>Eragiketa arruntak</w:t>
            </w:r>
          </w:p>
        </w:tc>
        <w:tc>
          <w:tcPr>
            <w:tcW w:w="659" w:type="pct"/>
            <w:tcBorders>
              <w:top w:val="single" w:sz="2" w:space="0" w:color="auto"/>
              <w:left w:val="nil"/>
              <w:bottom w:val="single" w:sz="2" w:space="0" w:color="auto"/>
              <w:right w:val="nil"/>
            </w:tcBorders>
            <w:shd w:val="clear" w:color="auto" w:fill="auto"/>
            <w:vAlign w:val="center"/>
            <w:hideMark/>
          </w:tcPr>
          <w:p w14:paraId="2C3C53E7" w14:textId="77777777" w:rsidR="009F50C6" w:rsidRPr="00933A7F" w:rsidRDefault="009F50C6" w:rsidP="00E27795">
            <w:pPr>
              <w:spacing w:after="0"/>
              <w:ind w:firstLine="0"/>
              <w:jc w:val="right"/>
              <w:rPr>
                <w:rFonts w:ascii="Arial Narrow" w:hAnsi="Arial Narrow" w:cs="Calibri"/>
                <w:b/>
                <w:bCs/>
                <w:i/>
                <w:iCs/>
                <w:sz w:val="19"/>
                <w:szCs w:val="19"/>
              </w:rPr>
            </w:pPr>
            <w:r>
              <w:rPr>
                <w:rFonts w:ascii="Arial Narrow" w:hAnsi="Arial Narrow"/>
                <w:b/>
                <w:i/>
                <w:sz w:val="19"/>
              </w:rPr>
              <w:t>711,35</w:t>
            </w:r>
          </w:p>
        </w:tc>
        <w:tc>
          <w:tcPr>
            <w:tcW w:w="580" w:type="pct"/>
            <w:tcBorders>
              <w:top w:val="single" w:sz="2" w:space="0" w:color="auto"/>
              <w:left w:val="nil"/>
              <w:bottom w:val="single" w:sz="2" w:space="0" w:color="auto"/>
              <w:right w:val="nil"/>
            </w:tcBorders>
            <w:shd w:val="clear" w:color="auto" w:fill="auto"/>
            <w:vAlign w:val="center"/>
            <w:hideMark/>
          </w:tcPr>
          <w:p w14:paraId="216B8A14" w14:textId="77777777" w:rsidR="009F50C6" w:rsidRPr="00933A7F" w:rsidRDefault="009F50C6" w:rsidP="00E27795">
            <w:pPr>
              <w:spacing w:after="0"/>
              <w:ind w:firstLine="0"/>
              <w:jc w:val="right"/>
              <w:rPr>
                <w:rFonts w:ascii="Arial Narrow" w:hAnsi="Arial Narrow" w:cs="Calibri"/>
                <w:b/>
                <w:bCs/>
                <w:i/>
                <w:iCs/>
                <w:sz w:val="19"/>
                <w:szCs w:val="19"/>
              </w:rPr>
            </w:pPr>
            <w:r>
              <w:rPr>
                <w:rFonts w:ascii="Arial Narrow" w:hAnsi="Arial Narrow"/>
                <w:b/>
                <w:i/>
                <w:sz w:val="19"/>
              </w:rPr>
              <w:t>644,95</w:t>
            </w:r>
          </w:p>
        </w:tc>
        <w:tc>
          <w:tcPr>
            <w:tcW w:w="566" w:type="pct"/>
            <w:tcBorders>
              <w:top w:val="single" w:sz="2" w:space="0" w:color="auto"/>
              <w:left w:val="nil"/>
              <w:bottom w:val="single" w:sz="2" w:space="0" w:color="auto"/>
              <w:right w:val="nil"/>
            </w:tcBorders>
            <w:shd w:val="clear" w:color="auto" w:fill="auto"/>
            <w:vAlign w:val="center"/>
            <w:hideMark/>
          </w:tcPr>
          <w:p w14:paraId="359CEDD8" w14:textId="77777777" w:rsidR="009F50C6" w:rsidRPr="00933A7F" w:rsidRDefault="009F50C6" w:rsidP="00E27795">
            <w:pPr>
              <w:spacing w:after="0"/>
              <w:ind w:hanging="77"/>
              <w:jc w:val="right"/>
              <w:rPr>
                <w:rFonts w:ascii="Arial Narrow" w:hAnsi="Arial Narrow" w:cs="Calibri"/>
                <w:b/>
                <w:bCs/>
                <w:i/>
                <w:iCs/>
                <w:sz w:val="19"/>
                <w:szCs w:val="19"/>
              </w:rPr>
            </w:pPr>
            <w:r>
              <w:rPr>
                <w:rFonts w:ascii="Arial Narrow" w:hAnsi="Arial Narrow"/>
                <w:b/>
                <w:i/>
                <w:sz w:val="19"/>
              </w:rPr>
              <w:t>80,7</w:t>
            </w:r>
          </w:p>
        </w:tc>
        <w:tc>
          <w:tcPr>
            <w:tcW w:w="543" w:type="pct"/>
            <w:tcBorders>
              <w:top w:val="single" w:sz="2" w:space="0" w:color="auto"/>
              <w:left w:val="nil"/>
              <w:bottom w:val="single" w:sz="2" w:space="0" w:color="auto"/>
              <w:right w:val="nil"/>
            </w:tcBorders>
            <w:shd w:val="clear" w:color="auto" w:fill="auto"/>
            <w:vAlign w:val="center"/>
            <w:hideMark/>
          </w:tcPr>
          <w:p w14:paraId="605D435F" w14:textId="77777777" w:rsidR="009F50C6" w:rsidRPr="00933A7F" w:rsidRDefault="009F50C6" w:rsidP="00E27795">
            <w:pPr>
              <w:spacing w:after="0"/>
              <w:ind w:firstLine="0"/>
              <w:jc w:val="right"/>
              <w:rPr>
                <w:rFonts w:ascii="Arial Narrow" w:hAnsi="Arial Narrow" w:cs="Calibri"/>
                <w:b/>
                <w:bCs/>
                <w:i/>
                <w:iCs/>
                <w:sz w:val="19"/>
                <w:szCs w:val="19"/>
              </w:rPr>
            </w:pPr>
            <w:r>
              <w:rPr>
                <w:rFonts w:ascii="Arial Narrow" w:hAnsi="Arial Narrow"/>
                <w:b/>
                <w:i/>
                <w:sz w:val="19"/>
              </w:rPr>
              <w:t>91</w:t>
            </w:r>
          </w:p>
        </w:tc>
        <w:tc>
          <w:tcPr>
            <w:tcW w:w="668" w:type="pct"/>
            <w:tcBorders>
              <w:top w:val="single" w:sz="2" w:space="0" w:color="auto"/>
              <w:left w:val="nil"/>
              <w:bottom w:val="single" w:sz="2" w:space="0" w:color="auto"/>
              <w:right w:val="nil"/>
            </w:tcBorders>
            <w:shd w:val="clear" w:color="auto" w:fill="auto"/>
            <w:vAlign w:val="center"/>
          </w:tcPr>
          <w:p w14:paraId="74EE6D6C" w14:textId="77777777" w:rsidR="009F50C6" w:rsidRPr="00933A7F" w:rsidRDefault="009F50C6" w:rsidP="00E27795">
            <w:pPr>
              <w:spacing w:after="0"/>
              <w:ind w:firstLine="0"/>
              <w:jc w:val="right"/>
              <w:rPr>
                <w:rFonts w:ascii="Arial Narrow" w:hAnsi="Arial Narrow" w:cs="Arial"/>
                <w:b/>
                <w:bCs/>
                <w:i/>
                <w:iCs/>
                <w:sz w:val="19"/>
                <w:szCs w:val="19"/>
              </w:rPr>
            </w:pPr>
            <w:r>
              <w:rPr>
                <w:rFonts w:ascii="Arial Narrow" w:hAnsi="Arial Narrow"/>
                <w:b/>
                <w:i/>
                <w:sz w:val="19"/>
              </w:rPr>
              <w:t>-11</w:t>
            </w:r>
          </w:p>
        </w:tc>
        <w:tc>
          <w:tcPr>
            <w:tcW w:w="561" w:type="pct"/>
            <w:tcBorders>
              <w:top w:val="single" w:sz="2" w:space="0" w:color="auto"/>
              <w:left w:val="nil"/>
              <w:bottom w:val="single" w:sz="2" w:space="0" w:color="auto"/>
              <w:right w:val="nil"/>
            </w:tcBorders>
            <w:vAlign w:val="center"/>
          </w:tcPr>
          <w:p w14:paraId="79E8C73C" w14:textId="77777777" w:rsidR="009F50C6" w:rsidRPr="00933A7F" w:rsidRDefault="009F50C6" w:rsidP="00E27795">
            <w:pPr>
              <w:spacing w:after="0"/>
              <w:ind w:firstLine="0"/>
              <w:jc w:val="right"/>
              <w:rPr>
                <w:rFonts w:ascii="Arial Narrow" w:hAnsi="Arial Narrow" w:cs="Calibri"/>
                <w:b/>
                <w:bCs/>
                <w:i/>
                <w:iCs/>
                <w:sz w:val="19"/>
                <w:szCs w:val="19"/>
              </w:rPr>
            </w:pPr>
            <w:r>
              <w:rPr>
                <w:rFonts w:ascii="Arial Narrow" w:hAnsi="Arial Narrow"/>
                <w:b/>
                <w:i/>
                <w:sz w:val="19"/>
              </w:rPr>
              <w:t>-2</w:t>
            </w:r>
          </w:p>
        </w:tc>
      </w:tr>
      <w:tr w:rsidR="009F50C6" w:rsidRPr="00933A7F" w14:paraId="6D5F3EC8"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40C0DE82" w14:textId="45A2ACCA" w:rsidR="009F50C6" w:rsidRPr="00933A7F" w:rsidRDefault="0003647B" w:rsidP="00E27795">
            <w:pPr>
              <w:pStyle w:val="cuatexto"/>
              <w:spacing w:line="240" w:lineRule="auto"/>
              <w:rPr>
                <w:color w:val="000000" w:themeColor="text1"/>
                <w:sz w:val="19"/>
                <w:szCs w:val="19"/>
              </w:rPr>
            </w:pPr>
            <w:r>
              <w:rPr>
                <w:color w:val="000000" w:themeColor="text1"/>
                <w:sz w:val="19"/>
              </w:rPr>
              <w:t>5. Kontingentzia funtsa</w:t>
            </w:r>
          </w:p>
        </w:tc>
        <w:tc>
          <w:tcPr>
            <w:tcW w:w="659" w:type="pct"/>
            <w:tcBorders>
              <w:top w:val="single" w:sz="2" w:space="0" w:color="auto"/>
              <w:left w:val="nil"/>
              <w:bottom w:val="single" w:sz="2" w:space="0" w:color="auto"/>
              <w:right w:val="nil"/>
            </w:tcBorders>
            <w:shd w:val="clear" w:color="auto" w:fill="auto"/>
            <w:vAlign w:val="center"/>
            <w:hideMark/>
          </w:tcPr>
          <w:p w14:paraId="4224EC61"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0,47</w:t>
            </w:r>
          </w:p>
        </w:tc>
        <w:tc>
          <w:tcPr>
            <w:tcW w:w="580" w:type="pct"/>
            <w:tcBorders>
              <w:top w:val="single" w:sz="2" w:space="0" w:color="auto"/>
              <w:left w:val="nil"/>
              <w:bottom w:val="single" w:sz="2" w:space="0" w:color="auto"/>
              <w:right w:val="nil"/>
            </w:tcBorders>
            <w:shd w:val="clear" w:color="auto" w:fill="auto"/>
            <w:vAlign w:val="center"/>
            <w:hideMark/>
          </w:tcPr>
          <w:p w14:paraId="1D8D2633"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0,00</w:t>
            </w:r>
          </w:p>
        </w:tc>
        <w:tc>
          <w:tcPr>
            <w:tcW w:w="566" w:type="pct"/>
            <w:tcBorders>
              <w:top w:val="single" w:sz="2" w:space="0" w:color="auto"/>
              <w:left w:val="nil"/>
              <w:bottom w:val="single" w:sz="2" w:space="0" w:color="auto"/>
              <w:right w:val="nil"/>
            </w:tcBorders>
            <w:shd w:val="clear" w:color="auto" w:fill="auto"/>
            <w:vAlign w:val="center"/>
            <w:hideMark/>
          </w:tcPr>
          <w:p w14:paraId="4AFF27A7" w14:textId="77777777" w:rsidR="009F50C6" w:rsidRPr="00933A7F" w:rsidRDefault="009F50C6" w:rsidP="00E27795">
            <w:pPr>
              <w:spacing w:after="0"/>
              <w:ind w:hanging="77"/>
              <w:jc w:val="right"/>
              <w:rPr>
                <w:rFonts w:ascii="Arial Narrow" w:hAnsi="Arial Narrow" w:cs="Calibri"/>
                <w:sz w:val="19"/>
                <w:szCs w:val="19"/>
              </w:rPr>
            </w:pPr>
            <w:r>
              <w:rPr>
                <w:rFonts w:ascii="Arial Narrow" w:hAnsi="Arial Narrow"/>
                <w:sz w:val="19"/>
              </w:rPr>
              <w:t>0,0</w:t>
            </w:r>
          </w:p>
        </w:tc>
        <w:tc>
          <w:tcPr>
            <w:tcW w:w="543" w:type="pct"/>
            <w:tcBorders>
              <w:top w:val="single" w:sz="2" w:space="0" w:color="auto"/>
              <w:left w:val="nil"/>
              <w:bottom w:val="single" w:sz="2" w:space="0" w:color="auto"/>
              <w:right w:val="nil"/>
            </w:tcBorders>
            <w:shd w:val="clear" w:color="auto" w:fill="auto"/>
            <w:vAlign w:val="center"/>
            <w:hideMark/>
          </w:tcPr>
          <w:p w14:paraId="39A10331"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0</w:t>
            </w:r>
          </w:p>
        </w:tc>
        <w:tc>
          <w:tcPr>
            <w:tcW w:w="668" w:type="pct"/>
            <w:tcBorders>
              <w:top w:val="single" w:sz="2" w:space="0" w:color="auto"/>
              <w:left w:val="nil"/>
              <w:bottom w:val="single" w:sz="2" w:space="0" w:color="auto"/>
              <w:right w:val="nil"/>
            </w:tcBorders>
            <w:shd w:val="clear" w:color="auto" w:fill="auto"/>
            <w:vAlign w:val="center"/>
          </w:tcPr>
          <w:p w14:paraId="71043A40" w14:textId="77777777" w:rsidR="009F50C6" w:rsidRPr="00933A7F" w:rsidRDefault="009F50C6" w:rsidP="00E27795">
            <w:pPr>
              <w:spacing w:after="0"/>
              <w:ind w:firstLine="0"/>
              <w:jc w:val="right"/>
              <w:rPr>
                <w:rFonts w:ascii="Arial Narrow" w:hAnsi="Arial Narrow" w:cs="Arial"/>
                <w:sz w:val="19"/>
                <w:szCs w:val="19"/>
              </w:rPr>
            </w:pPr>
            <w:r>
              <w:rPr>
                <w:rFonts w:ascii="Arial Narrow" w:hAnsi="Arial Narrow"/>
                <w:sz w:val="19"/>
              </w:rPr>
              <w:t>0</w:t>
            </w:r>
          </w:p>
        </w:tc>
        <w:tc>
          <w:tcPr>
            <w:tcW w:w="561" w:type="pct"/>
            <w:tcBorders>
              <w:top w:val="single" w:sz="2" w:space="0" w:color="auto"/>
              <w:left w:val="nil"/>
              <w:bottom w:val="single" w:sz="2" w:space="0" w:color="auto"/>
              <w:right w:val="nil"/>
            </w:tcBorders>
            <w:vAlign w:val="center"/>
          </w:tcPr>
          <w:p w14:paraId="4A3BA615"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w:t>
            </w:r>
          </w:p>
        </w:tc>
      </w:tr>
      <w:tr w:rsidR="009F50C6" w:rsidRPr="00933A7F" w14:paraId="2E7F8FCF"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79F85F9C" w14:textId="00D6AFE7" w:rsidR="009F50C6" w:rsidRPr="00933A7F" w:rsidRDefault="009F50C6" w:rsidP="00E27795">
            <w:pPr>
              <w:pStyle w:val="cuatexto"/>
              <w:spacing w:line="240" w:lineRule="auto"/>
              <w:rPr>
                <w:b/>
                <w:i/>
                <w:iCs/>
                <w:color w:val="000000" w:themeColor="text1"/>
                <w:sz w:val="19"/>
                <w:szCs w:val="19"/>
              </w:rPr>
            </w:pPr>
            <w:r>
              <w:rPr>
                <w:b/>
                <w:i/>
                <w:color w:val="000000" w:themeColor="text1"/>
                <w:sz w:val="19"/>
              </w:rPr>
              <w:t xml:space="preserve"> Kontingentzia funtsa</w:t>
            </w:r>
          </w:p>
        </w:tc>
        <w:tc>
          <w:tcPr>
            <w:tcW w:w="659" w:type="pct"/>
            <w:tcBorders>
              <w:top w:val="single" w:sz="2" w:space="0" w:color="auto"/>
              <w:left w:val="nil"/>
              <w:bottom w:val="single" w:sz="2" w:space="0" w:color="auto"/>
              <w:right w:val="nil"/>
            </w:tcBorders>
            <w:shd w:val="clear" w:color="auto" w:fill="auto"/>
            <w:vAlign w:val="center"/>
            <w:hideMark/>
          </w:tcPr>
          <w:p w14:paraId="4878E5AC" w14:textId="77777777" w:rsidR="009F50C6" w:rsidRPr="00933A7F" w:rsidRDefault="009F50C6" w:rsidP="00E27795">
            <w:pPr>
              <w:spacing w:after="0"/>
              <w:ind w:firstLine="0"/>
              <w:jc w:val="right"/>
              <w:rPr>
                <w:rFonts w:ascii="Arial Narrow" w:hAnsi="Arial Narrow" w:cs="Calibri"/>
                <w:b/>
                <w:bCs/>
                <w:i/>
                <w:iCs/>
                <w:sz w:val="19"/>
                <w:szCs w:val="19"/>
              </w:rPr>
            </w:pPr>
            <w:r>
              <w:rPr>
                <w:rFonts w:ascii="Arial Narrow" w:hAnsi="Arial Narrow"/>
                <w:b/>
                <w:i/>
                <w:sz w:val="19"/>
              </w:rPr>
              <w:t>0,47</w:t>
            </w:r>
          </w:p>
        </w:tc>
        <w:tc>
          <w:tcPr>
            <w:tcW w:w="580" w:type="pct"/>
            <w:tcBorders>
              <w:top w:val="single" w:sz="2" w:space="0" w:color="auto"/>
              <w:left w:val="nil"/>
              <w:bottom w:val="single" w:sz="2" w:space="0" w:color="auto"/>
              <w:right w:val="nil"/>
            </w:tcBorders>
            <w:shd w:val="clear" w:color="auto" w:fill="auto"/>
            <w:vAlign w:val="center"/>
            <w:hideMark/>
          </w:tcPr>
          <w:p w14:paraId="610FD704" w14:textId="77777777" w:rsidR="009F50C6" w:rsidRPr="00933A7F" w:rsidRDefault="009F50C6" w:rsidP="00E27795">
            <w:pPr>
              <w:spacing w:after="0"/>
              <w:ind w:firstLine="0"/>
              <w:jc w:val="right"/>
              <w:rPr>
                <w:rFonts w:ascii="Arial Narrow" w:hAnsi="Arial Narrow" w:cs="Calibri"/>
                <w:b/>
                <w:bCs/>
                <w:i/>
                <w:iCs/>
                <w:sz w:val="19"/>
                <w:szCs w:val="19"/>
              </w:rPr>
            </w:pPr>
            <w:r>
              <w:rPr>
                <w:rFonts w:ascii="Arial Narrow" w:hAnsi="Arial Narrow"/>
                <w:b/>
                <w:i/>
                <w:sz w:val="19"/>
              </w:rPr>
              <w:t>0,00</w:t>
            </w:r>
          </w:p>
        </w:tc>
        <w:tc>
          <w:tcPr>
            <w:tcW w:w="566" w:type="pct"/>
            <w:tcBorders>
              <w:top w:val="single" w:sz="2" w:space="0" w:color="auto"/>
              <w:left w:val="nil"/>
              <w:bottom w:val="single" w:sz="2" w:space="0" w:color="auto"/>
              <w:right w:val="nil"/>
            </w:tcBorders>
            <w:shd w:val="clear" w:color="auto" w:fill="auto"/>
            <w:vAlign w:val="center"/>
            <w:hideMark/>
          </w:tcPr>
          <w:p w14:paraId="37B8A4FF" w14:textId="77777777" w:rsidR="009F50C6" w:rsidRPr="00933A7F" w:rsidRDefault="009F50C6" w:rsidP="00E27795">
            <w:pPr>
              <w:spacing w:after="0"/>
              <w:ind w:hanging="77"/>
              <w:jc w:val="right"/>
              <w:rPr>
                <w:rFonts w:ascii="Arial Narrow" w:hAnsi="Arial Narrow" w:cs="Calibri"/>
                <w:b/>
                <w:bCs/>
                <w:i/>
                <w:iCs/>
                <w:sz w:val="19"/>
                <w:szCs w:val="19"/>
              </w:rPr>
            </w:pPr>
            <w:r>
              <w:rPr>
                <w:rFonts w:ascii="Arial Narrow" w:hAnsi="Arial Narrow"/>
                <w:b/>
                <w:i/>
                <w:sz w:val="19"/>
              </w:rPr>
              <w:t>0,0</w:t>
            </w:r>
          </w:p>
        </w:tc>
        <w:tc>
          <w:tcPr>
            <w:tcW w:w="543" w:type="pct"/>
            <w:tcBorders>
              <w:top w:val="single" w:sz="2" w:space="0" w:color="auto"/>
              <w:left w:val="nil"/>
              <w:bottom w:val="single" w:sz="2" w:space="0" w:color="auto"/>
              <w:right w:val="nil"/>
            </w:tcBorders>
            <w:shd w:val="clear" w:color="auto" w:fill="auto"/>
            <w:vAlign w:val="center"/>
            <w:hideMark/>
          </w:tcPr>
          <w:p w14:paraId="419E9DBC" w14:textId="77777777" w:rsidR="009F50C6" w:rsidRPr="00933A7F" w:rsidRDefault="009F50C6" w:rsidP="00E27795">
            <w:pPr>
              <w:spacing w:after="0"/>
              <w:ind w:firstLine="0"/>
              <w:jc w:val="right"/>
              <w:rPr>
                <w:rFonts w:ascii="Arial Narrow" w:hAnsi="Arial Narrow" w:cs="Calibri"/>
                <w:b/>
                <w:bCs/>
                <w:i/>
                <w:iCs/>
                <w:sz w:val="19"/>
                <w:szCs w:val="19"/>
              </w:rPr>
            </w:pPr>
            <w:r>
              <w:rPr>
                <w:rFonts w:ascii="Arial Narrow" w:hAnsi="Arial Narrow"/>
                <w:b/>
                <w:i/>
                <w:sz w:val="19"/>
              </w:rPr>
              <w:t>0</w:t>
            </w:r>
          </w:p>
        </w:tc>
        <w:tc>
          <w:tcPr>
            <w:tcW w:w="668" w:type="pct"/>
            <w:tcBorders>
              <w:top w:val="single" w:sz="2" w:space="0" w:color="auto"/>
              <w:left w:val="nil"/>
              <w:bottom w:val="single" w:sz="2" w:space="0" w:color="auto"/>
              <w:right w:val="nil"/>
            </w:tcBorders>
            <w:shd w:val="clear" w:color="auto" w:fill="auto"/>
            <w:vAlign w:val="center"/>
          </w:tcPr>
          <w:p w14:paraId="7D15F9A1" w14:textId="77777777" w:rsidR="009F50C6" w:rsidRPr="00933A7F" w:rsidRDefault="009F50C6" w:rsidP="00E27795">
            <w:pPr>
              <w:spacing w:after="0"/>
              <w:ind w:firstLine="0"/>
              <w:jc w:val="right"/>
              <w:rPr>
                <w:rFonts w:ascii="Arial Narrow" w:hAnsi="Arial Narrow" w:cs="Arial"/>
                <w:b/>
                <w:bCs/>
                <w:i/>
                <w:iCs/>
                <w:sz w:val="19"/>
                <w:szCs w:val="19"/>
              </w:rPr>
            </w:pPr>
            <w:r>
              <w:rPr>
                <w:rFonts w:ascii="Arial Narrow" w:hAnsi="Arial Narrow"/>
                <w:b/>
                <w:i/>
                <w:sz w:val="19"/>
              </w:rPr>
              <w:t>0</w:t>
            </w:r>
          </w:p>
        </w:tc>
        <w:tc>
          <w:tcPr>
            <w:tcW w:w="561" w:type="pct"/>
            <w:tcBorders>
              <w:top w:val="single" w:sz="2" w:space="0" w:color="auto"/>
              <w:left w:val="nil"/>
              <w:bottom w:val="single" w:sz="2" w:space="0" w:color="auto"/>
              <w:right w:val="nil"/>
            </w:tcBorders>
            <w:vAlign w:val="center"/>
          </w:tcPr>
          <w:p w14:paraId="4F168881" w14:textId="77777777" w:rsidR="009F50C6" w:rsidRPr="00933A7F" w:rsidRDefault="009F50C6" w:rsidP="00E27795">
            <w:pPr>
              <w:spacing w:after="0"/>
              <w:ind w:firstLine="0"/>
              <w:jc w:val="right"/>
              <w:rPr>
                <w:rFonts w:ascii="Arial Narrow" w:hAnsi="Arial Narrow" w:cs="Calibri"/>
                <w:b/>
                <w:bCs/>
                <w:i/>
                <w:iCs/>
                <w:sz w:val="19"/>
                <w:szCs w:val="19"/>
              </w:rPr>
            </w:pPr>
            <w:r>
              <w:rPr>
                <w:rFonts w:ascii="Arial Narrow" w:hAnsi="Arial Narrow"/>
                <w:b/>
                <w:i/>
                <w:sz w:val="19"/>
              </w:rPr>
              <w:t>--</w:t>
            </w:r>
          </w:p>
        </w:tc>
      </w:tr>
      <w:tr w:rsidR="009F50C6" w:rsidRPr="00933A7F" w14:paraId="0B081923"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6EBCD4F5" w14:textId="7C8A9810" w:rsidR="009F50C6" w:rsidRPr="00933A7F" w:rsidRDefault="0003647B" w:rsidP="00E27795">
            <w:pPr>
              <w:pStyle w:val="cuatexto"/>
              <w:spacing w:line="240" w:lineRule="auto"/>
              <w:rPr>
                <w:color w:val="000000" w:themeColor="text1"/>
                <w:sz w:val="19"/>
                <w:szCs w:val="19"/>
              </w:rPr>
            </w:pPr>
            <w:r>
              <w:rPr>
                <w:color w:val="000000" w:themeColor="text1"/>
                <w:sz w:val="19"/>
              </w:rPr>
              <w:t>6. Inbertsio errealak</w:t>
            </w:r>
          </w:p>
        </w:tc>
        <w:tc>
          <w:tcPr>
            <w:tcW w:w="659" w:type="pct"/>
            <w:tcBorders>
              <w:top w:val="single" w:sz="2" w:space="0" w:color="auto"/>
              <w:left w:val="nil"/>
              <w:bottom w:val="single" w:sz="2" w:space="0" w:color="auto"/>
              <w:right w:val="nil"/>
            </w:tcBorders>
            <w:shd w:val="clear" w:color="auto" w:fill="auto"/>
            <w:vAlign w:val="center"/>
            <w:hideMark/>
          </w:tcPr>
          <w:p w14:paraId="5D42B642"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199,87</w:t>
            </w:r>
          </w:p>
        </w:tc>
        <w:tc>
          <w:tcPr>
            <w:tcW w:w="580" w:type="pct"/>
            <w:tcBorders>
              <w:top w:val="single" w:sz="2" w:space="0" w:color="auto"/>
              <w:left w:val="nil"/>
              <w:bottom w:val="single" w:sz="2" w:space="0" w:color="auto"/>
              <w:right w:val="nil"/>
            </w:tcBorders>
            <w:shd w:val="clear" w:color="auto" w:fill="auto"/>
            <w:vAlign w:val="center"/>
            <w:hideMark/>
          </w:tcPr>
          <w:p w14:paraId="6356FA89"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115,49</w:t>
            </w:r>
          </w:p>
        </w:tc>
        <w:tc>
          <w:tcPr>
            <w:tcW w:w="566" w:type="pct"/>
            <w:tcBorders>
              <w:top w:val="single" w:sz="2" w:space="0" w:color="auto"/>
              <w:left w:val="nil"/>
              <w:bottom w:val="single" w:sz="2" w:space="0" w:color="auto"/>
              <w:right w:val="nil"/>
            </w:tcBorders>
            <w:shd w:val="clear" w:color="auto" w:fill="auto"/>
            <w:vAlign w:val="center"/>
            <w:hideMark/>
          </w:tcPr>
          <w:p w14:paraId="1AD63D94" w14:textId="77777777" w:rsidR="009F50C6" w:rsidRPr="00933A7F" w:rsidRDefault="009F50C6" w:rsidP="00E27795">
            <w:pPr>
              <w:spacing w:after="0"/>
              <w:ind w:hanging="77"/>
              <w:jc w:val="right"/>
              <w:rPr>
                <w:rFonts w:ascii="Arial Narrow" w:hAnsi="Arial Narrow" w:cs="Calibri"/>
                <w:sz w:val="19"/>
                <w:szCs w:val="19"/>
              </w:rPr>
            </w:pPr>
            <w:r>
              <w:rPr>
                <w:rFonts w:ascii="Arial Narrow" w:hAnsi="Arial Narrow"/>
                <w:sz w:val="19"/>
              </w:rPr>
              <w:t>14,5</w:t>
            </w:r>
          </w:p>
        </w:tc>
        <w:tc>
          <w:tcPr>
            <w:tcW w:w="543" w:type="pct"/>
            <w:tcBorders>
              <w:top w:val="single" w:sz="2" w:space="0" w:color="auto"/>
              <w:left w:val="nil"/>
              <w:bottom w:val="single" w:sz="2" w:space="0" w:color="auto"/>
              <w:right w:val="nil"/>
            </w:tcBorders>
            <w:shd w:val="clear" w:color="auto" w:fill="auto"/>
            <w:vAlign w:val="center"/>
            <w:hideMark/>
          </w:tcPr>
          <w:p w14:paraId="28050825"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58</w:t>
            </w:r>
          </w:p>
        </w:tc>
        <w:tc>
          <w:tcPr>
            <w:tcW w:w="668" w:type="pct"/>
            <w:tcBorders>
              <w:top w:val="single" w:sz="2" w:space="0" w:color="auto"/>
              <w:left w:val="nil"/>
              <w:bottom w:val="single" w:sz="2" w:space="0" w:color="auto"/>
              <w:right w:val="nil"/>
            </w:tcBorders>
            <w:shd w:val="clear" w:color="auto" w:fill="auto"/>
            <w:vAlign w:val="center"/>
          </w:tcPr>
          <w:p w14:paraId="641641D1" w14:textId="77777777" w:rsidR="009F50C6" w:rsidRPr="00933A7F" w:rsidRDefault="009F50C6" w:rsidP="00E27795">
            <w:pPr>
              <w:spacing w:after="0"/>
              <w:ind w:firstLine="0"/>
              <w:jc w:val="right"/>
              <w:rPr>
                <w:rFonts w:ascii="Arial Narrow" w:hAnsi="Arial Narrow" w:cs="Arial"/>
                <w:sz w:val="19"/>
                <w:szCs w:val="19"/>
              </w:rPr>
            </w:pPr>
            <w:r>
              <w:rPr>
                <w:rFonts w:ascii="Arial Narrow" w:hAnsi="Arial Narrow"/>
                <w:sz w:val="19"/>
              </w:rPr>
              <w:t>-67</w:t>
            </w:r>
          </w:p>
        </w:tc>
        <w:tc>
          <w:tcPr>
            <w:tcW w:w="561" w:type="pct"/>
            <w:tcBorders>
              <w:top w:val="single" w:sz="2" w:space="0" w:color="auto"/>
              <w:left w:val="nil"/>
              <w:bottom w:val="single" w:sz="2" w:space="0" w:color="auto"/>
              <w:right w:val="nil"/>
            </w:tcBorders>
            <w:vAlign w:val="center"/>
          </w:tcPr>
          <w:p w14:paraId="44E7C89D"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-37</w:t>
            </w:r>
          </w:p>
        </w:tc>
      </w:tr>
      <w:tr w:rsidR="009F50C6" w:rsidRPr="00933A7F" w14:paraId="0234236F"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50B90EFC" w14:textId="4A11114E" w:rsidR="009F50C6" w:rsidRPr="00933A7F" w:rsidRDefault="0003647B" w:rsidP="00E27795">
            <w:pPr>
              <w:pStyle w:val="cuatexto"/>
              <w:spacing w:line="240" w:lineRule="auto"/>
              <w:rPr>
                <w:color w:val="000000" w:themeColor="text1"/>
                <w:sz w:val="19"/>
                <w:szCs w:val="19"/>
              </w:rPr>
            </w:pPr>
            <w:r>
              <w:rPr>
                <w:color w:val="000000" w:themeColor="text1"/>
                <w:sz w:val="19"/>
              </w:rPr>
              <w:t>7. Kapital-transferentziak</w:t>
            </w:r>
          </w:p>
        </w:tc>
        <w:tc>
          <w:tcPr>
            <w:tcW w:w="659" w:type="pct"/>
            <w:tcBorders>
              <w:top w:val="single" w:sz="2" w:space="0" w:color="auto"/>
              <w:left w:val="nil"/>
              <w:bottom w:val="single" w:sz="2" w:space="0" w:color="auto"/>
              <w:right w:val="nil"/>
            </w:tcBorders>
            <w:shd w:val="clear" w:color="auto" w:fill="auto"/>
            <w:vAlign w:val="center"/>
            <w:hideMark/>
          </w:tcPr>
          <w:p w14:paraId="6680A705"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9,92</w:t>
            </w:r>
          </w:p>
        </w:tc>
        <w:tc>
          <w:tcPr>
            <w:tcW w:w="580" w:type="pct"/>
            <w:tcBorders>
              <w:top w:val="single" w:sz="2" w:space="0" w:color="auto"/>
              <w:left w:val="nil"/>
              <w:bottom w:val="single" w:sz="2" w:space="0" w:color="auto"/>
              <w:right w:val="nil"/>
            </w:tcBorders>
            <w:shd w:val="clear" w:color="auto" w:fill="auto"/>
            <w:vAlign w:val="center"/>
            <w:hideMark/>
          </w:tcPr>
          <w:p w14:paraId="709463F9"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8,10</w:t>
            </w:r>
          </w:p>
        </w:tc>
        <w:tc>
          <w:tcPr>
            <w:tcW w:w="566" w:type="pct"/>
            <w:tcBorders>
              <w:top w:val="single" w:sz="2" w:space="0" w:color="auto"/>
              <w:left w:val="nil"/>
              <w:bottom w:val="single" w:sz="2" w:space="0" w:color="auto"/>
              <w:right w:val="nil"/>
            </w:tcBorders>
            <w:shd w:val="clear" w:color="auto" w:fill="auto"/>
            <w:vAlign w:val="center"/>
            <w:hideMark/>
          </w:tcPr>
          <w:p w14:paraId="07CC3CA6" w14:textId="77777777" w:rsidR="009F50C6" w:rsidRPr="00933A7F" w:rsidRDefault="009F50C6" w:rsidP="00E27795">
            <w:pPr>
              <w:spacing w:after="0"/>
              <w:ind w:hanging="77"/>
              <w:jc w:val="right"/>
              <w:rPr>
                <w:rFonts w:ascii="Arial Narrow" w:hAnsi="Arial Narrow" w:cs="Calibri"/>
                <w:sz w:val="19"/>
                <w:szCs w:val="19"/>
              </w:rPr>
            </w:pPr>
            <w:r>
              <w:rPr>
                <w:rFonts w:ascii="Arial Narrow" w:hAnsi="Arial Narrow"/>
                <w:sz w:val="19"/>
              </w:rPr>
              <w:t>1,0</w:t>
            </w:r>
          </w:p>
        </w:tc>
        <w:tc>
          <w:tcPr>
            <w:tcW w:w="543" w:type="pct"/>
            <w:tcBorders>
              <w:top w:val="single" w:sz="2" w:space="0" w:color="auto"/>
              <w:left w:val="nil"/>
              <w:bottom w:val="single" w:sz="2" w:space="0" w:color="auto"/>
              <w:right w:val="nil"/>
            </w:tcBorders>
            <w:shd w:val="clear" w:color="auto" w:fill="auto"/>
            <w:vAlign w:val="center"/>
            <w:hideMark/>
          </w:tcPr>
          <w:p w14:paraId="413F6314"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82</w:t>
            </w:r>
          </w:p>
        </w:tc>
        <w:tc>
          <w:tcPr>
            <w:tcW w:w="668" w:type="pct"/>
            <w:tcBorders>
              <w:top w:val="single" w:sz="2" w:space="0" w:color="auto"/>
              <w:left w:val="nil"/>
              <w:bottom w:val="single" w:sz="2" w:space="0" w:color="auto"/>
              <w:right w:val="nil"/>
            </w:tcBorders>
            <w:shd w:val="clear" w:color="auto" w:fill="auto"/>
            <w:vAlign w:val="center"/>
          </w:tcPr>
          <w:p w14:paraId="37C8C7A3" w14:textId="77777777" w:rsidR="009F50C6" w:rsidRPr="00933A7F" w:rsidRDefault="009F50C6" w:rsidP="00E27795">
            <w:pPr>
              <w:spacing w:after="0"/>
              <w:ind w:firstLine="0"/>
              <w:jc w:val="right"/>
              <w:rPr>
                <w:rFonts w:ascii="Arial Narrow" w:hAnsi="Arial Narrow" w:cs="Arial"/>
                <w:sz w:val="19"/>
                <w:szCs w:val="19"/>
              </w:rPr>
            </w:pPr>
            <w:r>
              <w:rPr>
                <w:rFonts w:ascii="Arial Narrow" w:hAnsi="Arial Narrow"/>
                <w:sz w:val="19"/>
              </w:rPr>
              <w:t>-9</w:t>
            </w:r>
          </w:p>
        </w:tc>
        <w:tc>
          <w:tcPr>
            <w:tcW w:w="561" w:type="pct"/>
            <w:tcBorders>
              <w:top w:val="single" w:sz="2" w:space="0" w:color="auto"/>
              <w:left w:val="nil"/>
              <w:bottom w:val="single" w:sz="2" w:space="0" w:color="auto"/>
              <w:right w:val="nil"/>
            </w:tcBorders>
            <w:vAlign w:val="center"/>
          </w:tcPr>
          <w:p w14:paraId="2C9F9C19"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-52</w:t>
            </w:r>
          </w:p>
        </w:tc>
      </w:tr>
      <w:tr w:rsidR="009F50C6" w:rsidRPr="00933A7F" w14:paraId="3D8A397F"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253FFD38" w14:textId="6D1B7944" w:rsidR="009F50C6" w:rsidRPr="00933A7F" w:rsidRDefault="009F50C6" w:rsidP="00E27795">
            <w:pPr>
              <w:pStyle w:val="cuatexto"/>
              <w:spacing w:line="240" w:lineRule="auto"/>
              <w:rPr>
                <w:b/>
                <w:i/>
                <w:iCs/>
                <w:color w:val="000000" w:themeColor="text1"/>
                <w:sz w:val="19"/>
                <w:szCs w:val="19"/>
              </w:rPr>
            </w:pPr>
            <w:r>
              <w:rPr>
                <w:b/>
                <w:i/>
                <w:color w:val="000000" w:themeColor="text1"/>
                <w:sz w:val="19"/>
              </w:rPr>
              <w:t>Kapital-eragiketak</w:t>
            </w:r>
          </w:p>
        </w:tc>
        <w:tc>
          <w:tcPr>
            <w:tcW w:w="659" w:type="pct"/>
            <w:tcBorders>
              <w:top w:val="single" w:sz="2" w:space="0" w:color="auto"/>
              <w:left w:val="nil"/>
              <w:bottom w:val="single" w:sz="2" w:space="0" w:color="auto"/>
              <w:right w:val="nil"/>
            </w:tcBorders>
            <w:shd w:val="clear" w:color="auto" w:fill="auto"/>
            <w:vAlign w:val="center"/>
            <w:hideMark/>
          </w:tcPr>
          <w:p w14:paraId="22E2010C" w14:textId="77777777" w:rsidR="009F50C6" w:rsidRPr="00933A7F" w:rsidRDefault="009F50C6" w:rsidP="00E27795">
            <w:pPr>
              <w:spacing w:after="0"/>
              <w:ind w:firstLine="0"/>
              <w:jc w:val="right"/>
              <w:rPr>
                <w:rFonts w:ascii="Arial Narrow" w:hAnsi="Arial Narrow" w:cs="Calibri"/>
                <w:b/>
                <w:bCs/>
                <w:i/>
                <w:iCs/>
                <w:sz w:val="19"/>
                <w:szCs w:val="19"/>
              </w:rPr>
            </w:pPr>
            <w:r>
              <w:rPr>
                <w:rFonts w:ascii="Arial Narrow" w:hAnsi="Arial Narrow"/>
                <w:b/>
                <w:i/>
                <w:sz w:val="19"/>
              </w:rPr>
              <w:t>209,78</w:t>
            </w:r>
          </w:p>
        </w:tc>
        <w:tc>
          <w:tcPr>
            <w:tcW w:w="580" w:type="pct"/>
            <w:tcBorders>
              <w:top w:val="single" w:sz="2" w:space="0" w:color="auto"/>
              <w:left w:val="nil"/>
              <w:bottom w:val="single" w:sz="2" w:space="0" w:color="auto"/>
              <w:right w:val="nil"/>
            </w:tcBorders>
            <w:shd w:val="clear" w:color="auto" w:fill="auto"/>
            <w:vAlign w:val="center"/>
            <w:hideMark/>
          </w:tcPr>
          <w:p w14:paraId="534F0093" w14:textId="77777777" w:rsidR="009F50C6" w:rsidRPr="00933A7F" w:rsidRDefault="009F50C6" w:rsidP="00E27795">
            <w:pPr>
              <w:spacing w:after="0"/>
              <w:ind w:firstLine="0"/>
              <w:jc w:val="right"/>
              <w:rPr>
                <w:rFonts w:ascii="Arial Narrow" w:hAnsi="Arial Narrow" w:cs="Calibri"/>
                <w:b/>
                <w:bCs/>
                <w:i/>
                <w:iCs/>
                <w:sz w:val="19"/>
                <w:szCs w:val="19"/>
              </w:rPr>
            </w:pPr>
            <w:r>
              <w:rPr>
                <w:rFonts w:ascii="Arial Narrow" w:hAnsi="Arial Narrow"/>
                <w:b/>
                <w:i/>
                <w:sz w:val="19"/>
              </w:rPr>
              <w:t>123,59</w:t>
            </w:r>
          </w:p>
        </w:tc>
        <w:tc>
          <w:tcPr>
            <w:tcW w:w="566" w:type="pct"/>
            <w:tcBorders>
              <w:top w:val="single" w:sz="2" w:space="0" w:color="auto"/>
              <w:left w:val="nil"/>
              <w:bottom w:val="single" w:sz="2" w:space="0" w:color="auto"/>
              <w:right w:val="nil"/>
            </w:tcBorders>
            <w:shd w:val="clear" w:color="auto" w:fill="auto"/>
            <w:vAlign w:val="center"/>
            <w:hideMark/>
          </w:tcPr>
          <w:p w14:paraId="18D5F1BA" w14:textId="77777777" w:rsidR="009F50C6" w:rsidRPr="00933A7F" w:rsidRDefault="009F50C6" w:rsidP="00E27795">
            <w:pPr>
              <w:spacing w:after="0"/>
              <w:ind w:hanging="77"/>
              <w:jc w:val="right"/>
              <w:rPr>
                <w:rFonts w:ascii="Arial Narrow" w:hAnsi="Arial Narrow" w:cs="Calibri"/>
                <w:b/>
                <w:bCs/>
                <w:i/>
                <w:iCs/>
                <w:sz w:val="19"/>
                <w:szCs w:val="19"/>
              </w:rPr>
            </w:pPr>
            <w:r>
              <w:rPr>
                <w:rFonts w:ascii="Arial Narrow" w:hAnsi="Arial Narrow"/>
                <w:b/>
                <w:i/>
                <w:sz w:val="19"/>
              </w:rPr>
              <w:t>15,5</w:t>
            </w:r>
          </w:p>
        </w:tc>
        <w:tc>
          <w:tcPr>
            <w:tcW w:w="543" w:type="pct"/>
            <w:tcBorders>
              <w:top w:val="single" w:sz="2" w:space="0" w:color="auto"/>
              <w:left w:val="nil"/>
              <w:bottom w:val="single" w:sz="2" w:space="0" w:color="auto"/>
              <w:right w:val="nil"/>
            </w:tcBorders>
            <w:shd w:val="clear" w:color="auto" w:fill="auto"/>
            <w:vAlign w:val="center"/>
            <w:hideMark/>
          </w:tcPr>
          <w:p w14:paraId="62A73CBE" w14:textId="77777777" w:rsidR="009F50C6" w:rsidRPr="00933A7F" w:rsidRDefault="009F50C6" w:rsidP="00E27795">
            <w:pPr>
              <w:spacing w:after="0"/>
              <w:ind w:firstLine="0"/>
              <w:jc w:val="right"/>
              <w:rPr>
                <w:rFonts w:ascii="Arial Narrow" w:hAnsi="Arial Narrow" w:cs="Calibri"/>
                <w:b/>
                <w:bCs/>
                <w:i/>
                <w:iCs/>
                <w:sz w:val="19"/>
                <w:szCs w:val="19"/>
              </w:rPr>
            </w:pPr>
            <w:r>
              <w:rPr>
                <w:rFonts w:ascii="Arial Narrow" w:hAnsi="Arial Narrow"/>
                <w:b/>
                <w:i/>
                <w:sz w:val="19"/>
              </w:rPr>
              <w:t>59</w:t>
            </w:r>
          </w:p>
        </w:tc>
        <w:tc>
          <w:tcPr>
            <w:tcW w:w="668" w:type="pct"/>
            <w:tcBorders>
              <w:top w:val="single" w:sz="2" w:space="0" w:color="auto"/>
              <w:left w:val="nil"/>
              <w:bottom w:val="single" w:sz="2" w:space="0" w:color="auto"/>
              <w:right w:val="nil"/>
            </w:tcBorders>
            <w:shd w:val="clear" w:color="auto" w:fill="auto"/>
            <w:vAlign w:val="center"/>
          </w:tcPr>
          <w:p w14:paraId="44D22C80" w14:textId="77777777" w:rsidR="009F50C6" w:rsidRPr="00933A7F" w:rsidRDefault="009F50C6" w:rsidP="00E27795">
            <w:pPr>
              <w:spacing w:after="0"/>
              <w:ind w:firstLine="0"/>
              <w:jc w:val="right"/>
              <w:rPr>
                <w:rFonts w:ascii="Arial Narrow" w:hAnsi="Arial Narrow" w:cs="Arial"/>
                <w:b/>
                <w:bCs/>
                <w:i/>
                <w:iCs/>
                <w:sz w:val="19"/>
                <w:szCs w:val="19"/>
              </w:rPr>
            </w:pPr>
            <w:r>
              <w:rPr>
                <w:rFonts w:ascii="Arial Narrow" w:hAnsi="Arial Narrow"/>
                <w:b/>
                <w:i/>
                <w:sz w:val="19"/>
              </w:rPr>
              <w:t>-76</w:t>
            </w:r>
          </w:p>
        </w:tc>
        <w:tc>
          <w:tcPr>
            <w:tcW w:w="561" w:type="pct"/>
            <w:tcBorders>
              <w:top w:val="single" w:sz="2" w:space="0" w:color="auto"/>
              <w:left w:val="nil"/>
              <w:bottom w:val="single" w:sz="2" w:space="0" w:color="auto"/>
              <w:right w:val="nil"/>
            </w:tcBorders>
            <w:vAlign w:val="center"/>
          </w:tcPr>
          <w:p w14:paraId="4E01FE6B" w14:textId="77777777" w:rsidR="009F50C6" w:rsidRPr="00933A7F" w:rsidRDefault="009F50C6" w:rsidP="00E27795">
            <w:pPr>
              <w:spacing w:after="0"/>
              <w:ind w:firstLine="0"/>
              <w:jc w:val="right"/>
              <w:rPr>
                <w:rFonts w:ascii="Arial Narrow" w:hAnsi="Arial Narrow" w:cs="Calibri"/>
                <w:b/>
                <w:bCs/>
                <w:i/>
                <w:iCs/>
                <w:sz w:val="19"/>
                <w:szCs w:val="19"/>
              </w:rPr>
            </w:pPr>
            <w:r>
              <w:rPr>
                <w:rFonts w:ascii="Arial Narrow" w:hAnsi="Arial Narrow"/>
                <w:b/>
                <w:i/>
                <w:sz w:val="19"/>
              </w:rPr>
              <w:t>-38</w:t>
            </w:r>
          </w:p>
        </w:tc>
      </w:tr>
      <w:tr w:rsidR="009F50C6" w:rsidRPr="00933A7F" w14:paraId="7F43043E"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7ACC82D1" w14:textId="51D30A84" w:rsidR="009F50C6" w:rsidRPr="00933A7F" w:rsidRDefault="0003647B" w:rsidP="00E27795">
            <w:pPr>
              <w:pStyle w:val="cuatexto"/>
              <w:spacing w:line="240" w:lineRule="auto"/>
              <w:rPr>
                <w:color w:val="000000" w:themeColor="text1"/>
                <w:sz w:val="19"/>
                <w:szCs w:val="19"/>
              </w:rPr>
            </w:pPr>
            <w:r>
              <w:rPr>
                <w:color w:val="000000" w:themeColor="text1"/>
                <w:sz w:val="19"/>
              </w:rPr>
              <w:t>8. Finantza-aktiboak</w:t>
            </w:r>
          </w:p>
        </w:tc>
        <w:tc>
          <w:tcPr>
            <w:tcW w:w="659" w:type="pct"/>
            <w:tcBorders>
              <w:top w:val="single" w:sz="2" w:space="0" w:color="auto"/>
              <w:left w:val="nil"/>
              <w:bottom w:val="single" w:sz="2" w:space="0" w:color="auto"/>
              <w:right w:val="nil"/>
            </w:tcBorders>
            <w:shd w:val="clear" w:color="auto" w:fill="auto"/>
            <w:vAlign w:val="center"/>
            <w:hideMark/>
          </w:tcPr>
          <w:p w14:paraId="12C38949"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1,63</w:t>
            </w:r>
          </w:p>
        </w:tc>
        <w:tc>
          <w:tcPr>
            <w:tcW w:w="580" w:type="pct"/>
            <w:tcBorders>
              <w:top w:val="single" w:sz="2" w:space="0" w:color="auto"/>
              <w:left w:val="nil"/>
              <w:bottom w:val="single" w:sz="2" w:space="0" w:color="auto"/>
              <w:right w:val="nil"/>
            </w:tcBorders>
            <w:shd w:val="clear" w:color="auto" w:fill="auto"/>
            <w:vAlign w:val="center"/>
            <w:hideMark/>
          </w:tcPr>
          <w:p w14:paraId="727664A6"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2,09</w:t>
            </w:r>
          </w:p>
        </w:tc>
        <w:tc>
          <w:tcPr>
            <w:tcW w:w="566" w:type="pct"/>
            <w:tcBorders>
              <w:top w:val="single" w:sz="2" w:space="0" w:color="auto"/>
              <w:left w:val="nil"/>
              <w:bottom w:val="single" w:sz="2" w:space="0" w:color="auto"/>
              <w:right w:val="nil"/>
            </w:tcBorders>
            <w:shd w:val="clear" w:color="auto" w:fill="auto"/>
            <w:vAlign w:val="center"/>
            <w:hideMark/>
          </w:tcPr>
          <w:p w14:paraId="430017CF" w14:textId="77777777" w:rsidR="009F50C6" w:rsidRPr="00933A7F" w:rsidRDefault="009F50C6" w:rsidP="00E27795">
            <w:pPr>
              <w:spacing w:after="0"/>
              <w:ind w:hanging="77"/>
              <w:jc w:val="right"/>
              <w:rPr>
                <w:rFonts w:ascii="Arial Narrow" w:hAnsi="Arial Narrow" w:cs="Calibri"/>
                <w:sz w:val="19"/>
                <w:szCs w:val="19"/>
              </w:rPr>
            </w:pPr>
            <w:r>
              <w:rPr>
                <w:rFonts w:ascii="Arial Narrow" w:hAnsi="Arial Narrow"/>
                <w:sz w:val="19"/>
              </w:rPr>
              <w:t>0,3</w:t>
            </w:r>
          </w:p>
        </w:tc>
        <w:tc>
          <w:tcPr>
            <w:tcW w:w="543" w:type="pct"/>
            <w:tcBorders>
              <w:top w:val="single" w:sz="2" w:space="0" w:color="auto"/>
              <w:left w:val="nil"/>
              <w:bottom w:val="single" w:sz="2" w:space="0" w:color="auto"/>
              <w:right w:val="nil"/>
            </w:tcBorders>
            <w:shd w:val="clear" w:color="auto" w:fill="auto"/>
            <w:vAlign w:val="center"/>
            <w:hideMark/>
          </w:tcPr>
          <w:p w14:paraId="759E426D"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128</w:t>
            </w:r>
          </w:p>
        </w:tc>
        <w:tc>
          <w:tcPr>
            <w:tcW w:w="668" w:type="pct"/>
            <w:tcBorders>
              <w:top w:val="single" w:sz="2" w:space="0" w:color="auto"/>
              <w:left w:val="nil"/>
              <w:bottom w:val="single" w:sz="2" w:space="0" w:color="auto"/>
              <w:right w:val="nil"/>
            </w:tcBorders>
            <w:shd w:val="clear" w:color="auto" w:fill="auto"/>
            <w:vAlign w:val="center"/>
          </w:tcPr>
          <w:p w14:paraId="536754D2" w14:textId="77777777" w:rsidR="009F50C6" w:rsidRPr="00933A7F" w:rsidRDefault="009F50C6" w:rsidP="00E27795">
            <w:pPr>
              <w:spacing w:after="0"/>
              <w:ind w:firstLine="0"/>
              <w:jc w:val="right"/>
              <w:rPr>
                <w:rFonts w:ascii="Arial Narrow" w:hAnsi="Arial Narrow" w:cs="Arial"/>
                <w:sz w:val="19"/>
                <w:szCs w:val="19"/>
              </w:rPr>
            </w:pPr>
            <w:r>
              <w:rPr>
                <w:rFonts w:ascii="Arial Narrow" w:hAnsi="Arial Narrow"/>
                <w:sz w:val="19"/>
              </w:rPr>
              <w:t>1</w:t>
            </w:r>
          </w:p>
        </w:tc>
        <w:tc>
          <w:tcPr>
            <w:tcW w:w="561" w:type="pct"/>
            <w:tcBorders>
              <w:top w:val="single" w:sz="2" w:space="0" w:color="auto"/>
              <w:left w:val="nil"/>
              <w:bottom w:val="single" w:sz="2" w:space="0" w:color="auto"/>
              <w:right w:val="nil"/>
            </w:tcBorders>
            <w:vAlign w:val="center"/>
          </w:tcPr>
          <w:p w14:paraId="3E2DD4A1"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39</w:t>
            </w:r>
          </w:p>
        </w:tc>
      </w:tr>
      <w:tr w:rsidR="009F50C6" w:rsidRPr="00933A7F" w14:paraId="14BA214F" w14:textId="77777777" w:rsidTr="004B1F4E">
        <w:trPr>
          <w:trHeight w:val="255"/>
        </w:trPr>
        <w:tc>
          <w:tcPr>
            <w:tcW w:w="1422" w:type="pct"/>
            <w:tcBorders>
              <w:top w:val="single" w:sz="2" w:space="0" w:color="auto"/>
              <w:left w:val="nil"/>
              <w:bottom w:val="single" w:sz="2" w:space="0" w:color="auto"/>
            </w:tcBorders>
            <w:shd w:val="clear" w:color="auto" w:fill="auto"/>
            <w:vAlign w:val="center"/>
            <w:hideMark/>
          </w:tcPr>
          <w:p w14:paraId="4906C3F8" w14:textId="0291D5DD" w:rsidR="009F50C6" w:rsidRPr="00933A7F" w:rsidRDefault="0003647B" w:rsidP="00E27795">
            <w:pPr>
              <w:pStyle w:val="cuatexto"/>
              <w:spacing w:line="240" w:lineRule="auto"/>
              <w:rPr>
                <w:color w:val="000000" w:themeColor="text1"/>
                <w:sz w:val="19"/>
                <w:szCs w:val="19"/>
              </w:rPr>
            </w:pPr>
            <w:r>
              <w:rPr>
                <w:color w:val="000000" w:themeColor="text1"/>
                <w:sz w:val="19"/>
              </w:rPr>
              <w:t>9. Finantza-pasiboak</w:t>
            </w:r>
          </w:p>
        </w:tc>
        <w:tc>
          <w:tcPr>
            <w:tcW w:w="659" w:type="pct"/>
            <w:tcBorders>
              <w:top w:val="single" w:sz="2" w:space="0" w:color="auto"/>
              <w:left w:val="nil"/>
              <w:bottom w:val="single" w:sz="2" w:space="0" w:color="auto"/>
              <w:right w:val="nil"/>
            </w:tcBorders>
            <w:shd w:val="clear" w:color="auto" w:fill="auto"/>
            <w:vAlign w:val="center"/>
            <w:hideMark/>
          </w:tcPr>
          <w:p w14:paraId="2398EE44"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28,97</w:t>
            </w:r>
          </w:p>
        </w:tc>
        <w:tc>
          <w:tcPr>
            <w:tcW w:w="580" w:type="pct"/>
            <w:tcBorders>
              <w:top w:val="single" w:sz="2" w:space="0" w:color="auto"/>
              <w:left w:val="nil"/>
              <w:bottom w:val="single" w:sz="2" w:space="0" w:color="auto"/>
              <w:right w:val="nil"/>
            </w:tcBorders>
            <w:shd w:val="clear" w:color="auto" w:fill="auto"/>
            <w:vAlign w:val="center"/>
            <w:hideMark/>
          </w:tcPr>
          <w:p w14:paraId="3CF97321"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28,55</w:t>
            </w:r>
          </w:p>
        </w:tc>
        <w:tc>
          <w:tcPr>
            <w:tcW w:w="566" w:type="pct"/>
            <w:tcBorders>
              <w:top w:val="single" w:sz="2" w:space="0" w:color="auto"/>
              <w:left w:val="nil"/>
              <w:bottom w:val="single" w:sz="2" w:space="0" w:color="auto"/>
              <w:right w:val="nil"/>
            </w:tcBorders>
            <w:shd w:val="clear" w:color="auto" w:fill="auto"/>
            <w:vAlign w:val="center"/>
            <w:hideMark/>
          </w:tcPr>
          <w:p w14:paraId="48C29D51" w14:textId="77777777" w:rsidR="009F50C6" w:rsidRPr="00933A7F" w:rsidRDefault="009F50C6" w:rsidP="00E27795">
            <w:pPr>
              <w:spacing w:after="0"/>
              <w:ind w:hanging="77"/>
              <w:jc w:val="right"/>
              <w:rPr>
                <w:rFonts w:ascii="Arial Narrow" w:hAnsi="Arial Narrow" w:cs="Calibri"/>
                <w:sz w:val="19"/>
                <w:szCs w:val="19"/>
              </w:rPr>
            </w:pPr>
            <w:r>
              <w:rPr>
                <w:rFonts w:ascii="Arial Narrow" w:hAnsi="Arial Narrow"/>
                <w:sz w:val="19"/>
              </w:rPr>
              <w:t>3,6</w:t>
            </w:r>
          </w:p>
        </w:tc>
        <w:tc>
          <w:tcPr>
            <w:tcW w:w="543" w:type="pct"/>
            <w:tcBorders>
              <w:top w:val="single" w:sz="2" w:space="0" w:color="auto"/>
              <w:left w:val="nil"/>
              <w:bottom w:val="single" w:sz="2" w:space="0" w:color="auto"/>
              <w:right w:val="nil"/>
            </w:tcBorders>
            <w:shd w:val="clear" w:color="auto" w:fill="auto"/>
            <w:vAlign w:val="center"/>
            <w:hideMark/>
          </w:tcPr>
          <w:p w14:paraId="6D1A0E94"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99</w:t>
            </w:r>
          </w:p>
        </w:tc>
        <w:tc>
          <w:tcPr>
            <w:tcW w:w="668" w:type="pct"/>
            <w:tcBorders>
              <w:top w:val="single" w:sz="2" w:space="0" w:color="auto"/>
              <w:left w:val="nil"/>
              <w:bottom w:val="single" w:sz="2" w:space="0" w:color="auto"/>
              <w:right w:val="nil"/>
            </w:tcBorders>
            <w:shd w:val="clear" w:color="auto" w:fill="auto"/>
            <w:vAlign w:val="center"/>
          </w:tcPr>
          <w:p w14:paraId="1BAE4206" w14:textId="77777777" w:rsidR="009F50C6" w:rsidRPr="00933A7F" w:rsidRDefault="009F50C6" w:rsidP="00E27795">
            <w:pPr>
              <w:spacing w:after="0"/>
              <w:ind w:firstLine="0"/>
              <w:jc w:val="right"/>
              <w:rPr>
                <w:rFonts w:ascii="Arial Narrow" w:hAnsi="Arial Narrow" w:cs="Arial"/>
                <w:sz w:val="19"/>
                <w:szCs w:val="19"/>
              </w:rPr>
            </w:pPr>
            <w:r>
              <w:rPr>
                <w:rFonts w:ascii="Arial Narrow" w:hAnsi="Arial Narrow"/>
                <w:sz w:val="19"/>
              </w:rPr>
              <w:t>0</w:t>
            </w:r>
          </w:p>
        </w:tc>
        <w:tc>
          <w:tcPr>
            <w:tcW w:w="561" w:type="pct"/>
            <w:tcBorders>
              <w:top w:val="single" w:sz="2" w:space="0" w:color="auto"/>
              <w:left w:val="nil"/>
              <w:bottom w:val="single" w:sz="2" w:space="0" w:color="auto"/>
              <w:right w:val="nil"/>
            </w:tcBorders>
            <w:vAlign w:val="center"/>
          </w:tcPr>
          <w:p w14:paraId="07279635" w14:textId="77777777" w:rsidR="009F50C6" w:rsidRPr="00933A7F" w:rsidRDefault="009F50C6" w:rsidP="00E27795">
            <w:pPr>
              <w:spacing w:after="0"/>
              <w:ind w:firstLine="0"/>
              <w:jc w:val="right"/>
              <w:rPr>
                <w:rFonts w:ascii="Arial Narrow" w:hAnsi="Arial Narrow" w:cs="Calibri"/>
                <w:sz w:val="19"/>
                <w:szCs w:val="19"/>
              </w:rPr>
            </w:pPr>
            <w:r>
              <w:rPr>
                <w:rFonts w:ascii="Arial Narrow" w:hAnsi="Arial Narrow"/>
                <w:sz w:val="19"/>
              </w:rPr>
              <w:t>-1</w:t>
            </w:r>
          </w:p>
        </w:tc>
      </w:tr>
      <w:tr w:rsidR="009F50C6" w:rsidRPr="00933A7F" w14:paraId="6D8C159C" w14:textId="77777777" w:rsidTr="004B1F4E">
        <w:trPr>
          <w:trHeight w:val="255"/>
        </w:trPr>
        <w:tc>
          <w:tcPr>
            <w:tcW w:w="1422" w:type="pct"/>
            <w:tcBorders>
              <w:top w:val="single" w:sz="2" w:space="0" w:color="auto"/>
              <w:left w:val="nil"/>
              <w:bottom w:val="single" w:sz="4" w:space="0" w:color="auto"/>
            </w:tcBorders>
            <w:shd w:val="clear" w:color="auto" w:fill="auto"/>
            <w:vAlign w:val="center"/>
            <w:hideMark/>
          </w:tcPr>
          <w:p w14:paraId="439C9410" w14:textId="223E95C8" w:rsidR="009F50C6" w:rsidRPr="00933A7F" w:rsidRDefault="009F50C6" w:rsidP="00E27795">
            <w:pPr>
              <w:pStyle w:val="cuatexto"/>
              <w:spacing w:line="240" w:lineRule="auto"/>
              <w:rPr>
                <w:b/>
                <w:i/>
                <w:iCs/>
                <w:color w:val="000000" w:themeColor="text1"/>
                <w:sz w:val="19"/>
                <w:szCs w:val="19"/>
              </w:rPr>
            </w:pPr>
            <w:r>
              <w:rPr>
                <w:b/>
                <w:i/>
                <w:color w:val="000000" w:themeColor="text1"/>
                <w:sz w:val="19"/>
              </w:rPr>
              <w:t>Finantza-eragiketak</w:t>
            </w:r>
          </w:p>
        </w:tc>
        <w:tc>
          <w:tcPr>
            <w:tcW w:w="659" w:type="pct"/>
            <w:tcBorders>
              <w:top w:val="single" w:sz="2" w:space="0" w:color="auto"/>
              <w:left w:val="nil"/>
              <w:bottom w:val="single" w:sz="4" w:space="0" w:color="auto"/>
              <w:right w:val="nil"/>
            </w:tcBorders>
            <w:shd w:val="clear" w:color="auto" w:fill="auto"/>
            <w:vAlign w:val="center"/>
            <w:hideMark/>
          </w:tcPr>
          <w:p w14:paraId="68E904C6" w14:textId="77777777" w:rsidR="009F50C6" w:rsidRPr="00933A7F" w:rsidRDefault="009F50C6" w:rsidP="00E27795">
            <w:pPr>
              <w:spacing w:after="0"/>
              <w:ind w:firstLine="0"/>
              <w:jc w:val="right"/>
              <w:rPr>
                <w:rFonts w:ascii="Arial Narrow" w:hAnsi="Arial Narrow" w:cs="Calibri"/>
                <w:b/>
                <w:bCs/>
                <w:i/>
                <w:iCs/>
                <w:sz w:val="19"/>
                <w:szCs w:val="19"/>
              </w:rPr>
            </w:pPr>
            <w:r>
              <w:rPr>
                <w:rFonts w:ascii="Arial Narrow" w:hAnsi="Arial Narrow"/>
                <w:b/>
                <w:i/>
                <w:sz w:val="19"/>
              </w:rPr>
              <w:t>30,60</w:t>
            </w:r>
          </w:p>
        </w:tc>
        <w:tc>
          <w:tcPr>
            <w:tcW w:w="580" w:type="pct"/>
            <w:tcBorders>
              <w:top w:val="single" w:sz="2" w:space="0" w:color="auto"/>
              <w:left w:val="nil"/>
              <w:bottom w:val="single" w:sz="4" w:space="0" w:color="auto"/>
              <w:right w:val="nil"/>
            </w:tcBorders>
            <w:shd w:val="clear" w:color="auto" w:fill="auto"/>
            <w:vAlign w:val="center"/>
            <w:hideMark/>
          </w:tcPr>
          <w:p w14:paraId="4E690D66" w14:textId="77777777" w:rsidR="009F50C6" w:rsidRPr="00933A7F" w:rsidRDefault="009F50C6" w:rsidP="00E27795">
            <w:pPr>
              <w:spacing w:after="0"/>
              <w:ind w:firstLine="0"/>
              <w:jc w:val="right"/>
              <w:rPr>
                <w:rFonts w:ascii="Arial Narrow" w:hAnsi="Arial Narrow" w:cs="Calibri"/>
                <w:b/>
                <w:bCs/>
                <w:i/>
                <w:iCs/>
                <w:sz w:val="19"/>
                <w:szCs w:val="19"/>
              </w:rPr>
            </w:pPr>
            <w:r>
              <w:rPr>
                <w:rFonts w:ascii="Arial Narrow" w:hAnsi="Arial Narrow"/>
                <w:b/>
                <w:i/>
                <w:sz w:val="19"/>
              </w:rPr>
              <w:t>30,64</w:t>
            </w:r>
          </w:p>
        </w:tc>
        <w:tc>
          <w:tcPr>
            <w:tcW w:w="566" w:type="pct"/>
            <w:tcBorders>
              <w:top w:val="single" w:sz="2" w:space="0" w:color="auto"/>
              <w:left w:val="nil"/>
              <w:bottom w:val="single" w:sz="4" w:space="0" w:color="auto"/>
              <w:right w:val="nil"/>
            </w:tcBorders>
            <w:shd w:val="clear" w:color="auto" w:fill="auto"/>
            <w:vAlign w:val="center"/>
            <w:hideMark/>
          </w:tcPr>
          <w:p w14:paraId="2F33EA5B" w14:textId="77777777" w:rsidR="009F50C6" w:rsidRPr="00933A7F" w:rsidRDefault="009F50C6" w:rsidP="00E27795">
            <w:pPr>
              <w:spacing w:after="0"/>
              <w:ind w:hanging="77"/>
              <w:jc w:val="right"/>
              <w:rPr>
                <w:rFonts w:ascii="Arial Narrow" w:hAnsi="Arial Narrow" w:cs="Calibri"/>
                <w:b/>
                <w:bCs/>
                <w:i/>
                <w:iCs/>
                <w:sz w:val="19"/>
                <w:szCs w:val="19"/>
              </w:rPr>
            </w:pPr>
            <w:r>
              <w:rPr>
                <w:rFonts w:ascii="Arial Narrow" w:hAnsi="Arial Narrow"/>
                <w:b/>
                <w:i/>
                <w:sz w:val="19"/>
              </w:rPr>
              <w:t>3,8</w:t>
            </w:r>
          </w:p>
        </w:tc>
        <w:tc>
          <w:tcPr>
            <w:tcW w:w="543" w:type="pct"/>
            <w:tcBorders>
              <w:top w:val="single" w:sz="2" w:space="0" w:color="auto"/>
              <w:bottom w:val="single" w:sz="4" w:space="0" w:color="auto"/>
            </w:tcBorders>
            <w:shd w:val="clear" w:color="auto" w:fill="auto"/>
            <w:vAlign w:val="center"/>
            <w:hideMark/>
          </w:tcPr>
          <w:p w14:paraId="75B278E7" w14:textId="77777777" w:rsidR="009F50C6" w:rsidRPr="00933A7F" w:rsidRDefault="009F50C6" w:rsidP="00E27795">
            <w:pPr>
              <w:spacing w:after="0"/>
              <w:ind w:firstLine="0"/>
              <w:jc w:val="right"/>
              <w:rPr>
                <w:rFonts w:ascii="Arial Narrow" w:hAnsi="Arial Narrow" w:cs="Calibri"/>
                <w:b/>
                <w:bCs/>
                <w:i/>
                <w:iCs/>
                <w:sz w:val="19"/>
                <w:szCs w:val="19"/>
              </w:rPr>
            </w:pPr>
            <w:r>
              <w:rPr>
                <w:rFonts w:ascii="Arial Narrow" w:hAnsi="Arial Narrow"/>
                <w:b/>
                <w:i/>
                <w:sz w:val="19"/>
              </w:rPr>
              <w:t>100</w:t>
            </w:r>
          </w:p>
        </w:tc>
        <w:tc>
          <w:tcPr>
            <w:tcW w:w="668" w:type="pct"/>
            <w:tcBorders>
              <w:top w:val="single" w:sz="2" w:space="0" w:color="auto"/>
              <w:left w:val="nil"/>
              <w:bottom w:val="single" w:sz="4" w:space="0" w:color="auto"/>
              <w:right w:val="nil"/>
            </w:tcBorders>
            <w:shd w:val="clear" w:color="auto" w:fill="auto"/>
            <w:vAlign w:val="center"/>
          </w:tcPr>
          <w:p w14:paraId="5AD51992" w14:textId="77777777" w:rsidR="009F50C6" w:rsidRPr="00933A7F" w:rsidRDefault="009F50C6" w:rsidP="00E27795">
            <w:pPr>
              <w:spacing w:after="0"/>
              <w:ind w:firstLine="0"/>
              <w:jc w:val="right"/>
              <w:rPr>
                <w:rFonts w:ascii="Arial Narrow" w:hAnsi="Arial Narrow" w:cs="Arial"/>
                <w:b/>
                <w:bCs/>
                <w:i/>
                <w:iCs/>
                <w:sz w:val="19"/>
                <w:szCs w:val="19"/>
              </w:rPr>
            </w:pPr>
            <w:r>
              <w:rPr>
                <w:rFonts w:ascii="Arial Narrow" w:hAnsi="Arial Narrow"/>
                <w:b/>
                <w:i/>
                <w:sz w:val="19"/>
              </w:rPr>
              <w:t>0</w:t>
            </w:r>
          </w:p>
        </w:tc>
        <w:tc>
          <w:tcPr>
            <w:tcW w:w="561" w:type="pct"/>
            <w:tcBorders>
              <w:top w:val="single" w:sz="2" w:space="0" w:color="auto"/>
              <w:left w:val="nil"/>
              <w:bottom w:val="single" w:sz="4" w:space="0" w:color="auto"/>
              <w:right w:val="nil"/>
            </w:tcBorders>
            <w:vAlign w:val="center"/>
          </w:tcPr>
          <w:p w14:paraId="3C42E65B" w14:textId="77777777" w:rsidR="009F50C6" w:rsidRPr="00933A7F" w:rsidRDefault="009F50C6" w:rsidP="00E27795">
            <w:pPr>
              <w:spacing w:after="0"/>
              <w:ind w:firstLine="0"/>
              <w:jc w:val="right"/>
              <w:rPr>
                <w:rFonts w:ascii="Arial Narrow" w:hAnsi="Arial Narrow" w:cs="Calibri"/>
                <w:b/>
                <w:bCs/>
                <w:i/>
                <w:iCs/>
                <w:sz w:val="19"/>
                <w:szCs w:val="19"/>
              </w:rPr>
            </w:pPr>
            <w:r>
              <w:rPr>
                <w:rFonts w:ascii="Arial Narrow" w:hAnsi="Arial Narrow"/>
                <w:b/>
                <w:i/>
                <w:sz w:val="19"/>
              </w:rPr>
              <w:t>1</w:t>
            </w:r>
          </w:p>
        </w:tc>
      </w:tr>
      <w:tr w:rsidR="0003647B" w:rsidRPr="00E27795" w14:paraId="3A8B1C85" w14:textId="77777777" w:rsidTr="004B1F4E">
        <w:trPr>
          <w:trHeight w:val="255"/>
        </w:trPr>
        <w:tc>
          <w:tcPr>
            <w:tcW w:w="1422" w:type="pct"/>
            <w:tcBorders>
              <w:top w:val="single" w:sz="4" w:space="0" w:color="auto"/>
              <w:left w:val="nil"/>
              <w:bottom w:val="single" w:sz="4" w:space="0" w:color="000000"/>
              <w:right w:val="nil"/>
            </w:tcBorders>
            <w:shd w:val="clear" w:color="auto" w:fill="FABF8F" w:themeFill="accent6" w:themeFillTint="99"/>
            <w:vAlign w:val="center"/>
            <w:hideMark/>
          </w:tcPr>
          <w:p w14:paraId="3225F8BC" w14:textId="77777777" w:rsidR="009F50C6" w:rsidRPr="00E27795" w:rsidRDefault="009F50C6" w:rsidP="00E27795">
            <w:pPr>
              <w:pStyle w:val="cuadroCabe"/>
              <w:spacing w:line="240" w:lineRule="auto"/>
              <w:rPr>
                <w:sz w:val="16"/>
                <w:szCs w:val="16"/>
              </w:rPr>
            </w:pPr>
            <w:r>
              <w:rPr>
                <w:sz w:val="16"/>
              </w:rPr>
              <w:t xml:space="preserve"> Guztira</w:t>
            </w:r>
          </w:p>
        </w:tc>
        <w:tc>
          <w:tcPr>
            <w:tcW w:w="659" w:type="pct"/>
            <w:tcBorders>
              <w:top w:val="single" w:sz="4" w:space="0" w:color="auto"/>
              <w:left w:val="nil"/>
              <w:bottom w:val="single" w:sz="4" w:space="0" w:color="000000"/>
              <w:right w:val="nil"/>
            </w:tcBorders>
            <w:shd w:val="clear" w:color="auto" w:fill="FABF8F" w:themeFill="accent6" w:themeFillTint="99"/>
            <w:vAlign w:val="center"/>
            <w:hideMark/>
          </w:tcPr>
          <w:p w14:paraId="75C40FE6" w14:textId="77777777" w:rsidR="009F50C6" w:rsidRPr="00E27795" w:rsidRDefault="009F50C6" w:rsidP="00E27795">
            <w:pPr>
              <w:pStyle w:val="cuadroCabe"/>
              <w:spacing w:line="240" w:lineRule="auto"/>
              <w:jc w:val="right"/>
              <w:rPr>
                <w:sz w:val="16"/>
                <w:szCs w:val="16"/>
              </w:rPr>
            </w:pPr>
            <w:r>
              <w:rPr>
                <w:sz w:val="16"/>
              </w:rPr>
              <w:t>952,21</w:t>
            </w:r>
          </w:p>
        </w:tc>
        <w:tc>
          <w:tcPr>
            <w:tcW w:w="580" w:type="pct"/>
            <w:tcBorders>
              <w:top w:val="single" w:sz="4" w:space="0" w:color="auto"/>
              <w:left w:val="nil"/>
              <w:bottom w:val="single" w:sz="4" w:space="0" w:color="000000"/>
              <w:right w:val="nil"/>
            </w:tcBorders>
            <w:shd w:val="clear" w:color="auto" w:fill="FABF8F" w:themeFill="accent6" w:themeFillTint="99"/>
            <w:vAlign w:val="center"/>
            <w:hideMark/>
          </w:tcPr>
          <w:p w14:paraId="7DA2CEF5" w14:textId="77777777" w:rsidR="009F50C6" w:rsidRPr="00E27795" w:rsidRDefault="009F50C6" w:rsidP="00E27795">
            <w:pPr>
              <w:pStyle w:val="cuadroCabe"/>
              <w:spacing w:line="240" w:lineRule="auto"/>
              <w:jc w:val="right"/>
              <w:rPr>
                <w:sz w:val="16"/>
                <w:szCs w:val="16"/>
              </w:rPr>
            </w:pPr>
            <w:r>
              <w:rPr>
                <w:sz w:val="16"/>
              </w:rPr>
              <w:t>799,18</w:t>
            </w:r>
          </w:p>
        </w:tc>
        <w:tc>
          <w:tcPr>
            <w:tcW w:w="566" w:type="pct"/>
            <w:tcBorders>
              <w:top w:val="single" w:sz="4" w:space="0" w:color="auto"/>
              <w:left w:val="nil"/>
              <w:bottom w:val="single" w:sz="4" w:space="0" w:color="000000"/>
              <w:right w:val="nil"/>
            </w:tcBorders>
            <w:shd w:val="clear" w:color="auto" w:fill="FABF8F" w:themeFill="accent6" w:themeFillTint="99"/>
            <w:vAlign w:val="center"/>
            <w:hideMark/>
          </w:tcPr>
          <w:p w14:paraId="69EA7620" w14:textId="77777777" w:rsidR="009F50C6" w:rsidRPr="00E27795" w:rsidRDefault="009F50C6" w:rsidP="00E27795">
            <w:pPr>
              <w:pStyle w:val="cuadroCabe"/>
              <w:spacing w:line="240" w:lineRule="auto"/>
              <w:jc w:val="right"/>
              <w:rPr>
                <w:sz w:val="16"/>
                <w:szCs w:val="16"/>
              </w:rPr>
            </w:pPr>
            <w:r>
              <w:rPr>
                <w:sz w:val="16"/>
              </w:rPr>
              <w:t>100</w:t>
            </w:r>
          </w:p>
        </w:tc>
        <w:tc>
          <w:tcPr>
            <w:tcW w:w="543" w:type="pct"/>
            <w:tcBorders>
              <w:top w:val="single" w:sz="4" w:space="0" w:color="auto"/>
              <w:left w:val="nil"/>
              <w:bottom w:val="single" w:sz="4" w:space="0" w:color="000000"/>
              <w:right w:val="nil"/>
            </w:tcBorders>
            <w:shd w:val="clear" w:color="auto" w:fill="FABF8F" w:themeFill="accent6" w:themeFillTint="99"/>
            <w:vAlign w:val="center"/>
            <w:hideMark/>
          </w:tcPr>
          <w:p w14:paraId="62C2A3D5" w14:textId="77777777" w:rsidR="009F50C6" w:rsidRPr="00E27795" w:rsidRDefault="009F50C6" w:rsidP="00E27795">
            <w:pPr>
              <w:pStyle w:val="cuadroCabe"/>
              <w:spacing w:line="240" w:lineRule="auto"/>
              <w:jc w:val="right"/>
              <w:rPr>
                <w:sz w:val="16"/>
                <w:szCs w:val="16"/>
              </w:rPr>
            </w:pPr>
            <w:r>
              <w:rPr>
                <w:sz w:val="16"/>
              </w:rPr>
              <w:t>84</w:t>
            </w:r>
          </w:p>
        </w:tc>
        <w:tc>
          <w:tcPr>
            <w:tcW w:w="668" w:type="pct"/>
            <w:tcBorders>
              <w:top w:val="single" w:sz="4" w:space="0" w:color="auto"/>
              <w:left w:val="nil"/>
              <w:bottom w:val="single" w:sz="4" w:space="0" w:color="000000"/>
              <w:right w:val="nil"/>
            </w:tcBorders>
            <w:shd w:val="clear" w:color="auto" w:fill="FABF8F" w:themeFill="accent6" w:themeFillTint="99"/>
            <w:vAlign w:val="center"/>
          </w:tcPr>
          <w:p w14:paraId="60140608" w14:textId="77777777" w:rsidR="009F50C6" w:rsidRPr="00E27795" w:rsidRDefault="009F50C6" w:rsidP="00E27795">
            <w:pPr>
              <w:pStyle w:val="cuadroCabe"/>
              <w:spacing w:line="240" w:lineRule="auto"/>
              <w:jc w:val="right"/>
              <w:rPr>
                <w:sz w:val="16"/>
                <w:szCs w:val="16"/>
              </w:rPr>
            </w:pPr>
            <w:r>
              <w:rPr>
                <w:sz w:val="16"/>
              </w:rPr>
              <w:t>-86</w:t>
            </w:r>
          </w:p>
        </w:tc>
        <w:tc>
          <w:tcPr>
            <w:tcW w:w="561" w:type="pct"/>
            <w:tcBorders>
              <w:top w:val="single" w:sz="4" w:space="0" w:color="auto"/>
              <w:left w:val="nil"/>
              <w:bottom w:val="single" w:sz="4" w:space="0" w:color="000000"/>
              <w:right w:val="nil"/>
            </w:tcBorders>
            <w:shd w:val="clear" w:color="auto" w:fill="FABF8F" w:themeFill="accent6" w:themeFillTint="99"/>
            <w:vAlign w:val="center"/>
          </w:tcPr>
          <w:p w14:paraId="7B385112" w14:textId="77777777" w:rsidR="009F50C6" w:rsidRPr="00E27795" w:rsidRDefault="009F50C6" w:rsidP="00E27795">
            <w:pPr>
              <w:pStyle w:val="cuadroCabe"/>
              <w:spacing w:line="240" w:lineRule="auto"/>
              <w:jc w:val="right"/>
              <w:rPr>
                <w:sz w:val="16"/>
                <w:szCs w:val="16"/>
              </w:rPr>
            </w:pPr>
            <w:r>
              <w:rPr>
                <w:sz w:val="16"/>
              </w:rPr>
              <w:t>-10</w:t>
            </w:r>
          </w:p>
        </w:tc>
      </w:tr>
    </w:tbl>
    <w:p w14:paraId="25454B17" w14:textId="77777777" w:rsidR="00BC201A" w:rsidRPr="0003647B" w:rsidRDefault="00BC201A" w:rsidP="0003647B">
      <w:pPr>
        <w:pStyle w:val="texto"/>
        <w:spacing w:before="60" w:after="40"/>
        <w:ind w:firstLine="0"/>
        <w:rPr>
          <w:rFonts w:ascii="Arial" w:hAnsi="Arial" w:cs="Arial"/>
          <w:i/>
          <w:color w:val="000000" w:themeColor="text1"/>
          <w:sz w:val="14"/>
          <w:szCs w:val="14"/>
        </w:rPr>
      </w:pPr>
      <w:r>
        <w:rPr>
          <w:rFonts w:ascii="Arial" w:hAnsi="Arial"/>
          <w:color w:val="000000" w:themeColor="text1"/>
          <w:sz w:val="14"/>
        </w:rPr>
        <w:lastRenderedPageBreak/>
        <w:t>(*) Toki entitateak eta haien menpeko erakunde autonomoak sartu dira, baina ez sozietate publikoak, fundazio publikoak eta partzuergoak.</w:t>
      </w:r>
    </w:p>
    <w:p w14:paraId="05D1F343" w14:textId="77777777" w:rsidR="00345C6C" w:rsidRPr="00B81E61" w:rsidRDefault="00345C6C" w:rsidP="00345C6C">
      <w:pPr>
        <w:pStyle w:val="texto"/>
        <w:spacing w:after="40"/>
        <w:rPr>
          <w:color w:val="000000" w:themeColor="text1"/>
          <w:sz w:val="20"/>
          <w:szCs w:val="20"/>
        </w:rPr>
      </w:pPr>
    </w:p>
    <w:p w14:paraId="626DF5C1" w14:textId="77777777" w:rsidR="00B11B1E" w:rsidRDefault="00345C6C" w:rsidP="0003647B">
      <w:pPr>
        <w:pStyle w:val="texto"/>
        <w:rPr>
          <w:color w:val="000000" w:themeColor="text1"/>
        </w:rPr>
      </w:pPr>
      <w:r>
        <w:rPr>
          <w:color w:val="000000" w:themeColor="text1"/>
        </w:rPr>
        <w:t>2020ko ekitaldirako behin betiko kredituak 952,21 milioi eurokoak izan ziren, eta ehuneko 84ko betetze maila izan zuten. Gastu arruntek ehuneko 91ko betetze maila dute. Kapitaleko gastuak, berriz, ehuneko 59raino bete ziren, eta finantza-eragiketenak, oso-osorik.</w:t>
      </w:r>
    </w:p>
    <w:p w14:paraId="2F79D198" w14:textId="7795F848" w:rsidR="00B11B1E" w:rsidRDefault="00B11B1E" w:rsidP="0003647B">
      <w:pPr>
        <w:pStyle w:val="texto"/>
        <w:rPr>
          <w:color w:val="000000" w:themeColor="text1"/>
        </w:rPr>
      </w:pPr>
      <w:r>
        <w:rPr>
          <w:color w:val="000000" w:themeColor="text1"/>
        </w:rPr>
        <w:t>Toki sektore publikoaren gastua 2020an 799,18 milioikoa izan zen. Zenbateko horretatik ehuneko 39 eta 32, hurrenez hurren, langile-gastuei eta ondasun arruntetako eta zerbitzuetako gastuei dagokie, eta inbertsio errealena ere nabarmentzen da, guztizko gastuaren ehuneko 15 hartzen baitu.</w:t>
      </w:r>
    </w:p>
    <w:p w14:paraId="6F6A7DF2" w14:textId="05EED3DC" w:rsidR="00B11B1E" w:rsidRDefault="00B11B1E" w:rsidP="0003647B">
      <w:pPr>
        <w:pStyle w:val="texto"/>
        <w:rPr>
          <w:color w:val="000000" w:themeColor="text1"/>
        </w:rPr>
      </w:pPr>
      <w:r>
        <w:rPr>
          <w:color w:val="000000" w:themeColor="text1"/>
        </w:rPr>
        <w:t xml:space="preserve">Guztizko gastua, aurreko ekitaldikoaren aldean, ehuneko hamar murriztu da (86 milioi gutxiago). Arrazoi nagusia da inbertsio errealetako gastua ehuneko 37 murriztu izana (67 milioi gutxiago). </w:t>
      </w:r>
    </w:p>
    <w:p w14:paraId="1BB13ECE" w14:textId="640E2F3C" w:rsidR="008E43F9" w:rsidRDefault="008433A0" w:rsidP="0003647B">
      <w:pPr>
        <w:pStyle w:val="texto"/>
        <w:rPr>
          <w:color w:val="000000" w:themeColor="text1"/>
        </w:rPr>
      </w:pPr>
      <w:r>
        <w:rPr>
          <w:color w:val="000000" w:themeColor="text1"/>
        </w:rPr>
        <w:t xml:space="preserve">Guztizko gastuetatik, ehuneko 85 udalei dagokie, ehuneko 13 mankomunitate eta batasunei eta gainerako ehuneko bia kontzejuei. Banaketa hori aurreko ekitaldikoaren antzekoa da. </w:t>
      </w:r>
    </w:p>
    <w:p w14:paraId="636EA2ED" w14:textId="4F096C97" w:rsidR="00B11B1E" w:rsidRDefault="008433A0" w:rsidP="0003647B">
      <w:pPr>
        <w:pStyle w:val="texto"/>
        <w:rPr>
          <w:color w:val="000000" w:themeColor="text1"/>
        </w:rPr>
      </w:pPr>
      <w:r>
        <w:rPr>
          <w:color w:val="000000" w:themeColor="text1"/>
        </w:rPr>
        <w:t>Gastuaren banaketan eragin handirik ez badute ere, azpimarratzekoak dira gastuen urtetik urterako aldaketan udalen, mankomunitateen eta kontzejuen artean dauden desberdintasunak: ehuneko zazpiko, 18ko eta 51ko jaitsiera izan dute hurrenez hurren, eta horrek zerikusia du toki entitate mota bakoitzak diru-sarreren egitura desberdina izatearekin.</w:t>
      </w:r>
    </w:p>
    <w:p w14:paraId="266D3B3C" w14:textId="5F76BE44" w:rsidR="00B11B1E" w:rsidRDefault="00051F60" w:rsidP="004B1F4E">
      <w:pPr>
        <w:pStyle w:val="texto"/>
        <w:spacing w:after="0"/>
        <w:rPr>
          <w:color w:val="000000" w:themeColor="text1"/>
        </w:rPr>
      </w:pPr>
      <w:r>
        <w:rPr>
          <w:color w:val="000000" w:themeColor="text1"/>
        </w:rPr>
        <w:t>Toki sektore publikoaren 2020ko guztizko gastua, gorago aipatutako hiru sozietateekin bateratuta, 877,62 milioikoa da orotara. Hona hemen xehakapena:</w:t>
      </w:r>
    </w:p>
    <w:p w14:paraId="741C3E02" w14:textId="56ACCD8A" w:rsidR="007B465C" w:rsidRPr="0003647B" w:rsidRDefault="00271C18" w:rsidP="007B465C">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(Milioiak)</w:t>
      </w:r>
    </w:p>
    <w:tbl>
      <w:tblPr>
        <w:tblW w:w="8739" w:type="dxa"/>
        <w:tblInd w:w="70" w:type="dxa"/>
        <w:tblCellMar>
          <w:left w:w="70" w:type="dxa"/>
          <w:right w:w="70" w:type="dxa"/>
        </w:tblCellMar>
        <w:tblLook w:val="04A0" w:firstRow="1" w:lastRow="0" w:firstColumn="1" w:lastColumn="0" w:noHBand="0" w:noVBand="1"/>
      </w:tblPr>
      <w:tblGrid>
        <w:gridCol w:w="2330"/>
        <w:gridCol w:w="1413"/>
        <w:gridCol w:w="216"/>
        <w:gridCol w:w="1480"/>
        <w:gridCol w:w="1579"/>
        <w:gridCol w:w="197"/>
        <w:gridCol w:w="6"/>
        <w:gridCol w:w="1518"/>
      </w:tblGrid>
      <w:tr w:rsidR="00B763E1" w:rsidRPr="00271C18" w14:paraId="3FC049C8" w14:textId="77777777" w:rsidTr="00A42B4F">
        <w:trPr>
          <w:trHeight w:val="284"/>
        </w:trPr>
        <w:tc>
          <w:tcPr>
            <w:tcW w:w="2330" w:type="dxa"/>
            <w:tcBorders>
              <w:top w:val="single" w:sz="4" w:space="0" w:color="000000"/>
              <w:left w:val="nil"/>
              <w:bottom w:val="nil"/>
              <w:right w:val="nil"/>
            </w:tcBorders>
            <w:shd w:val="clear" w:color="auto" w:fill="FABF8F" w:themeFill="accent6" w:themeFillTint="99"/>
            <w:vAlign w:val="center"/>
          </w:tcPr>
          <w:p w14:paraId="47863E2B" w14:textId="77777777" w:rsidR="00B763E1" w:rsidRPr="00271C18" w:rsidRDefault="00B763E1" w:rsidP="00271C18">
            <w:pPr>
              <w:pStyle w:val="cuadroCabe"/>
              <w:rPr>
                <w:sz w:val="16"/>
                <w:szCs w:val="16"/>
              </w:rPr>
            </w:pPr>
            <w:r>
              <w:rPr>
                <w:sz w:val="16"/>
              </w:rPr>
              <w:t>GASTUAK 2020</w:t>
            </w:r>
          </w:p>
        </w:tc>
        <w:tc>
          <w:tcPr>
            <w:tcW w:w="1413" w:type="dxa"/>
            <w:vMerge w:val="restart"/>
            <w:tcBorders>
              <w:top w:val="single" w:sz="4" w:space="0" w:color="000000"/>
              <w:left w:val="nil"/>
              <w:right w:val="nil"/>
            </w:tcBorders>
            <w:shd w:val="clear" w:color="auto" w:fill="FABF8F" w:themeFill="accent6" w:themeFillTint="99"/>
            <w:vAlign w:val="center"/>
          </w:tcPr>
          <w:p w14:paraId="040BDB81" w14:textId="41BFF21B" w:rsidR="00B763E1" w:rsidRPr="00271C18" w:rsidRDefault="00B763E1" w:rsidP="00271C18">
            <w:pPr>
              <w:pStyle w:val="cuadroCabe"/>
              <w:jc w:val="right"/>
              <w:rPr>
                <w:sz w:val="16"/>
                <w:szCs w:val="16"/>
              </w:rPr>
            </w:pPr>
            <w:r>
              <w:rPr>
                <w:sz w:val="16"/>
              </w:rPr>
              <w:t>Sozietateekin bateratu gabe</w:t>
            </w:r>
          </w:p>
        </w:tc>
        <w:tc>
          <w:tcPr>
            <w:tcW w:w="3478" w:type="dxa"/>
            <w:gridSpan w:val="5"/>
            <w:tcBorders>
              <w:top w:val="single" w:sz="4" w:space="0" w:color="000000"/>
              <w:left w:val="nil"/>
              <w:bottom w:val="nil"/>
              <w:right w:val="nil"/>
            </w:tcBorders>
            <w:shd w:val="clear" w:color="auto" w:fill="FABF8F" w:themeFill="accent6" w:themeFillTint="99"/>
            <w:vAlign w:val="center"/>
          </w:tcPr>
          <w:p w14:paraId="2131857B" w14:textId="1EE14141" w:rsidR="00B763E1" w:rsidRPr="00271C18" w:rsidRDefault="00B763E1" w:rsidP="00271C18">
            <w:pPr>
              <w:pStyle w:val="cuadroCabe"/>
              <w:jc w:val="center"/>
              <w:rPr>
                <w:sz w:val="16"/>
                <w:szCs w:val="16"/>
              </w:rPr>
            </w:pPr>
            <w:r>
              <w:rPr>
                <w:sz w:val="16"/>
              </w:rPr>
              <w:t>3 sozietaterekin bateratuta</w:t>
            </w:r>
          </w:p>
        </w:tc>
        <w:tc>
          <w:tcPr>
            <w:tcW w:w="1518" w:type="dxa"/>
            <w:tcBorders>
              <w:top w:val="single" w:sz="4" w:space="0" w:color="000000"/>
              <w:left w:val="nil"/>
              <w:right w:val="nil"/>
            </w:tcBorders>
            <w:shd w:val="clear" w:color="auto" w:fill="FABF8F" w:themeFill="accent6" w:themeFillTint="99"/>
            <w:vAlign w:val="center"/>
          </w:tcPr>
          <w:p w14:paraId="7254F177" w14:textId="0CDB120D" w:rsidR="00B763E1" w:rsidRPr="00271C18" w:rsidRDefault="00B763E1" w:rsidP="00271C18">
            <w:pPr>
              <w:pStyle w:val="cuadroCabe"/>
              <w:jc w:val="right"/>
              <w:rPr>
                <w:sz w:val="16"/>
                <w:szCs w:val="16"/>
              </w:rPr>
            </w:pPr>
            <w:r>
              <w:rPr>
                <w:sz w:val="16"/>
              </w:rPr>
              <w:t>Bateratzearen</w:t>
            </w:r>
          </w:p>
        </w:tc>
      </w:tr>
      <w:tr w:rsidR="008433A0" w:rsidRPr="00271C18" w14:paraId="4CDBD2E4" w14:textId="77777777" w:rsidTr="00A42B4F">
        <w:trPr>
          <w:trHeight w:val="284"/>
        </w:trPr>
        <w:tc>
          <w:tcPr>
            <w:tcW w:w="2330" w:type="dxa"/>
            <w:tcBorders>
              <w:top w:val="single" w:sz="4" w:space="0" w:color="000000"/>
              <w:left w:val="nil"/>
              <w:bottom w:val="nil"/>
              <w:right w:val="nil"/>
            </w:tcBorders>
            <w:shd w:val="clear" w:color="auto" w:fill="FABF8F" w:themeFill="accent6" w:themeFillTint="99"/>
            <w:vAlign w:val="center"/>
            <w:hideMark/>
          </w:tcPr>
          <w:p w14:paraId="4EDB58B2" w14:textId="77777777" w:rsidR="008433A0" w:rsidRPr="00271C18" w:rsidRDefault="008433A0" w:rsidP="00271C18">
            <w:pPr>
              <w:pStyle w:val="cuadroCabe"/>
              <w:rPr>
                <w:sz w:val="16"/>
                <w:szCs w:val="16"/>
              </w:rPr>
            </w:pPr>
            <w:r>
              <w:rPr>
                <w:sz w:val="16"/>
              </w:rPr>
              <w:t>Kapitulua</w:t>
            </w:r>
          </w:p>
        </w:tc>
        <w:tc>
          <w:tcPr>
            <w:tcW w:w="1413" w:type="dxa"/>
            <w:vMerge/>
            <w:tcBorders>
              <w:left w:val="nil"/>
              <w:bottom w:val="nil"/>
              <w:right w:val="nil"/>
            </w:tcBorders>
            <w:shd w:val="clear" w:color="auto" w:fill="FABF8F" w:themeFill="accent6" w:themeFillTint="99"/>
            <w:vAlign w:val="center"/>
            <w:hideMark/>
          </w:tcPr>
          <w:p w14:paraId="4FE672BD" w14:textId="77777777" w:rsidR="008433A0" w:rsidRPr="00271C18" w:rsidRDefault="008433A0" w:rsidP="00271C18">
            <w:pPr>
              <w:pStyle w:val="cuadroCabe"/>
              <w:rPr>
                <w:sz w:val="16"/>
                <w:szCs w:val="16"/>
              </w:rPr>
            </w:pPr>
          </w:p>
        </w:tc>
        <w:tc>
          <w:tcPr>
            <w:tcW w:w="216" w:type="dxa"/>
            <w:tcBorders>
              <w:top w:val="single" w:sz="4" w:space="0" w:color="000000"/>
              <w:left w:val="nil"/>
              <w:bottom w:val="nil"/>
              <w:right w:val="nil"/>
            </w:tcBorders>
            <w:shd w:val="clear" w:color="auto" w:fill="FABF8F" w:themeFill="accent6" w:themeFillTint="99"/>
            <w:vAlign w:val="center"/>
            <w:hideMark/>
          </w:tcPr>
          <w:p w14:paraId="56CCA0D7" w14:textId="77777777" w:rsidR="008433A0" w:rsidRPr="00271C18" w:rsidRDefault="008433A0" w:rsidP="00271C18">
            <w:pPr>
              <w:pStyle w:val="cuadroCabe"/>
              <w:rPr>
                <w:sz w:val="16"/>
                <w:szCs w:val="16"/>
              </w:rPr>
            </w:pPr>
            <w:r>
              <w:rPr>
                <w:sz w:val="16"/>
              </w:rPr>
              <w:t> </w:t>
            </w:r>
          </w:p>
        </w:tc>
        <w:tc>
          <w:tcPr>
            <w:tcW w:w="1480" w:type="dxa"/>
            <w:tcBorders>
              <w:top w:val="single" w:sz="4" w:space="0" w:color="000000"/>
              <w:left w:val="nil"/>
              <w:bottom w:val="nil"/>
              <w:right w:val="nil"/>
            </w:tcBorders>
            <w:shd w:val="clear" w:color="auto" w:fill="FABF8F" w:themeFill="accent6" w:themeFillTint="99"/>
            <w:vAlign w:val="center"/>
            <w:hideMark/>
          </w:tcPr>
          <w:p w14:paraId="03432C54" w14:textId="565B551C" w:rsidR="008433A0" w:rsidRPr="00271C18" w:rsidRDefault="008433A0" w:rsidP="00271C18">
            <w:pPr>
              <w:pStyle w:val="cuadroCabe"/>
              <w:jc w:val="right"/>
              <w:rPr>
                <w:sz w:val="16"/>
                <w:szCs w:val="16"/>
              </w:rPr>
            </w:pPr>
            <w:r>
              <w:rPr>
                <w:sz w:val="16"/>
              </w:rPr>
              <w:t>Gastuak 2020</w:t>
            </w:r>
          </w:p>
        </w:tc>
        <w:tc>
          <w:tcPr>
            <w:tcW w:w="1579" w:type="dxa"/>
            <w:tcBorders>
              <w:top w:val="single" w:sz="4" w:space="0" w:color="000000"/>
              <w:left w:val="nil"/>
              <w:bottom w:val="nil"/>
              <w:right w:val="nil"/>
            </w:tcBorders>
            <w:shd w:val="clear" w:color="auto" w:fill="FABF8F" w:themeFill="accent6" w:themeFillTint="99"/>
            <w:vAlign w:val="center"/>
            <w:hideMark/>
          </w:tcPr>
          <w:p w14:paraId="43084C49" w14:textId="1313DB92" w:rsidR="008433A0" w:rsidRPr="00271C18" w:rsidRDefault="008433A0" w:rsidP="00271C18">
            <w:pPr>
              <w:pStyle w:val="cuadroCabe"/>
              <w:jc w:val="right"/>
              <w:rPr>
                <w:sz w:val="16"/>
                <w:szCs w:val="16"/>
              </w:rPr>
            </w:pPr>
            <w:r>
              <w:rPr>
                <w:sz w:val="16"/>
              </w:rPr>
              <w:t>Gastu guztien gainean (%)</w:t>
            </w:r>
          </w:p>
        </w:tc>
        <w:tc>
          <w:tcPr>
            <w:tcW w:w="197" w:type="dxa"/>
            <w:tcBorders>
              <w:top w:val="single" w:sz="4" w:space="0" w:color="000000"/>
              <w:left w:val="nil"/>
              <w:bottom w:val="nil"/>
              <w:right w:val="nil"/>
            </w:tcBorders>
            <w:shd w:val="clear" w:color="auto" w:fill="FABF8F" w:themeFill="accent6" w:themeFillTint="99"/>
            <w:vAlign w:val="center"/>
            <w:hideMark/>
          </w:tcPr>
          <w:p w14:paraId="30636816" w14:textId="77777777" w:rsidR="008433A0" w:rsidRPr="00271C18" w:rsidRDefault="008433A0" w:rsidP="00271C18">
            <w:pPr>
              <w:pStyle w:val="cuadroCabe"/>
              <w:rPr>
                <w:sz w:val="16"/>
                <w:szCs w:val="16"/>
              </w:rPr>
            </w:pPr>
            <w:r>
              <w:rPr>
                <w:sz w:val="16"/>
              </w:rPr>
              <w:t> </w:t>
            </w:r>
          </w:p>
        </w:tc>
        <w:tc>
          <w:tcPr>
            <w:tcW w:w="1524" w:type="dxa"/>
            <w:gridSpan w:val="2"/>
            <w:tcBorders>
              <w:left w:val="nil"/>
              <w:bottom w:val="single" w:sz="4" w:space="0" w:color="000000"/>
              <w:right w:val="nil"/>
            </w:tcBorders>
            <w:shd w:val="clear" w:color="auto" w:fill="FABF8F" w:themeFill="accent6" w:themeFillTint="99"/>
            <w:vAlign w:val="center"/>
            <w:hideMark/>
          </w:tcPr>
          <w:p w14:paraId="709CDD1F" w14:textId="5678F7E1" w:rsidR="008433A0" w:rsidRPr="00271C18" w:rsidRDefault="00271C18" w:rsidP="00271C18">
            <w:pPr>
              <w:pStyle w:val="cuadroCabe"/>
              <w:jc w:val="right"/>
              <w:rPr>
                <w:sz w:val="16"/>
                <w:szCs w:val="16"/>
              </w:rPr>
            </w:pPr>
            <w:r>
              <w:rPr>
                <w:sz w:val="16"/>
              </w:rPr>
              <w:t>eragina</w:t>
            </w:r>
          </w:p>
        </w:tc>
      </w:tr>
      <w:tr w:rsidR="008433A0" w:rsidRPr="00933A7F" w14:paraId="6B747CA9" w14:textId="77777777" w:rsidTr="00A42B4F">
        <w:trPr>
          <w:trHeight w:val="284"/>
        </w:trPr>
        <w:tc>
          <w:tcPr>
            <w:tcW w:w="2330" w:type="dxa"/>
            <w:tcBorders>
              <w:top w:val="single" w:sz="4" w:space="0" w:color="auto"/>
              <w:left w:val="nil"/>
              <w:bottom w:val="single" w:sz="2" w:space="0" w:color="auto"/>
              <w:right w:val="nil"/>
            </w:tcBorders>
            <w:shd w:val="clear" w:color="auto" w:fill="auto"/>
            <w:vAlign w:val="center"/>
            <w:hideMark/>
          </w:tcPr>
          <w:p w14:paraId="28364C92" w14:textId="2CF87172" w:rsidR="008433A0" w:rsidRPr="00933A7F" w:rsidRDefault="007B465C" w:rsidP="007B465C">
            <w:pPr>
              <w:pStyle w:val="cuatexto"/>
              <w:spacing w:line="240" w:lineRule="auto"/>
              <w:rPr>
                <w:szCs w:val="20"/>
              </w:rPr>
            </w:pPr>
            <w:r>
              <w:t>1. Langile-gastuak</w:t>
            </w:r>
          </w:p>
        </w:tc>
        <w:tc>
          <w:tcPr>
            <w:tcW w:w="1413" w:type="dxa"/>
            <w:tcBorders>
              <w:top w:val="single" w:sz="4" w:space="0" w:color="auto"/>
              <w:left w:val="nil"/>
              <w:bottom w:val="single" w:sz="2" w:space="0" w:color="auto"/>
              <w:right w:val="nil"/>
            </w:tcBorders>
            <w:shd w:val="clear" w:color="auto" w:fill="auto"/>
            <w:vAlign w:val="center"/>
            <w:hideMark/>
          </w:tcPr>
          <w:p w14:paraId="46244B6A" w14:textId="77777777" w:rsidR="008433A0" w:rsidRPr="00933A7F" w:rsidRDefault="008433A0" w:rsidP="00271C18">
            <w:pPr>
              <w:pStyle w:val="cuatexto"/>
              <w:spacing w:line="240" w:lineRule="auto"/>
              <w:jc w:val="right"/>
              <w:rPr>
                <w:color w:val="000000"/>
                <w:szCs w:val="20"/>
              </w:rPr>
            </w:pPr>
            <w:r>
              <w:rPr>
                <w:color w:val="000000"/>
              </w:rPr>
              <w:t>310,96</w:t>
            </w:r>
          </w:p>
        </w:tc>
        <w:tc>
          <w:tcPr>
            <w:tcW w:w="216" w:type="dxa"/>
            <w:tcBorders>
              <w:top w:val="single" w:sz="4" w:space="0" w:color="000000"/>
              <w:left w:val="nil"/>
              <w:bottom w:val="single" w:sz="2" w:space="0" w:color="auto"/>
              <w:right w:val="nil"/>
            </w:tcBorders>
            <w:shd w:val="clear" w:color="auto" w:fill="auto"/>
            <w:vAlign w:val="center"/>
            <w:hideMark/>
          </w:tcPr>
          <w:p w14:paraId="796DFB32" w14:textId="2BA364A0" w:rsidR="008433A0" w:rsidRPr="00933A7F" w:rsidRDefault="008433A0" w:rsidP="00271C18">
            <w:pPr>
              <w:pStyle w:val="cuatexto"/>
              <w:spacing w:line="240" w:lineRule="auto"/>
              <w:jc w:val="right"/>
              <w:rPr>
                <w:szCs w:val="20"/>
                <w:lang w:val="es-ES" w:eastAsia="es-ES"/>
              </w:rPr>
            </w:pPr>
          </w:p>
        </w:tc>
        <w:tc>
          <w:tcPr>
            <w:tcW w:w="1480" w:type="dxa"/>
            <w:tcBorders>
              <w:top w:val="single" w:sz="4" w:space="0" w:color="auto"/>
              <w:left w:val="nil"/>
              <w:bottom w:val="single" w:sz="2" w:space="0" w:color="auto"/>
              <w:right w:val="nil"/>
            </w:tcBorders>
            <w:shd w:val="clear" w:color="auto" w:fill="auto"/>
            <w:vAlign w:val="center"/>
            <w:hideMark/>
          </w:tcPr>
          <w:p w14:paraId="0B4A9744" w14:textId="77777777" w:rsidR="008433A0" w:rsidRPr="00933A7F" w:rsidRDefault="008433A0" w:rsidP="00271C18">
            <w:pPr>
              <w:pStyle w:val="cuatexto"/>
              <w:spacing w:line="240" w:lineRule="auto"/>
              <w:jc w:val="right"/>
              <w:rPr>
                <w:color w:val="000000"/>
                <w:szCs w:val="20"/>
              </w:rPr>
            </w:pPr>
            <w:r>
              <w:rPr>
                <w:color w:val="000000"/>
              </w:rPr>
              <w:t>342,99</w:t>
            </w:r>
          </w:p>
        </w:tc>
        <w:tc>
          <w:tcPr>
            <w:tcW w:w="1579" w:type="dxa"/>
            <w:tcBorders>
              <w:top w:val="single" w:sz="4" w:space="0" w:color="auto"/>
              <w:left w:val="nil"/>
              <w:bottom w:val="single" w:sz="2" w:space="0" w:color="auto"/>
              <w:right w:val="nil"/>
            </w:tcBorders>
            <w:shd w:val="clear" w:color="auto" w:fill="auto"/>
            <w:vAlign w:val="center"/>
            <w:hideMark/>
          </w:tcPr>
          <w:p w14:paraId="4799C6F9" w14:textId="77777777" w:rsidR="008433A0" w:rsidRPr="00933A7F" w:rsidRDefault="008433A0" w:rsidP="00271C18">
            <w:pPr>
              <w:pStyle w:val="cuatexto"/>
              <w:spacing w:line="240" w:lineRule="auto"/>
              <w:jc w:val="right"/>
              <w:rPr>
                <w:szCs w:val="20"/>
              </w:rPr>
            </w:pPr>
            <w:r>
              <w:t>39,1</w:t>
            </w:r>
          </w:p>
        </w:tc>
        <w:tc>
          <w:tcPr>
            <w:tcW w:w="197" w:type="dxa"/>
            <w:tcBorders>
              <w:top w:val="single" w:sz="4" w:space="0" w:color="000000"/>
              <w:left w:val="nil"/>
              <w:bottom w:val="single" w:sz="2" w:space="0" w:color="auto"/>
              <w:right w:val="nil"/>
            </w:tcBorders>
            <w:shd w:val="clear" w:color="auto" w:fill="auto"/>
            <w:vAlign w:val="center"/>
            <w:hideMark/>
          </w:tcPr>
          <w:p w14:paraId="71730BEE" w14:textId="365810BD" w:rsidR="008433A0" w:rsidRPr="00933A7F" w:rsidRDefault="008433A0" w:rsidP="00271C18">
            <w:pPr>
              <w:pStyle w:val="cuatexto"/>
              <w:spacing w:line="240" w:lineRule="auto"/>
              <w:jc w:val="right"/>
              <w:rPr>
                <w:szCs w:val="20"/>
                <w:lang w:val="es-ES" w:eastAsia="es-ES"/>
              </w:rPr>
            </w:pPr>
          </w:p>
        </w:tc>
        <w:tc>
          <w:tcPr>
            <w:tcW w:w="1524" w:type="dxa"/>
            <w:gridSpan w:val="2"/>
            <w:tcBorders>
              <w:top w:val="nil"/>
              <w:left w:val="nil"/>
              <w:bottom w:val="single" w:sz="2" w:space="0" w:color="auto"/>
              <w:right w:val="nil"/>
            </w:tcBorders>
            <w:shd w:val="clear" w:color="auto" w:fill="auto"/>
            <w:vAlign w:val="center"/>
            <w:hideMark/>
          </w:tcPr>
          <w:p w14:paraId="659DA29E" w14:textId="77777777" w:rsidR="008433A0" w:rsidRPr="00933A7F" w:rsidRDefault="008433A0" w:rsidP="00271C18">
            <w:pPr>
              <w:pStyle w:val="cuatexto"/>
              <w:spacing w:line="240" w:lineRule="auto"/>
              <w:jc w:val="right"/>
              <w:rPr>
                <w:color w:val="000000"/>
                <w:szCs w:val="20"/>
              </w:rPr>
            </w:pPr>
            <w:r>
              <w:rPr>
                <w:color w:val="000000"/>
              </w:rPr>
              <w:t>32,03</w:t>
            </w:r>
          </w:p>
        </w:tc>
      </w:tr>
      <w:tr w:rsidR="008433A0" w:rsidRPr="00933A7F" w14:paraId="02B330B4"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6EDF437F" w14:textId="6A463ED2" w:rsidR="008433A0" w:rsidRPr="00933A7F" w:rsidRDefault="007B465C" w:rsidP="007B465C">
            <w:pPr>
              <w:pStyle w:val="cuatexto"/>
              <w:spacing w:line="240" w:lineRule="auto"/>
              <w:rPr>
                <w:szCs w:val="20"/>
              </w:rPr>
            </w:pPr>
            <w:r>
              <w:t>2. Ondasun arruntetako eta zerbitzuetako gastuak</w:t>
            </w:r>
          </w:p>
        </w:tc>
        <w:tc>
          <w:tcPr>
            <w:tcW w:w="1413" w:type="dxa"/>
            <w:tcBorders>
              <w:top w:val="single" w:sz="2" w:space="0" w:color="auto"/>
              <w:left w:val="nil"/>
              <w:bottom w:val="single" w:sz="2" w:space="0" w:color="auto"/>
              <w:right w:val="nil"/>
            </w:tcBorders>
            <w:shd w:val="clear" w:color="auto" w:fill="auto"/>
            <w:vAlign w:val="center"/>
            <w:hideMark/>
          </w:tcPr>
          <w:p w14:paraId="062D52C1" w14:textId="77777777" w:rsidR="008433A0" w:rsidRPr="00933A7F" w:rsidRDefault="008433A0" w:rsidP="00271C18">
            <w:pPr>
              <w:pStyle w:val="cuatexto"/>
              <w:spacing w:line="240" w:lineRule="auto"/>
              <w:jc w:val="right"/>
              <w:rPr>
                <w:color w:val="000000"/>
                <w:szCs w:val="20"/>
              </w:rPr>
            </w:pPr>
            <w:r>
              <w:rPr>
                <w:color w:val="000000"/>
              </w:rPr>
              <w:t>255,79</w:t>
            </w:r>
          </w:p>
        </w:tc>
        <w:tc>
          <w:tcPr>
            <w:tcW w:w="216" w:type="dxa"/>
            <w:tcBorders>
              <w:top w:val="single" w:sz="2" w:space="0" w:color="auto"/>
              <w:left w:val="nil"/>
              <w:bottom w:val="single" w:sz="2" w:space="0" w:color="auto"/>
              <w:right w:val="nil"/>
            </w:tcBorders>
            <w:shd w:val="clear" w:color="auto" w:fill="auto"/>
            <w:vAlign w:val="center"/>
            <w:hideMark/>
          </w:tcPr>
          <w:p w14:paraId="13CC7415" w14:textId="6B86E87E" w:rsidR="008433A0" w:rsidRPr="00933A7F" w:rsidRDefault="008433A0" w:rsidP="00271C18">
            <w:pPr>
              <w:pStyle w:val="cuatexto"/>
              <w:spacing w:line="240" w:lineRule="auto"/>
              <w:jc w:val="right"/>
              <w:rPr>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258E056C" w14:textId="77777777" w:rsidR="008433A0" w:rsidRPr="00933A7F" w:rsidRDefault="008433A0" w:rsidP="00271C18">
            <w:pPr>
              <w:pStyle w:val="cuatexto"/>
              <w:spacing w:line="240" w:lineRule="auto"/>
              <w:jc w:val="right"/>
              <w:rPr>
                <w:color w:val="000000"/>
                <w:szCs w:val="20"/>
              </w:rPr>
            </w:pPr>
            <w:r>
              <w:rPr>
                <w:color w:val="000000"/>
              </w:rPr>
              <w:t>288,81</w:t>
            </w:r>
          </w:p>
        </w:tc>
        <w:tc>
          <w:tcPr>
            <w:tcW w:w="1579" w:type="dxa"/>
            <w:tcBorders>
              <w:top w:val="single" w:sz="2" w:space="0" w:color="auto"/>
              <w:left w:val="nil"/>
              <w:bottom w:val="single" w:sz="2" w:space="0" w:color="auto"/>
              <w:right w:val="nil"/>
            </w:tcBorders>
            <w:shd w:val="clear" w:color="auto" w:fill="auto"/>
            <w:vAlign w:val="center"/>
            <w:hideMark/>
          </w:tcPr>
          <w:p w14:paraId="5472D820" w14:textId="77777777" w:rsidR="008433A0" w:rsidRPr="00933A7F" w:rsidRDefault="008433A0" w:rsidP="00271C18">
            <w:pPr>
              <w:pStyle w:val="cuatexto"/>
              <w:spacing w:line="240" w:lineRule="auto"/>
              <w:jc w:val="right"/>
              <w:rPr>
                <w:szCs w:val="20"/>
              </w:rPr>
            </w:pPr>
            <w:r>
              <w:t>32,9</w:t>
            </w:r>
          </w:p>
        </w:tc>
        <w:tc>
          <w:tcPr>
            <w:tcW w:w="197" w:type="dxa"/>
            <w:tcBorders>
              <w:top w:val="single" w:sz="2" w:space="0" w:color="auto"/>
              <w:left w:val="nil"/>
              <w:bottom w:val="single" w:sz="2" w:space="0" w:color="auto"/>
              <w:right w:val="nil"/>
            </w:tcBorders>
            <w:shd w:val="clear" w:color="auto" w:fill="auto"/>
            <w:vAlign w:val="center"/>
            <w:hideMark/>
          </w:tcPr>
          <w:p w14:paraId="54DA1FF0" w14:textId="31920EB4" w:rsidR="008433A0" w:rsidRPr="00933A7F" w:rsidRDefault="008433A0" w:rsidP="00271C18">
            <w:pPr>
              <w:pStyle w:val="cuatexto"/>
              <w:spacing w:line="240" w:lineRule="auto"/>
              <w:jc w:val="right"/>
              <w:rPr>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4F080BA2" w14:textId="77777777" w:rsidR="008433A0" w:rsidRPr="00933A7F" w:rsidRDefault="008433A0" w:rsidP="00271C18">
            <w:pPr>
              <w:pStyle w:val="cuatexto"/>
              <w:spacing w:line="240" w:lineRule="auto"/>
              <w:jc w:val="right"/>
              <w:rPr>
                <w:color w:val="000000"/>
                <w:szCs w:val="20"/>
              </w:rPr>
            </w:pPr>
            <w:r>
              <w:rPr>
                <w:color w:val="000000"/>
              </w:rPr>
              <w:t>33,02</w:t>
            </w:r>
          </w:p>
        </w:tc>
      </w:tr>
      <w:tr w:rsidR="008433A0" w:rsidRPr="00933A7F" w14:paraId="23FA0B21"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2F601D9E" w14:textId="1C3B8F23" w:rsidR="008433A0" w:rsidRPr="00933A7F" w:rsidRDefault="007B465C" w:rsidP="007B465C">
            <w:pPr>
              <w:pStyle w:val="cuatexto"/>
              <w:spacing w:line="240" w:lineRule="auto"/>
              <w:rPr>
                <w:szCs w:val="20"/>
              </w:rPr>
            </w:pPr>
            <w:r>
              <w:t>3. Finantza-gastuak</w:t>
            </w:r>
          </w:p>
        </w:tc>
        <w:tc>
          <w:tcPr>
            <w:tcW w:w="1413" w:type="dxa"/>
            <w:tcBorders>
              <w:top w:val="single" w:sz="2" w:space="0" w:color="auto"/>
              <w:left w:val="nil"/>
              <w:bottom w:val="single" w:sz="2" w:space="0" w:color="auto"/>
              <w:right w:val="nil"/>
            </w:tcBorders>
            <w:shd w:val="clear" w:color="auto" w:fill="auto"/>
            <w:vAlign w:val="center"/>
            <w:hideMark/>
          </w:tcPr>
          <w:p w14:paraId="155D0108" w14:textId="77777777" w:rsidR="008433A0" w:rsidRPr="00933A7F" w:rsidRDefault="008433A0" w:rsidP="00271C18">
            <w:pPr>
              <w:pStyle w:val="cuatexto"/>
              <w:spacing w:line="240" w:lineRule="auto"/>
              <w:jc w:val="right"/>
              <w:rPr>
                <w:color w:val="000000"/>
                <w:szCs w:val="20"/>
              </w:rPr>
            </w:pPr>
            <w:r>
              <w:rPr>
                <w:color w:val="000000"/>
              </w:rPr>
              <w:t>1,78</w:t>
            </w:r>
          </w:p>
        </w:tc>
        <w:tc>
          <w:tcPr>
            <w:tcW w:w="216" w:type="dxa"/>
            <w:tcBorders>
              <w:top w:val="single" w:sz="2" w:space="0" w:color="auto"/>
              <w:left w:val="nil"/>
              <w:bottom w:val="single" w:sz="2" w:space="0" w:color="auto"/>
              <w:right w:val="nil"/>
            </w:tcBorders>
            <w:shd w:val="clear" w:color="auto" w:fill="auto"/>
            <w:vAlign w:val="center"/>
            <w:hideMark/>
          </w:tcPr>
          <w:p w14:paraId="2BFD5717" w14:textId="4B4ADCA4" w:rsidR="008433A0" w:rsidRPr="00933A7F" w:rsidRDefault="008433A0" w:rsidP="00271C18">
            <w:pPr>
              <w:pStyle w:val="cuatexto"/>
              <w:spacing w:line="240" w:lineRule="auto"/>
              <w:jc w:val="right"/>
              <w:rPr>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3102D643" w14:textId="77777777" w:rsidR="008433A0" w:rsidRPr="00933A7F" w:rsidRDefault="008433A0" w:rsidP="00271C18">
            <w:pPr>
              <w:pStyle w:val="cuatexto"/>
              <w:spacing w:line="240" w:lineRule="auto"/>
              <w:jc w:val="right"/>
              <w:rPr>
                <w:color w:val="000000"/>
                <w:szCs w:val="20"/>
              </w:rPr>
            </w:pPr>
            <w:r>
              <w:rPr>
                <w:color w:val="000000"/>
              </w:rPr>
              <w:t>1,78</w:t>
            </w:r>
          </w:p>
        </w:tc>
        <w:tc>
          <w:tcPr>
            <w:tcW w:w="1579" w:type="dxa"/>
            <w:tcBorders>
              <w:top w:val="single" w:sz="2" w:space="0" w:color="auto"/>
              <w:left w:val="nil"/>
              <w:bottom w:val="single" w:sz="2" w:space="0" w:color="auto"/>
              <w:right w:val="nil"/>
            </w:tcBorders>
            <w:shd w:val="clear" w:color="auto" w:fill="auto"/>
            <w:vAlign w:val="center"/>
            <w:hideMark/>
          </w:tcPr>
          <w:p w14:paraId="54E29810" w14:textId="77777777" w:rsidR="008433A0" w:rsidRPr="00933A7F" w:rsidRDefault="008433A0" w:rsidP="00271C18">
            <w:pPr>
              <w:pStyle w:val="cuatexto"/>
              <w:spacing w:line="240" w:lineRule="auto"/>
              <w:jc w:val="right"/>
              <w:rPr>
                <w:szCs w:val="20"/>
              </w:rPr>
            </w:pPr>
            <w:r>
              <w:t>0,2</w:t>
            </w:r>
          </w:p>
        </w:tc>
        <w:tc>
          <w:tcPr>
            <w:tcW w:w="197" w:type="dxa"/>
            <w:tcBorders>
              <w:top w:val="single" w:sz="2" w:space="0" w:color="auto"/>
              <w:left w:val="nil"/>
              <w:bottom w:val="single" w:sz="2" w:space="0" w:color="auto"/>
              <w:right w:val="nil"/>
            </w:tcBorders>
            <w:shd w:val="clear" w:color="auto" w:fill="auto"/>
            <w:vAlign w:val="center"/>
            <w:hideMark/>
          </w:tcPr>
          <w:p w14:paraId="13F081D8" w14:textId="11FF63D6" w:rsidR="008433A0" w:rsidRPr="00933A7F" w:rsidRDefault="008433A0" w:rsidP="00271C18">
            <w:pPr>
              <w:pStyle w:val="cuatexto"/>
              <w:spacing w:line="240" w:lineRule="auto"/>
              <w:jc w:val="right"/>
              <w:rPr>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0CB201C1" w14:textId="77777777" w:rsidR="008433A0" w:rsidRPr="00933A7F" w:rsidRDefault="008433A0" w:rsidP="00271C18">
            <w:pPr>
              <w:pStyle w:val="cuatexto"/>
              <w:spacing w:line="240" w:lineRule="auto"/>
              <w:jc w:val="right"/>
              <w:rPr>
                <w:color w:val="000000"/>
                <w:szCs w:val="20"/>
              </w:rPr>
            </w:pPr>
            <w:r>
              <w:rPr>
                <w:color w:val="000000"/>
              </w:rPr>
              <w:t>0,00</w:t>
            </w:r>
          </w:p>
        </w:tc>
      </w:tr>
      <w:tr w:rsidR="008433A0" w:rsidRPr="00933A7F" w14:paraId="0B472C2C"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4A89A570" w14:textId="5C6A41D2" w:rsidR="008433A0" w:rsidRPr="00933A7F" w:rsidRDefault="007B465C" w:rsidP="007B465C">
            <w:pPr>
              <w:pStyle w:val="cuatexto"/>
              <w:spacing w:line="240" w:lineRule="auto"/>
              <w:rPr>
                <w:szCs w:val="20"/>
              </w:rPr>
            </w:pPr>
            <w:r>
              <w:t>4. Transferentzia arruntak</w:t>
            </w:r>
          </w:p>
        </w:tc>
        <w:tc>
          <w:tcPr>
            <w:tcW w:w="1413" w:type="dxa"/>
            <w:tcBorders>
              <w:top w:val="single" w:sz="2" w:space="0" w:color="auto"/>
              <w:left w:val="nil"/>
              <w:bottom w:val="single" w:sz="2" w:space="0" w:color="auto"/>
              <w:right w:val="nil"/>
            </w:tcBorders>
            <w:shd w:val="clear" w:color="auto" w:fill="auto"/>
            <w:vAlign w:val="center"/>
            <w:hideMark/>
          </w:tcPr>
          <w:p w14:paraId="1D9C9939" w14:textId="77777777" w:rsidR="008433A0" w:rsidRPr="00933A7F" w:rsidRDefault="008433A0" w:rsidP="00271C18">
            <w:pPr>
              <w:pStyle w:val="cuatexto"/>
              <w:spacing w:line="240" w:lineRule="auto"/>
              <w:jc w:val="right"/>
              <w:rPr>
                <w:color w:val="000000"/>
                <w:szCs w:val="20"/>
              </w:rPr>
            </w:pPr>
            <w:r>
              <w:rPr>
                <w:color w:val="000000"/>
              </w:rPr>
              <w:t>76,43</w:t>
            </w:r>
          </w:p>
        </w:tc>
        <w:tc>
          <w:tcPr>
            <w:tcW w:w="216" w:type="dxa"/>
            <w:tcBorders>
              <w:top w:val="single" w:sz="2" w:space="0" w:color="auto"/>
              <w:left w:val="nil"/>
              <w:bottom w:val="single" w:sz="2" w:space="0" w:color="auto"/>
              <w:right w:val="nil"/>
            </w:tcBorders>
            <w:shd w:val="clear" w:color="auto" w:fill="auto"/>
            <w:vAlign w:val="center"/>
            <w:hideMark/>
          </w:tcPr>
          <w:p w14:paraId="1BAEE9E3" w14:textId="0DA5BD92" w:rsidR="008433A0" w:rsidRPr="00933A7F" w:rsidRDefault="008433A0" w:rsidP="00271C18">
            <w:pPr>
              <w:pStyle w:val="cuatexto"/>
              <w:spacing w:line="240" w:lineRule="auto"/>
              <w:jc w:val="right"/>
              <w:rPr>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204F7C90" w14:textId="77777777" w:rsidR="008433A0" w:rsidRPr="00933A7F" w:rsidRDefault="008433A0" w:rsidP="00271C18">
            <w:pPr>
              <w:pStyle w:val="cuatexto"/>
              <w:spacing w:line="240" w:lineRule="auto"/>
              <w:jc w:val="right"/>
              <w:rPr>
                <w:color w:val="000000"/>
                <w:szCs w:val="20"/>
              </w:rPr>
            </w:pPr>
            <w:r>
              <w:rPr>
                <w:color w:val="000000"/>
              </w:rPr>
              <w:t>76,07</w:t>
            </w:r>
          </w:p>
        </w:tc>
        <w:tc>
          <w:tcPr>
            <w:tcW w:w="1579" w:type="dxa"/>
            <w:tcBorders>
              <w:top w:val="single" w:sz="2" w:space="0" w:color="auto"/>
              <w:left w:val="nil"/>
              <w:bottom w:val="single" w:sz="2" w:space="0" w:color="auto"/>
              <w:right w:val="nil"/>
            </w:tcBorders>
            <w:shd w:val="clear" w:color="auto" w:fill="auto"/>
            <w:vAlign w:val="center"/>
            <w:hideMark/>
          </w:tcPr>
          <w:p w14:paraId="246A64A6" w14:textId="77777777" w:rsidR="008433A0" w:rsidRPr="00933A7F" w:rsidRDefault="008433A0" w:rsidP="00271C18">
            <w:pPr>
              <w:pStyle w:val="cuatexto"/>
              <w:spacing w:line="240" w:lineRule="auto"/>
              <w:jc w:val="right"/>
              <w:rPr>
                <w:szCs w:val="20"/>
              </w:rPr>
            </w:pPr>
            <w:r>
              <w:t>8,7</w:t>
            </w:r>
          </w:p>
        </w:tc>
        <w:tc>
          <w:tcPr>
            <w:tcW w:w="197" w:type="dxa"/>
            <w:tcBorders>
              <w:top w:val="single" w:sz="2" w:space="0" w:color="auto"/>
              <w:left w:val="nil"/>
              <w:bottom w:val="single" w:sz="2" w:space="0" w:color="auto"/>
              <w:right w:val="nil"/>
            </w:tcBorders>
            <w:shd w:val="clear" w:color="auto" w:fill="auto"/>
            <w:vAlign w:val="center"/>
            <w:hideMark/>
          </w:tcPr>
          <w:p w14:paraId="20A400F5" w14:textId="2A663FB0" w:rsidR="008433A0" w:rsidRPr="00933A7F" w:rsidRDefault="008433A0" w:rsidP="00271C18">
            <w:pPr>
              <w:pStyle w:val="cuatexto"/>
              <w:spacing w:line="240" w:lineRule="auto"/>
              <w:jc w:val="right"/>
              <w:rPr>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4EC589E0" w14:textId="77777777" w:rsidR="008433A0" w:rsidRPr="00933A7F" w:rsidRDefault="008433A0" w:rsidP="00271C18">
            <w:pPr>
              <w:pStyle w:val="cuatexto"/>
              <w:spacing w:line="240" w:lineRule="auto"/>
              <w:jc w:val="right"/>
              <w:rPr>
                <w:color w:val="000000"/>
                <w:szCs w:val="20"/>
              </w:rPr>
            </w:pPr>
            <w:r>
              <w:rPr>
                <w:color w:val="000000"/>
              </w:rPr>
              <w:t>0,36</w:t>
            </w:r>
          </w:p>
        </w:tc>
      </w:tr>
      <w:tr w:rsidR="008433A0" w:rsidRPr="00933A7F" w14:paraId="5F0505EE"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447646A3" w14:textId="31B4E18D" w:rsidR="008433A0" w:rsidRPr="00933A7F" w:rsidRDefault="008433A0" w:rsidP="007B465C">
            <w:pPr>
              <w:pStyle w:val="cuatexto"/>
              <w:spacing w:line="240" w:lineRule="auto"/>
              <w:rPr>
                <w:b/>
                <w:bCs/>
                <w:i/>
                <w:iCs/>
                <w:szCs w:val="20"/>
              </w:rPr>
            </w:pPr>
            <w:r>
              <w:rPr>
                <w:b/>
                <w:i/>
              </w:rPr>
              <w:t xml:space="preserve"> Eragiketa arruntak</w:t>
            </w:r>
          </w:p>
        </w:tc>
        <w:tc>
          <w:tcPr>
            <w:tcW w:w="1413" w:type="dxa"/>
            <w:tcBorders>
              <w:top w:val="single" w:sz="2" w:space="0" w:color="auto"/>
              <w:left w:val="nil"/>
              <w:bottom w:val="single" w:sz="2" w:space="0" w:color="auto"/>
              <w:right w:val="nil"/>
            </w:tcBorders>
            <w:shd w:val="clear" w:color="auto" w:fill="auto"/>
            <w:vAlign w:val="center"/>
            <w:hideMark/>
          </w:tcPr>
          <w:p w14:paraId="0880ACF7" w14:textId="77777777" w:rsidR="008433A0" w:rsidRPr="00933A7F" w:rsidRDefault="008433A0" w:rsidP="00271C18">
            <w:pPr>
              <w:pStyle w:val="cuatexto"/>
              <w:spacing w:line="240" w:lineRule="auto"/>
              <w:jc w:val="right"/>
              <w:rPr>
                <w:b/>
                <w:bCs/>
                <w:i/>
                <w:iCs/>
                <w:color w:val="000000"/>
                <w:szCs w:val="20"/>
              </w:rPr>
            </w:pPr>
            <w:r>
              <w:rPr>
                <w:b/>
                <w:i/>
                <w:color w:val="000000"/>
              </w:rPr>
              <w:t>644,95</w:t>
            </w:r>
          </w:p>
        </w:tc>
        <w:tc>
          <w:tcPr>
            <w:tcW w:w="216" w:type="dxa"/>
            <w:tcBorders>
              <w:top w:val="single" w:sz="2" w:space="0" w:color="auto"/>
              <w:left w:val="nil"/>
              <w:bottom w:val="single" w:sz="2" w:space="0" w:color="auto"/>
              <w:right w:val="nil"/>
            </w:tcBorders>
            <w:shd w:val="clear" w:color="auto" w:fill="auto"/>
            <w:vAlign w:val="center"/>
            <w:hideMark/>
          </w:tcPr>
          <w:p w14:paraId="4B7839B9" w14:textId="2FA61EE0" w:rsidR="008433A0" w:rsidRPr="00933A7F" w:rsidRDefault="008433A0" w:rsidP="00271C18">
            <w:pPr>
              <w:pStyle w:val="cuatexto"/>
              <w:spacing w:line="240" w:lineRule="auto"/>
              <w:jc w:val="right"/>
              <w:rPr>
                <w:color w:val="000000"/>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5E4B5EAC" w14:textId="77777777" w:rsidR="008433A0" w:rsidRPr="00933A7F" w:rsidRDefault="008433A0" w:rsidP="00271C18">
            <w:pPr>
              <w:pStyle w:val="cuatexto"/>
              <w:spacing w:line="240" w:lineRule="auto"/>
              <w:jc w:val="right"/>
              <w:rPr>
                <w:b/>
                <w:bCs/>
                <w:i/>
                <w:iCs/>
                <w:color w:val="000000"/>
                <w:szCs w:val="20"/>
              </w:rPr>
            </w:pPr>
            <w:r>
              <w:rPr>
                <w:b/>
                <w:i/>
                <w:color w:val="000000"/>
              </w:rPr>
              <w:t>709,64</w:t>
            </w:r>
          </w:p>
        </w:tc>
        <w:tc>
          <w:tcPr>
            <w:tcW w:w="1579" w:type="dxa"/>
            <w:tcBorders>
              <w:top w:val="single" w:sz="2" w:space="0" w:color="auto"/>
              <w:left w:val="nil"/>
              <w:bottom w:val="single" w:sz="2" w:space="0" w:color="auto"/>
              <w:right w:val="nil"/>
            </w:tcBorders>
            <w:shd w:val="clear" w:color="auto" w:fill="auto"/>
            <w:vAlign w:val="center"/>
            <w:hideMark/>
          </w:tcPr>
          <w:p w14:paraId="0C7BDEFA" w14:textId="77777777" w:rsidR="008433A0" w:rsidRPr="00933A7F" w:rsidRDefault="008433A0" w:rsidP="00271C18">
            <w:pPr>
              <w:pStyle w:val="cuatexto"/>
              <w:spacing w:line="240" w:lineRule="auto"/>
              <w:jc w:val="right"/>
              <w:rPr>
                <w:b/>
                <w:bCs/>
                <w:i/>
                <w:iCs/>
                <w:szCs w:val="20"/>
              </w:rPr>
            </w:pPr>
            <w:r>
              <w:rPr>
                <w:b/>
                <w:i/>
              </w:rPr>
              <w:t>80,9</w:t>
            </w:r>
          </w:p>
        </w:tc>
        <w:tc>
          <w:tcPr>
            <w:tcW w:w="197" w:type="dxa"/>
            <w:tcBorders>
              <w:top w:val="single" w:sz="2" w:space="0" w:color="auto"/>
              <w:left w:val="nil"/>
              <w:bottom w:val="single" w:sz="2" w:space="0" w:color="auto"/>
              <w:right w:val="nil"/>
            </w:tcBorders>
            <w:shd w:val="clear" w:color="auto" w:fill="auto"/>
            <w:vAlign w:val="center"/>
            <w:hideMark/>
          </w:tcPr>
          <w:p w14:paraId="0725E548" w14:textId="12FB4C59" w:rsidR="008433A0" w:rsidRPr="00933A7F" w:rsidRDefault="008433A0" w:rsidP="00271C18">
            <w:pPr>
              <w:pStyle w:val="cuatexto"/>
              <w:spacing w:line="240" w:lineRule="auto"/>
              <w:jc w:val="right"/>
              <w:rPr>
                <w:color w:val="000000"/>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53D9A112" w14:textId="77777777" w:rsidR="008433A0" w:rsidRPr="00933A7F" w:rsidRDefault="008433A0" w:rsidP="00271C18">
            <w:pPr>
              <w:pStyle w:val="cuatexto"/>
              <w:spacing w:line="240" w:lineRule="auto"/>
              <w:jc w:val="right"/>
              <w:rPr>
                <w:b/>
                <w:bCs/>
                <w:color w:val="000000"/>
                <w:szCs w:val="20"/>
              </w:rPr>
            </w:pPr>
            <w:r>
              <w:rPr>
                <w:b/>
                <w:color w:val="000000"/>
              </w:rPr>
              <w:t>64,69</w:t>
            </w:r>
          </w:p>
        </w:tc>
      </w:tr>
      <w:tr w:rsidR="008433A0" w:rsidRPr="00933A7F" w14:paraId="112737BB"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5EC165DC" w14:textId="3D7B0E21" w:rsidR="008433A0" w:rsidRPr="00933A7F" w:rsidRDefault="007B465C" w:rsidP="007B465C">
            <w:pPr>
              <w:pStyle w:val="cuatexto"/>
              <w:spacing w:line="240" w:lineRule="auto"/>
              <w:rPr>
                <w:color w:val="000000"/>
                <w:szCs w:val="20"/>
              </w:rPr>
            </w:pPr>
            <w:r>
              <w:rPr>
                <w:color w:val="000000"/>
              </w:rPr>
              <w:t>5. Kontingentzia funtsa</w:t>
            </w:r>
          </w:p>
        </w:tc>
        <w:tc>
          <w:tcPr>
            <w:tcW w:w="1413" w:type="dxa"/>
            <w:tcBorders>
              <w:top w:val="single" w:sz="2" w:space="0" w:color="auto"/>
              <w:left w:val="nil"/>
              <w:bottom w:val="single" w:sz="2" w:space="0" w:color="auto"/>
              <w:right w:val="nil"/>
            </w:tcBorders>
            <w:shd w:val="clear" w:color="auto" w:fill="auto"/>
            <w:vAlign w:val="center"/>
            <w:hideMark/>
          </w:tcPr>
          <w:p w14:paraId="3C6D8010" w14:textId="77777777" w:rsidR="008433A0" w:rsidRPr="00933A7F" w:rsidRDefault="008433A0" w:rsidP="00271C18">
            <w:pPr>
              <w:pStyle w:val="cuatexto"/>
              <w:spacing w:line="240" w:lineRule="auto"/>
              <w:jc w:val="right"/>
              <w:rPr>
                <w:color w:val="000000"/>
                <w:szCs w:val="20"/>
              </w:rPr>
            </w:pPr>
            <w:r>
              <w:rPr>
                <w:color w:val="000000"/>
              </w:rPr>
              <w:t>0,00</w:t>
            </w:r>
          </w:p>
        </w:tc>
        <w:tc>
          <w:tcPr>
            <w:tcW w:w="216" w:type="dxa"/>
            <w:tcBorders>
              <w:top w:val="single" w:sz="2" w:space="0" w:color="auto"/>
              <w:left w:val="nil"/>
              <w:bottom w:val="single" w:sz="2" w:space="0" w:color="auto"/>
              <w:right w:val="nil"/>
            </w:tcBorders>
            <w:shd w:val="clear" w:color="auto" w:fill="auto"/>
            <w:vAlign w:val="center"/>
            <w:hideMark/>
          </w:tcPr>
          <w:p w14:paraId="4FD6C92B" w14:textId="4DACA50F" w:rsidR="008433A0" w:rsidRPr="00933A7F" w:rsidRDefault="008433A0" w:rsidP="00271C18">
            <w:pPr>
              <w:pStyle w:val="cuatexto"/>
              <w:spacing w:line="240" w:lineRule="auto"/>
              <w:jc w:val="right"/>
              <w:rPr>
                <w:b/>
                <w:bCs/>
                <w:i/>
                <w:iCs/>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7DF04AE9" w14:textId="77777777" w:rsidR="008433A0" w:rsidRPr="00933A7F" w:rsidRDefault="008433A0" w:rsidP="00271C18">
            <w:pPr>
              <w:pStyle w:val="cuatexto"/>
              <w:spacing w:line="240" w:lineRule="auto"/>
              <w:jc w:val="right"/>
              <w:rPr>
                <w:color w:val="000000"/>
                <w:szCs w:val="20"/>
              </w:rPr>
            </w:pPr>
            <w:r>
              <w:rPr>
                <w:color w:val="000000"/>
              </w:rPr>
              <w:t>0,00</w:t>
            </w:r>
          </w:p>
        </w:tc>
        <w:tc>
          <w:tcPr>
            <w:tcW w:w="1579" w:type="dxa"/>
            <w:tcBorders>
              <w:top w:val="single" w:sz="2" w:space="0" w:color="auto"/>
              <w:left w:val="nil"/>
              <w:bottom w:val="single" w:sz="2" w:space="0" w:color="auto"/>
              <w:right w:val="nil"/>
            </w:tcBorders>
            <w:shd w:val="clear" w:color="auto" w:fill="auto"/>
            <w:vAlign w:val="center"/>
            <w:hideMark/>
          </w:tcPr>
          <w:p w14:paraId="0676DA1D" w14:textId="77777777" w:rsidR="008433A0" w:rsidRPr="00933A7F" w:rsidRDefault="008433A0" w:rsidP="00271C18">
            <w:pPr>
              <w:pStyle w:val="cuatexto"/>
              <w:spacing w:line="240" w:lineRule="auto"/>
              <w:jc w:val="right"/>
              <w:rPr>
                <w:szCs w:val="20"/>
              </w:rPr>
            </w:pPr>
            <w:r>
              <w:t>0,0</w:t>
            </w:r>
          </w:p>
        </w:tc>
        <w:tc>
          <w:tcPr>
            <w:tcW w:w="197" w:type="dxa"/>
            <w:tcBorders>
              <w:top w:val="single" w:sz="2" w:space="0" w:color="auto"/>
              <w:left w:val="nil"/>
              <w:bottom w:val="single" w:sz="2" w:space="0" w:color="auto"/>
              <w:right w:val="nil"/>
            </w:tcBorders>
            <w:shd w:val="clear" w:color="auto" w:fill="auto"/>
            <w:vAlign w:val="center"/>
            <w:hideMark/>
          </w:tcPr>
          <w:p w14:paraId="189A3B9E" w14:textId="73450929" w:rsidR="008433A0" w:rsidRPr="00933A7F" w:rsidRDefault="008433A0" w:rsidP="00271C18">
            <w:pPr>
              <w:pStyle w:val="cuatexto"/>
              <w:spacing w:line="240" w:lineRule="auto"/>
              <w:jc w:val="right"/>
              <w:rPr>
                <w:b/>
                <w:bCs/>
                <w:i/>
                <w:iCs/>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6FEDCEE6" w14:textId="77777777" w:rsidR="008433A0" w:rsidRPr="00933A7F" w:rsidRDefault="008433A0" w:rsidP="00271C18">
            <w:pPr>
              <w:pStyle w:val="cuatexto"/>
              <w:spacing w:line="240" w:lineRule="auto"/>
              <w:jc w:val="right"/>
              <w:rPr>
                <w:color w:val="000000"/>
                <w:szCs w:val="20"/>
              </w:rPr>
            </w:pPr>
            <w:r>
              <w:rPr>
                <w:color w:val="000000"/>
              </w:rPr>
              <w:t>0,00</w:t>
            </w:r>
          </w:p>
        </w:tc>
      </w:tr>
      <w:tr w:rsidR="008433A0" w:rsidRPr="00933A7F" w14:paraId="3ED0F72A"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2891C33F" w14:textId="35EC315F" w:rsidR="008433A0" w:rsidRPr="00933A7F" w:rsidRDefault="008433A0" w:rsidP="007B465C">
            <w:pPr>
              <w:pStyle w:val="cuatexto"/>
              <w:spacing w:line="240" w:lineRule="auto"/>
              <w:rPr>
                <w:b/>
                <w:bCs/>
                <w:i/>
                <w:iCs/>
                <w:szCs w:val="20"/>
              </w:rPr>
            </w:pPr>
            <w:r>
              <w:rPr>
                <w:b/>
                <w:i/>
              </w:rPr>
              <w:t xml:space="preserve"> Kontingentzia funtsa</w:t>
            </w:r>
          </w:p>
        </w:tc>
        <w:tc>
          <w:tcPr>
            <w:tcW w:w="1413" w:type="dxa"/>
            <w:tcBorders>
              <w:top w:val="single" w:sz="2" w:space="0" w:color="auto"/>
              <w:left w:val="nil"/>
              <w:bottom w:val="single" w:sz="2" w:space="0" w:color="auto"/>
              <w:right w:val="nil"/>
            </w:tcBorders>
            <w:shd w:val="clear" w:color="auto" w:fill="auto"/>
            <w:vAlign w:val="center"/>
            <w:hideMark/>
          </w:tcPr>
          <w:p w14:paraId="7AFC1835" w14:textId="77777777" w:rsidR="008433A0" w:rsidRPr="00933A7F" w:rsidRDefault="008433A0" w:rsidP="00271C18">
            <w:pPr>
              <w:pStyle w:val="cuatexto"/>
              <w:spacing w:line="240" w:lineRule="auto"/>
              <w:jc w:val="right"/>
              <w:rPr>
                <w:b/>
                <w:bCs/>
                <w:i/>
                <w:iCs/>
                <w:color w:val="000000"/>
                <w:szCs w:val="20"/>
              </w:rPr>
            </w:pPr>
            <w:r>
              <w:rPr>
                <w:b/>
                <w:i/>
                <w:color w:val="000000"/>
              </w:rPr>
              <w:t>0,00</w:t>
            </w:r>
          </w:p>
        </w:tc>
        <w:tc>
          <w:tcPr>
            <w:tcW w:w="216" w:type="dxa"/>
            <w:tcBorders>
              <w:top w:val="single" w:sz="2" w:space="0" w:color="auto"/>
              <w:left w:val="nil"/>
              <w:bottom w:val="single" w:sz="2" w:space="0" w:color="auto"/>
              <w:right w:val="nil"/>
            </w:tcBorders>
            <w:shd w:val="clear" w:color="auto" w:fill="auto"/>
            <w:vAlign w:val="center"/>
            <w:hideMark/>
          </w:tcPr>
          <w:p w14:paraId="34399EAB" w14:textId="3A7D6C7F" w:rsidR="008433A0" w:rsidRPr="00933A7F" w:rsidRDefault="008433A0" w:rsidP="00271C18">
            <w:pPr>
              <w:pStyle w:val="cuatexto"/>
              <w:spacing w:line="240" w:lineRule="auto"/>
              <w:jc w:val="right"/>
              <w:rPr>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2188D1E0" w14:textId="77777777" w:rsidR="008433A0" w:rsidRPr="00933A7F" w:rsidRDefault="008433A0" w:rsidP="00271C18">
            <w:pPr>
              <w:pStyle w:val="cuatexto"/>
              <w:spacing w:line="240" w:lineRule="auto"/>
              <w:jc w:val="right"/>
              <w:rPr>
                <w:b/>
                <w:bCs/>
                <w:i/>
                <w:iCs/>
                <w:color w:val="000000"/>
                <w:szCs w:val="20"/>
              </w:rPr>
            </w:pPr>
            <w:r>
              <w:rPr>
                <w:b/>
                <w:i/>
                <w:color w:val="000000"/>
              </w:rPr>
              <w:t>0,00</w:t>
            </w:r>
          </w:p>
        </w:tc>
        <w:tc>
          <w:tcPr>
            <w:tcW w:w="1579" w:type="dxa"/>
            <w:tcBorders>
              <w:top w:val="single" w:sz="2" w:space="0" w:color="auto"/>
              <w:left w:val="nil"/>
              <w:bottom w:val="single" w:sz="2" w:space="0" w:color="auto"/>
              <w:right w:val="nil"/>
            </w:tcBorders>
            <w:shd w:val="clear" w:color="auto" w:fill="auto"/>
            <w:vAlign w:val="center"/>
            <w:hideMark/>
          </w:tcPr>
          <w:p w14:paraId="18E84A5B" w14:textId="77777777" w:rsidR="008433A0" w:rsidRPr="00933A7F" w:rsidRDefault="008433A0" w:rsidP="00271C18">
            <w:pPr>
              <w:pStyle w:val="cuatexto"/>
              <w:spacing w:line="240" w:lineRule="auto"/>
              <w:jc w:val="right"/>
              <w:rPr>
                <w:b/>
                <w:bCs/>
                <w:i/>
                <w:iCs/>
                <w:szCs w:val="20"/>
              </w:rPr>
            </w:pPr>
            <w:r>
              <w:rPr>
                <w:b/>
                <w:i/>
              </w:rPr>
              <w:t>0,0</w:t>
            </w:r>
          </w:p>
        </w:tc>
        <w:tc>
          <w:tcPr>
            <w:tcW w:w="197" w:type="dxa"/>
            <w:tcBorders>
              <w:top w:val="single" w:sz="2" w:space="0" w:color="auto"/>
              <w:left w:val="nil"/>
              <w:bottom w:val="single" w:sz="2" w:space="0" w:color="auto"/>
              <w:right w:val="nil"/>
            </w:tcBorders>
            <w:shd w:val="clear" w:color="auto" w:fill="auto"/>
            <w:vAlign w:val="center"/>
            <w:hideMark/>
          </w:tcPr>
          <w:p w14:paraId="22793F94" w14:textId="78B80EB0" w:rsidR="008433A0" w:rsidRPr="00933A7F" w:rsidRDefault="008433A0" w:rsidP="00271C18">
            <w:pPr>
              <w:pStyle w:val="cuatexto"/>
              <w:spacing w:line="240" w:lineRule="auto"/>
              <w:jc w:val="right"/>
              <w:rPr>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2088E549" w14:textId="77777777" w:rsidR="008433A0" w:rsidRPr="00933A7F" w:rsidRDefault="008433A0" w:rsidP="00271C18">
            <w:pPr>
              <w:pStyle w:val="cuatexto"/>
              <w:spacing w:line="240" w:lineRule="auto"/>
              <w:jc w:val="right"/>
              <w:rPr>
                <w:b/>
                <w:bCs/>
                <w:color w:val="000000"/>
                <w:szCs w:val="20"/>
              </w:rPr>
            </w:pPr>
            <w:r>
              <w:rPr>
                <w:b/>
                <w:color w:val="000000"/>
              </w:rPr>
              <w:t>0,00</w:t>
            </w:r>
          </w:p>
        </w:tc>
      </w:tr>
      <w:tr w:rsidR="008433A0" w:rsidRPr="00933A7F" w14:paraId="3E9E7783"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71A6D155" w14:textId="3A4F59CC" w:rsidR="008433A0" w:rsidRPr="00933A7F" w:rsidRDefault="007B465C" w:rsidP="007B465C">
            <w:pPr>
              <w:pStyle w:val="cuatexto"/>
              <w:spacing w:line="240" w:lineRule="auto"/>
              <w:rPr>
                <w:szCs w:val="20"/>
              </w:rPr>
            </w:pPr>
            <w:r>
              <w:t>6. Inbertsio errealak</w:t>
            </w:r>
          </w:p>
        </w:tc>
        <w:tc>
          <w:tcPr>
            <w:tcW w:w="1413" w:type="dxa"/>
            <w:tcBorders>
              <w:top w:val="single" w:sz="2" w:space="0" w:color="auto"/>
              <w:left w:val="nil"/>
              <w:bottom w:val="single" w:sz="2" w:space="0" w:color="auto"/>
              <w:right w:val="nil"/>
            </w:tcBorders>
            <w:shd w:val="clear" w:color="auto" w:fill="auto"/>
            <w:vAlign w:val="center"/>
            <w:hideMark/>
          </w:tcPr>
          <w:p w14:paraId="27B9AA3C" w14:textId="77777777" w:rsidR="008433A0" w:rsidRPr="00933A7F" w:rsidRDefault="008433A0" w:rsidP="00271C18">
            <w:pPr>
              <w:pStyle w:val="cuatexto"/>
              <w:spacing w:line="240" w:lineRule="auto"/>
              <w:jc w:val="right"/>
              <w:rPr>
                <w:color w:val="000000"/>
                <w:szCs w:val="20"/>
              </w:rPr>
            </w:pPr>
            <w:r>
              <w:rPr>
                <w:color w:val="000000"/>
              </w:rPr>
              <w:t>115,49</w:t>
            </w:r>
          </w:p>
        </w:tc>
        <w:tc>
          <w:tcPr>
            <w:tcW w:w="216" w:type="dxa"/>
            <w:tcBorders>
              <w:top w:val="single" w:sz="2" w:space="0" w:color="auto"/>
              <w:left w:val="nil"/>
              <w:bottom w:val="single" w:sz="2" w:space="0" w:color="auto"/>
              <w:right w:val="nil"/>
            </w:tcBorders>
            <w:shd w:val="clear" w:color="auto" w:fill="auto"/>
            <w:vAlign w:val="center"/>
            <w:hideMark/>
          </w:tcPr>
          <w:p w14:paraId="18C4791F" w14:textId="48186BE0" w:rsidR="008433A0" w:rsidRPr="00933A7F" w:rsidRDefault="008433A0" w:rsidP="00271C18">
            <w:pPr>
              <w:pStyle w:val="cuatexto"/>
              <w:spacing w:line="240" w:lineRule="auto"/>
              <w:jc w:val="right"/>
              <w:rPr>
                <w:color w:val="000000"/>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44674C04" w14:textId="77777777" w:rsidR="008433A0" w:rsidRPr="00933A7F" w:rsidRDefault="008433A0" w:rsidP="00271C18">
            <w:pPr>
              <w:pStyle w:val="cuatexto"/>
              <w:spacing w:line="240" w:lineRule="auto"/>
              <w:jc w:val="right"/>
              <w:rPr>
                <w:color w:val="000000"/>
                <w:szCs w:val="20"/>
              </w:rPr>
            </w:pPr>
            <w:r>
              <w:rPr>
                <w:color w:val="000000"/>
              </w:rPr>
              <w:t>129,24</w:t>
            </w:r>
          </w:p>
        </w:tc>
        <w:tc>
          <w:tcPr>
            <w:tcW w:w="1579" w:type="dxa"/>
            <w:tcBorders>
              <w:top w:val="single" w:sz="2" w:space="0" w:color="auto"/>
              <w:left w:val="nil"/>
              <w:bottom w:val="single" w:sz="2" w:space="0" w:color="auto"/>
              <w:right w:val="nil"/>
            </w:tcBorders>
            <w:shd w:val="clear" w:color="auto" w:fill="auto"/>
            <w:vAlign w:val="center"/>
            <w:hideMark/>
          </w:tcPr>
          <w:p w14:paraId="49DC004E" w14:textId="77777777" w:rsidR="008433A0" w:rsidRPr="00933A7F" w:rsidRDefault="008433A0" w:rsidP="00271C18">
            <w:pPr>
              <w:pStyle w:val="cuatexto"/>
              <w:spacing w:line="240" w:lineRule="auto"/>
              <w:jc w:val="right"/>
              <w:rPr>
                <w:szCs w:val="20"/>
              </w:rPr>
            </w:pPr>
            <w:r>
              <w:t>14,7</w:t>
            </w:r>
          </w:p>
        </w:tc>
        <w:tc>
          <w:tcPr>
            <w:tcW w:w="197" w:type="dxa"/>
            <w:tcBorders>
              <w:top w:val="single" w:sz="2" w:space="0" w:color="auto"/>
              <w:left w:val="nil"/>
              <w:bottom w:val="single" w:sz="2" w:space="0" w:color="auto"/>
              <w:right w:val="nil"/>
            </w:tcBorders>
            <w:shd w:val="clear" w:color="auto" w:fill="auto"/>
            <w:vAlign w:val="center"/>
            <w:hideMark/>
          </w:tcPr>
          <w:p w14:paraId="18049BC9" w14:textId="6BEF469D" w:rsidR="008433A0" w:rsidRPr="00933A7F" w:rsidRDefault="008433A0" w:rsidP="00271C18">
            <w:pPr>
              <w:pStyle w:val="cuatexto"/>
              <w:spacing w:line="240" w:lineRule="auto"/>
              <w:jc w:val="right"/>
              <w:rPr>
                <w:color w:val="000000"/>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03D933A2" w14:textId="77777777" w:rsidR="008433A0" w:rsidRPr="00933A7F" w:rsidRDefault="008433A0" w:rsidP="00271C18">
            <w:pPr>
              <w:pStyle w:val="cuatexto"/>
              <w:spacing w:line="240" w:lineRule="auto"/>
              <w:jc w:val="right"/>
              <w:rPr>
                <w:color w:val="000000"/>
                <w:szCs w:val="20"/>
              </w:rPr>
            </w:pPr>
            <w:r>
              <w:rPr>
                <w:color w:val="000000"/>
              </w:rPr>
              <w:t>13,75</w:t>
            </w:r>
          </w:p>
        </w:tc>
      </w:tr>
      <w:tr w:rsidR="008433A0" w:rsidRPr="00933A7F" w14:paraId="3789227B"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605BB621" w14:textId="6D2002EF" w:rsidR="008433A0" w:rsidRPr="00933A7F" w:rsidRDefault="007B465C" w:rsidP="007B465C">
            <w:pPr>
              <w:pStyle w:val="cuatexto"/>
              <w:spacing w:line="240" w:lineRule="auto"/>
              <w:rPr>
                <w:color w:val="000000"/>
                <w:szCs w:val="20"/>
              </w:rPr>
            </w:pPr>
            <w:r>
              <w:rPr>
                <w:color w:val="000000"/>
              </w:rPr>
              <w:t>7. Kapital-transferentziak</w:t>
            </w:r>
          </w:p>
        </w:tc>
        <w:tc>
          <w:tcPr>
            <w:tcW w:w="1413" w:type="dxa"/>
            <w:tcBorders>
              <w:top w:val="single" w:sz="2" w:space="0" w:color="auto"/>
              <w:left w:val="nil"/>
              <w:bottom w:val="single" w:sz="2" w:space="0" w:color="auto"/>
              <w:right w:val="nil"/>
            </w:tcBorders>
            <w:shd w:val="clear" w:color="auto" w:fill="auto"/>
            <w:vAlign w:val="center"/>
            <w:hideMark/>
          </w:tcPr>
          <w:p w14:paraId="3966EC27" w14:textId="77777777" w:rsidR="008433A0" w:rsidRPr="00933A7F" w:rsidRDefault="008433A0" w:rsidP="00271C18">
            <w:pPr>
              <w:pStyle w:val="cuatexto"/>
              <w:spacing w:line="240" w:lineRule="auto"/>
              <w:jc w:val="right"/>
              <w:rPr>
                <w:color w:val="000000"/>
                <w:szCs w:val="20"/>
              </w:rPr>
            </w:pPr>
            <w:r>
              <w:rPr>
                <w:color w:val="000000"/>
              </w:rPr>
              <w:t>8,10</w:t>
            </w:r>
          </w:p>
        </w:tc>
        <w:tc>
          <w:tcPr>
            <w:tcW w:w="216" w:type="dxa"/>
            <w:tcBorders>
              <w:top w:val="single" w:sz="2" w:space="0" w:color="auto"/>
              <w:left w:val="nil"/>
              <w:bottom w:val="single" w:sz="2" w:space="0" w:color="auto"/>
              <w:right w:val="nil"/>
            </w:tcBorders>
            <w:shd w:val="clear" w:color="auto" w:fill="auto"/>
            <w:vAlign w:val="center"/>
            <w:hideMark/>
          </w:tcPr>
          <w:p w14:paraId="3C7E57AE" w14:textId="5574F7DC" w:rsidR="008433A0" w:rsidRPr="00933A7F" w:rsidRDefault="008433A0" w:rsidP="00271C18">
            <w:pPr>
              <w:pStyle w:val="cuatexto"/>
              <w:spacing w:line="240" w:lineRule="auto"/>
              <w:jc w:val="right"/>
              <w:rPr>
                <w:b/>
                <w:bCs/>
                <w:i/>
                <w:iCs/>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55F67AF0" w14:textId="77777777" w:rsidR="008433A0" w:rsidRPr="00933A7F" w:rsidRDefault="008433A0" w:rsidP="00271C18">
            <w:pPr>
              <w:pStyle w:val="cuatexto"/>
              <w:spacing w:line="240" w:lineRule="auto"/>
              <w:jc w:val="right"/>
              <w:rPr>
                <w:color w:val="000000"/>
                <w:szCs w:val="20"/>
              </w:rPr>
            </w:pPr>
            <w:r>
              <w:rPr>
                <w:color w:val="000000"/>
              </w:rPr>
              <w:t>8,10</w:t>
            </w:r>
          </w:p>
        </w:tc>
        <w:tc>
          <w:tcPr>
            <w:tcW w:w="1579" w:type="dxa"/>
            <w:tcBorders>
              <w:top w:val="single" w:sz="2" w:space="0" w:color="auto"/>
              <w:left w:val="nil"/>
              <w:bottom w:val="single" w:sz="2" w:space="0" w:color="auto"/>
              <w:right w:val="nil"/>
            </w:tcBorders>
            <w:shd w:val="clear" w:color="auto" w:fill="auto"/>
            <w:vAlign w:val="center"/>
            <w:hideMark/>
          </w:tcPr>
          <w:p w14:paraId="6BD72306" w14:textId="77777777" w:rsidR="008433A0" w:rsidRPr="00933A7F" w:rsidRDefault="008433A0" w:rsidP="00271C18">
            <w:pPr>
              <w:pStyle w:val="cuatexto"/>
              <w:spacing w:line="240" w:lineRule="auto"/>
              <w:jc w:val="right"/>
              <w:rPr>
                <w:szCs w:val="20"/>
              </w:rPr>
            </w:pPr>
            <w:r>
              <w:t>0,9</w:t>
            </w:r>
          </w:p>
        </w:tc>
        <w:tc>
          <w:tcPr>
            <w:tcW w:w="197" w:type="dxa"/>
            <w:tcBorders>
              <w:top w:val="single" w:sz="2" w:space="0" w:color="auto"/>
              <w:left w:val="nil"/>
              <w:bottom w:val="single" w:sz="2" w:space="0" w:color="auto"/>
              <w:right w:val="nil"/>
            </w:tcBorders>
            <w:shd w:val="clear" w:color="auto" w:fill="auto"/>
            <w:vAlign w:val="center"/>
            <w:hideMark/>
          </w:tcPr>
          <w:p w14:paraId="37679537" w14:textId="03559276" w:rsidR="008433A0" w:rsidRPr="00933A7F" w:rsidRDefault="008433A0" w:rsidP="00271C18">
            <w:pPr>
              <w:pStyle w:val="cuatexto"/>
              <w:spacing w:line="240" w:lineRule="auto"/>
              <w:jc w:val="right"/>
              <w:rPr>
                <w:b/>
                <w:bCs/>
                <w:i/>
                <w:iCs/>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1BD43886" w14:textId="77777777" w:rsidR="008433A0" w:rsidRPr="00933A7F" w:rsidRDefault="008433A0" w:rsidP="00271C18">
            <w:pPr>
              <w:pStyle w:val="cuatexto"/>
              <w:spacing w:line="240" w:lineRule="auto"/>
              <w:jc w:val="right"/>
              <w:rPr>
                <w:color w:val="000000"/>
                <w:szCs w:val="20"/>
              </w:rPr>
            </w:pPr>
            <w:r>
              <w:rPr>
                <w:color w:val="000000"/>
              </w:rPr>
              <w:t>0,00</w:t>
            </w:r>
          </w:p>
        </w:tc>
      </w:tr>
      <w:tr w:rsidR="008433A0" w:rsidRPr="00933A7F" w14:paraId="07919164"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22FC8C32" w14:textId="10958D96" w:rsidR="008433A0" w:rsidRPr="00933A7F" w:rsidRDefault="008433A0" w:rsidP="007B465C">
            <w:pPr>
              <w:pStyle w:val="cuatexto"/>
              <w:spacing w:line="240" w:lineRule="auto"/>
              <w:rPr>
                <w:b/>
                <w:bCs/>
                <w:i/>
                <w:iCs/>
                <w:szCs w:val="20"/>
              </w:rPr>
            </w:pPr>
            <w:r>
              <w:rPr>
                <w:b/>
                <w:i/>
              </w:rPr>
              <w:t xml:space="preserve"> Kapital-eragiketak</w:t>
            </w:r>
          </w:p>
        </w:tc>
        <w:tc>
          <w:tcPr>
            <w:tcW w:w="1413" w:type="dxa"/>
            <w:tcBorders>
              <w:top w:val="single" w:sz="2" w:space="0" w:color="auto"/>
              <w:left w:val="nil"/>
              <w:bottom w:val="single" w:sz="2" w:space="0" w:color="auto"/>
              <w:right w:val="nil"/>
            </w:tcBorders>
            <w:shd w:val="clear" w:color="auto" w:fill="auto"/>
            <w:vAlign w:val="center"/>
            <w:hideMark/>
          </w:tcPr>
          <w:p w14:paraId="4D9B26E4" w14:textId="77777777" w:rsidR="008433A0" w:rsidRPr="00933A7F" w:rsidRDefault="008433A0" w:rsidP="00271C18">
            <w:pPr>
              <w:pStyle w:val="cuatexto"/>
              <w:spacing w:line="240" w:lineRule="auto"/>
              <w:jc w:val="right"/>
              <w:rPr>
                <w:b/>
                <w:bCs/>
                <w:i/>
                <w:iCs/>
                <w:color w:val="000000"/>
                <w:szCs w:val="20"/>
              </w:rPr>
            </w:pPr>
            <w:r>
              <w:rPr>
                <w:b/>
                <w:i/>
                <w:color w:val="000000"/>
              </w:rPr>
              <w:t>123,59</w:t>
            </w:r>
          </w:p>
        </w:tc>
        <w:tc>
          <w:tcPr>
            <w:tcW w:w="216" w:type="dxa"/>
            <w:tcBorders>
              <w:top w:val="single" w:sz="2" w:space="0" w:color="auto"/>
              <w:left w:val="nil"/>
              <w:bottom w:val="single" w:sz="2" w:space="0" w:color="auto"/>
              <w:right w:val="nil"/>
            </w:tcBorders>
            <w:shd w:val="clear" w:color="auto" w:fill="auto"/>
            <w:vAlign w:val="center"/>
            <w:hideMark/>
          </w:tcPr>
          <w:p w14:paraId="542FD2AB" w14:textId="04E05CB0" w:rsidR="008433A0" w:rsidRPr="00933A7F" w:rsidRDefault="008433A0" w:rsidP="00271C18">
            <w:pPr>
              <w:pStyle w:val="cuatexto"/>
              <w:spacing w:line="240" w:lineRule="auto"/>
              <w:jc w:val="right"/>
              <w:rPr>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49B1BBCB" w14:textId="77777777" w:rsidR="008433A0" w:rsidRPr="00933A7F" w:rsidRDefault="008433A0" w:rsidP="00271C18">
            <w:pPr>
              <w:pStyle w:val="cuatexto"/>
              <w:spacing w:line="240" w:lineRule="auto"/>
              <w:jc w:val="right"/>
              <w:rPr>
                <w:b/>
                <w:bCs/>
                <w:i/>
                <w:iCs/>
                <w:color w:val="000000"/>
                <w:szCs w:val="20"/>
              </w:rPr>
            </w:pPr>
            <w:r>
              <w:rPr>
                <w:b/>
                <w:i/>
                <w:color w:val="000000"/>
              </w:rPr>
              <w:t>137,33</w:t>
            </w:r>
          </w:p>
        </w:tc>
        <w:tc>
          <w:tcPr>
            <w:tcW w:w="1579" w:type="dxa"/>
            <w:tcBorders>
              <w:top w:val="single" w:sz="2" w:space="0" w:color="auto"/>
              <w:left w:val="nil"/>
              <w:bottom w:val="single" w:sz="2" w:space="0" w:color="auto"/>
              <w:right w:val="nil"/>
            </w:tcBorders>
            <w:shd w:val="clear" w:color="auto" w:fill="auto"/>
            <w:vAlign w:val="center"/>
            <w:hideMark/>
          </w:tcPr>
          <w:p w14:paraId="427E3423" w14:textId="77777777" w:rsidR="008433A0" w:rsidRPr="00933A7F" w:rsidRDefault="008433A0" w:rsidP="00271C18">
            <w:pPr>
              <w:pStyle w:val="cuatexto"/>
              <w:spacing w:line="240" w:lineRule="auto"/>
              <w:jc w:val="right"/>
              <w:rPr>
                <w:b/>
                <w:bCs/>
                <w:i/>
                <w:iCs/>
                <w:szCs w:val="20"/>
              </w:rPr>
            </w:pPr>
            <w:r>
              <w:rPr>
                <w:b/>
                <w:i/>
              </w:rPr>
              <w:t>15,6</w:t>
            </w:r>
          </w:p>
        </w:tc>
        <w:tc>
          <w:tcPr>
            <w:tcW w:w="197" w:type="dxa"/>
            <w:tcBorders>
              <w:top w:val="single" w:sz="2" w:space="0" w:color="auto"/>
              <w:left w:val="nil"/>
              <w:bottom w:val="single" w:sz="2" w:space="0" w:color="auto"/>
              <w:right w:val="nil"/>
            </w:tcBorders>
            <w:shd w:val="clear" w:color="auto" w:fill="auto"/>
            <w:vAlign w:val="center"/>
            <w:hideMark/>
          </w:tcPr>
          <w:p w14:paraId="7EA2F0F0" w14:textId="2E5078AC" w:rsidR="008433A0" w:rsidRPr="00933A7F" w:rsidRDefault="008433A0" w:rsidP="00271C18">
            <w:pPr>
              <w:pStyle w:val="cuatexto"/>
              <w:spacing w:line="240" w:lineRule="auto"/>
              <w:jc w:val="right"/>
              <w:rPr>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4C02194E" w14:textId="77777777" w:rsidR="008433A0" w:rsidRPr="00933A7F" w:rsidRDefault="008433A0" w:rsidP="00271C18">
            <w:pPr>
              <w:pStyle w:val="cuatexto"/>
              <w:spacing w:line="240" w:lineRule="auto"/>
              <w:jc w:val="right"/>
              <w:rPr>
                <w:b/>
                <w:bCs/>
                <w:color w:val="000000"/>
                <w:szCs w:val="20"/>
              </w:rPr>
            </w:pPr>
            <w:r>
              <w:rPr>
                <w:b/>
                <w:color w:val="000000"/>
              </w:rPr>
              <w:t>13,75</w:t>
            </w:r>
          </w:p>
        </w:tc>
      </w:tr>
      <w:tr w:rsidR="008433A0" w:rsidRPr="00933A7F" w14:paraId="1E33EFD5"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76836AD0" w14:textId="02E03EC2" w:rsidR="008433A0" w:rsidRPr="00933A7F" w:rsidRDefault="007B465C" w:rsidP="007B465C">
            <w:pPr>
              <w:pStyle w:val="cuatexto"/>
              <w:spacing w:line="240" w:lineRule="auto"/>
              <w:rPr>
                <w:szCs w:val="20"/>
              </w:rPr>
            </w:pPr>
            <w:r>
              <w:t>8. Finantza-aktiboak</w:t>
            </w:r>
          </w:p>
        </w:tc>
        <w:tc>
          <w:tcPr>
            <w:tcW w:w="1413" w:type="dxa"/>
            <w:tcBorders>
              <w:top w:val="single" w:sz="2" w:space="0" w:color="auto"/>
              <w:left w:val="nil"/>
              <w:bottom w:val="single" w:sz="2" w:space="0" w:color="auto"/>
              <w:right w:val="nil"/>
            </w:tcBorders>
            <w:shd w:val="clear" w:color="auto" w:fill="auto"/>
            <w:vAlign w:val="center"/>
            <w:hideMark/>
          </w:tcPr>
          <w:p w14:paraId="2AA5A453" w14:textId="77777777" w:rsidR="008433A0" w:rsidRPr="00933A7F" w:rsidRDefault="008433A0" w:rsidP="00271C18">
            <w:pPr>
              <w:pStyle w:val="cuatexto"/>
              <w:spacing w:line="240" w:lineRule="auto"/>
              <w:jc w:val="right"/>
              <w:rPr>
                <w:color w:val="000000"/>
                <w:szCs w:val="20"/>
              </w:rPr>
            </w:pPr>
            <w:r>
              <w:rPr>
                <w:color w:val="000000"/>
              </w:rPr>
              <w:t>2,09</w:t>
            </w:r>
          </w:p>
        </w:tc>
        <w:tc>
          <w:tcPr>
            <w:tcW w:w="216" w:type="dxa"/>
            <w:tcBorders>
              <w:top w:val="single" w:sz="2" w:space="0" w:color="auto"/>
              <w:left w:val="nil"/>
              <w:bottom w:val="single" w:sz="2" w:space="0" w:color="auto"/>
              <w:right w:val="nil"/>
            </w:tcBorders>
            <w:shd w:val="clear" w:color="auto" w:fill="auto"/>
            <w:vAlign w:val="center"/>
            <w:hideMark/>
          </w:tcPr>
          <w:p w14:paraId="2F9DDA3F" w14:textId="603222D1" w:rsidR="008433A0" w:rsidRPr="00933A7F" w:rsidRDefault="008433A0" w:rsidP="00271C18">
            <w:pPr>
              <w:pStyle w:val="cuatexto"/>
              <w:spacing w:line="240" w:lineRule="auto"/>
              <w:jc w:val="right"/>
              <w:rPr>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55CA7169" w14:textId="77777777" w:rsidR="008433A0" w:rsidRPr="00933A7F" w:rsidRDefault="008433A0" w:rsidP="00271C18">
            <w:pPr>
              <w:pStyle w:val="cuatexto"/>
              <w:spacing w:line="240" w:lineRule="auto"/>
              <w:jc w:val="right"/>
              <w:rPr>
                <w:color w:val="000000"/>
                <w:szCs w:val="20"/>
              </w:rPr>
            </w:pPr>
            <w:r>
              <w:rPr>
                <w:color w:val="000000"/>
              </w:rPr>
              <w:t>2,09</w:t>
            </w:r>
          </w:p>
        </w:tc>
        <w:tc>
          <w:tcPr>
            <w:tcW w:w="1579" w:type="dxa"/>
            <w:tcBorders>
              <w:top w:val="single" w:sz="2" w:space="0" w:color="auto"/>
              <w:left w:val="nil"/>
              <w:bottom w:val="single" w:sz="2" w:space="0" w:color="auto"/>
              <w:right w:val="nil"/>
            </w:tcBorders>
            <w:shd w:val="clear" w:color="auto" w:fill="auto"/>
            <w:vAlign w:val="center"/>
            <w:hideMark/>
          </w:tcPr>
          <w:p w14:paraId="526DB0C5" w14:textId="77777777" w:rsidR="008433A0" w:rsidRPr="00933A7F" w:rsidRDefault="008433A0" w:rsidP="00271C18">
            <w:pPr>
              <w:pStyle w:val="cuatexto"/>
              <w:spacing w:line="240" w:lineRule="auto"/>
              <w:jc w:val="right"/>
              <w:rPr>
                <w:szCs w:val="20"/>
              </w:rPr>
            </w:pPr>
            <w:r>
              <w:t>0,2</w:t>
            </w:r>
          </w:p>
        </w:tc>
        <w:tc>
          <w:tcPr>
            <w:tcW w:w="197" w:type="dxa"/>
            <w:tcBorders>
              <w:top w:val="single" w:sz="2" w:space="0" w:color="auto"/>
              <w:left w:val="nil"/>
              <w:bottom w:val="single" w:sz="2" w:space="0" w:color="auto"/>
              <w:right w:val="nil"/>
            </w:tcBorders>
            <w:shd w:val="clear" w:color="auto" w:fill="auto"/>
            <w:vAlign w:val="center"/>
            <w:hideMark/>
          </w:tcPr>
          <w:p w14:paraId="5523576C" w14:textId="7E6E9EF0" w:rsidR="008433A0" w:rsidRPr="00933A7F" w:rsidRDefault="008433A0" w:rsidP="00271C18">
            <w:pPr>
              <w:pStyle w:val="cuatexto"/>
              <w:spacing w:line="240" w:lineRule="auto"/>
              <w:jc w:val="right"/>
              <w:rPr>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47DDAC9D" w14:textId="77777777" w:rsidR="008433A0" w:rsidRPr="00933A7F" w:rsidRDefault="008433A0" w:rsidP="00271C18">
            <w:pPr>
              <w:pStyle w:val="cuatexto"/>
              <w:spacing w:line="240" w:lineRule="auto"/>
              <w:jc w:val="right"/>
              <w:rPr>
                <w:color w:val="000000"/>
                <w:szCs w:val="20"/>
              </w:rPr>
            </w:pPr>
            <w:r>
              <w:rPr>
                <w:color w:val="000000"/>
              </w:rPr>
              <w:t>0,00</w:t>
            </w:r>
          </w:p>
        </w:tc>
      </w:tr>
      <w:tr w:rsidR="008433A0" w:rsidRPr="00933A7F" w14:paraId="33587F64" w14:textId="77777777" w:rsidTr="00A42B4F">
        <w:trPr>
          <w:trHeight w:val="284"/>
        </w:trPr>
        <w:tc>
          <w:tcPr>
            <w:tcW w:w="2330" w:type="dxa"/>
            <w:tcBorders>
              <w:top w:val="single" w:sz="2" w:space="0" w:color="auto"/>
              <w:left w:val="nil"/>
              <w:bottom w:val="single" w:sz="2" w:space="0" w:color="auto"/>
              <w:right w:val="nil"/>
            </w:tcBorders>
            <w:shd w:val="clear" w:color="auto" w:fill="auto"/>
            <w:vAlign w:val="center"/>
            <w:hideMark/>
          </w:tcPr>
          <w:p w14:paraId="49848E54" w14:textId="2375BCBC" w:rsidR="008433A0" w:rsidRPr="00933A7F" w:rsidRDefault="007B465C" w:rsidP="007B465C">
            <w:pPr>
              <w:pStyle w:val="cuatexto"/>
              <w:spacing w:line="240" w:lineRule="auto"/>
              <w:rPr>
                <w:szCs w:val="20"/>
              </w:rPr>
            </w:pPr>
            <w:r>
              <w:t>9. Finantza-pasiboak</w:t>
            </w:r>
          </w:p>
        </w:tc>
        <w:tc>
          <w:tcPr>
            <w:tcW w:w="1413" w:type="dxa"/>
            <w:tcBorders>
              <w:top w:val="single" w:sz="2" w:space="0" w:color="auto"/>
              <w:left w:val="nil"/>
              <w:bottom w:val="single" w:sz="2" w:space="0" w:color="auto"/>
              <w:right w:val="nil"/>
            </w:tcBorders>
            <w:shd w:val="clear" w:color="auto" w:fill="auto"/>
            <w:vAlign w:val="center"/>
            <w:hideMark/>
          </w:tcPr>
          <w:p w14:paraId="7D54FF15" w14:textId="77777777" w:rsidR="008433A0" w:rsidRPr="00933A7F" w:rsidRDefault="008433A0" w:rsidP="00271C18">
            <w:pPr>
              <w:pStyle w:val="cuatexto"/>
              <w:spacing w:line="240" w:lineRule="auto"/>
              <w:jc w:val="right"/>
              <w:rPr>
                <w:color w:val="000000"/>
                <w:szCs w:val="20"/>
              </w:rPr>
            </w:pPr>
            <w:r>
              <w:rPr>
                <w:color w:val="000000"/>
              </w:rPr>
              <w:t>28,55</w:t>
            </w:r>
          </w:p>
        </w:tc>
        <w:tc>
          <w:tcPr>
            <w:tcW w:w="216" w:type="dxa"/>
            <w:tcBorders>
              <w:top w:val="single" w:sz="2" w:space="0" w:color="auto"/>
              <w:left w:val="nil"/>
              <w:bottom w:val="single" w:sz="2" w:space="0" w:color="auto"/>
              <w:right w:val="nil"/>
            </w:tcBorders>
            <w:shd w:val="clear" w:color="auto" w:fill="auto"/>
            <w:vAlign w:val="center"/>
            <w:hideMark/>
          </w:tcPr>
          <w:p w14:paraId="40CACF46" w14:textId="74D4566B" w:rsidR="008433A0" w:rsidRPr="00933A7F" w:rsidRDefault="008433A0" w:rsidP="00271C18">
            <w:pPr>
              <w:pStyle w:val="cuatexto"/>
              <w:spacing w:line="240" w:lineRule="auto"/>
              <w:jc w:val="right"/>
              <w:rPr>
                <w:b/>
                <w:bCs/>
                <w:i/>
                <w:iCs/>
                <w:szCs w:val="20"/>
                <w:lang w:val="es-ES" w:eastAsia="es-ES"/>
              </w:rPr>
            </w:pPr>
          </w:p>
        </w:tc>
        <w:tc>
          <w:tcPr>
            <w:tcW w:w="1480" w:type="dxa"/>
            <w:tcBorders>
              <w:top w:val="single" w:sz="2" w:space="0" w:color="auto"/>
              <w:left w:val="nil"/>
              <w:bottom w:val="single" w:sz="2" w:space="0" w:color="auto"/>
              <w:right w:val="nil"/>
            </w:tcBorders>
            <w:shd w:val="clear" w:color="auto" w:fill="auto"/>
            <w:vAlign w:val="center"/>
            <w:hideMark/>
          </w:tcPr>
          <w:p w14:paraId="3F7E9A01" w14:textId="77777777" w:rsidR="008433A0" w:rsidRPr="00933A7F" w:rsidRDefault="008433A0" w:rsidP="00271C18">
            <w:pPr>
              <w:pStyle w:val="cuatexto"/>
              <w:spacing w:line="240" w:lineRule="auto"/>
              <w:jc w:val="right"/>
              <w:rPr>
                <w:color w:val="000000"/>
                <w:szCs w:val="20"/>
              </w:rPr>
            </w:pPr>
            <w:r>
              <w:rPr>
                <w:color w:val="000000"/>
              </w:rPr>
              <w:t>28,55</w:t>
            </w:r>
          </w:p>
        </w:tc>
        <w:tc>
          <w:tcPr>
            <w:tcW w:w="1579" w:type="dxa"/>
            <w:tcBorders>
              <w:top w:val="single" w:sz="2" w:space="0" w:color="auto"/>
              <w:left w:val="nil"/>
              <w:bottom w:val="single" w:sz="2" w:space="0" w:color="auto"/>
              <w:right w:val="nil"/>
            </w:tcBorders>
            <w:shd w:val="clear" w:color="auto" w:fill="auto"/>
            <w:vAlign w:val="center"/>
            <w:hideMark/>
          </w:tcPr>
          <w:p w14:paraId="76E6EF94" w14:textId="77777777" w:rsidR="008433A0" w:rsidRPr="00933A7F" w:rsidRDefault="008433A0" w:rsidP="00271C18">
            <w:pPr>
              <w:pStyle w:val="cuatexto"/>
              <w:spacing w:line="240" w:lineRule="auto"/>
              <w:jc w:val="right"/>
              <w:rPr>
                <w:szCs w:val="20"/>
              </w:rPr>
            </w:pPr>
            <w:r>
              <w:t>3,3</w:t>
            </w:r>
          </w:p>
        </w:tc>
        <w:tc>
          <w:tcPr>
            <w:tcW w:w="197" w:type="dxa"/>
            <w:tcBorders>
              <w:top w:val="single" w:sz="2" w:space="0" w:color="auto"/>
              <w:left w:val="nil"/>
              <w:bottom w:val="single" w:sz="2" w:space="0" w:color="auto"/>
              <w:right w:val="nil"/>
            </w:tcBorders>
            <w:shd w:val="clear" w:color="auto" w:fill="auto"/>
            <w:vAlign w:val="center"/>
            <w:hideMark/>
          </w:tcPr>
          <w:p w14:paraId="1481EB18" w14:textId="1104432E" w:rsidR="008433A0" w:rsidRPr="00933A7F" w:rsidRDefault="008433A0" w:rsidP="00271C18">
            <w:pPr>
              <w:pStyle w:val="cuatexto"/>
              <w:spacing w:line="240" w:lineRule="auto"/>
              <w:jc w:val="right"/>
              <w:rPr>
                <w:b/>
                <w:bCs/>
                <w:i/>
                <w:iCs/>
                <w:szCs w:val="20"/>
                <w:lang w:val="es-ES" w:eastAsia="es-ES"/>
              </w:rPr>
            </w:pPr>
          </w:p>
        </w:tc>
        <w:tc>
          <w:tcPr>
            <w:tcW w:w="1524" w:type="dxa"/>
            <w:gridSpan w:val="2"/>
            <w:tcBorders>
              <w:top w:val="single" w:sz="2" w:space="0" w:color="auto"/>
              <w:left w:val="nil"/>
              <w:bottom w:val="single" w:sz="2" w:space="0" w:color="auto"/>
              <w:right w:val="nil"/>
            </w:tcBorders>
            <w:shd w:val="clear" w:color="auto" w:fill="auto"/>
            <w:vAlign w:val="center"/>
            <w:hideMark/>
          </w:tcPr>
          <w:p w14:paraId="5724A19A" w14:textId="77777777" w:rsidR="008433A0" w:rsidRPr="00933A7F" w:rsidRDefault="008433A0" w:rsidP="00271C18">
            <w:pPr>
              <w:pStyle w:val="cuatexto"/>
              <w:spacing w:line="240" w:lineRule="auto"/>
              <w:jc w:val="right"/>
              <w:rPr>
                <w:color w:val="000000"/>
                <w:szCs w:val="20"/>
              </w:rPr>
            </w:pPr>
            <w:r>
              <w:rPr>
                <w:color w:val="000000"/>
              </w:rPr>
              <w:t>0,00</w:t>
            </w:r>
          </w:p>
        </w:tc>
      </w:tr>
      <w:tr w:rsidR="008433A0" w:rsidRPr="00933A7F" w14:paraId="7C0C369A" w14:textId="77777777" w:rsidTr="00A42B4F">
        <w:trPr>
          <w:trHeight w:val="284"/>
        </w:trPr>
        <w:tc>
          <w:tcPr>
            <w:tcW w:w="2330" w:type="dxa"/>
            <w:tcBorders>
              <w:top w:val="single" w:sz="2" w:space="0" w:color="auto"/>
              <w:left w:val="nil"/>
              <w:bottom w:val="single" w:sz="4" w:space="0" w:color="000000"/>
              <w:right w:val="nil"/>
            </w:tcBorders>
            <w:shd w:val="clear" w:color="auto" w:fill="auto"/>
            <w:vAlign w:val="center"/>
            <w:hideMark/>
          </w:tcPr>
          <w:p w14:paraId="651BEF20" w14:textId="158C50DC" w:rsidR="008433A0" w:rsidRPr="00933A7F" w:rsidRDefault="008433A0" w:rsidP="007B465C">
            <w:pPr>
              <w:pStyle w:val="cuatexto"/>
              <w:spacing w:line="240" w:lineRule="auto"/>
              <w:rPr>
                <w:b/>
                <w:bCs/>
                <w:i/>
                <w:iCs/>
                <w:szCs w:val="20"/>
              </w:rPr>
            </w:pPr>
            <w:r>
              <w:rPr>
                <w:b/>
                <w:i/>
              </w:rPr>
              <w:t>Finantza-eragiketak</w:t>
            </w:r>
          </w:p>
        </w:tc>
        <w:tc>
          <w:tcPr>
            <w:tcW w:w="1413" w:type="dxa"/>
            <w:tcBorders>
              <w:top w:val="single" w:sz="2" w:space="0" w:color="auto"/>
              <w:left w:val="nil"/>
              <w:bottom w:val="single" w:sz="4" w:space="0" w:color="auto"/>
              <w:right w:val="nil"/>
            </w:tcBorders>
            <w:shd w:val="clear" w:color="auto" w:fill="auto"/>
            <w:vAlign w:val="center"/>
            <w:hideMark/>
          </w:tcPr>
          <w:p w14:paraId="7BB1899F" w14:textId="77777777" w:rsidR="008433A0" w:rsidRPr="00933A7F" w:rsidRDefault="008433A0" w:rsidP="00271C18">
            <w:pPr>
              <w:pStyle w:val="cuatexto"/>
              <w:spacing w:line="240" w:lineRule="auto"/>
              <w:jc w:val="right"/>
              <w:rPr>
                <w:b/>
                <w:bCs/>
                <w:i/>
                <w:iCs/>
                <w:color w:val="000000"/>
                <w:szCs w:val="20"/>
              </w:rPr>
            </w:pPr>
            <w:r>
              <w:rPr>
                <w:b/>
                <w:i/>
                <w:color w:val="000000"/>
              </w:rPr>
              <w:t>30,64</w:t>
            </w:r>
          </w:p>
        </w:tc>
        <w:tc>
          <w:tcPr>
            <w:tcW w:w="216" w:type="dxa"/>
            <w:tcBorders>
              <w:top w:val="single" w:sz="2" w:space="0" w:color="auto"/>
              <w:left w:val="nil"/>
              <w:bottom w:val="single" w:sz="4" w:space="0" w:color="auto"/>
              <w:right w:val="nil"/>
            </w:tcBorders>
            <w:shd w:val="clear" w:color="auto" w:fill="auto"/>
            <w:vAlign w:val="center"/>
            <w:hideMark/>
          </w:tcPr>
          <w:p w14:paraId="64F98149" w14:textId="6B91FC5F" w:rsidR="008433A0" w:rsidRPr="00933A7F" w:rsidRDefault="008433A0" w:rsidP="00271C18">
            <w:pPr>
              <w:pStyle w:val="cuatexto"/>
              <w:spacing w:line="240" w:lineRule="auto"/>
              <w:jc w:val="right"/>
              <w:rPr>
                <w:b/>
                <w:bCs/>
                <w:i/>
                <w:iCs/>
                <w:szCs w:val="20"/>
                <w:lang w:val="es-ES" w:eastAsia="es-ES"/>
              </w:rPr>
            </w:pPr>
          </w:p>
        </w:tc>
        <w:tc>
          <w:tcPr>
            <w:tcW w:w="1480" w:type="dxa"/>
            <w:tcBorders>
              <w:top w:val="single" w:sz="2" w:space="0" w:color="auto"/>
              <w:left w:val="nil"/>
              <w:bottom w:val="single" w:sz="4" w:space="0" w:color="auto"/>
              <w:right w:val="nil"/>
            </w:tcBorders>
            <w:shd w:val="clear" w:color="auto" w:fill="auto"/>
            <w:vAlign w:val="center"/>
            <w:hideMark/>
          </w:tcPr>
          <w:p w14:paraId="52E1B658" w14:textId="77777777" w:rsidR="008433A0" w:rsidRPr="00933A7F" w:rsidRDefault="008433A0" w:rsidP="00271C18">
            <w:pPr>
              <w:pStyle w:val="cuatexto"/>
              <w:spacing w:line="240" w:lineRule="auto"/>
              <w:jc w:val="right"/>
              <w:rPr>
                <w:b/>
                <w:bCs/>
                <w:i/>
                <w:iCs/>
                <w:color w:val="000000"/>
                <w:szCs w:val="20"/>
              </w:rPr>
            </w:pPr>
            <w:r>
              <w:rPr>
                <w:b/>
                <w:i/>
                <w:color w:val="000000"/>
              </w:rPr>
              <w:t>30,64</w:t>
            </w:r>
          </w:p>
        </w:tc>
        <w:tc>
          <w:tcPr>
            <w:tcW w:w="1579" w:type="dxa"/>
            <w:tcBorders>
              <w:top w:val="single" w:sz="2" w:space="0" w:color="auto"/>
              <w:left w:val="nil"/>
              <w:bottom w:val="single" w:sz="4" w:space="0" w:color="000000"/>
              <w:right w:val="nil"/>
            </w:tcBorders>
            <w:shd w:val="clear" w:color="auto" w:fill="auto"/>
            <w:vAlign w:val="center"/>
            <w:hideMark/>
          </w:tcPr>
          <w:p w14:paraId="381D2C3B" w14:textId="77777777" w:rsidR="008433A0" w:rsidRPr="00933A7F" w:rsidRDefault="008433A0" w:rsidP="00271C18">
            <w:pPr>
              <w:pStyle w:val="cuatexto"/>
              <w:spacing w:line="240" w:lineRule="auto"/>
              <w:jc w:val="right"/>
              <w:rPr>
                <w:b/>
                <w:bCs/>
                <w:i/>
                <w:iCs/>
                <w:szCs w:val="20"/>
              </w:rPr>
            </w:pPr>
            <w:r>
              <w:rPr>
                <w:b/>
                <w:i/>
              </w:rPr>
              <w:t>3,5</w:t>
            </w:r>
          </w:p>
        </w:tc>
        <w:tc>
          <w:tcPr>
            <w:tcW w:w="197" w:type="dxa"/>
            <w:tcBorders>
              <w:top w:val="single" w:sz="2" w:space="0" w:color="auto"/>
              <w:left w:val="nil"/>
              <w:bottom w:val="nil"/>
              <w:right w:val="nil"/>
            </w:tcBorders>
            <w:shd w:val="clear" w:color="auto" w:fill="auto"/>
            <w:noWrap/>
            <w:vAlign w:val="center"/>
            <w:hideMark/>
          </w:tcPr>
          <w:p w14:paraId="52369A3D" w14:textId="77777777" w:rsidR="008433A0" w:rsidRPr="00933A7F" w:rsidRDefault="008433A0" w:rsidP="00271C18">
            <w:pPr>
              <w:pStyle w:val="cuatexto"/>
              <w:spacing w:line="240" w:lineRule="auto"/>
              <w:jc w:val="right"/>
              <w:rPr>
                <w:b/>
                <w:bCs/>
                <w:i/>
                <w:iCs/>
                <w:szCs w:val="20"/>
                <w:lang w:val="es-ES" w:eastAsia="es-ES"/>
              </w:rPr>
            </w:pPr>
          </w:p>
        </w:tc>
        <w:tc>
          <w:tcPr>
            <w:tcW w:w="1524" w:type="dxa"/>
            <w:gridSpan w:val="2"/>
            <w:tcBorders>
              <w:top w:val="single" w:sz="2" w:space="0" w:color="auto"/>
              <w:left w:val="nil"/>
              <w:bottom w:val="single" w:sz="4" w:space="0" w:color="000000"/>
              <w:right w:val="nil"/>
            </w:tcBorders>
            <w:shd w:val="clear" w:color="auto" w:fill="auto"/>
            <w:vAlign w:val="center"/>
            <w:hideMark/>
          </w:tcPr>
          <w:p w14:paraId="13C808F4" w14:textId="77777777" w:rsidR="008433A0" w:rsidRPr="00933A7F" w:rsidRDefault="008433A0" w:rsidP="00271C18">
            <w:pPr>
              <w:pStyle w:val="cuatexto"/>
              <w:spacing w:line="240" w:lineRule="auto"/>
              <w:jc w:val="right"/>
              <w:rPr>
                <w:b/>
                <w:bCs/>
                <w:color w:val="000000"/>
                <w:szCs w:val="20"/>
              </w:rPr>
            </w:pPr>
            <w:r>
              <w:rPr>
                <w:b/>
                <w:color w:val="000000"/>
              </w:rPr>
              <w:t>0,00</w:t>
            </w:r>
          </w:p>
        </w:tc>
      </w:tr>
      <w:tr w:rsidR="008433A0" w:rsidRPr="00271C18" w14:paraId="40B74234" w14:textId="77777777" w:rsidTr="00A42B4F">
        <w:trPr>
          <w:trHeight w:val="284"/>
        </w:trPr>
        <w:tc>
          <w:tcPr>
            <w:tcW w:w="2330" w:type="dxa"/>
            <w:tcBorders>
              <w:top w:val="nil"/>
              <w:left w:val="nil"/>
              <w:bottom w:val="single" w:sz="4" w:space="0" w:color="000000"/>
              <w:right w:val="nil"/>
            </w:tcBorders>
            <w:shd w:val="clear" w:color="auto" w:fill="FABF8F" w:themeFill="accent6" w:themeFillTint="99"/>
            <w:vAlign w:val="center"/>
            <w:hideMark/>
          </w:tcPr>
          <w:p w14:paraId="7B97BA76" w14:textId="77777777" w:rsidR="008433A0" w:rsidRPr="00271C18" w:rsidRDefault="008433A0" w:rsidP="00271C18">
            <w:pPr>
              <w:pStyle w:val="cuadroCabe"/>
            </w:pPr>
            <w:r>
              <w:t xml:space="preserve"> Guztira</w:t>
            </w:r>
          </w:p>
        </w:tc>
        <w:tc>
          <w:tcPr>
            <w:tcW w:w="1413" w:type="dxa"/>
            <w:tcBorders>
              <w:top w:val="nil"/>
              <w:left w:val="nil"/>
              <w:bottom w:val="single" w:sz="4" w:space="0" w:color="000000"/>
              <w:right w:val="nil"/>
            </w:tcBorders>
            <w:shd w:val="clear" w:color="auto" w:fill="FABF8F" w:themeFill="accent6" w:themeFillTint="99"/>
            <w:vAlign w:val="center"/>
            <w:hideMark/>
          </w:tcPr>
          <w:p w14:paraId="06D93F46" w14:textId="77777777" w:rsidR="008433A0" w:rsidRPr="00271C18" w:rsidRDefault="008433A0" w:rsidP="00271C18">
            <w:pPr>
              <w:pStyle w:val="cuadroCabe"/>
              <w:jc w:val="right"/>
            </w:pPr>
            <w:r>
              <w:t>799,18</w:t>
            </w:r>
          </w:p>
        </w:tc>
        <w:tc>
          <w:tcPr>
            <w:tcW w:w="216" w:type="dxa"/>
            <w:tcBorders>
              <w:top w:val="nil"/>
              <w:left w:val="nil"/>
              <w:bottom w:val="single" w:sz="4" w:space="0" w:color="000000"/>
              <w:right w:val="nil"/>
            </w:tcBorders>
            <w:shd w:val="clear" w:color="auto" w:fill="FABF8F" w:themeFill="accent6" w:themeFillTint="99"/>
            <w:vAlign w:val="center"/>
            <w:hideMark/>
          </w:tcPr>
          <w:p w14:paraId="575D2463" w14:textId="5A8BBF59" w:rsidR="008433A0" w:rsidRPr="00271C18" w:rsidRDefault="008433A0" w:rsidP="00271C18">
            <w:pPr>
              <w:pStyle w:val="cuadroCabe"/>
              <w:jc w:val="right"/>
            </w:pPr>
          </w:p>
        </w:tc>
        <w:tc>
          <w:tcPr>
            <w:tcW w:w="1480" w:type="dxa"/>
            <w:tcBorders>
              <w:top w:val="nil"/>
              <w:left w:val="nil"/>
              <w:bottom w:val="single" w:sz="4" w:space="0" w:color="000000"/>
              <w:right w:val="nil"/>
            </w:tcBorders>
            <w:shd w:val="clear" w:color="auto" w:fill="FABF8F" w:themeFill="accent6" w:themeFillTint="99"/>
            <w:vAlign w:val="center"/>
            <w:hideMark/>
          </w:tcPr>
          <w:p w14:paraId="2B49E081" w14:textId="77777777" w:rsidR="008433A0" w:rsidRPr="00271C18" w:rsidRDefault="008433A0" w:rsidP="00271C18">
            <w:pPr>
              <w:pStyle w:val="cuadroCabe"/>
              <w:jc w:val="right"/>
            </w:pPr>
            <w:r>
              <w:t>877,62</w:t>
            </w:r>
          </w:p>
        </w:tc>
        <w:tc>
          <w:tcPr>
            <w:tcW w:w="1579" w:type="dxa"/>
            <w:tcBorders>
              <w:top w:val="nil"/>
              <w:left w:val="nil"/>
              <w:bottom w:val="single" w:sz="4" w:space="0" w:color="000000"/>
              <w:right w:val="nil"/>
            </w:tcBorders>
            <w:shd w:val="clear" w:color="auto" w:fill="FABF8F" w:themeFill="accent6" w:themeFillTint="99"/>
            <w:vAlign w:val="center"/>
            <w:hideMark/>
          </w:tcPr>
          <w:p w14:paraId="4C3675FA" w14:textId="77777777" w:rsidR="008433A0" w:rsidRPr="00271C18" w:rsidRDefault="008433A0" w:rsidP="00271C18">
            <w:pPr>
              <w:pStyle w:val="cuadroCabe"/>
              <w:jc w:val="right"/>
            </w:pPr>
            <w:r>
              <w:t>100</w:t>
            </w:r>
          </w:p>
        </w:tc>
        <w:tc>
          <w:tcPr>
            <w:tcW w:w="197" w:type="dxa"/>
            <w:tcBorders>
              <w:top w:val="single" w:sz="4" w:space="0" w:color="auto"/>
              <w:left w:val="nil"/>
              <w:bottom w:val="single" w:sz="4" w:space="0" w:color="auto"/>
              <w:right w:val="nil"/>
            </w:tcBorders>
            <w:shd w:val="clear" w:color="auto" w:fill="FABF8F" w:themeFill="accent6" w:themeFillTint="99"/>
            <w:noWrap/>
            <w:vAlign w:val="center"/>
            <w:hideMark/>
          </w:tcPr>
          <w:p w14:paraId="6058CBBD" w14:textId="3E389678" w:rsidR="008433A0" w:rsidRPr="00271C18" w:rsidRDefault="008433A0" w:rsidP="00271C18">
            <w:pPr>
              <w:pStyle w:val="cuadroCabe"/>
              <w:jc w:val="right"/>
            </w:pPr>
          </w:p>
        </w:tc>
        <w:tc>
          <w:tcPr>
            <w:tcW w:w="1524" w:type="dxa"/>
            <w:gridSpan w:val="2"/>
            <w:tcBorders>
              <w:top w:val="nil"/>
              <w:left w:val="nil"/>
              <w:bottom w:val="single" w:sz="4" w:space="0" w:color="000000"/>
              <w:right w:val="nil"/>
            </w:tcBorders>
            <w:shd w:val="clear" w:color="auto" w:fill="FABF8F" w:themeFill="accent6" w:themeFillTint="99"/>
            <w:vAlign w:val="center"/>
            <w:hideMark/>
          </w:tcPr>
          <w:p w14:paraId="498CFC48" w14:textId="77777777" w:rsidR="008433A0" w:rsidRPr="00271C18" w:rsidRDefault="008433A0" w:rsidP="00271C18">
            <w:pPr>
              <w:pStyle w:val="cuadroCabe"/>
              <w:jc w:val="right"/>
            </w:pPr>
            <w:r>
              <w:t>78,44</w:t>
            </w:r>
          </w:p>
        </w:tc>
      </w:tr>
    </w:tbl>
    <w:p w14:paraId="5B300285" w14:textId="108AF96A" w:rsidR="00051F60" w:rsidRDefault="00751965" w:rsidP="00345C6C">
      <w:pPr>
        <w:pStyle w:val="texto"/>
        <w:rPr>
          <w:color w:val="000000" w:themeColor="text1"/>
        </w:rPr>
      </w:pPr>
      <w:r>
        <w:rPr>
          <w:color w:val="000000" w:themeColor="text1"/>
        </w:rPr>
        <w:lastRenderedPageBreak/>
        <w:t xml:space="preserve">Bateratzearen eragina 78,44 milioikoa da. Horietatik ehuneko 42 eta ehuneko 41, hurrenez hurren, ondasun arruntetako eta zerbitzuetako gastuei eta langile-gastuei dagozkie. Inbertsio errealek, berriz, ehuneko 18 hartzen dute. </w:t>
      </w:r>
    </w:p>
    <w:p w14:paraId="5BDD84DA" w14:textId="0D6EF2D4" w:rsidR="00051F60" w:rsidRDefault="00051F60" w:rsidP="004B1F4E">
      <w:pPr>
        <w:pStyle w:val="texto"/>
        <w:spacing w:after="0"/>
        <w:rPr>
          <w:color w:val="000000" w:themeColor="text1"/>
        </w:rPr>
      </w:pPr>
      <w:r>
        <w:rPr>
          <w:color w:val="000000" w:themeColor="text1"/>
        </w:rPr>
        <w:t xml:space="preserve">Hurrengo taulan gastuaren sailkapen funtzionala ageri da. Eskura dagoen informazioa kontuan harturik, urtetik urterako konparazioan ez dira sartu mankomunitateen menpeko sozietateak, eta, bestalde, aurrean aipatutako hiru sozietateen bateratzea gehitu zaie 2020ko datuei.  </w:t>
      </w:r>
    </w:p>
    <w:p w14:paraId="03AEC81C" w14:textId="084C1EA8" w:rsidR="00C349E7" w:rsidRPr="0003647B" w:rsidRDefault="008E6423" w:rsidP="00C349E7">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(Milioiak)</w:t>
      </w:r>
    </w:p>
    <w:tbl>
      <w:tblPr>
        <w:tblW w:w="8932"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2085"/>
        <w:gridCol w:w="1121"/>
        <w:gridCol w:w="850"/>
        <w:gridCol w:w="974"/>
        <w:gridCol w:w="951"/>
        <w:gridCol w:w="990"/>
        <w:gridCol w:w="974"/>
        <w:gridCol w:w="987"/>
      </w:tblGrid>
      <w:tr w:rsidR="008E6423" w:rsidRPr="00933A7F" w14:paraId="4727F2A3" w14:textId="77777777" w:rsidTr="008E6423">
        <w:trPr>
          <w:trHeight w:val="227"/>
          <w:jc w:val="center"/>
        </w:trPr>
        <w:tc>
          <w:tcPr>
            <w:tcW w:w="2124" w:type="dxa"/>
            <w:vMerge w:val="restart"/>
            <w:shd w:val="clear" w:color="auto" w:fill="FABF8F" w:themeFill="accent6" w:themeFillTint="99"/>
            <w:vAlign w:val="center"/>
          </w:tcPr>
          <w:p w14:paraId="5C3E858C" w14:textId="5CAFEA41" w:rsidR="008E6423" w:rsidRPr="008E6423" w:rsidRDefault="008E6423" w:rsidP="008E6423">
            <w:pPr>
              <w:pStyle w:val="cuadroCabe"/>
              <w:spacing w:line="240" w:lineRule="auto"/>
            </w:pPr>
            <w:r>
              <w:t>Funtzioa</w:t>
            </w:r>
          </w:p>
        </w:tc>
        <w:tc>
          <w:tcPr>
            <w:tcW w:w="4832" w:type="dxa"/>
            <w:gridSpan w:val="5"/>
            <w:tcBorders>
              <w:right w:val="single" w:sz="2" w:space="0" w:color="auto"/>
            </w:tcBorders>
            <w:shd w:val="clear" w:color="auto" w:fill="FABF8F" w:themeFill="accent6" w:themeFillTint="99"/>
            <w:vAlign w:val="center"/>
          </w:tcPr>
          <w:p w14:paraId="65962A58" w14:textId="77777777" w:rsidR="008E6423" w:rsidRPr="008E6423" w:rsidRDefault="008E6423" w:rsidP="008E6423">
            <w:pPr>
              <w:pStyle w:val="cuadroCabe"/>
              <w:spacing w:line="240" w:lineRule="auto"/>
              <w:jc w:val="center"/>
              <w:rPr>
                <w:sz w:val="16"/>
                <w:szCs w:val="16"/>
              </w:rPr>
            </w:pPr>
            <w:r>
              <w:rPr>
                <w:sz w:val="16"/>
              </w:rPr>
              <w:t>Sozietateekin bateratu gabe</w:t>
            </w:r>
          </w:p>
        </w:tc>
        <w:tc>
          <w:tcPr>
            <w:tcW w:w="1976" w:type="dxa"/>
            <w:gridSpan w:val="2"/>
            <w:tcBorders>
              <w:left w:val="single" w:sz="2" w:space="0" w:color="auto"/>
            </w:tcBorders>
            <w:shd w:val="clear" w:color="auto" w:fill="FABF8F" w:themeFill="accent6" w:themeFillTint="99"/>
            <w:vAlign w:val="center"/>
          </w:tcPr>
          <w:p w14:paraId="63B4D016" w14:textId="496E7E8E" w:rsidR="008E6423" w:rsidRDefault="008E6423" w:rsidP="008E6423">
            <w:pPr>
              <w:pStyle w:val="cuadroCabe"/>
              <w:spacing w:line="240" w:lineRule="auto"/>
              <w:jc w:val="center"/>
              <w:rPr>
                <w:sz w:val="16"/>
                <w:szCs w:val="16"/>
              </w:rPr>
            </w:pPr>
            <w:r>
              <w:rPr>
                <w:sz w:val="16"/>
              </w:rPr>
              <w:t>3 sozietaterekin bateratuta</w:t>
            </w:r>
          </w:p>
          <w:p w14:paraId="4CE34DAE" w14:textId="05E9F52C" w:rsidR="008E6423" w:rsidRPr="008E6423" w:rsidRDefault="008E6423" w:rsidP="008E6423">
            <w:pPr>
              <w:pStyle w:val="cuadroCabe"/>
              <w:spacing w:line="240" w:lineRule="auto"/>
              <w:jc w:val="center"/>
              <w:rPr>
                <w:sz w:val="16"/>
                <w:szCs w:val="16"/>
                <w:highlight w:val="yellow"/>
              </w:rPr>
            </w:pPr>
          </w:p>
        </w:tc>
      </w:tr>
      <w:tr w:rsidR="008E6423" w:rsidRPr="00933A7F" w14:paraId="76BE90E4" w14:textId="77777777" w:rsidTr="008E6423">
        <w:trPr>
          <w:trHeight w:val="227"/>
          <w:jc w:val="center"/>
        </w:trPr>
        <w:tc>
          <w:tcPr>
            <w:tcW w:w="2124" w:type="dxa"/>
            <w:vMerge/>
            <w:shd w:val="clear" w:color="auto" w:fill="FABF8F" w:themeFill="accent6" w:themeFillTint="99"/>
            <w:vAlign w:val="center"/>
            <w:hideMark/>
          </w:tcPr>
          <w:p w14:paraId="62943CAA" w14:textId="614CDC65" w:rsidR="008E6423" w:rsidRPr="00933A7F" w:rsidRDefault="008E6423" w:rsidP="008E6423">
            <w:pPr>
              <w:pStyle w:val="cuadroCabe"/>
              <w:spacing w:line="240" w:lineRule="auto"/>
              <w:rPr>
                <w:rFonts w:ascii="Arial Narrow" w:hAnsi="Arial Narrow"/>
                <w:sz w:val="20"/>
                <w:szCs w:val="20"/>
              </w:rPr>
            </w:pPr>
          </w:p>
        </w:tc>
        <w:tc>
          <w:tcPr>
            <w:tcW w:w="1133" w:type="dxa"/>
            <w:shd w:val="clear" w:color="auto" w:fill="FABF8F" w:themeFill="accent6" w:themeFillTint="99"/>
            <w:vAlign w:val="center"/>
            <w:hideMark/>
          </w:tcPr>
          <w:p w14:paraId="6BE843B6" w14:textId="77777777" w:rsidR="008E6423" w:rsidRPr="00933A7F" w:rsidRDefault="008E6423" w:rsidP="008E6423">
            <w:pPr>
              <w:pStyle w:val="cuadroCabe"/>
              <w:spacing w:line="240" w:lineRule="auto"/>
              <w:jc w:val="right"/>
              <w:rPr>
                <w:rFonts w:ascii="Arial Narrow" w:hAnsi="Arial Narrow"/>
                <w:sz w:val="20"/>
                <w:szCs w:val="20"/>
              </w:rPr>
            </w:pPr>
            <w:r>
              <w:rPr>
                <w:rFonts w:ascii="Arial Narrow" w:hAnsi="Arial Narrow"/>
                <w:sz w:val="20"/>
              </w:rPr>
              <w:t>Zenbatekoa 2019</w:t>
            </w:r>
          </w:p>
        </w:tc>
        <w:tc>
          <w:tcPr>
            <w:tcW w:w="854" w:type="dxa"/>
            <w:shd w:val="clear" w:color="auto" w:fill="FABF8F" w:themeFill="accent6" w:themeFillTint="99"/>
            <w:vAlign w:val="center"/>
            <w:hideMark/>
          </w:tcPr>
          <w:p w14:paraId="487A83EB" w14:textId="77777777" w:rsidR="008E6423" w:rsidRPr="008E6423" w:rsidRDefault="008E6423" w:rsidP="008E6423">
            <w:pPr>
              <w:pStyle w:val="cuadroCabe"/>
              <w:spacing w:line="240" w:lineRule="auto"/>
              <w:jc w:val="right"/>
              <w:rPr>
                <w:sz w:val="16"/>
                <w:szCs w:val="16"/>
              </w:rPr>
            </w:pPr>
            <w:r>
              <w:rPr>
                <w:sz w:val="16"/>
              </w:rPr>
              <w:t>Zenbatekoa 2020</w:t>
            </w:r>
          </w:p>
        </w:tc>
        <w:tc>
          <w:tcPr>
            <w:tcW w:w="981" w:type="dxa"/>
            <w:shd w:val="clear" w:color="auto" w:fill="FABF8F" w:themeFill="accent6" w:themeFillTint="99"/>
            <w:vAlign w:val="center"/>
            <w:hideMark/>
          </w:tcPr>
          <w:p w14:paraId="1F23B04E" w14:textId="77777777" w:rsidR="008E6423" w:rsidRPr="008E6423" w:rsidRDefault="008E6423" w:rsidP="008E6423">
            <w:pPr>
              <w:pStyle w:val="cuadroCabe"/>
              <w:spacing w:line="240" w:lineRule="auto"/>
              <w:jc w:val="right"/>
              <w:rPr>
                <w:sz w:val="16"/>
                <w:szCs w:val="16"/>
              </w:rPr>
            </w:pPr>
            <w:r>
              <w:rPr>
                <w:sz w:val="16"/>
              </w:rPr>
              <w:t>2020ko guztizko gastuaren gainean (%)</w:t>
            </w:r>
          </w:p>
        </w:tc>
        <w:tc>
          <w:tcPr>
            <w:tcW w:w="861" w:type="dxa"/>
            <w:shd w:val="clear" w:color="auto" w:fill="FABF8F" w:themeFill="accent6" w:themeFillTint="99"/>
            <w:vAlign w:val="center"/>
            <w:hideMark/>
          </w:tcPr>
          <w:p w14:paraId="372F6353" w14:textId="77777777" w:rsidR="008E6423" w:rsidRPr="008E6423" w:rsidRDefault="008E6423" w:rsidP="008E6423">
            <w:pPr>
              <w:pStyle w:val="cuadroCabe"/>
              <w:spacing w:line="240" w:lineRule="auto"/>
              <w:jc w:val="right"/>
              <w:rPr>
                <w:sz w:val="16"/>
                <w:szCs w:val="16"/>
              </w:rPr>
            </w:pPr>
            <w:r>
              <w:rPr>
                <w:sz w:val="16"/>
              </w:rPr>
              <w:t>2020/2019 aldea (%)</w:t>
            </w:r>
          </w:p>
        </w:tc>
        <w:tc>
          <w:tcPr>
            <w:tcW w:w="1003" w:type="dxa"/>
            <w:tcBorders>
              <w:right w:val="single" w:sz="2" w:space="0" w:color="auto"/>
            </w:tcBorders>
            <w:shd w:val="clear" w:color="auto" w:fill="FABF8F" w:themeFill="accent6" w:themeFillTint="99"/>
            <w:vAlign w:val="center"/>
          </w:tcPr>
          <w:p w14:paraId="647F06EE" w14:textId="77777777" w:rsidR="008E6423" w:rsidRPr="008E6423" w:rsidRDefault="008E6423" w:rsidP="008E6423">
            <w:pPr>
              <w:pStyle w:val="cuadroCabe"/>
              <w:spacing w:line="240" w:lineRule="auto"/>
              <w:jc w:val="right"/>
              <w:rPr>
                <w:sz w:val="16"/>
                <w:szCs w:val="16"/>
              </w:rPr>
            </w:pPr>
            <w:r>
              <w:rPr>
                <w:sz w:val="16"/>
              </w:rPr>
              <w:t>Alde</w:t>
            </w:r>
          </w:p>
          <w:p w14:paraId="30022977" w14:textId="02A372D1" w:rsidR="008E6423" w:rsidRPr="008E6423" w:rsidRDefault="008E6423" w:rsidP="008E6423">
            <w:pPr>
              <w:pStyle w:val="cuadroCabe"/>
              <w:spacing w:line="240" w:lineRule="auto"/>
              <w:jc w:val="right"/>
              <w:rPr>
                <w:sz w:val="16"/>
                <w:szCs w:val="16"/>
              </w:rPr>
            </w:pPr>
            <w:r>
              <w:rPr>
                <w:sz w:val="16"/>
              </w:rPr>
              <w:t>absolutua</w:t>
            </w:r>
          </w:p>
        </w:tc>
        <w:tc>
          <w:tcPr>
            <w:tcW w:w="982" w:type="dxa"/>
            <w:tcBorders>
              <w:left w:val="single" w:sz="2" w:space="0" w:color="auto"/>
            </w:tcBorders>
            <w:shd w:val="clear" w:color="auto" w:fill="FABF8F" w:themeFill="accent6" w:themeFillTint="99"/>
            <w:vAlign w:val="center"/>
          </w:tcPr>
          <w:p w14:paraId="5DFD8A8D" w14:textId="77777777" w:rsidR="008E6423" w:rsidRPr="008E6423" w:rsidRDefault="008E6423" w:rsidP="008E6423">
            <w:pPr>
              <w:pStyle w:val="cuadroCabe"/>
              <w:spacing w:line="240" w:lineRule="auto"/>
              <w:jc w:val="right"/>
              <w:rPr>
                <w:sz w:val="16"/>
                <w:szCs w:val="16"/>
              </w:rPr>
            </w:pPr>
            <w:r>
              <w:rPr>
                <w:sz w:val="16"/>
              </w:rPr>
              <w:t>Zenbatekoa 2020</w:t>
            </w:r>
          </w:p>
        </w:tc>
        <w:tc>
          <w:tcPr>
            <w:tcW w:w="993" w:type="dxa"/>
            <w:shd w:val="clear" w:color="auto" w:fill="FABF8F" w:themeFill="accent6" w:themeFillTint="99"/>
            <w:vAlign w:val="center"/>
          </w:tcPr>
          <w:p w14:paraId="62B938A2" w14:textId="77777777" w:rsidR="008E6423" w:rsidRPr="008E6423" w:rsidRDefault="008E6423" w:rsidP="008E6423">
            <w:pPr>
              <w:pStyle w:val="cuadroCabe"/>
              <w:spacing w:line="240" w:lineRule="auto"/>
              <w:jc w:val="right"/>
              <w:rPr>
                <w:sz w:val="16"/>
                <w:szCs w:val="16"/>
              </w:rPr>
            </w:pPr>
            <w:r>
              <w:rPr>
                <w:sz w:val="16"/>
              </w:rPr>
              <w:t>2020ko guztizko gastuaren gainean (%)</w:t>
            </w:r>
          </w:p>
        </w:tc>
      </w:tr>
      <w:tr w:rsidR="00051F60" w:rsidRPr="00933A7F" w14:paraId="6AF87DE0" w14:textId="77777777" w:rsidTr="008E6423">
        <w:trPr>
          <w:trHeight w:val="227"/>
          <w:jc w:val="center"/>
        </w:trPr>
        <w:tc>
          <w:tcPr>
            <w:tcW w:w="2124" w:type="dxa"/>
            <w:tcBorders>
              <w:bottom w:val="single" w:sz="2" w:space="0" w:color="auto"/>
            </w:tcBorders>
            <w:shd w:val="clear" w:color="auto" w:fill="auto"/>
            <w:vAlign w:val="center"/>
            <w:hideMark/>
          </w:tcPr>
          <w:p w14:paraId="07C96634" w14:textId="77777777" w:rsidR="00051F60" w:rsidRPr="00933A7F" w:rsidRDefault="00051F60" w:rsidP="008E6423">
            <w:pPr>
              <w:pStyle w:val="cuatexto"/>
              <w:spacing w:line="240" w:lineRule="auto"/>
              <w:rPr>
                <w:szCs w:val="20"/>
              </w:rPr>
            </w:pPr>
            <w:r>
              <w:t>Erkidegoaren ongizatea</w:t>
            </w:r>
          </w:p>
        </w:tc>
        <w:tc>
          <w:tcPr>
            <w:tcW w:w="1133" w:type="dxa"/>
            <w:tcBorders>
              <w:bottom w:val="single" w:sz="2" w:space="0" w:color="auto"/>
            </w:tcBorders>
            <w:shd w:val="clear" w:color="auto" w:fill="auto"/>
            <w:vAlign w:val="center"/>
          </w:tcPr>
          <w:p w14:paraId="5462979B" w14:textId="77777777" w:rsidR="00051F60" w:rsidRPr="00933A7F" w:rsidRDefault="00051F60" w:rsidP="008E6423">
            <w:pPr>
              <w:pStyle w:val="cuatexto"/>
              <w:spacing w:line="240" w:lineRule="auto"/>
              <w:jc w:val="right"/>
              <w:rPr>
                <w:szCs w:val="20"/>
              </w:rPr>
            </w:pPr>
            <w:r>
              <w:t>139,18</w:t>
            </w:r>
          </w:p>
        </w:tc>
        <w:tc>
          <w:tcPr>
            <w:tcW w:w="854" w:type="dxa"/>
            <w:tcBorders>
              <w:bottom w:val="single" w:sz="2" w:space="0" w:color="auto"/>
            </w:tcBorders>
            <w:shd w:val="clear" w:color="auto" w:fill="auto"/>
            <w:vAlign w:val="center"/>
          </w:tcPr>
          <w:p w14:paraId="655EF06B" w14:textId="77777777" w:rsidR="00051F60" w:rsidRPr="00933A7F" w:rsidRDefault="00051F60" w:rsidP="008E6423">
            <w:pPr>
              <w:pStyle w:val="cuatexto"/>
              <w:spacing w:line="240" w:lineRule="auto"/>
              <w:jc w:val="right"/>
              <w:rPr>
                <w:szCs w:val="20"/>
              </w:rPr>
            </w:pPr>
            <w:r>
              <w:t>105,37</w:t>
            </w:r>
          </w:p>
        </w:tc>
        <w:tc>
          <w:tcPr>
            <w:tcW w:w="981" w:type="dxa"/>
            <w:tcBorders>
              <w:bottom w:val="single" w:sz="2" w:space="0" w:color="auto"/>
            </w:tcBorders>
            <w:shd w:val="clear" w:color="auto" w:fill="auto"/>
            <w:vAlign w:val="center"/>
          </w:tcPr>
          <w:p w14:paraId="063A3448" w14:textId="77777777" w:rsidR="00051F60" w:rsidRPr="00933A7F" w:rsidRDefault="00051F60" w:rsidP="008E6423">
            <w:pPr>
              <w:pStyle w:val="cuatexto"/>
              <w:spacing w:line="240" w:lineRule="auto"/>
              <w:jc w:val="right"/>
              <w:rPr>
                <w:szCs w:val="20"/>
              </w:rPr>
            </w:pPr>
            <w:r>
              <w:t>13</w:t>
            </w:r>
          </w:p>
        </w:tc>
        <w:tc>
          <w:tcPr>
            <w:tcW w:w="861" w:type="dxa"/>
            <w:tcBorders>
              <w:bottom w:val="single" w:sz="2" w:space="0" w:color="auto"/>
            </w:tcBorders>
            <w:shd w:val="clear" w:color="auto" w:fill="auto"/>
            <w:vAlign w:val="center"/>
          </w:tcPr>
          <w:p w14:paraId="01F467DB" w14:textId="77777777" w:rsidR="00051F60" w:rsidRPr="00933A7F" w:rsidRDefault="00051F60" w:rsidP="008E6423">
            <w:pPr>
              <w:pStyle w:val="cuatexto"/>
              <w:spacing w:line="240" w:lineRule="auto"/>
              <w:jc w:val="right"/>
              <w:rPr>
                <w:szCs w:val="20"/>
              </w:rPr>
            </w:pPr>
            <w:r>
              <w:t>-24</w:t>
            </w:r>
          </w:p>
        </w:tc>
        <w:tc>
          <w:tcPr>
            <w:tcW w:w="1003" w:type="dxa"/>
            <w:tcBorders>
              <w:bottom w:val="single" w:sz="2" w:space="0" w:color="auto"/>
              <w:right w:val="single" w:sz="2" w:space="0" w:color="auto"/>
            </w:tcBorders>
            <w:vAlign w:val="center"/>
          </w:tcPr>
          <w:p w14:paraId="1840EACB" w14:textId="77777777" w:rsidR="00051F60" w:rsidRPr="00933A7F" w:rsidRDefault="00051F60" w:rsidP="008E6423">
            <w:pPr>
              <w:pStyle w:val="cuatexto"/>
              <w:spacing w:line="240" w:lineRule="auto"/>
              <w:jc w:val="right"/>
              <w:rPr>
                <w:szCs w:val="20"/>
              </w:rPr>
            </w:pPr>
            <w:r>
              <w:t>-34</w:t>
            </w:r>
          </w:p>
        </w:tc>
        <w:tc>
          <w:tcPr>
            <w:tcW w:w="982" w:type="dxa"/>
            <w:tcBorders>
              <w:left w:val="single" w:sz="2" w:space="0" w:color="auto"/>
              <w:bottom w:val="single" w:sz="2" w:space="0" w:color="auto"/>
            </w:tcBorders>
            <w:vAlign w:val="center"/>
          </w:tcPr>
          <w:p w14:paraId="0D7C2400" w14:textId="77777777" w:rsidR="00051F60" w:rsidRPr="00933A7F" w:rsidRDefault="00051F60" w:rsidP="008E6423">
            <w:pPr>
              <w:pStyle w:val="cuatexto"/>
              <w:spacing w:line="240" w:lineRule="auto"/>
              <w:jc w:val="right"/>
              <w:rPr>
                <w:rFonts w:cs="Calibri"/>
                <w:szCs w:val="20"/>
              </w:rPr>
            </w:pPr>
            <w:r>
              <w:t>168,11</w:t>
            </w:r>
          </w:p>
        </w:tc>
        <w:tc>
          <w:tcPr>
            <w:tcW w:w="993" w:type="dxa"/>
            <w:tcBorders>
              <w:bottom w:val="single" w:sz="2" w:space="0" w:color="auto"/>
            </w:tcBorders>
            <w:vAlign w:val="center"/>
          </w:tcPr>
          <w:p w14:paraId="6E7DCB98" w14:textId="77777777" w:rsidR="00051F60" w:rsidRPr="00933A7F" w:rsidRDefault="00051F60" w:rsidP="008E6423">
            <w:pPr>
              <w:pStyle w:val="cuatexto"/>
              <w:spacing w:line="240" w:lineRule="auto"/>
              <w:jc w:val="right"/>
              <w:rPr>
                <w:rFonts w:cs="Calibri"/>
                <w:szCs w:val="20"/>
              </w:rPr>
            </w:pPr>
            <w:r>
              <w:t>19</w:t>
            </w:r>
          </w:p>
        </w:tc>
      </w:tr>
      <w:tr w:rsidR="00051F60" w:rsidRPr="00933A7F" w14:paraId="76C0E5B1" w14:textId="77777777" w:rsidTr="008E6423">
        <w:trPr>
          <w:trHeight w:val="227"/>
          <w:jc w:val="center"/>
        </w:trPr>
        <w:tc>
          <w:tcPr>
            <w:tcW w:w="2124" w:type="dxa"/>
            <w:shd w:val="clear" w:color="auto" w:fill="auto"/>
            <w:vAlign w:val="center"/>
            <w:hideMark/>
          </w:tcPr>
          <w:p w14:paraId="5A01FDB9" w14:textId="2CFEEE32" w:rsidR="00051F60" w:rsidRPr="00933A7F" w:rsidRDefault="00051F60" w:rsidP="008E6423">
            <w:pPr>
              <w:pStyle w:val="cuatexto"/>
              <w:spacing w:line="240" w:lineRule="auto"/>
              <w:rPr>
                <w:szCs w:val="20"/>
              </w:rPr>
            </w:pPr>
            <w:r>
              <w:t>Zerbitzu orokorrak</w:t>
            </w:r>
          </w:p>
        </w:tc>
        <w:tc>
          <w:tcPr>
            <w:tcW w:w="1133" w:type="dxa"/>
            <w:shd w:val="clear" w:color="auto" w:fill="auto"/>
            <w:vAlign w:val="center"/>
          </w:tcPr>
          <w:p w14:paraId="196F8C15" w14:textId="77777777" w:rsidR="00051F60" w:rsidRPr="00933A7F" w:rsidRDefault="00051F60" w:rsidP="008E6423">
            <w:pPr>
              <w:pStyle w:val="cuatexto"/>
              <w:spacing w:line="240" w:lineRule="auto"/>
              <w:jc w:val="right"/>
              <w:rPr>
                <w:szCs w:val="20"/>
              </w:rPr>
            </w:pPr>
            <w:r>
              <w:t>96,25</w:t>
            </w:r>
          </w:p>
        </w:tc>
        <w:tc>
          <w:tcPr>
            <w:tcW w:w="854" w:type="dxa"/>
            <w:shd w:val="clear" w:color="auto" w:fill="auto"/>
            <w:vAlign w:val="center"/>
          </w:tcPr>
          <w:p w14:paraId="675DCE5A" w14:textId="77777777" w:rsidR="00051F60" w:rsidRPr="00933A7F" w:rsidRDefault="00051F60" w:rsidP="008E6423">
            <w:pPr>
              <w:pStyle w:val="cuatexto"/>
              <w:spacing w:line="240" w:lineRule="auto"/>
              <w:jc w:val="right"/>
              <w:rPr>
                <w:szCs w:val="20"/>
              </w:rPr>
            </w:pPr>
            <w:r>
              <w:t>96,26</w:t>
            </w:r>
          </w:p>
        </w:tc>
        <w:tc>
          <w:tcPr>
            <w:tcW w:w="981" w:type="dxa"/>
            <w:shd w:val="clear" w:color="auto" w:fill="auto"/>
            <w:vAlign w:val="center"/>
          </w:tcPr>
          <w:p w14:paraId="14C252E7" w14:textId="77777777" w:rsidR="00051F60" w:rsidRPr="00933A7F" w:rsidRDefault="00051F60" w:rsidP="008E6423">
            <w:pPr>
              <w:pStyle w:val="cuatexto"/>
              <w:spacing w:line="240" w:lineRule="auto"/>
              <w:jc w:val="right"/>
              <w:rPr>
                <w:szCs w:val="20"/>
              </w:rPr>
            </w:pPr>
            <w:r>
              <w:t>12</w:t>
            </w:r>
          </w:p>
        </w:tc>
        <w:tc>
          <w:tcPr>
            <w:tcW w:w="861" w:type="dxa"/>
            <w:shd w:val="clear" w:color="auto" w:fill="auto"/>
            <w:vAlign w:val="center"/>
          </w:tcPr>
          <w:p w14:paraId="7DF31339" w14:textId="77777777" w:rsidR="00051F60" w:rsidRPr="00933A7F" w:rsidRDefault="00051F60" w:rsidP="008E6423">
            <w:pPr>
              <w:pStyle w:val="cuatexto"/>
              <w:spacing w:line="240" w:lineRule="auto"/>
              <w:jc w:val="right"/>
              <w:rPr>
                <w:szCs w:val="20"/>
              </w:rPr>
            </w:pPr>
            <w:r>
              <w:t>0</w:t>
            </w:r>
          </w:p>
        </w:tc>
        <w:tc>
          <w:tcPr>
            <w:tcW w:w="1003" w:type="dxa"/>
            <w:tcBorders>
              <w:right w:val="single" w:sz="2" w:space="0" w:color="auto"/>
            </w:tcBorders>
            <w:vAlign w:val="center"/>
          </w:tcPr>
          <w:p w14:paraId="71357175" w14:textId="77777777" w:rsidR="00051F60" w:rsidRPr="00933A7F" w:rsidRDefault="00051F60" w:rsidP="008E6423">
            <w:pPr>
              <w:pStyle w:val="cuatexto"/>
              <w:spacing w:line="240" w:lineRule="auto"/>
              <w:jc w:val="right"/>
              <w:rPr>
                <w:szCs w:val="20"/>
              </w:rPr>
            </w:pPr>
            <w:r>
              <w:t>0</w:t>
            </w:r>
          </w:p>
        </w:tc>
        <w:tc>
          <w:tcPr>
            <w:tcW w:w="982" w:type="dxa"/>
            <w:tcBorders>
              <w:left w:val="single" w:sz="2" w:space="0" w:color="auto"/>
            </w:tcBorders>
            <w:vAlign w:val="center"/>
          </w:tcPr>
          <w:p w14:paraId="2A4E8A2B" w14:textId="77777777" w:rsidR="00051F60" w:rsidRPr="00933A7F" w:rsidRDefault="00051F60" w:rsidP="008E6423">
            <w:pPr>
              <w:pStyle w:val="cuatexto"/>
              <w:spacing w:line="240" w:lineRule="auto"/>
              <w:jc w:val="right"/>
              <w:rPr>
                <w:rFonts w:cs="Calibri"/>
                <w:szCs w:val="20"/>
              </w:rPr>
            </w:pPr>
            <w:r>
              <w:t>107,09</w:t>
            </w:r>
          </w:p>
        </w:tc>
        <w:tc>
          <w:tcPr>
            <w:tcW w:w="993" w:type="dxa"/>
            <w:vAlign w:val="center"/>
          </w:tcPr>
          <w:p w14:paraId="2217666B" w14:textId="77777777" w:rsidR="00051F60" w:rsidRPr="00933A7F" w:rsidRDefault="00051F60" w:rsidP="008E6423">
            <w:pPr>
              <w:pStyle w:val="cuatexto"/>
              <w:spacing w:line="240" w:lineRule="auto"/>
              <w:jc w:val="right"/>
              <w:rPr>
                <w:rFonts w:cs="Calibri"/>
                <w:szCs w:val="20"/>
              </w:rPr>
            </w:pPr>
            <w:r>
              <w:t>12</w:t>
            </w:r>
          </w:p>
        </w:tc>
      </w:tr>
      <w:tr w:rsidR="00051F60" w:rsidRPr="00933A7F" w14:paraId="5A0EE7D2" w14:textId="77777777" w:rsidTr="008E6423">
        <w:trPr>
          <w:trHeight w:val="227"/>
          <w:jc w:val="center"/>
        </w:trPr>
        <w:tc>
          <w:tcPr>
            <w:tcW w:w="2124" w:type="dxa"/>
            <w:shd w:val="clear" w:color="auto" w:fill="auto"/>
            <w:vAlign w:val="center"/>
            <w:hideMark/>
          </w:tcPr>
          <w:p w14:paraId="6138BACC" w14:textId="77777777" w:rsidR="00051F60" w:rsidRPr="00933A7F" w:rsidRDefault="00051F60" w:rsidP="008E6423">
            <w:pPr>
              <w:pStyle w:val="cuatexto"/>
              <w:spacing w:line="240" w:lineRule="auto"/>
              <w:rPr>
                <w:szCs w:val="20"/>
              </w:rPr>
            </w:pPr>
            <w:r>
              <w:t>Gizarte zerbitzuak eta gizarte sustapena</w:t>
            </w:r>
          </w:p>
        </w:tc>
        <w:tc>
          <w:tcPr>
            <w:tcW w:w="1133" w:type="dxa"/>
            <w:shd w:val="clear" w:color="auto" w:fill="auto"/>
            <w:vAlign w:val="center"/>
          </w:tcPr>
          <w:p w14:paraId="58631BEB" w14:textId="77777777" w:rsidR="00051F60" w:rsidRPr="00933A7F" w:rsidRDefault="00051F60" w:rsidP="008E6423">
            <w:pPr>
              <w:pStyle w:val="cuatexto"/>
              <w:spacing w:line="240" w:lineRule="auto"/>
              <w:jc w:val="right"/>
              <w:rPr>
                <w:szCs w:val="20"/>
              </w:rPr>
            </w:pPr>
            <w:r>
              <w:t>71,44</w:t>
            </w:r>
          </w:p>
        </w:tc>
        <w:tc>
          <w:tcPr>
            <w:tcW w:w="854" w:type="dxa"/>
            <w:shd w:val="clear" w:color="auto" w:fill="auto"/>
            <w:vAlign w:val="center"/>
          </w:tcPr>
          <w:p w14:paraId="6D32F137" w14:textId="77777777" w:rsidR="00051F60" w:rsidRPr="00933A7F" w:rsidRDefault="00051F60" w:rsidP="008E6423">
            <w:pPr>
              <w:pStyle w:val="cuatexto"/>
              <w:spacing w:line="240" w:lineRule="auto"/>
              <w:jc w:val="right"/>
              <w:rPr>
                <w:szCs w:val="20"/>
              </w:rPr>
            </w:pPr>
            <w:r>
              <w:t>75,81</w:t>
            </w:r>
          </w:p>
        </w:tc>
        <w:tc>
          <w:tcPr>
            <w:tcW w:w="981" w:type="dxa"/>
            <w:shd w:val="clear" w:color="auto" w:fill="auto"/>
            <w:vAlign w:val="center"/>
          </w:tcPr>
          <w:p w14:paraId="565CCBEE" w14:textId="77777777" w:rsidR="00051F60" w:rsidRPr="00933A7F" w:rsidRDefault="00051F60" w:rsidP="008E6423">
            <w:pPr>
              <w:pStyle w:val="cuatexto"/>
              <w:spacing w:line="240" w:lineRule="auto"/>
              <w:jc w:val="right"/>
              <w:rPr>
                <w:szCs w:val="20"/>
              </w:rPr>
            </w:pPr>
            <w:r>
              <w:t>9</w:t>
            </w:r>
          </w:p>
        </w:tc>
        <w:tc>
          <w:tcPr>
            <w:tcW w:w="861" w:type="dxa"/>
            <w:shd w:val="clear" w:color="auto" w:fill="auto"/>
            <w:vAlign w:val="center"/>
          </w:tcPr>
          <w:p w14:paraId="41085A87" w14:textId="77777777" w:rsidR="00051F60" w:rsidRPr="00933A7F" w:rsidRDefault="00051F60" w:rsidP="008E6423">
            <w:pPr>
              <w:pStyle w:val="cuatexto"/>
              <w:spacing w:line="240" w:lineRule="auto"/>
              <w:jc w:val="right"/>
              <w:rPr>
                <w:szCs w:val="20"/>
              </w:rPr>
            </w:pPr>
            <w:r>
              <w:t>6</w:t>
            </w:r>
          </w:p>
        </w:tc>
        <w:tc>
          <w:tcPr>
            <w:tcW w:w="1003" w:type="dxa"/>
            <w:tcBorders>
              <w:right w:val="single" w:sz="2" w:space="0" w:color="auto"/>
            </w:tcBorders>
            <w:vAlign w:val="center"/>
          </w:tcPr>
          <w:p w14:paraId="7885CA8D" w14:textId="77777777" w:rsidR="00051F60" w:rsidRPr="00933A7F" w:rsidRDefault="00051F60" w:rsidP="008E6423">
            <w:pPr>
              <w:pStyle w:val="cuatexto"/>
              <w:spacing w:line="240" w:lineRule="auto"/>
              <w:jc w:val="right"/>
              <w:rPr>
                <w:szCs w:val="20"/>
              </w:rPr>
            </w:pPr>
            <w:r>
              <w:t>4</w:t>
            </w:r>
          </w:p>
        </w:tc>
        <w:tc>
          <w:tcPr>
            <w:tcW w:w="982" w:type="dxa"/>
            <w:tcBorders>
              <w:left w:val="single" w:sz="2" w:space="0" w:color="auto"/>
            </w:tcBorders>
            <w:vAlign w:val="center"/>
          </w:tcPr>
          <w:p w14:paraId="3FB87770" w14:textId="77777777" w:rsidR="00051F60" w:rsidRPr="00933A7F" w:rsidRDefault="00051F60" w:rsidP="008E6423">
            <w:pPr>
              <w:pStyle w:val="cuatexto"/>
              <w:spacing w:line="240" w:lineRule="auto"/>
              <w:jc w:val="right"/>
              <w:rPr>
                <w:rFonts w:cs="Calibri"/>
                <w:szCs w:val="20"/>
              </w:rPr>
            </w:pPr>
            <w:r>
              <w:t>75,81</w:t>
            </w:r>
          </w:p>
        </w:tc>
        <w:tc>
          <w:tcPr>
            <w:tcW w:w="993" w:type="dxa"/>
            <w:vAlign w:val="center"/>
          </w:tcPr>
          <w:p w14:paraId="22CAD30A" w14:textId="77777777" w:rsidR="00051F60" w:rsidRPr="00933A7F" w:rsidRDefault="00051F60" w:rsidP="008E6423">
            <w:pPr>
              <w:pStyle w:val="cuatexto"/>
              <w:spacing w:line="240" w:lineRule="auto"/>
              <w:jc w:val="right"/>
              <w:rPr>
                <w:rFonts w:cs="Calibri"/>
                <w:szCs w:val="20"/>
              </w:rPr>
            </w:pPr>
            <w:r>
              <w:t>9</w:t>
            </w:r>
          </w:p>
        </w:tc>
      </w:tr>
      <w:tr w:rsidR="00051F60" w:rsidRPr="00933A7F" w14:paraId="4B329F59" w14:textId="77777777" w:rsidTr="008E6423">
        <w:trPr>
          <w:trHeight w:val="227"/>
          <w:jc w:val="center"/>
        </w:trPr>
        <w:tc>
          <w:tcPr>
            <w:tcW w:w="2124" w:type="dxa"/>
            <w:shd w:val="clear" w:color="auto" w:fill="auto"/>
            <w:vAlign w:val="center"/>
            <w:hideMark/>
          </w:tcPr>
          <w:p w14:paraId="08E03E2E" w14:textId="77777777" w:rsidR="00051F60" w:rsidRPr="00933A7F" w:rsidRDefault="00051F60" w:rsidP="008E6423">
            <w:pPr>
              <w:pStyle w:val="cuatexto"/>
              <w:spacing w:line="240" w:lineRule="auto"/>
              <w:rPr>
                <w:szCs w:val="20"/>
              </w:rPr>
            </w:pPr>
            <w:r>
              <w:t>Hezkuntza</w:t>
            </w:r>
          </w:p>
        </w:tc>
        <w:tc>
          <w:tcPr>
            <w:tcW w:w="1133" w:type="dxa"/>
            <w:shd w:val="clear" w:color="auto" w:fill="auto"/>
            <w:vAlign w:val="center"/>
          </w:tcPr>
          <w:p w14:paraId="1DBE2ADA" w14:textId="77777777" w:rsidR="00051F60" w:rsidRPr="00933A7F" w:rsidRDefault="00051F60" w:rsidP="008E6423">
            <w:pPr>
              <w:pStyle w:val="cuatexto"/>
              <w:spacing w:line="240" w:lineRule="auto"/>
              <w:jc w:val="right"/>
              <w:rPr>
                <w:szCs w:val="20"/>
              </w:rPr>
            </w:pPr>
            <w:r>
              <w:t>73,86</w:t>
            </w:r>
          </w:p>
        </w:tc>
        <w:tc>
          <w:tcPr>
            <w:tcW w:w="854" w:type="dxa"/>
            <w:shd w:val="clear" w:color="auto" w:fill="auto"/>
            <w:vAlign w:val="center"/>
          </w:tcPr>
          <w:p w14:paraId="237EB341" w14:textId="77777777" w:rsidR="00051F60" w:rsidRPr="00933A7F" w:rsidRDefault="00051F60" w:rsidP="008E6423">
            <w:pPr>
              <w:pStyle w:val="cuatexto"/>
              <w:spacing w:line="240" w:lineRule="auto"/>
              <w:jc w:val="right"/>
              <w:rPr>
                <w:szCs w:val="20"/>
              </w:rPr>
            </w:pPr>
            <w:r>
              <w:t>71,68</w:t>
            </w:r>
          </w:p>
        </w:tc>
        <w:tc>
          <w:tcPr>
            <w:tcW w:w="981" w:type="dxa"/>
            <w:shd w:val="clear" w:color="auto" w:fill="auto"/>
            <w:vAlign w:val="center"/>
          </w:tcPr>
          <w:p w14:paraId="4EAF9815" w14:textId="77777777" w:rsidR="00051F60" w:rsidRPr="00933A7F" w:rsidRDefault="00051F60" w:rsidP="008E6423">
            <w:pPr>
              <w:pStyle w:val="cuatexto"/>
              <w:spacing w:line="240" w:lineRule="auto"/>
              <w:jc w:val="right"/>
              <w:rPr>
                <w:szCs w:val="20"/>
              </w:rPr>
            </w:pPr>
            <w:r>
              <w:t>9</w:t>
            </w:r>
          </w:p>
        </w:tc>
        <w:tc>
          <w:tcPr>
            <w:tcW w:w="861" w:type="dxa"/>
            <w:shd w:val="clear" w:color="auto" w:fill="auto"/>
            <w:vAlign w:val="center"/>
          </w:tcPr>
          <w:p w14:paraId="416A44CE" w14:textId="77777777" w:rsidR="00051F60" w:rsidRPr="00933A7F" w:rsidRDefault="00051F60" w:rsidP="008E6423">
            <w:pPr>
              <w:pStyle w:val="cuatexto"/>
              <w:spacing w:line="240" w:lineRule="auto"/>
              <w:jc w:val="right"/>
              <w:rPr>
                <w:szCs w:val="20"/>
              </w:rPr>
            </w:pPr>
            <w:r>
              <w:t>-3</w:t>
            </w:r>
          </w:p>
        </w:tc>
        <w:tc>
          <w:tcPr>
            <w:tcW w:w="1003" w:type="dxa"/>
            <w:tcBorders>
              <w:right w:val="single" w:sz="2" w:space="0" w:color="auto"/>
            </w:tcBorders>
            <w:vAlign w:val="center"/>
          </w:tcPr>
          <w:p w14:paraId="24DE713F" w14:textId="77777777" w:rsidR="00051F60" w:rsidRPr="00933A7F" w:rsidRDefault="00051F60" w:rsidP="008E6423">
            <w:pPr>
              <w:pStyle w:val="cuatexto"/>
              <w:spacing w:line="240" w:lineRule="auto"/>
              <w:jc w:val="right"/>
              <w:rPr>
                <w:szCs w:val="20"/>
              </w:rPr>
            </w:pPr>
            <w:r>
              <w:t>-2</w:t>
            </w:r>
          </w:p>
        </w:tc>
        <w:tc>
          <w:tcPr>
            <w:tcW w:w="982" w:type="dxa"/>
            <w:tcBorders>
              <w:left w:val="single" w:sz="2" w:space="0" w:color="auto"/>
            </w:tcBorders>
            <w:vAlign w:val="center"/>
          </w:tcPr>
          <w:p w14:paraId="04AB52A2" w14:textId="77777777" w:rsidR="00051F60" w:rsidRPr="00933A7F" w:rsidRDefault="00051F60" w:rsidP="008E6423">
            <w:pPr>
              <w:pStyle w:val="cuatexto"/>
              <w:spacing w:line="240" w:lineRule="auto"/>
              <w:jc w:val="right"/>
              <w:rPr>
                <w:rFonts w:cs="Calibri"/>
                <w:szCs w:val="20"/>
              </w:rPr>
            </w:pPr>
            <w:r>
              <w:t>71,68</w:t>
            </w:r>
          </w:p>
        </w:tc>
        <w:tc>
          <w:tcPr>
            <w:tcW w:w="993" w:type="dxa"/>
            <w:vAlign w:val="center"/>
          </w:tcPr>
          <w:p w14:paraId="3B8DD509" w14:textId="77777777" w:rsidR="00051F60" w:rsidRPr="00933A7F" w:rsidRDefault="00051F60" w:rsidP="008E6423">
            <w:pPr>
              <w:pStyle w:val="cuatexto"/>
              <w:spacing w:line="240" w:lineRule="auto"/>
              <w:jc w:val="right"/>
              <w:rPr>
                <w:rFonts w:cs="Calibri"/>
                <w:szCs w:val="20"/>
              </w:rPr>
            </w:pPr>
            <w:r>
              <w:t>8</w:t>
            </w:r>
          </w:p>
        </w:tc>
      </w:tr>
      <w:tr w:rsidR="00051F60" w:rsidRPr="00933A7F" w14:paraId="1D203468" w14:textId="77777777" w:rsidTr="008E6423">
        <w:trPr>
          <w:trHeight w:val="227"/>
          <w:jc w:val="center"/>
        </w:trPr>
        <w:tc>
          <w:tcPr>
            <w:tcW w:w="2124" w:type="dxa"/>
            <w:shd w:val="clear" w:color="auto" w:fill="auto"/>
            <w:vAlign w:val="center"/>
            <w:hideMark/>
          </w:tcPr>
          <w:p w14:paraId="7017F471" w14:textId="77777777" w:rsidR="00051F60" w:rsidRPr="00933A7F" w:rsidRDefault="00051F60" w:rsidP="008E6423">
            <w:pPr>
              <w:pStyle w:val="cuatexto"/>
              <w:spacing w:line="240" w:lineRule="auto"/>
              <w:rPr>
                <w:szCs w:val="20"/>
              </w:rPr>
            </w:pPr>
            <w:r>
              <w:t>Etxebizitza eta hirigintza</w:t>
            </w:r>
          </w:p>
        </w:tc>
        <w:tc>
          <w:tcPr>
            <w:tcW w:w="1133" w:type="dxa"/>
            <w:shd w:val="clear" w:color="auto" w:fill="auto"/>
            <w:vAlign w:val="center"/>
          </w:tcPr>
          <w:p w14:paraId="62098E75" w14:textId="77777777" w:rsidR="00051F60" w:rsidRPr="00933A7F" w:rsidRDefault="00051F60" w:rsidP="008E6423">
            <w:pPr>
              <w:pStyle w:val="cuatexto"/>
              <w:spacing w:line="240" w:lineRule="auto"/>
              <w:jc w:val="right"/>
              <w:rPr>
                <w:szCs w:val="20"/>
              </w:rPr>
            </w:pPr>
            <w:r>
              <w:t>89,06</w:t>
            </w:r>
          </w:p>
        </w:tc>
        <w:tc>
          <w:tcPr>
            <w:tcW w:w="854" w:type="dxa"/>
            <w:shd w:val="clear" w:color="auto" w:fill="auto"/>
            <w:vAlign w:val="center"/>
          </w:tcPr>
          <w:p w14:paraId="23AAFEA4" w14:textId="77777777" w:rsidR="00051F60" w:rsidRPr="00933A7F" w:rsidRDefault="00051F60" w:rsidP="008E6423">
            <w:pPr>
              <w:pStyle w:val="cuatexto"/>
              <w:spacing w:line="240" w:lineRule="auto"/>
              <w:jc w:val="right"/>
              <w:rPr>
                <w:szCs w:val="20"/>
              </w:rPr>
            </w:pPr>
            <w:r>
              <w:t>69,91</w:t>
            </w:r>
          </w:p>
        </w:tc>
        <w:tc>
          <w:tcPr>
            <w:tcW w:w="981" w:type="dxa"/>
            <w:shd w:val="clear" w:color="auto" w:fill="auto"/>
            <w:vAlign w:val="center"/>
          </w:tcPr>
          <w:p w14:paraId="71F78EC6" w14:textId="77777777" w:rsidR="00051F60" w:rsidRPr="00933A7F" w:rsidRDefault="00051F60" w:rsidP="008E6423">
            <w:pPr>
              <w:pStyle w:val="cuatexto"/>
              <w:spacing w:line="240" w:lineRule="auto"/>
              <w:jc w:val="right"/>
              <w:rPr>
                <w:szCs w:val="20"/>
              </w:rPr>
            </w:pPr>
            <w:r>
              <w:t>9</w:t>
            </w:r>
          </w:p>
        </w:tc>
        <w:tc>
          <w:tcPr>
            <w:tcW w:w="861" w:type="dxa"/>
            <w:shd w:val="clear" w:color="auto" w:fill="auto"/>
            <w:vAlign w:val="center"/>
          </w:tcPr>
          <w:p w14:paraId="412D40C9" w14:textId="77777777" w:rsidR="00051F60" w:rsidRPr="00933A7F" w:rsidRDefault="00051F60" w:rsidP="008E6423">
            <w:pPr>
              <w:pStyle w:val="cuatexto"/>
              <w:spacing w:line="240" w:lineRule="auto"/>
              <w:jc w:val="right"/>
              <w:rPr>
                <w:szCs w:val="20"/>
              </w:rPr>
            </w:pPr>
            <w:r>
              <w:t>-22</w:t>
            </w:r>
          </w:p>
        </w:tc>
        <w:tc>
          <w:tcPr>
            <w:tcW w:w="1003" w:type="dxa"/>
            <w:tcBorders>
              <w:right w:val="single" w:sz="2" w:space="0" w:color="auto"/>
            </w:tcBorders>
            <w:vAlign w:val="center"/>
          </w:tcPr>
          <w:p w14:paraId="001B266E" w14:textId="77777777" w:rsidR="00051F60" w:rsidRPr="00933A7F" w:rsidRDefault="00051F60" w:rsidP="008E6423">
            <w:pPr>
              <w:pStyle w:val="cuatexto"/>
              <w:spacing w:line="240" w:lineRule="auto"/>
              <w:jc w:val="right"/>
              <w:rPr>
                <w:szCs w:val="20"/>
              </w:rPr>
            </w:pPr>
            <w:r>
              <w:t>-19</w:t>
            </w:r>
          </w:p>
        </w:tc>
        <w:tc>
          <w:tcPr>
            <w:tcW w:w="982" w:type="dxa"/>
            <w:tcBorders>
              <w:left w:val="single" w:sz="2" w:space="0" w:color="auto"/>
            </w:tcBorders>
            <w:vAlign w:val="center"/>
          </w:tcPr>
          <w:p w14:paraId="2C9E0169" w14:textId="77777777" w:rsidR="00051F60" w:rsidRPr="00933A7F" w:rsidRDefault="00051F60" w:rsidP="008E6423">
            <w:pPr>
              <w:pStyle w:val="cuatexto"/>
              <w:spacing w:line="240" w:lineRule="auto"/>
              <w:jc w:val="right"/>
              <w:rPr>
                <w:rFonts w:cs="Calibri"/>
                <w:szCs w:val="20"/>
              </w:rPr>
            </w:pPr>
            <w:r>
              <w:t>70,26</w:t>
            </w:r>
          </w:p>
        </w:tc>
        <w:tc>
          <w:tcPr>
            <w:tcW w:w="993" w:type="dxa"/>
            <w:vAlign w:val="center"/>
          </w:tcPr>
          <w:p w14:paraId="44A8DC82" w14:textId="77777777" w:rsidR="00051F60" w:rsidRPr="00933A7F" w:rsidRDefault="00051F60" w:rsidP="008E6423">
            <w:pPr>
              <w:pStyle w:val="cuatexto"/>
              <w:spacing w:line="240" w:lineRule="auto"/>
              <w:jc w:val="right"/>
              <w:rPr>
                <w:rFonts w:cs="Calibri"/>
                <w:szCs w:val="20"/>
              </w:rPr>
            </w:pPr>
            <w:r>
              <w:t>8</w:t>
            </w:r>
          </w:p>
        </w:tc>
      </w:tr>
      <w:tr w:rsidR="00051F60" w:rsidRPr="00933A7F" w14:paraId="42E135A2" w14:textId="77777777" w:rsidTr="008E6423">
        <w:trPr>
          <w:trHeight w:val="227"/>
          <w:jc w:val="center"/>
        </w:trPr>
        <w:tc>
          <w:tcPr>
            <w:tcW w:w="2124" w:type="dxa"/>
            <w:shd w:val="clear" w:color="auto" w:fill="auto"/>
            <w:vAlign w:val="center"/>
            <w:hideMark/>
          </w:tcPr>
          <w:p w14:paraId="778730B3" w14:textId="77777777" w:rsidR="00051F60" w:rsidRPr="00933A7F" w:rsidRDefault="00051F60" w:rsidP="008E6423">
            <w:pPr>
              <w:pStyle w:val="cuatexto"/>
              <w:spacing w:line="240" w:lineRule="auto"/>
              <w:rPr>
                <w:szCs w:val="20"/>
              </w:rPr>
            </w:pPr>
            <w:r>
              <w:t>Herritarren segurtasuna eta mugikortasuna</w:t>
            </w:r>
          </w:p>
        </w:tc>
        <w:tc>
          <w:tcPr>
            <w:tcW w:w="1133" w:type="dxa"/>
            <w:shd w:val="clear" w:color="auto" w:fill="auto"/>
            <w:vAlign w:val="center"/>
          </w:tcPr>
          <w:p w14:paraId="186448B4" w14:textId="77777777" w:rsidR="00051F60" w:rsidRPr="00933A7F" w:rsidRDefault="00051F60" w:rsidP="008E6423">
            <w:pPr>
              <w:pStyle w:val="cuatexto"/>
              <w:spacing w:line="240" w:lineRule="auto"/>
              <w:jc w:val="right"/>
              <w:rPr>
                <w:szCs w:val="20"/>
              </w:rPr>
            </w:pPr>
            <w:r>
              <w:t>56,03</w:t>
            </w:r>
          </w:p>
        </w:tc>
        <w:tc>
          <w:tcPr>
            <w:tcW w:w="854" w:type="dxa"/>
            <w:shd w:val="clear" w:color="auto" w:fill="auto"/>
            <w:vAlign w:val="center"/>
          </w:tcPr>
          <w:p w14:paraId="5A45D6AA" w14:textId="77777777" w:rsidR="00051F60" w:rsidRPr="00933A7F" w:rsidRDefault="00051F60" w:rsidP="008E6423">
            <w:pPr>
              <w:pStyle w:val="cuatexto"/>
              <w:spacing w:line="240" w:lineRule="auto"/>
              <w:jc w:val="right"/>
              <w:rPr>
                <w:szCs w:val="20"/>
              </w:rPr>
            </w:pPr>
            <w:r>
              <w:t>57,40</w:t>
            </w:r>
          </w:p>
        </w:tc>
        <w:tc>
          <w:tcPr>
            <w:tcW w:w="981" w:type="dxa"/>
            <w:shd w:val="clear" w:color="auto" w:fill="auto"/>
            <w:vAlign w:val="center"/>
          </w:tcPr>
          <w:p w14:paraId="44491737" w14:textId="77777777" w:rsidR="00051F60" w:rsidRPr="00933A7F" w:rsidRDefault="00051F60" w:rsidP="008E6423">
            <w:pPr>
              <w:pStyle w:val="cuatexto"/>
              <w:spacing w:line="240" w:lineRule="auto"/>
              <w:jc w:val="right"/>
              <w:rPr>
                <w:szCs w:val="20"/>
              </w:rPr>
            </w:pPr>
            <w:r>
              <w:t>7</w:t>
            </w:r>
          </w:p>
        </w:tc>
        <w:tc>
          <w:tcPr>
            <w:tcW w:w="861" w:type="dxa"/>
            <w:shd w:val="clear" w:color="auto" w:fill="auto"/>
            <w:vAlign w:val="center"/>
          </w:tcPr>
          <w:p w14:paraId="430C828E" w14:textId="77777777" w:rsidR="00051F60" w:rsidRPr="00933A7F" w:rsidRDefault="00051F60" w:rsidP="008E6423">
            <w:pPr>
              <w:pStyle w:val="cuatexto"/>
              <w:spacing w:line="240" w:lineRule="auto"/>
              <w:jc w:val="right"/>
              <w:rPr>
                <w:szCs w:val="20"/>
              </w:rPr>
            </w:pPr>
            <w:r>
              <w:t>2</w:t>
            </w:r>
          </w:p>
        </w:tc>
        <w:tc>
          <w:tcPr>
            <w:tcW w:w="1003" w:type="dxa"/>
            <w:tcBorders>
              <w:right w:val="single" w:sz="2" w:space="0" w:color="auto"/>
            </w:tcBorders>
            <w:vAlign w:val="center"/>
          </w:tcPr>
          <w:p w14:paraId="51F958CD" w14:textId="77777777" w:rsidR="00051F60" w:rsidRPr="00933A7F" w:rsidRDefault="00051F60" w:rsidP="008E6423">
            <w:pPr>
              <w:pStyle w:val="cuatexto"/>
              <w:spacing w:line="240" w:lineRule="auto"/>
              <w:jc w:val="right"/>
              <w:rPr>
                <w:szCs w:val="20"/>
              </w:rPr>
            </w:pPr>
            <w:r>
              <w:t>1</w:t>
            </w:r>
          </w:p>
        </w:tc>
        <w:tc>
          <w:tcPr>
            <w:tcW w:w="982" w:type="dxa"/>
            <w:tcBorders>
              <w:left w:val="single" w:sz="2" w:space="0" w:color="auto"/>
            </w:tcBorders>
            <w:vAlign w:val="center"/>
          </w:tcPr>
          <w:p w14:paraId="65D09ACB" w14:textId="77777777" w:rsidR="00051F60" w:rsidRPr="00933A7F" w:rsidRDefault="00051F60" w:rsidP="008E6423">
            <w:pPr>
              <w:pStyle w:val="cuatexto"/>
              <w:spacing w:line="240" w:lineRule="auto"/>
              <w:jc w:val="right"/>
              <w:rPr>
                <w:rFonts w:cs="Calibri"/>
                <w:szCs w:val="20"/>
              </w:rPr>
            </w:pPr>
            <w:r>
              <w:t>57,40</w:t>
            </w:r>
          </w:p>
        </w:tc>
        <w:tc>
          <w:tcPr>
            <w:tcW w:w="993" w:type="dxa"/>
            <w:vAlign w:val="center"/>
          </w:tcPr>
          <w:p w14:paraId="0ECF5449" w14:textId="77777777" w:rsidR="00051F60" w:rsidRPr="00933A7F" w:rsidRDefault="00051F60" w:rsidP="008E6423">
            <w:pPr>
              <w:pStyle w:val="cuatexto"/>
              <w:spacing w:line="240" w:lineRule="auto"/>
              <w:jc w:val="right"/>
              <w:rPr>
                <w:rFonts w:cs="Calibri"/>
                <w:szCs w:val="20"/>
              </w:rPr>
            </w:pPr>
            <w:r>
              <w:t>7</w:t>
            </w:r>
          </w:p>
        </w:tc>
      </w:tr>
      <w:tr w:rsidR="00051F60" w:rsidRPr="00933A7F" w14:paraId="0246A2B7" w14:textId="77777777" w:rsidTr="008E6423">
        <w:trPr>
          <w:trHeight w:val="227"/>
          <w:jc w:val="center"/>
        </w:trPr>
        <w:tc>
          <w:tcPr>
            <w:tcW w:w="2124" w:type="dxa"/>
            <w:shd w:val="clear" w:color="auto" w:fill="auto"/>
            <w:vAlign w:val="center"/>
            <w:hideMark/>
          </w:tcPr>
          <w:p w14:paraId="54D35BC5" w14:textId="77777777" w:rsidR="00051F60" w:rsidRPr="00933A7F" w:rsidRDefault="00051F60" w:rsidP="008E6423">
            <w:pPr>
              <w:pStyle w:val="cuatexto"/>
              <w:spacing w:line="240" w:lineRule="auto"/>
              <w:rPr>
                <w:szCs w:val="20"/>
              </w:rPr>
            </w:pPr>
            <w:r>
              <w:t>Kirola</w:t>
            </w:r>
          </w:p>
        </w:tc>
        <w:tc>
          <w:tcPr>
            <w:tcW w:w="1133" w:type="dxa"/>
            <w:shd w:val="clear" w:color="auto" w:fill="auto"/>
            <w:vAlign w:val="center"/>
          </w:tcPr>
          <w:p w14:paraId="4B747F30" w14:textId="77777777" w:rsidR="00051F60" w:rsidRPr="00933A7F" w:rsidRDefault="00051F60" w:rsidP="008E6423">
            <w:pPr>
              <w:pStyle w:val="cuatexto"/>
              <w:spacing w:line="240" w:lineRule="auto"/>
              <w:jc w:val="right"/>
              <w:rPr>
                <w:szCs w:val="20"/>
              </w:rPr>
            </w:pPr>
            <w:r>
              <w:t>64,36</w:t>
            </w:r>
          </w:p>
        </w:tc>
        <w:tc>
          <w:tcPr>
            <w:tcW w:w="854" w:type="dxa"/>
            <w:shd w:val="clear" w:color="auto" w:fill="auto"/>
            <w:vAlign w:val="center"/>
          </w:tcPr>
          <w:p w14:paraId="4F40407C" w14:textId="77777777" w:rsidR="00051F60" w:rsidRPr="00933A7F" w:rsidRDefault="00051F60" w:rsidP="008E6423">
            <w:pPr>
              <w:pStyle w:val="cuatexto"/>
              <w:spacing w:line="240" w:lineRule="auto"/>
              <w:jc w:val="right"/>
              <w:rPr>
                <w:szCs w:val="20"/>
              </w:rPr>
            </w:pPr>
            <w:r>
              <w:t>57,24</w:t>
            </w:r>
          </w:p>
        </w:tc>
        <w:tc>
          <w:tcPr>
            <w:tcW w:w="981" w:type="dxa"/>
            <w:shd w:val="clear" w:color="auto" w:fill="auto"/>
            <w:vAlign w:val="center"/>
          </w:tcPr>
          <w:p w14:paraId="6EF6AC09" w14:textId="77777777" w:rsidR="00051F60" w:rsidRPr="00933A7F" w:rsidRDefault="00051F60" w:rsidP="008E6423">
            <w:pPr>
              <w:pStyle w:val="cuatexto"/>
              <w:spacing w:line="240" w:lineRule="auto"/>
              <w:jc w:val="right"/>
              <w:rPr>
                <w:szCs w:val="20"/>
              </w:rPr>
            </w:pPr>
            <w:r>
              <w:t>7</w:t>
            </w:r>
          </w:p>
        </w:tc>
        <w:tc>
          <w:tcPr>
            <w:tcW w:w="861" w:type="dxa"/>
            <w:shd w:val="clear" w:color="auto" w:fill="auto"/>
            <w:vAlign w:val="center"/>
          </w:tcPr>
          <w:p w14:paraId="0832D10E" w14:textId="77777777" w:rsidR="00051F60" w:rsidRPr="00933A7F" w:rsidRDefault="00051F60" w:rsidP="008E6423">
            <w:pPr>
              <w:pStyle w:val="cuatexto"/>
              <w:spacing w:line="240" w:lineRule="auto"/>
              <w:jc w:val="right"/>
              <w:rPr>
                <w:szCs w:val="20"/>
              </w:rPr>
            </w:pPr>
            <w:r>
              <w:t>-11</w:t>
            </w:r>
          </w:p>
        </w:tc>
        <w:tc>
          <w:tcPr>
            <w:tcW w:w="1003" w:type="dxa"/>
            <w:tcBorders>
              <w:right w:val="single" w:sz="2" w:space="0" w:color="auto"/>
            </w:tcBorders>
            <w:vAlign w:val="center"/>
          </w:tcPr>
          <w:p w14:paraId="208ABC43" w14:textId="77777777" w:rsidR="00051F60" w:rsidRPr="00933A7F" w:rsidRDefault="00051F60" w:rsidP="008E6423">
            <w:pPr>
              <w:pStyle w:val="cuatexto"/>
              <w:spacing w:line="240" w:lineRule="auto"/>
              <w:jc w:val="right"/>
              <w:rPr>
                <w:szCs w:val="20"/>
              </w:rPr>
            </w:pPr>
            <w:r>
              <w:t>-7</w:t>
            </w:r>
          </w:p>
        </w:tc>
        <w:tc>
          <w:tcPr>
            <w:tcW w:w="982" w:type="dxa"/>
            <w:tcBorders>
              <w:left w:val="single" w:sz="2" w:space="0" w:color="auto"/>
            </w:tcBorders>
            <w:vAlign w:val="center"/>
          </w:tcPr>
          <w:p w14:paraId="05651655" w14:textId="77777777" w:rsidR="00051F60" w:rsidRPr="00933A7F" w:rsidRDefault="00051F60" w:rsidP="008E6423">
            <w:pPr>
              <w:pStyle w:val="cuatexto"/>
              <w:spacing w:line="240" w:lineRule="auto"/>
              <w:jc w:val="right"/>
              <w:rPr>
                <w:rFonts w:cs="Calibri"/>
                <w:szCs w:val="20"/>
              </w:rPr>
            </w:pPr>
            <w:r>
              <w:t>57,24</w:t>
            </w:r>
          </w:p>
        </w:tc>
        <w:tc>
          <w:tcPr>
            <w:tcW w:w="993" w:type="dxa"/>
            <w:vAlign w:val="center"/>
          </w:tcPr>
          <w:p w14:paraId="12167301" w14:textId="77777777" w:rsidR="00051F60" w:rsidRPr="00933A7F" w:rsidRDefault="00051F60" w:rsidP="008E6423">
            <w:pPr>
              <w:pStyle w:val="cuatexto"/>
              <w:spacing w:line="240" w:lineRule="auto"/>
              <w:jc w:val="right"/>
              <w:rPr>
                <w:rFonts w:cs="Calibri"/>
                <w:szCs w:val="20"/>
              </w:rPr>
            </w:pPr>
            <w:r>
              <w:t>7</w:t>
            </w:r>
          </w:p>
        </w:tc>
      </w:tr>
      <w:tr w:rsidR="00051F60" w:rsidRPr="00933A7F" w14:paraId="1592810C" w14:textId="77777777" w:rsidTr="008E6423">
        <w:trPr>
          <w:trHeight w:val="227"/>
          <w:jc w:val="center"/>
        </w:trPr>
        <w:tc>
          <w:tcPr>
            <w:tcW w:w="2124" w:type="dxa"/>
            <w:shd w:val="clear" w:color="auto" w:fill="auto"/>
            <w:vAlign w:val="center"/>
            <w:hideMark/>
          </w:tcPr>
          <w:p w14:paraId="6ADD068B" w14:textId="77777777" w:rsidR="00051F60" w:rsidRPr="00933A7F" w:rsidRDefault="00051F60" w:rsidP="008E6423">
            <w:pPr>
              <w:pStyle w:val="cuatexto"/>
              <w:spacing w:line="240" w:lineRule="auto"/>
              <w:rPr>
                <w:szCs w:val="20"/>
              </w:rPr>
            </w:pPr>
            <w:r>
              <w:t>Pentsioak</w:t>
            </w:r>
          </w:p>
        </w:tc>
        <w:tc>
          <w:tcPr>
            <w:tcW w:w="1133" w:type="dxa"/>
            <w:shd w:val="clear" w:color="auto" w:fill="auto"/>
            <w:vAlign w:val="center"/>
          </w:tcPr>
          <w:p w14:paraId="3C50E7F4" w14:textId="77777777" w:rsidR="00051F60" w:rsidRPr="00933A7F" w:rsidRDefault="00051F60" w:rsidP="008E6423">
            <w:pPr>
              <w:pStyle w:val="cuatexto"/>
              <w:spacing w:line="240" w:lineRule="auto"/>
              <w:jc w:val="right"/>
              <w:rPr>
                <w:szCs w:val="20"/>
              </w:rPr>
            </w:pPr>
            <w:r>
              <w:t>51,92</w:t>
            </w:r>
          </w:p>
        </w:tc>
        <w:tc>
          <w:tcPr>
            <w:tcW w:w="854" w:type="dxa"/>
            <w:shd w:val="clear" w:color="auto" w:fill="auto"/>
            <w:vAlign w:val="center"/>
          </w:tcPr>
          <w:p w14:paraId="06DF43F3" w14:textId="77777777" w:rsidR="00051F60" w:rsidRPr="00933A7F" w:rsidRDefault="00051F60" w:rsidP="008E6423">
            <w:pPr>
              <w:pStyle w:val="cuatexto"/>
              <w:spacing w:line="240" w:lineRule="auto"/>
              <w:jc w:val="right"/>
              <w:rPr>
                <w:szCs w:val="20"/>
              </w:rPr>
            </w:pPr>
            <w:r>
              <w:t>53,45</w:t>
            </w:r>
          </w:p>
        </w:tc>
        <w:tc>
          <w:tcPr>
            <w:tcW w:w="981" w:type="dxa"/>
            <w:shd w:val="clear" w:color="auto" w:fill="auto"/>
            <w:vAlign w:val="center"/>
          </w:tcPr>
          <w:p w14:paraId="3E3E7F9E" w14:textId="77777777" w:rsidR="00051F60" w:rsidRPr="00933A7F" w:rsidRDefault="00051F60" w:rsidP="008E6423">
            <w:pPr>
              <w:pStyle w:val="cuatexto"/>
              <w:spacing w:line="240" w:lineRule="auto"/>
              <w:jc w:val="right"/>
              <w:rPr>
                <w:szCs w:val="20"/>
              </w:rPr>
            </w:pPr>
            <w:r>
              <w:t>7</w:t>
            </w:r>
          </w:p>
        </w:tc>
        <w:tc>
          <w:tcPr>
            <w:tcW w:w="861" w:type="dxa"/>
            <w:shd w:val="clear" w:color="auto" w:fill="auto"/>
            <w:vAlign w:val="center"/>
          </w:tcPr>
          <w:p w14:paraId="7EB2AF08" w14:textId="77777777" w:rsidR="00051F60" w:rsidRPr="00933A7F" w:rsidRDefault="00051F60" w:rsidP="008E6423">
            <w:pPr>
              <w:pStyle w:val="cuatexto"/>
              <w:spacing w:line="240" w:lineRule="auto"/>
              <w:jc w:val="right"/>
              <w:rPr>
                <w:szCs w:val="20"/>
              </w:rPr>
            </w:pPr>
            <w:r>
              <w:t>3</w:t>
            </w:r>
          </w:p>
        </w:tc>
        <w:tc>
          <w:tcPr>
            <w:tcW w:w="1003" w:type="dxa"/>
            <w:tcBorders>
              <w:right w:val="single" w:sz="2" w:space="0" w:color="auto"/>
            </w:tcBorders>
            <w:vAlign w:val="center"/>
          </w:tcPr>
          <w:p w14:paraId="27F1AF8F" w14:textId="77777777" w:rsidR="00051F60" w:rsidRPr="00933A7F" w:rsidRDefault="00051F60" w:rsidP="008E6423">
            <w:pPr>
              <w:pStyle w:val="cuatexto"/>
              <w:spacing w:line="240" w:lineRule="auto"/>
              <w:jc w:val="right"/>
              <w:rPr>
                <w:szCs w:val="20"/>
              </w:rPr>
            </w:pPr>
            <w:r>
              <w:t>2</w:t>
            </w:r>
          </w:p>
        </w:tc>
        <w:tc>
          <w:tcPr>
            <w:tcW w:w="982" w:type="dxa"/>
            <w:tcBorders>
              <w:left w:val="single" w:sz="2" w:space="0" w:color="auto"/>
            </w:tcBorders>
            <w:vAlign w:val="center"/>
          </w:tcPr>
          <w:p w14:paraId="7DE8B8EB" w14:textId="77777777" w:rsidR="00051F60" w:rsidRPr="00933A7F" w:rsidRDefault="00051F60" w:rsidP="008E6423">
            <w:pPr>
              <w:pStyle w:val="cuatexto"/>
              <w:spacing w:line="240" w:lineRule="auto"/>
              <w:jc w:val="right"/>
              <w:rPr>
                <w:rFonts w:cs="Calibri"/>
                <w:szCs w:val="20"/>
              </w:rPr>
            </w:pPr>
            <w:r>
              <w:t>53,45</w:t>
            </w:r>
          </w:p>
        </w:tc>
        <w:tc>
          <w:tcPr>
            <w:tcW w:w="993" w:type="dxa"/>
            <w:vAlign w:val="center"/>
          </w:tcPr>
          <w:p w14:paraId="640B0382" w14:textId="77777777" w:rsidR="00051F60" w:rsidRPr="00933A7F" w:rsidRDefault="00051F60" w:rsidP="008E6423">
            <w:pPr>
              <w:pStyle w:val="cuatexto"/>
              <w:spacing w:line="240" w:lineRule="auto"/>
              <w:jc w:val="right"/>
              <w:rPr>
                <w:rFonts w:cs="Calibri"/>
                <w:szCs w:val="20"/>
              </w:rPr>
            </w:pPr>
            <w:r>
              <w:t>6</w:t>
            </w:r>
          </w:p>
        </w:tc>
      </w:tr>
      <w:tr w:rsidR="00051F60" w:rsidRPr="00933A7F" w14:paraId="59A9D617" w14:textId="77777777" w:rsidTr="008E6423">
        <w:trPr>
          <w:trHeight w:val="227"/>
          <w:jc w:val="center"/>
        </w:trPr>
        <w:tc>
          <w:tcPr>
            <w:tcW w:w="2124" w:type="dxa"/>
            <w:shd w:val="clear" w:color="auto" w:fill="auto"/>
            <w:vAlign w:val="center"/>
            <w:hideMark/>
          </w:tcPr>
          <w:p w14:paraId="306D75A3" w14:textId="77777777" w:rsidR="00051F60" w:rsidRPr="00933A7F" w:rsidRDefault="00051F60" w:rsidP="008E6423">
            <w:pPr>
              <w:pStyle w:val="cuatexto"/>
              <w:spacing w:line="240" w:lineRule="auto"/>
              <w:rPr>
                <w:szCs w:val="20"/>
              </w:rPr>
            </w:pPr>
            <w:r>
              <w:t>Kultura</w:t>
            </w:r>
          </w:p>
        </w:tc>
        <w:tc>
          <w:tcPr>
            <w:tcW w:w="1133" w:type="dxa"/>
            <w:shd w:val="clear" w:color="auto" w:fill="auto"/>
            <w:vAlign w:val="center"/>
          </w:tcPr>
          <w:p w14:paraId="7246C49B" w14:textId="77777777" w:rsidR="00051F60" w:rsidRPr="00933A7F" w:rsidRDefault="00051F60" w:rsidP="008E6423">
            <w:pPr>
              <w:pStyle w:val="cuatexto"/>
              <w:spacing w:line="240" w:lineRule="auto"/>
              <w:jc w:val="right"/>
              <w:rPr>
                <w:szCs w:val="20"/>
              </w:rPr>
            </w:pPr>
            <w:r>
              <w:t>69,15</w:t>
            </w:r>
          </w:p>
        </w:tc>
        <w:tc>
          <w:tcPr>
            <w:tcW w:w="854" w:type="dxa"/>
            <w:shd w:val="clear" w:color="auto" w:fill="auto"/>
            <w:vAlign w:val="center"/>
          </w:tcPr>
          <w:p w14:paraId="1FF158B6" w14:textId="77777777" w:rsidR="00051F60" w:rsidRPr="00933A7F" w:rsidRDefault="00051F60" w:rsidP="008E6423">
            <w:pPr>
              <w:pStyle w:val="cuatexto"/>
              <w:spacing w:line="240" w:lineRule="auto"/>
              <w:jc w:val="right"/>
              <w:rPr>
                <w:szCs w:val="20"/>
              </w:rPr>
            </w:pPr>
            <w:r>
              <w:t>44,57</w:t>
            </w:r>
          </w:p>
        </w:tc>
        <w:tc>
          <w:tcPr>
            <w:tcW w:w="981" w:type="dxa"/>
            <w:shd w:val="clear" w:color="auto" w:fill="auto"/>
            <w:vAlign w:val="center"/>
          </w:tcPr>
          <w:p w14:paraId="08E4EEE6" w14:textId="77777777" w:rsidR="00051F60" w:rsidRPr="00933A7F" w:rsidRDefault="00051F60" w:rsidP="008E6423">
            <w:pPr>
              <w:pStyle w:val="cuatexto"/>
              <w:spacing w:line="240" w:lineRule="auto"/>
              <w:jc w:val="right"/>
              <w:rPr>
                <w:szCs w:val="20"/>
              </w:rPr>
            </w:pPr>
            <w:r>
              <w:t>6</w:t>
            </w:r>
          </w:p>
        </w:tc>
        <w:tc>
          <w:tcPr>
            <w:tcW w:w="861" w:type="dxa"/>
            <w:shd w:val="clear" w:color="auto" w:fill="auto"/>
            <w:vAlign w:val="center"/>
          </w:tcPr>
          <w:p w14:paraId="51ADAA8C" w14:textId="77777777" w:rsidR="00051F60" w:rsidRPr="00933A7F" w:rsidRDefault="00051F60" w:rsidP="008E6423">
            <w:pPr>
              <w:pStyle w:val="cuatexto"/>
              <w:spacing w:line="240" w:lineRule="auto"/>
              <w:jc w:val="right"/>
              <w:rPr>
                <w:szCs w:val="20"/>
              </w:rPr>
            </w:pPr>
            <w:r>
              <w:t>-36</w:t>
            </w:r>
          </w:p>
        </w:tc>
        <w:tc>
          <w:tcPr>
            <w:tcW w:w="1003" w:type="dxa"/>
            <w:tcBorders>
              <w:right w:val="single" w:sz="2" w:space="0" w:color="auto"/>
            </w:tcBorders>
            <w:vAlign w:val="center"/>
          </w:tcPr>
          <w:p w14:paraId="0E749128" w14:textId="77777777" w:rsidR="00051F60" w:rsidRPr="00933A7F" w:rsidRDefault="00051F60" w:rsidP="008E6423">
            <w:pPr>
              <w:pStyle w:val="cuatexto"/>
              <w:spacing w:line="240" w:lineRule="auto"/>
              <w:jc w:val="right"/>
              <w:rPr>
                <w:szCs w:val="20"/>
              </w:rPr>
            </w:pPr>
            <w:r>
              <w:t>-25</w:t>
            </w:r>
          </w:p>
        </w:tc>
        <w:tc>
          <w:tcPr>
            <w:tcW w:w="982" w:type="dxa"/>
            <w:tcBorders>
              <w:left w:val="single" w:sz="2" w:space="0" w:color="auto"/>
            </w:tcBorders>
            <w:vAlign w:val="center"/>
          </w:tcPr>
          <w:p w14:paraId="28F16C45" w14:textId="77777777" w:rsidR="00051F60" w:rsidRPr="00933A7F" w:rsidRDefault="00051F60" w:rsidP="008E6423">
            <w:pPr>
              <w:pStyle w:val="cuatexto"/>
              <w:spacing w:line="240" w:lineRule="auto"/>
              <w:jc w:val="right"/>
              <w:rPr>
                <w:rFonts w:cs="Calibri"/>
                <w:szCs w:val="20"/>
              </w:rPr>
            </w:pPr>
            <w:r>
              <w:t>44,57</w:t>
            </w:r>
          </w:p>
        </w:tc>
        <w:tc>
          <w:tcPr>
            <w:tcW w:w="993" w:type="dxa"/>
            <w:vAlign w:val="center"/>
          </w:tcPr>
          <w:p w14:paraId="50D36A82" w14:textId="77777777" w:rsidR="00051F60" w:rsidRPr="00933A7F" w:rsidRDefault="00051F60" w:rsidP="008E6423">
            <w:pPr>
              <w:pStyle w:val="cuatexto"/>
              <w:spacing w:line="240" w:lineRule="auto"/>
              <w:jc w:val="right"/>
              <w:rPr>
                <w:rFonts w:cs="Calibri"/>
                <w:szCs w:val="20"/>
              </w:rPr>
            </w:pPr>
            <w:r>
              <w:t>5</w:t>
            </w:r>
          </w:p>
        </w:tc>
      </w:tr>
      <w:tr w:rsidR="00051F60" w:rsidRPr="00933A7F" w14:paraId="4F12EDAB" w14:textId="77777777" w:rsidTr="008E6423">
        <w:trPr>
          <w:trHeight w:val="227"/>
          <w:jc w:val="center"/>
        </w:trPr>
        <w:tc>
          <w:tcPr>
            <w:tcW w:w="2124" w:type="dxa"/>
            <w:shd w:val="clear" w:color="auto" w:fill="auto"/>
            <w:vAlign w:val="center"/>
            <w:hideMark/>
          </w:tcPr>
          <w:p w14:paraId="63871A87" w14:textId="77777777" w:rsidR="00051F60" w:rsidRPr="00933A7F" w:rsidRDefault="00051F60" w:rsidP="008E6423">
            <w:pPr>
              <w:pStyle w:val="cuatexto"/>
              <w:spacing w:line="240" w:lineRule="auto"/>
              <w:rPr>
                <w:szCs w:val="20"/>
              </w:rPr>
            </w:pPr>
            <w:r>
              <w:t>Zor publikoa</w:t>
            </w:r>
          </w:p>
        </w:tc>
        <w:tc>
          <w:tcPr>
            <w:tcW w:w="1133" w:type="dxa"/>
            <w:shd w:val="clear" w:color="auto" w:fill="auto"/>
            <w:vAlign w:val="center"/>
          </w:tcPr>
          <w:p w14:paraId="511195A4" w14:textId="77777777" w:rsidR="00051F60" w:rsidRPr="00933A7F" w:rsidRDefault="00051F60" w:rsidP="008E6423">
            <w:pPr>
              <w:pStyle w:val="cuatexto"/>
              <w:spacing w:line="240" w:lineRule="auto"/>
              <w:jc w:val="right"/>
              <w:rPr>
                <w:szCs w:val="20"/>
              </w:rPr>
            </w:pPr>
            <w:r>
              <w:t>29,03</w:t>
            </w:r>
          </w:p>
        </w:tc>
        <w:tc>
          <w:tcPr>
            <w:tcW w:w="854" w:type="dxa"/>
            <w:shd w:val="clear" w:color="auto" w:fill="auto"/>
            <w:vAlign w:val="center"/>
          </w:tcPr>
          <w:p w14:paraId="2AA6A44C" w14:textId="77777777" w:rsidR="00051F60" w:rsidRPr="00933A7F" w:rsidRDefault="00051F60" w:rsidP="008E6423">
            <w:pPr>
              <w:pStyle w:val="cuatexto"/>
              <w:spacing w:line="240" w:lineRule="auto"/>
              <w:jc w:val="right"/>
              <w:rPr>
                <w:szCs w:val="20"/>
              </w:rPr>
            </w:pPr>
            <w:r>
              <w:t>29,24</w:t>
            </w:r>
          </w:p>
        </w:tc>
        <w:tc>
          <w:tcPr>
            <w:tcW w:w="981" w:type="dxa"/>
            <w:shd w:val="clear" w:color="auto" w:fill="auto"/>
            <w:vAlign w:val="center"/>
          </w:tcPr>
          <w:p w14:paraId="55F9CAC7" w14:textId="77777777" w:rsidR="00051F60" w:rsidRPr="00933A7F" w:rsidRDefault="00051F60" w:rsidP="008E6423">
            <w:pPr>
              <w:pStyle w:val="cuatexto"/>
              <w:spacing w:line="240" w:lineRule="auto"/>
              <w:jc w:val="right"/>
              <w:rPr>
                <w:szCs w:val="20"/>
              </w:rPr>
            </w:pPr>
            <w:r>
              <w:t>4</w:t>
            </w:r>
          </w:p>
        </w:tc>
        <w:tc>
          <w:tcPr>
            <w:tcW w:w="861" w:type="dxa"/>
            <w:shd w:val="clear" w:color="auto" w:fill="auto"/>
            <w:vAlign w:val="center"/>
          </w:tcPr>
          <w:p w14:paraId="6AE525F5" w14:textId="77777777" w:rsidR="00051F60" w:rsidRPr="00933A7F" w:rsidRDefault="00051F60" w:rsidP="008E6423">
            <w:pPr>
              <w:pStyle w:val="cuatexto"/>
              <w:spacing w:line="240" w:lineRule="auto"/>
              <w:jc w:val="right"/>
              <w:rPr>
                <w:szCs w:val="20"/>
              </w:rPr>
            </w:pPr>
            <w:r>
              <w:t>1</w:t>
            </w:r>
          </w:p>
        </w:tc>
        <w:tc>
          <w:tcPr>
            <w:tcW w:w="1003" w:type="dxa"/>
            <w:tcBorders>
              <w:right w:val="single" w:sz="2" w:space="0" w:color="auto"/>
            </w:tcBorders>
            <w:vAlign w:val="center"/>
          </w:tcPr>
          <w:p w14:paraId="73EE16E5" w14:textId="77777777" w:rsidR="00051F60" w:rsidRPr="00933A7F" w:rsidRDefault="00051F60" w:rsidP="008E6423">
            <w:pPr>
              <w:pStyle w:val="cuatexto"/>
              <w:spacing w:line="240" w:lineRule="auto"/>
              <w:jc w:val="right"/>
              <w:rPr>
                <w:szCs w:val="20"/>
              </w:rPr>
            </w:pPr>
            <w:r>
              <w:t>0</w:t>
            </w:r>
          </w:p>
        </w:tc>
        <w:tc>
          <w:tcPr>
            <w:tcW w:w="982" w:type="dxa"/>
            <w:tcBorders>
              <w:left w:val="single" w:sz="2" w:space="0" w:color="auto"/>
            </w:tcBorders>
            <w:vAlign w:val="center"/>
          </w:tcPr>
          <w:p w14:paraId="0FF148CE" w14:textId="77777777" w:rsidR="00051F60" w:rsidRPr="00933A7F" w:rsidRDefault="00051F60" w:rsidP="008E6423">
            <w:pPr>
              <w:pStyle w:val="cuatexto"/>
              <w:spacing w:line="240" w:lineRule="auto"/>
              <w:jc w:val="right"/>
              <w:rPr>
                <w:rFonts w:cs="Calibri"/>
                <w:szCs w:val="20"/>
              </w:rPr>
            </w:pPr>
            <w:r>
              <w:t>29,24</w:t>
            </w:r>
          </w:p>
        </w:tc>
        <w:tc>
          <w:tcPr>
            <w:tcW w:w="993" w:type="dxa"/>
            <w:vAlign w:val="center"/>
          </w:tcPr>
          <w:p w14:paraId="3682B2D2" w14:textId="77777777" w:rsidR="00051F60" w:rsidRPr="00933A7F" w:rsidRDefault="00051F60" w:rsidP="008E6423">
            <w:pPr>
              <w:pStyle w:val="cuatexto"/>
              <w:spacing w:line="240" w:lineRule="auto"/>
              <w:jc w:val="right"/>
              <w:rPr>
                <w:rFonts w:cs="Calibri"/>
                <w:szCs w:val="20"/>
              </w:rPr>
            </w:pPr>
            <w:r>
              <w:t>3</w:t>
            </w:r>
          </w:p>
        </w:tc>
      </w:tr>
      <w:tr w:rsidR="00051F60" w:rsidRPr="00933A7F" w14:paraId="51D93150" w14:textId="77777777" w:rsidTr="008E6423">
        <w:trPr>
          <w:trHeight w:val="227"/>
          <w:jc w:val="center"/>
        </w:trPr>
        <w:tc>
          <w:tcPr>
            <w:tcW w:w="2124" w:type="dxa"/>
            <w:shd w:val="clear" w:color="auto" w:fill="auto"/>
            <w:vAlign w:val="center"/>
            <w:hideMark/>
          </w:tcPr>
          <w:p w14:paraId="2434889F" w14:textId="77777777" w:rsidR="00051F60" w:rsidRPr="00933A7F" w:rsidRDefault="00051F60" w:rsidP="008E6423">
            <w:pPr>
              <w:pStyle w:val="cuatexto"/>
              <w:spacing w:line="240" w:lineRule="auto"/>
              <w:rPr>
                <w:szCs w:val="20"/>
              </w:rPr>
            </w:pPr>
            <w:r>
              <w:t>Garraio publikoa</w:t>
            </w:r>
          </w:p>
        </w:tc>
        <w:tc>
          <w:tcPr>
            <w:tcW w:w="1133" w:type="dxa"/>
            <w:shd w:val="clear" w:color="auto" w:fill="auto"/>
            <w:vAlign w:val="center"/>
          </w:tcPr>
          <w:p w14:paraId="0E6A0AE4" w14:textId="77777777" w:rsidR="00051F60" w:rsidRPr="00933A7F" w:rsidRDefault="00051F60" w:rsidP="008E6423">
            <w:pPr>
              <w:pStyle w:val="cuatexto"/>
              <w:spacing w:line="240" w:lineRule="auto"/>
              <w:jc w:val="right"/>
              <w:rPr>
                <w:szCs w:val="20"/>
              </w:rPr>
            </w:pPr>
            <w:r>
              <w:t>22,66</w:t>
            </w:r>
          </w:p>
        </w:tc>
        <w:tc>
          <w:tcPr>
            <w:tcW w:w="854" w:type="dxa"/>
            <w:shd w:val="clear" w:color="auto" w:fill="auto"/>
            <w:vAlign w:val="center"/>
          </w:tcPr>
          <w:p w14:paraId="1530791D" w14:textId="77777777" w:rsidR="00051F60" w:rsidRPr="00933A7F" w:rsidRDefault="00051F60" w:rsidP="008E6423">
            <w:pPr>
              <w:pStyle w:val="cuatexto"/>
              <w:spacing w:line="240" w:lineRule="auto"/>
              <w:jc w:val="right"/>
              <w:rPr>
                <w:szCs w:val="20"/>
              </w:rPr>
            </w:pPr>
            <w:r>
              <w:t>23,81</w:t>
            </w:r>
          </w:p>
        </w:tc>
        <w:tc>
          <w:tcPr>
            <w:tcW w:w="981" w:type="dxa"/>
            <w:shd w:val="clear" w:color="auto" w:fill="auto"/>
            <w:vAlign w:val="center"/>
          </w:tcPr>
          <w:p w14:paraId="7FA30E6B" w14:textId="77777777" w:rsidR="00051F60" w:rsidRPr="00933A7F" w:rsidRDefault="00051F60" w:rsidP="008E6423">
            <w:pPr>
              <w:pStyle w:val="cuatexto"/>
              <w:spacing w:line="240" w:lineRule="auto"/>
              <w:jc w:val="right"/>
              <w:rPr>
                <w:szCs w:val="20"/>
              </w:rPr>
            </w:pPr>
            <w:r>
              <w:t>3</w:t>
            </w:r>
          </w:p>
        </w:tc>
        <w:tc>
          <w:tcPr>
            <w:tcW w:w="861" w:type="dxa"/>
            <w:shd w:val="clear" w:color="auto" w:fill="auto"/>
            <w:vAlign w:val="center"/>
          </w:tcPr>
          <w:p w14:paraId="2D6D2A9D" w14:textId="77777777" w:rsidR="00051F60" w:rsidRPr="00933A7F" w:rsidRDefault="00051F60" w:rsidP="008E6423">
            <w:pPr>
              <w:pStyle w:val="cuatexto"/>
              <w:spacing w:line="240" w:lineRule="auto"/>
              <w:jc w:val="right"/>
              <w:rPr>
                <w:szCs w:val="20"/>
              </w:rPr>
            </w:pPr>
            <w:r>
              <w:t>5</w:t>
            </w:r>
          </w:p>
        </w:tc>
        <w:tc>
          <w:tcPr>
            <w:tcW w:w="1003" w:type="dxa"/>
            <w:tcBorders>
              <w:right w:val="single" w:sz="2" w:space="0" w:color="auto"/>
            </w:tcBorders>
            <w:vAlign w:val="center"/>
          </w:tcPr>
          <w:p w14:paraId="500899BB" w14:textId="77777777" w:rsidR="00051F60" w:rsidRPr="00933A7F" w:rsidRDefault="00051F60" w:rsidP="008E6423">
            <w:pPr>
              <w:pStyle w:val="cuatexto"/>
              <w:spacing w:line="240" w:lineRule="auto"/>
              <w:jc w:val="right"/>
              <w:rPr>
                <w:szCs w:val="20"/>
              </w:rPr>
            </w:pPr>
            <w:r>
              <w:t>1</w:t>
            </w:r>
          </w:p>
        </w:tc>
        <w:tc>
          <w:tcPr>
            <w:tcW w:w="982" w:type="dxa"/>
            <w:tcBorders>
              <w:left w:val="single" w:sz="2" w:space="0" w:color="auto"/>
            </w:tcBorders>
            <w:vAlign w:val="center"/>
          </w:tcPr>
          <w:p w14:paraId="74FE8CD2" w14:textId="77777777" w:rsidR="00051F60" w:rsidRPr="00933A7F" w:rsidRDefault="00051F60" w:rsidP="008E6423">
            <w:pPr>
              <w:pStyle w:val="cuatexto"/>
              <w:spacing w:line="240" w:lineRule="auto"/>
              <w:jc w:val="right"/>
              <w:rPr>
                <w:rFonts w:cs="Calibri"/>
                <w:szCs w:val="20"/>
              </w:rPr>
            </w:pPr>
            <w:r>
              <w:t>23,33</w:t>
            </w:r>
          </w:p>
        </w:tc>
        <w:tc>
          <w:tcPr>
            <w:tcW w:w="993" w:type="dxa"/>
            <w:vAlign w:val="center"/>
          </w:tcPr>
          <w:p w14:paraId="646D5816" w14:textId="77777777" w:rsidR="00051F60" w:rsidRPr="00933A7F" w:rsidRDefault="00051F60" w:rsidP="008E6423">
            <w:pPr>
              <w:pStyle w:val="cuatexto"/>
              <w:spacing w:line="240" w:lineRule="auto"/>
              <w:jc w:val="right"/>
              <w:rPr>
                <w:rFonts w:cs="Calibri"/>
                <w:szCs w:val="20"/>
              </w:rPr>
            </w:pPr>
            <w:r>
              <w:t>3</w:t>
            </w:r>
          </w:p>
        </w:tc>
      </w:tr>
      <w:tr w:rsidR="00051F60" w:rsidRPr="00933A7F" w14:paraId="7228B46F" w14:textId="77777777" w:rsidTr="008E6423">
        <w:trPr>
          <w:trHeight w:val="227"/>
          <w:jc w:val="center"/>
        </w:trPr>
        <w:tc>
          <w:tcPr>
            <w:tcW w:w="2124" w:type="dxa"/>
            <w:shd w:val="clear" w:color="auto" w:fill="auto"/>
            <w:vAlign w:val="center"/>
            <w:hideMark/>
          </w:tcPr>
          <w:p w14:paraId="1445A46E" w14:textId="77777777" w:rsidR="00051F60" w:rsidRPr="00933A7F" w:rsidRDefault="00051F60" w:rsidP="008E6423">
            <w:pPr>
              <w:pStyle w:val="cuatexto"/>
              <w:spacing w:line="240" w:lineRule="auto"/>
              <w:rPr>
                <w:szCs w:val="20"/>
              </w:rPr>
            </w:pPr>
            <w:r>
              <w:t>Beste batzuk</w:t>
            </w:r>
          </w:p>
        </w:tc>
        <w:tc>
          <w:tcPr>
            <w:tcW w:w="1133" w:type="dxa"/>
            <w:shd w:val="clear" w:color="auto" w:fill="auto"/>
            <w:vAlign w:val="center"/>
          </w:tcPr>
          <w:p w14:paraId="4EC1C5AF" w14:textId="77777777" w:rsidR="00051F60" w:rsidRPr="00933A7F" w:rsidRDefault="00051F60" w:rsidP="008E6423">
            <w:pPr>
              <w:pStyle w:val="cuatexto"/>
              <w:spacing w:line="240" w:lineRule="auto"/>
              <w:jc w:val="right"/>
              <w:rPr>
                <w:szCs w:val="20"/>
              </w:rPr>
            </w:pPr>
            <w:r>
              <w:t>122,42</w:t>
            </w:r>
          </w:p>
        </w:tc>
        <w:tc>
          <w:tcPr>
            <w:tcW w:w="854" w:type="dxa"/>
            <w:shd w:val="clear" w:color="auto" w:fill="auto"/>
            <w:vAlign w:val="center"/>
          </w:tcPr>
          <w:p w14:paraId="7AC9AD7A" w14:textId="77777777" w:rsidR="00051F60" w:rsidRPr="00933A7F" w:rsidRDefault="00051F60" w:rsidP="008E6423">
            <w:pPr>
              <w:pStyle w:val="cuatexto"/>
              <w:spacing w:line="240" w:lineRule="auto"/>
              <w:jc w:val="right"/>
              <w:rPr>
                <w:szCs w:val="20"/>
              </w:rPr>
            </w:pPr>
            <w:r>
              <w:t>114,45</w:t>
            </w:r>
          </w:p>
        </w:tc>
        <w:tc>
          <w:tcPr>
            <w:tcW w:w="981" w:type="dxa"/>
            <w:shd w:val="clear" w:color="auto" w:fill="auto"/>
            <w:vAlign w:val="center"/>
          </w:tcPr>
          <w:p w14:paraId="26111888" w14:textId="77777777" w:rsidR="00051F60" w:rsidRPr="00933A7F" w:rsidRDefault="00051F60" w:rsidP="008E6423">
            <w:pPr>
              <w:pStyle w:val="cuatexto"/>
              <w:spacing w:line="240" w:lineRule="auto"/>
              <w:jc w:val="right"/>
              <w:rPr>
                <w:szCs w:val="20"/>
              </w:rPr>
            </w:pPr>
            <w:r>
              <w:t>14</w:t>
            </w:r>
          </w:p>
        </w:tc>
        <w:tc>
          <w:tcPr>
            <w:tcW w:w="861" w:type="dxa"/>
            <w:shd w:val="clear" w:color="auto" w:fill="auto"/>
            <w:vAlign w:val="center"/>
          </w:tcPr>
          <w:p w14:paraId="78E6F2F1" w14:textId="77777777" w:rsidR="00051F60" w:rsidRPr="00933A7F" w:rsidRDefault="00051F60" w:rsidP="008E6423">
            <w:pPr>
              <w:pStyle w:val="cuatexto"/>
              <w:spacing w:line="240" w:lineRule="auto"/>
              <w:jc w:val="right"/>
              <w:rPr>
                <w:szCs w:val="20"/>
              </w:rPr>
            </w:pPr>
            <w:r>
              <w:t>-7</w:t>
            </w:r>
          </w:p>
        </w:tc>
        <w:tc>
          <w:tcPr>
            <w:tcW w:w="1003" w:type="dxa"/>
            <w:tcBorders>
              <w:right w:val="single" w:sz="2" w:space="0" w:color="auto"/>
            </w:tcBorders>
            <w:vAlign w:val="center"/>
          </w:tcPr>
          <w:p w14:paraId="4F030A13" w14:textId="77777777" w:rsidR="00051F60" w:rsidRPr="00933A7F" w:rsidRDefault="00051F60" w:rsidP="008E6423">
            <w:pPr>
              <w:pStyle w:val="cuatexto"/>
              <w:spacing w:line="240" w:lineRule="auto"/>
              <w:jc w:val="right"/>
              <w:rPr>
                <w:szCs w:val="20"/>
              </w:rPr>
            </w:pPr>
            <w:r>
              <w:t>-8</w:t>
            </w:r>
          </w:p>
        </w:tc>
        <w:tc>
          <w:tcPr>
            <w:tcW w:w="982" w:type="dxa"/>
            <w:tcBorders>
              <w:left w:val="single" w:sz="2" w:space="0" w:color="auto"/>
            </w:tcBorders>
            <w:vAlign w:val="center"/>
          </w:tcPr>
          <w:p w14:paraId="42A664ED" w14:textId="77777777" w:rsidR="00051F60" w:rsidRPr="00933A7F" w:rsidRDefault="00051F60" w:rsidP="008E6423">
            <w:pPr>
              <w:pStyle w:val="cuatexto"/>
              <w:spacing w:line="240" w:lineRule="auto"/>
              <w:jc w:val="right"/>
              <w:rPr>
                <w:rFonts w:cs="Calibri"/>
                <w:szCs w:val="20"/>
              </w:rPr>
            </w:pPr>
            <w:r>
              <w:t>119,45</w:t>
            </w:r>
          </w:p>
        </w:tc>
        <w:tc>
          <w:tcPr>
            <w:tcW w:w="993" w:type="dxa"/>
            <w:vAlign w:val="center"/>
          </w:tcPr>
          <w:p w14:paraId="047AB2C4" w14:textId="77777777" w:rsidR="00051F60" w:rsidRPr="00933A7F" w:rsidRDefault="00051F60" w:rsidP="008E6423">
            <w:pPr>
              <w:pStyle w:val="cuatexto"/>
              <w:spacing w:line="240" w:lineRule="auto"/>
              <w:jc w:val="right"/>
              <w:rPr>
                <w:rFonts w:cs="Calibri"/>
                <w:szCs w:val="20"/>
              </w:rPr>
            </w:pPr>
            <w:r>
              <w:t>14</w:t>
            </w:r>
          </w:p>
        </w:tc>
      </w:tr>
      <w:tr w:rsidR="00681E7B" w:rsidRPr="008E6423" w14:paraId="0F91E958" w14:textId="77777777" w:rsidTr="008E6423">
        <w:trPr>
          <w:trHeight w:val="227"/>
          <w:jc w:val="center"/>
        </w:trPr>
        <w:tc>
          <w:tcPr>
            <w:tcW w:w="2124" w:type="dxa"/>
            <w:shd w:val="clear" w:color="auto" w:fill="FABF8F" w:themeFill="accent6" w:themeFillTint="99"/>
            <w:vAlign w:val="center"/>
            <w:hideMark/>
          </w:tcPr>
          <w:p w14:paraId="1E9EFF1C" w14:textId="77777777" w:rsidR="00051F60" w:rsidRPr="008E6423" w:rsidRDefault="00051F60" w:rsidP="008E6423">
            <w:pPr>
              <w:pStyle w:val="cuadroCabe"/>
              <w:spacing w:line="240" w:lineRule="auto"/>
              <w:jc w:val="left"/>
              <w:rPr>
                <w:szCs w:val="18"/>
              </w:rPr>
            </w:pPr>
            <w:r>
              <w:t>Guztira</w:t>
            </w:r>
          </w:p>
        </w:tc>
        <w:tc>
          <w:tcPr>
            <w:tcW w:w="1133" w:type="dxa"/>
            <w:shd w:val="clear" w:color="auto" w:fill="FABF8F" w:themeFill="accent6" w:themeFillTint="99"/>
            <w:vAlign w:val="center"/>
          </w:tcPr>
          <w:p w14:paraId="54ADA784" w14:textId="77777777" w:rsidR="00051F60" w:rsidRPr="008E6423" w:rsidRDefault="00051F60" w:rsidP="008E6423">
            <w:pPr>
              <w:pStyle w:val="cuadroCabe"/>
              <w:spacing w:line="240" w:lineRule="auto"/>
              <w:jc w:val="right"/>
              <w:rPr>
                <w:sz w:val="16"/>
                <w:szCs w:val="16"/>
              </w:rPr>
            </w:pPr>
            <w:r>
              <w:rPr>
                <w:sz w:val="16"/>
              </w:rPr>
              <w:t>885,37</w:t>
            </w:r>
          </w:p>
        </w:tc>
        <w:tc>
          <w:tcPr>
            <w:tcW w:w="854" w:type="dxa"/>
            <w:shd w:val="clear" w:color="auto" w:fill="FABF8F" w:themeFill="accent6" w:themeFillTint="99"/>
            <w:vAlign w:val="center"/>
          </w:tcPr>
          <w:p w14:paraId="250064B2" w14:textId="77777777" w:rsidR="00051F60" w:rsidRPr="008E6423" w:rsidRDefault="00051F60" w:rsidP="008E6423">
            <w:pPr>
              <w:pStyle w:val="cuadroCabe"/>
              <w:spacing w:line="240" w:lineRule="auto"/>
              <w:jc w:val="right"/>
              <w:rPr>
                <w:sz w:val="16"/>
                <w:szCs w:val="16"/>
              </w:rPr>
            </w:pPr>
            <w:r>
              <w:rPr>
                <w:sz w:val="16"/>
              </w:rPr>
              <w:t>799,18</w:t>
            </w:r>
          </w:p>
        </w:tc>
        <w:tc>
          <w:tcPr>
            <w:tcW w:w="981" w:type="dxa"/>
            <w:shd w:val="clear" w:color="auto" w:fill="FABF8F" w:themeFill="accent6" w:themeFillTint="99"/>
            <w:vAlign w:val="center"/>
          </w:tcPr>
          <w:p w14:paraId="1B23D02A" w14:textId="77777777" w:rsidR="00051F60" w:rsidRPr="008E6423" w:rsidRDefault="00051F60" w:rsidP="008E6423">
            <w:pPr>
              <w:pStyle w:val="cuadroCabe"/>
              <w:spacing w:line="240" w:lineRule="auto"/>
              <w:jc w:val="right"/>
              <w:rPr>
                <w:sz w:val="16"/>
                <w:szCs w:val="16"/>
              </w:rPr>
            </w:pPr>
            <w:r>
              <w:rPr>
                <w:sz w:val="16"/>
              </w:rPr>
              <w:t>100</w:t>
            </w:r>
          </w:p>
        </w:tc>
        <w:tc>
          <w:tcPr>
            <w:tcW w:w="861" w:type="dxa"/>
            <w:shd w:val="clear" w:color="auto" w:fill="FABF8F" w:themeFill="accent6" w:themeFillTint="99"/>
            <w:vAlign w:val="center"/>
          </w:tcPr>
          <w:p w14:paraId="47F5AA62" w14:textId="77777777" w:rsidR="00051F60" w:rsidRPr="008E6423" w:rsidRDefault="00051F60" w:rsidP="008E6423">
            <w:pPr>
              <w:pStyle w:val="cuadroCabe"/>
              <w:spacing w:line="240" w:lineRule="auto"/>
              <w:jc w:val="right"/>
              <w:rPr>
                <w:sz w:val="16"/>
                <w:szCs w:val="16"/>
              </w:rPr>
            </w:pPr>
            <w:r>
              <w:rPr>
                <w:sz w:val="16"/>
              </w:rPr>
              <w:t>-10</w:t>
            </w:r>
          </w:p>
        </w:tc>
        <w:tc>
          <w:tcPr>
            <w:tcW w:w="1003" w:type="dxa"/>
            <w:tcBorders>
              <w:right w:val="single" w:sz="2" w:space="0" w:color="auto"/>
            </w:tcBorders>
            <w:shd w:val="clear" w:color="auto" w:fill="FABF8F" w:themeFill="accent6" w:themeFillTint="99"/>
            <w:vAlign w:val="center"/>
          </w:tcPr>
          <w:p w14:paraId="36964440" w14:textId="77777777" w:rsidR="00051F60" w:rsidRPr="008E6423" w:rsidRDefault="00051F60" w:rsidP="008E6423">
            <w:pPr>
              <w:pStyle w:val="cuadroCabe"/>
              <w:spacing w:line="240" w:lineRule="auto"/>
              <w:jc w:val="right"/>
              <w:rPr>
                <w:sz w:val="16"/>
                <w:szCs w:val="16"/>
              </w:rPr>
            </w:pPr>
            <w:r>
              <w:rPr>
                <w:sz w:val="16"/>
              </w:rPr>
              <w:t>-86</w:t>
            </w:r>
          </w:p>
        </w:tc>
        <w:tc>
          <w:tcPr>
            <w:tcW w:w="982" w:type="dxa"/>
            <w:tcBorders>
              <w:left w:val="single" w:sz="2" w:space="0" w:color="auto"/>
            </w:tcBorders>
            <w:shd w:val="clear" w:color="auto" w:fill="FABF8F" w:themeFill="accent6" w:themeFillTint="99"/>
            <w:vAlign w:val="center"/>
          </w:tcPr>
          <w:p w14:paraId="3DC50C23" w14:textId="77777777" w:rsidR="00051F60" w:rsidRPr="008E6423" w:rsidRDefault="00051F60" w:rsidP="008E6423">
            <w:pPr>
              <w:pStyle w:val="cuadroCabe"/>
              <w:spacing w:line="240" w:lineRule="auto"/>
              <w:jc w:val="right"/>
              <w:rPr>
                <w:sz w:val="16"/>
                <w:szCs w:val="16"/>
              </w:rPr>
            </w:pPr>
            <w:r>
              <w:rPr>
                <w:sz w:val="16"/>
              </w:rPr>
              <w:t>877,62</w:t>
            </w:r>
          </w:p>
        </w:tc>
        <w:tc>
          <w:tcPr>
            <w:tcW w:w="993" w:type="dxa"/>
            <w:shd w:val="clear" w:color="auto" w:fill="FABF8F" w:themeFill="accent6" w:themeFillTint="99"/>
            <w:vAlign w:val="center"/>
          </w:tcPr>
          <w:p w14:paraId="4B6F8018" w14:textId="77777777" w:rsidR="00051F60" w:rsidRPr="008E6423" w:rsidRDefault="00051F60" w:rsidP="008E6423">
            <w:pPr>
              <w:pStyle w:val="cuadroCabe"/>
              <w:spacing w:line="240" w:lineRule="auto"/>
              <w:jc w:val="right"/>
              <w:rPr>
                <w:sz w:val="16"/>
                <w:szCs w:val="16"/>
              </w:rPr>
            </w:pPr>
            <w:r>
              <w:rPr>
                <w:sz w:val="16"/>
              </w:rPr>
              <w:t>100</w:t>
            </w:r>
          </w:p>
        </w:tc>
      </w:tr>
    </w:tbl>
    <w:p w14:paraId="175BB19A" w14:textId="77777777" w:rsidR="00051F60" w:rsidRDefault="00051F60" w:rsidP="00681E7B">
      <w:pPr>
        <w:pStyle w:val="texto"/>
        <w:spacing w:before="240"/>
        <w:rPr>
          <w:color w:val="000000" w:themeColor="text1"/>
        </w:rPr>
      </w:pPr>
      <w:r>
        <w:rPr>
          <w:color w:val="000000" w:themeColor="text1"/>
        </w:rPr>
        <w:t>2020ko datu bateratuek erakusten dutenez, erkidegoaren ongizateak bildu du gastu bolumen handiena (168,11 milioi, gastu osoaren ehuneko19), eta atzetik daude zerbitzu orokorrak (107,09 milioi, ehuneko 12) eta gizarte zerbitzuak eta gizarte sustapena (75,81 milioi, ehuneko 9).</w:t>
      </w:r>
    </w:p>
    <w:p w14:paraId="33B9279B" w14:textId="0F5C0C7C" w:rsidR="00CE66FD" w:rsidRDefault="00CE66FD" w:rsidP="00CE66FD">
      <w:pPr>
        <w:pStyle w:val="texto"/>
        <w:rPr>
          <w:color w:val="000000" w:themeColor="text1"/>
          <w:highlight w:val="yellow"/>
        </w:rPr>
      </w:pPr>
      <w:r>
        <w:rPr>
          <w:color w:val="000000" w:themeColor="text1"/>
        </w:rPr>
        <w:t xml:space="preserve">Konparazio horretan deigarriak dira erkidegoaren ongizaterako eta etxebizitza eta hirigintzarako gastuaren murrizketak, 53 milioi, guztira. Murrizketa horiek jada aipatu dugun inguruabar batekin lotu behar dira: 2019an inbertsioengatiko gastu ezohikoak jaso ziren, azken urtea izan zutelako 18/2016 Foru Legearen bidez onetsitako 2017-2019 aldiko Toki Azpiegituren Planak eta urriaren 10eko 19/2018 Foru Legearen bidez onetsitako Inbertsio </w:t>
      </w:r>
      <w:proofErr w:type="spellStart"/>
      <w:r>
        <w:rPr>
          <w:color w:val="000000" w:themeColor="text1"/>
        </w:rPr>
        <w:t>Finantzarioki</w:t>
      </w:r>
      <w:proofErr w:type="spellEnd"/>
      <w:r>
        <w:rPr>
          <w:color w:val="000000" w:themeColor="text1"/>
        </w:rPr>
        <w:t xml:space="preserve"> Jasangarriei buruzko Planak. Hain zuzen ere, bi politika horietarako gastuaren urtetik urterako jaitsiera osoa kapitaleko gastuan izan da.</w:t>
      </w:r>
    </w:p>
    <w:p w14:paraId="613123CC" w14:textId="3811FBD5" w:rsidR="00CE66FD" w:rsidRPr="007825F1" w:rsidRDefault="00051F60" w:rsidP="00345C6C">
      <w:pPr>
        <w:pStyle w:val="texto"/>
        <w:rPr>
          <w:color w:val="000000" w:themeColor="text1"/>
        </w:rPr>
      </w:pPr>
      <w:r>
        <w:rPr>
          <w:color w:val="000000" w:themeColor="text1"/>
        </w:rPr>
        <w:t>Kulturako gastuaren 25 milioiko beherakada ere nabarmentzen da (ehuneko 36 murriztu da). Hartaz arituko gara IV.4 atalean.</w:t>
      </w:r>
    </w:p>
    <w:p w14:paraId="27A15834" w14:textId="77777777" w:rsidR="00681E7B" w:rsidRDefault="00681E7B">
      <w:pPr>
        <w:spacing w:after="0"/>
        <w:ind w:firstLine="0"/>
        <w:jc w:val="left"/>
        <w:rPr>
          <w:color w:val="000000" w:themeColor="text1"/>
          <w:spacing w:val="6"/>
          <w:sz w:val="26"/>
          <w:szCs w:val="24"/>
        </w:rPr>
      </w:pPr>
      <w:r>
        <w:br w:type="page"/>
      </w:r>
    </w:p>
    <w:p w14:paraId="353735AE" w14:textId="24A6A1FE" w:rsidR="00051F60" w:rsidRDefault="00051F60" w:rsidP="00345C6C">
      <w:pPr>
        <w:pStyle w:val="texto"/>
        <w:rPr>
          <w:color w:val="000000" w:themeColor="text1"/>
        </w:rPr>
      </w:pPr>
      <w:r>
        <w:rPr>
          <w:color w:val="000000" w:themeColor="text1"/>
        </w:rPr>
        <w:lastRenderedPageBreak/>
        <w:t>Jarraian, erkidegoaren ongizaterako politikan egindako gastua xehakatzen dugu, politika horrek bildu baitu gastu bolumenik handiena:</w:t>
      </w:r>
    </w:p>
    <w:p w14:paraId="45FB0A9D" w14:textId="619B6E54" w:rsidR="00681E7B" w:rsidRPr="0003647B" w:rsidRDefault="00C72EC6" w:rsidP="00681E7B">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(Milioiak)</w:t>
      </w:r>
    </w:p>
    <w:tbl>
      <w:tblPr>
        <w:tblW w:w="8763" w:type="dxa"/>
        <w:tblInd w:w="70"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32"/>
        <w:gridCol w:w="2333"/>
        <w:gridCol w:w="727"/>
        <w:gridCol w:w="742"/>
        <w:gridCol w:w="980"/>
        <w:gridCol w:w="850"/>
        <w:gridCol w:w="818"/>
        <w:gridCol w:w="866"/>
        <w:gridCol w:w="1015"/>
      </w:tblGrid>
      <w:tr w:rsidR="00B4144B" w:rsidRPr="00CE2ACA" w14:paraId="47191A94" w14:textId="77777777" w:rsidTr="00C72EC6">
        <w:trPr>
          <w:trHeight w:val="227"/>
        </w:trPr>
        <w:tc>
          <w:tcPr>
            <w:tcW w:w="432" w:type="dxa"/>
            <w:tcBorders>
              <w:top w:val="single" w:sz="4" w:space="0" w:color="auto"/>
              <w:bottom w:val="nil"/>
            </w:tcBorders>
            <w:shd w:val="clear" w:color="auto" w:fill="FABF8F" w:themeFill="accent6" w:themeFillTint="99"/>
            <w:noWrap/>
            <w:vAlign w:val="center"/>
            <w:hideMark/>
          </w:tcPr>
          <w:p w14:paraId="2213359F" w14:textId="77777777" w:rsidR="00B4144B" w:rsidRPr="00CE2ACA" w:rsidRDefault="00B4144B" w:rsidP="004E2CFD">
            <w:pPr>
              <w:pStyle w:val="cuadroCabe"/>
              <w:spacing w:line="240" w:lineRule="auto"/>
              <w:rPr>
                <w:rFonts w:cs="Arial"/>
                <w:sz w:val="16"/>
                <w:szCs w:val="16"/>
              </w:rPr>
            </w:pPr>
            <w:r>
              <w:rPr>
                <w:sz w:val="16"/>
              </w:rPr>
              <w:t> </w:t>
            </w:r>
          </w:p>
        </w:tc>
        <w:tc>
          <w:tcPr>
            <w:tcW w:w="2333" w:type="dxa"/>
            <w:tcBorders>
              <w:top w:val="single" w:sz="4" w:space="0" w:color="auto"/>
              <w:bottom w:val="nil"/>
            </w:tcBorders>
            <w:shd w:val="clear" w:color="auto" w:fill="FABF8F" w:themeFill="accent6" w:themeFillTint="99"/>
            <w:noWrap/>
            <w:vAlign w:val="center"/>
            <w:hideMark/>
          </w:tcPr>
          <w:p w14:paraId="55FCCD55" w14:textId="77777777" w:rsidR="00B4144B" w:rsidRPr="00CE2ACA" w:rsidRDefault="00B4144B" w:rsidP="004E2CFD">
            <w:pPr>
              <w:pStyle w:val="cuadroCabe"/>
              <w:spacing w:line="240" w:lineRule="auto"/>
              <w:rPr>
                <w:rFonts w:cs="Arial"/>
                <w:sz w:val="16"/>
                <w:szCs w:val="16"/>
              </w:rPr>
            </w:pPr>
            <w:r>
              <w:rPr>
                <w:sz w:val="16"/>
              </w:rPr>
              <w:t> </w:t>
            </w:r>
          </w:p>
        </w:tc>
        <w:tc>
          <w:tcPr>
            <w:tcW w:w="4117" w:type="dxa"/>
            <w:gridSpan w:val="5"/>
            <w:tcBorders>
              <w:right w:val="single" w:sz="2" w:space="0" w:color="auto"/>
            </w:tcBorders>
            <w:shd w:val="clear" w:color="auto" w:fill="FABF8F" w:themeFill="accent6" w:themeFillTint="99"/>
            <w:noWrap/>
            <w:vAlign w:val="center"/>
            <w:hideMark/>
          </w:tcPr>
          <w:p w14:paraId="5E5E1509" w14:textId="77777777" w:rsidR="00B4144B" w:rsidRPr="00CE2ACA" w:rsidRDefault="00B4144B" w:rsidP="004E2CFD">
            <w:pPr>
              <w:pStyle w:val="cuadroCabe"/>
              <w:tabs>
                <w:tab w:val="clear" w:pos="3969"/>
                <w:tab w:val="clear" w:pos="5103"/>
              </w:tabs>
              <w:spacing w:line="240" w:lineRule="auto"/>
              <w:jc w:val="center"/>
              <w:rPr>
                <w:rFonts w:cs="Arial"/>
                <w:sz w:val="16"/>
                <w:szCs w:val="16"/>
              </w:rPr>
            </w:pPr>
            <w:r>
              <w:rPr>
                <w:sz w:val="16"/>
              </w:rPr>
              <w:t>Sozietateekin bateratu gabe</w:t>
            </w:r>
          </w:p>
        </w:tc>
        <w:tc>
          <w:tcPr>
            <w:tcW w:w="1881" w:type="dxa"/>
            <w:gridSpan w:val="2"/>
            <w:tcBorders>
              <w:top w:val="single" w:sz="4" w:space="0" w:color="auto"/>
              <w:left w:val="single" w:sz="2" w:space="0" w:color="auto"/>
              <w:bottom w:val="single" w:sz="2" w:space="0" w:color="auto"/>
            </w:tcBorders>
            <w:shd w:val="clear" w:color="auto" w:fill="FABF8F" w:themeFill="accent6" w:themeFillTint="99"/>
            <w:noWrap/>
            <w:vAlign w:val="center"/>
            <w:hideMark/>
          </w:tcPr>
          <w:p w14:paraId="07923758" w14:textId="076434F0" w:rsidR="00933A7F" w:rsidRPr="00CE2ACA" w:rsidRDefault="00B4144B" w:rsidP="004E2CFD">
            <w:pPr>
              <w:pStyle w:val="cuadroCabe"/>
              <w:tabs>
                <w:tab w:val="clear" w:pos="3969"/>
                <w:tab w:val="clear" w:pos="5103"/>
              </w:tabs>
              <w:spacing w:line="240" w:lineRule="auto"/>
              <w:jc w:val="center"/>
              <w:rPr>
                <w:rFonts w:cs="Arial"/>
                <w:sz w:val="16"/>
                <w:szCs w:val="16"/>
              </w:rPr>
            </w:pPr>
            <w:r>
              <w:rPr>
                <w:sz w:val="16"/>
              </w:rPr>
              <w:t>3 sozietaterekin bateratuta</w:t>
            </w:r>
          </w:p>
          <w:p w14:paraId="5A59EE55" w14:textId="19C3CCBD" w:rsidR="00B4144B" w:rsidRPr="00CE2ACA" w:rsidRDefault="00B4144B" w:rsidP="004E2CFD">
            <w:pPr>
              <w:pStyle w:val="cuadroCabe"/>
              <w:tabs>
                <w:tab w:val="clear" w:pos="3969"/>
                <w:tab w:val="clear" w:pos="5103"/>
              </w:tabs>
              <w:spacing w:line="240" w:lineRule="auto"/>
              <w:jc w:val="center"/>
              <w:rPr>
                <w:rFonts w:cs="Arial"/>
                <w:sz w:val="16"/>
                <w:szCs w:val="16"/>
              </w:rPr>
            </w:pPr>
          </w:p>
        </w:tc>
      </w:tr>
      <w:tr w:rsidR="00B4144B" w:rsidRPr="00CE2ACA" w14:paraId="316F1C78" w14:textId="77777777" w:rsidTr="00C72EC6">
        <w:trPr>
          <w:trHeight w:val="227"/>
        </w:trPr>
        <w:tc>
          <w:tcPr>
            <w:tcW w:w="432" w:type="dxa"/>
            <w:tcBorders>
              <w:top w:val="nil"/>
              <w:bottom w:val="single" w:sz="2" w:space="0" w:color="auto"/>
            </w:tcBorders>
            <w:shd w:val="clear" w:color="auto" w:fill="FABF8F" w:themeFill="accent6" w:themeFillTint="99"/>
            <w:vAlign w:val="center"/>
            <w:hideMark/>
          </w:tcPr>
          <w:p w14:paraId="291D8898" w14:textId="77777777" w:rsidR="00B4144B" w:rsidRPr="00CE2ACA" w:rsidRDefault="00B4144B" w:rsidP="004E2CFD">
            <w:pPr>
              <w:pStyle w:val="cuadroCabe"/>
              <w:spacing w:line="240" w:lineRule="auto"/>
              <w:rPr>
                <w:rFonts w:cs="Arial"/>
                <w:sz w:val="16"/>
                <w:szCs w:val="16"/>
              </w:rPr>
            </w:pPr>
            <w:r>
              <w:rPr>
                <w:sz w:val="16"/>
              </w:rPr>
              <w:t> </w:t>
            </w:r>
          </w:p>
        </w:tc>
        <w:tc>
          <w:tcPr>
            <w:tcW w:w="2333" w:type="dxa"/>
            <w:tcBorders>
              <w:top w:val="nil"/>
              <w:bottom w:val="single" w:sz="2" w:space="0" w:color="auto"/>
            </w:tcBorders>
            <w:shd w:val="clear" w:color="auto" w:fill="FABF8F" w:themeFill="accent6" w:themeFillTint="99"/>
            <w:vAlign w:val="center"/>
            <w:hideMark/>
          </w:tcPr>
          <w:p w14:paraId="6D0DE71D" w14:textId="77777777" w:rsidR="00B4144B" w:rsidRPr="00CE2ACA" w:rsidRDefault="00B4144B" w:rsidP="004E2CFD">
            <w:pPr>
              <w:pStyle w:val="cuadroCabe"/>
              <w:spacing w:line="240" w:lineRule="auto"/>
              <w:rPr>
                <w:rFonts w:cs="Arial"/>
                <w:sz w:val="16"/>
                <w:szCs w:val="16"/>
              </w:rPr>
            </w:pPr>
            <w:r>
              <w:rPr>
                <w:sz w:val="16"/>
              </w:rPr>
              <w:t> </w:t>
            </w:r>
          </w:p>
        </w:tc>
        <w:tc>
          <w:tcPr>
            <w:tcW w:w="727" w:type="dxa"/>
            <w:shd w:val="clear" w:color="auto" w:fill="FABF8F" w:themeFill="accent6" w:themeFillTint="99"/>
            <w:vAlign w:val="center"/>
            <w:hideMark/>
          </w:tcPr>
          <w:p w14:paraId="496830B5" w14:textId="77777777" w:rsidR="00B4144B" w:rsidRPr="00CE2ACA" w:rsidRDefault="00B4144B" w:rsidP="004E2CFD">
            <w:pPr>
              <w:pStyle w:val="cuadroCabe"/>
              <w:spacing w:line="240" w:lineRule="auto"/>
              <w:jc w:val="right"/>
              <w:rPr>
                <w:rFonts w:cs="Arial"/>
                <w:sz w:val="16"/>
                <w:szCs w:val="16"/>
              </w:rPr>
            </w:pPr>
            <w:r>
              <w:rPr>
                <w:sz w:val="16"/>
              </w:rPr>
              <w:t>Zenbatekoa 2019</w:t>
            </w:r>
          </w:p>
        </w:tc>
        <w:tc>
          <w:tcPr>
            <w:tcW w:w="742" w:type="dxa"/>
            <w:shd w:val="clear" w:color="auto" w:fill="FABF8F" w:themeFill="accent6" w:themeFillTint="99"/>
            <w:vAlign w:val="center"/>
            <w:hideMark/>
          </w:tcPr>
          <w:p w14:paraId="3D215C42" w14:textId="77777777" w:rsidR="00B4144B" w:rsidRPr="00CE2ACA" w:rsidRDefault="00B4144B" w:rsidP="004E2CFD">
            <w:pPr>
              <w:pStyle w:val="cuadroCabe"/>
              <w:tabs>
                <w:tab w:val="clear" w:pos="3969"/>
                <w:tab w:val="clear" w:pos="5103"/>
              </w:tabs>
              <w:spacing w:line="240" w:lineRule="auto"/>
              <w:jc w:val="right"/>
              <w:rPr>
                <w:rFonts w:cs="Arial"/>
                <w:sz w:val="16"/>
                <w:szCs w:val="16"/>
              </w:rPr>
            </w:pPr>
            <w:r>
              <w:rPr>
                <w:sz w:val="16"/>
              </w:rPr>
              <w:t>Zenbatekoa 2020</w:t>
            </w:r>
          </w:p>
        </w:tc>
        <w:tc>
          <w:tcPr>
            <w:tcW w:w="980" w:type="dxa"/>
            <w:shd w:val="clear" w:color="auto" w:fill="FABF8F" w:themeFill="accent6" w:themeFillTint="99"/>
            <w:vAlign w:val="center"/>
            <w:hideMark/>
          </w:tcPr>
          <w:p w14:paraId="43DD14E9" w14:textId="77777777" w:rsidR="00B4144B" w:rsidRPr="00CE2ACA" w:rsidRDefault="00B4144B" w:rsidP="004E2CFD">
            <w:pPr>
              <w:pStyle w:val="cuadroCabe"/>
              <w:tabs>
                <w:tab w:val="clear" w:pos="3969"/>
                <w:tab w:val="clear" w:pos="5103"/>
              </w:tabs>
              <w:spacing w:line="240" w:lineRule="auto"/>
              <w:jc w:val="right"/>
              <w:rPr>
                <w:rFonts w:cs="Arial"/>
                <w:sz w:val="16"/>
                <w:szCs w:val="16"/>
              </w:rPr>
            </w:pPr>
            <w:r>
              <w:rPr>
                <w:sz w:val="16"/>
              </w:rPr>
              <w:t>2020ko guztizko gastuaren gainean (%)</w:t>
            </w:r>
          </w:p>
        </w:tc>
        <w:tc>
          <w:tcPr>
            <w:tcW w:w="850" w:type="dxa"/>
            <w:shd w:val="clear" w:color="auto" w:fill="FABF8F" w:themeFill="accent6" w:themeFillTint="99"/>
            <w:vAlign w:val="center"/>
            <w:hideMark/>
          </w:tcPr>
          <w:p w14:paraId="13780CAF" w14:textId="77777777" w:rsidR="00B4144B" w:rsidRPr="00CE2ACA" w:rsidRDefault="00B4144B" w:rsidP="004E2CFD">
            <w:pPr>
              <w:pStyle w:val="cuadroCabe"/>
              <w:tabs>
                <w:tab w:val="clear" w:pos="3969"/>
                <w:tab w:val="clear" w:pos="5103"/>
              </w:tabs>
              <w:spacing w:line="240" w:lineRule="auto"/>
              <w:jc w:val="right"/>
              <w:rPr>
                <w:rFonts w:cs="Arial"/>
                <w:sz w:val="16"/>
                <w:szCs w:val="16"/>
              </w:rPr>
            </w:pPr>
            <w:r>
              <w:rPr>
                <w:sz w:val="16"/>
              </w:rPr>
              <w:t>2020/19 aldea (%)</w:t>
            </w:r>
          </w:p>
        </w:tc>
        <w:tc>
          <w:tcPr>
            <w:tcW w:w="815" w:type="dxa"/>
            <w:tcBorders>
              <w:right w:val="single" w:sz="2" w:space="0" w:color="auto"/>
            </w:tcBorders>
            <w:shd w:val="clear" w:color="auto" w:fill="FABF8F" w:themeFill="accent6" w:themeFillTint="99"/>
            <w:vAlign w:val="center"/>
            <w:hideMark/>
          </w:tcPr>
          <w:p w14:paraId="7F8B4779" w14:textId="776FCB14" w:rsidR="00B4144B" w:rsidRPr="00CE2ACA" w:rsidRDefault="002A2B5E" w:rsidP="004E2CFD">
            <w:pPr>
              <w:pStyle w:val="cuadroCabe"/>
              <w:tabs>
                <w:tab w:val="clear" w:pos="3969"/>
                <w:tab w:val="clear" w:pos="5103"/>
              </w:tabs>
              <w:spacing w:line="240" w:lineRule="auto"/>
              <w:jc w:val="right"/>
              <w:rPr>
                <w:rFonts w:cs="Arial"/>
                <w:sz w:val="16"/>
                <w:szCs w:val="16"/>
              </w:rPr>
            </w:pPr>
            <w:r>
              <w:rPr>
                <w:sz w:val="16"/>
              </w:rPr>
              <w:t>Alde absolutua</w:t>
            </w:r>
          </w:p>
        </w:tc>
        <w:tc>
          <w:tcPr>
            <w:tcW w:w="866" w:type="dxa"/>
            <w:tcBorders>
              <w:top w:val="single" w:sz="2" w:space="0" w:color="auto"/>
              <w:left w:val="single" w:sz="2" w:space="0" w:color="auto"/>
              <w:bottom w:val="single" w:sz="2" w:space="0" w:color="auto"/>
            </w:tcBorders>
            <w:shd w:val="clear" w:color="auto" w:fill="FABF8F" w:themeFill="accent6" w:themeFillTint="99"/>
            <w:noWrap/>
            <w:vAlign w:val="center"/>
            <w:hideMark/>
          </w:tcPr>
          <w:p w14:paraId="1D41EC1D" w14:textId="77777777" w:rsidR="00B4144B" w:rsidRPr="00CE2ACA" w:rsidRDefault="00B4144B" w:rsidP="004E2CFD">
            <w:pPr>
              <w:pStyle w:val="cuadroCabe"/>
              <w:tabs>
                <w:tab w:val="clear" w:pos="3969"/>
                <w:tab w:val="clear" w:pos="5103"/>
              </w:tabs>
              <w:spacing w:line="240" w:lineRule="auto"/>
              <w:jc w:val="right"/>
              <w:rPr>
                <w:rFonts w:cs="Arial"/>
                <w:sz w:val="16"/>
                <w:szCs w:val="16"/>
              </w:rPr>
            </w:pPr>
            <w:r>
              <w:rPr>
                <w:sz w:val="16"/>
              </w:rPr>
              <w:t>Zenbatekoa 2020</w:t>
            </w:r>
          </w:p>
        </w:tc>
        <w:tc>
          <w:tcPr>
            <w:tcW w:w="1015" w:type="dxa"/>
            <w:shd w:val="clear" w:color="auto" w:fill="FABF8F" w:themeFill="accent6" w:themeFillTint="99"/>
            <w:noWrap/>
            <w:vAlign w:val="center"/>
            <w:hideMark/>
          </w:tcPr>
          <w:p w14:paraId="050BD175" w14:textId="77777777" w:rsidR="00B4144B" w:rsidRPr="00CE2ACA" w:rsidRDefault="00B4144B" w:rsidP="004E2CFD">
            <w:pPr>
              <w:pStyle w:val="cuadroCabe"/>
              <w:tabs>
                <w:tab w:val="clear" w:pos="3969"/>
                <w:tab w:val="clear" w:pos="5103"/>
              </w:tabs>
              <w:spacing w:line="240" w:lineRule="auto"/>
              <w:jc w:val="right"/>
              <w:rPr>
                <w:rFonts w:cs="Arial"/>
                <w:sz w:val="16"/>
                <w:szCs w:val="16"/>
              </w:rPr>
            </w:pPr>
            <w:r>
              <w:rPr>
                <w:sz w:val="16"/>
              </w:rPr>
              <w:t>2020ko guztizko gastuaren gainean (%)</w:t>
            </w:r>
          </w:p>
        </w:tc>
      </w:tr>
      <w:tr w:rsidR="00B4144B" w:rsidRPr="00933A7F" w14:paraId="56AA4AC2" w14:textId="77777777" w:rsidTr="00C72EC6">
        <w:trPr>
          <w:trHeight w:val="227"/>
        </w:trPr>
        <w:tc>
          <w:tcPr>
            <w:tcW w:w="432" w:type="dxa"/>
            <w:tcBorders>
              <w:top w:val="single" w:sz="2" w:space="0" w:color="auto"/>
            </w:tcBorders>
            <w:shd w:val="clear" w:color="auto" w:fill="auto"/>
            <w:vAlign w:val="center"/>
            <w:hideMark/>
          </w:tcPr>
          <w:p w14:paraId="0EA3EC75" w14:textId="77777777" w:rsidR="00B4144B" w:rsidRPr="00933A7F" w:rsidRDefault="00B4144B" w:rsidP="004E2CFD">
            <w:pPr>
              <w:pStyle w:val="cuatexto"/>
              <w:spacing w:line="240" w:lineRule="auto"/>
              <w:rPr>
                <w:szCs w:val="20"/>
              </w:rPr>
            </w:pPr>
            <w:r>
              <w:t>161</w:t>
            </w:r>
          </w:p>
        </w:tc>
        <w:tc>
          <w:tcPr>
            <w:tcW w:w="2333" w:type="dxa"/>
            <w:tcBorders>
              <w:top w:val="single" w:sz="2" w:space="0" w:color="auto"/>
            </w:tcBorders>
            <w:shd w:val="clear" w:color="auto" w:fill="auto"/>
            <w:vAlign w:val="center"/>
            <w:hideMark/>
          </w:tcPr>
          <w:p w14:paraId="41B2F535" w14:textId="77777777" w:rsidR="00B4144B" w:rsidRPr="00933A7F" w:rsidRDefault="00B4144B" w:rsidP="004E2CFD">
            <w:pPr>
              <w:pStyle w:val="cuatexto"/>
              <w:spacing w:line="240" w:lineRule="auto"/>
              <w:rPr>
                <w:szCs w:val="20"/>
              </w:rPr>
            </w:pPr>
            <w:r>
              <w:t>Edateko uraren etxeetako hornidura.</w:t>
            </w:r>
          </w:p>
        </w:tc>
        <w:tc>
          <w:tcPr>
            <w:tcW w:w="727" w:type="dxa"/>
            <w:shd w:val="clear" w:color="auto" w:fill="auto"/>
            <w:vAlign w:val="center"/>
            <w:hideMark/>
          </w:tcPr>
          <w:p w14:paraId="0975CEA5" w14:textId="77777777" w:rsidR="00B4144B" w:rsidRPr="00933A7F" w:rsidRDefault="00B4144B" w:rsidP="004E2CFD">
            <w:pPr>
              <w:pStyle w:val="cuatexto"/>
              <w:spacing w:line="240" w:lineRule="auto"/>
              <w:jc w:val="right"/>
              <w:rPr>
                <w:szCs w:val="20"/>
              </w:rPr>
            </w:pPr>
            <w:r>
              <w:t>44,50</w:t>
            </w:r>
          </w:p>
        </w:tc>
        <w:tc>
          <w:tcPr>
            <w:tcW w:w="742" w:type="dxa"/>
            <w:shd w:val="clear" w:color="auto" w:fill="auto"/>
            <w:vAlign w:val="center"/>
            <w:hideMark/>
          </w:tcPr>
          <w:p w14:paraId="078541FF" w14:textId="77777777" w:rsidR="00B4144B" w:rsidRPr="00933A7F" w:rsidRDefault="00B4144B" w:rsidP="004E2CFD">
            <w:pPr>
              <w:pStyle w:val="cuatexto"/>
              <w:tabs>
                <w:tab w:val="clear" w:pos="3969"/>
                <w:tab w:val="clear" w:pos="5103"/>
              </w:tabs>
              <w:spacing w:line="240" w:lineRule="auto"/>
              <w:jc w:val="right"/>
              <w:rPr>
                <w:szCs w:val="20"/>
              </w:rPr>
            </w:pPr>
            <w:r>
              <w:t>36,49</w:t>
            </w:r>
          </w:p>
        </w:tc>
        <w:tc>
          <w:tcPr>
            <w:tcW w:w="980" w:type="dxa"/>
            <w:shd w:val="clear" w:color="auto" w:fill="auto"/>
            <w:noWrap/>
            <w:vAlign w:val="center"/>
            <w:hideMark/>
          </w:tcPr>
          <w:p w14:paraId="1E419401" w14:textId="77777777" w:rsidR="00B4144B" w:rsidRPr="00933A7F" w:rsidRDefault="00B4144B" w:rsidP="004E2CFD">
            <w:pPr>
              <w:pStyle w:val="cuatexto"/>
              <w:tabs>
                <w:tab w:val="clear" w:pos="3969"/>
                <w:tab w:val="clear" w:pos="5103"/>
              </w:tabs>
              <w:spacing w:line="240" w:lineRule="auto"/>
              <w:jc w:val="right"/>
              <w:rPr>
                <w:szCs w:val="20"/>
              </w:rPr>
            </w:pPr>
            <w:r>
              <w:t>5</w:t>
            </w:r>
          </w:p>
        </w:tc>
        <w:tc>
          <w:tcPr>
            <w:tcW w:w="850" w:type="dxa"/>
            <w:shd w:val="clear" w:color="auto" w:fill="auto"/>
            <w:noWrap/>
            <w:vAlign w:val="center"/>
            <w:hideMark/>
          </w:tcPr>
          <w:p w14:paraId="54D79EF6" w14:textId="77777777" w:rsidR="00B4144B" w:rsidRPr="00933A7F" w:rsidRDefault="00B4144B" w:rsidP="004E2CFD">
            <w:pPr>
              <w:pStyle w:val="cuatexto"/>
              <w:tabs>
                <w:tab w:val="clear" w:pos="3969"/>
                <w:tab w:val="clear" w:pos="5103"/>
              </w:tabs>
              <w:spacing w:line="240" w:lineRule="auto"/>
              <w:jc w:val="right"/>
              <w:rPr>
                <w:szCs w:val="20"/>
              </w:rPr>
            </w:pPr>
            <w:r>
              <w:t>-18</w:t>
            </w:r>
          </w:p>
        </w:tc>
        <w:tc>
          <w:tcPr>
            <w:tcW w:w="815" w:type="dxa"/>
            <w:tcBorders>
              <w:right w:val="single" w:sz="2" w:space="0" w:color="auto"/>
            </w:tcBorders>
            <w:shd w:val="clear" w:color="auto" w:fill="auto"/>
            <w:noWrap/>
            <w:vAlign w:val="center"/>
            <w:hideMark/>
          </w:tcPr>
          <w:p w14:paraId="6EFA30D6" w14:textId="77777777" w:rsidR="00B4144B" w:rsidRPr="00933A7F" w:rsidRDefault="00B4144B" w:rsidP="004E2CFD">
            <w:pPr>
              <w:pStyle w:val="cuatexto"/>
              <w:tabs>
                <w:tab w:val="clear" w:pos="3969"/>
                <w:tab w:val="clear" w:pos="5103"/>
              </w:tabs>
              <w:spacing w:line="240" w:lineRule="auto"/>
              <w:jc w:val="right"/>
              <w:rPr>
                <w:szCs w:val="20"/>
              </w:rPr>
            </w:pPr>
            <w:r>
              <w:t>-8,00</w:t>
            </w:r>
          </w:p>
        </w:tc>
        <w:tc>
          <w:tcPr>
            <w:tcW w:w="866" w:type="dxa"/>
            <w:tcBorders>
              <w:top w:val="single" w:sz="2" w:space="0" w:color="auto"/>
              <w:left w:val="single" w:sz="2" w:space="0" w:color="auto"/>
              <w:bottom w:val="single" w:sz="2" w:space="0" w:color="auto"/>
            </w:tcBorders>
            <w:shd w:val="clear" w:color="auto" w:fill="auto"/>
            <w:vAlign w:val="center"/>
            <w:hideMark/>
          </w:tcPr>
          <w:p w14:paraId="0F306A0C" w14:textId="77777777" w:rsidR="00B4144B" w:rsidRPr="00933A7F" w:rsidRDefault="00B4144B" w:rsidP="004E2CFD">
            <w:pPr>
              <w:pStyle w:val="cuatexto"/>
              <w:tabs>
                <w:tab w:val="clear" w:pos="3969"/>
                <w:tab w:val="clear" w:pos="5103"/>
              </w:tabs>
              <w:spacing w:line="240" w:lineRule="auto"/>
              <w:jc w:val="right"/>
              <w:rPr>
                <w:szCs w:val="20"/>
              </w:rPr>
            </w:pPr>
            <w:r>
              <w:t>70,59</w:t>
            </w:r>
          </w:p>
        </w:tc>
        <w:tc>
          <w:tcPr>
            <w:tcW w:w="1015" w:type="dxa"/>
            <w:shd w:val="clear" w:color="auto" w:fill="auto"/>
            <w:noWrap/>
            <w:vAlign w:val="center"/>
            <w:hideMark/>
          </w:tcPr>
          <w:p w14:paraId="4F60FBD7" w14:textId="77777777" w:rsidR="00B4144B" w:rsidRPr="00933A7F" w:rsidRDefault="00B4144B" w:rsidP="004E2CFD">
            <w:pPr>
              <w:pStyle w:val="cuatexto"/>
              <w:tabs>
                <w:tab w:val="clear" w:pos="3969"/>
                <w:tab w:val="clear" w:pos="5103"/>
              </w:tabs>
              <w:spacing w:line="240" w:lineRule="auto"/>
              <w:jc w:val="right"/>
              <w:rPr>
                <w:szCs w:val="20"/>
              </w:rPr>
            </w:pPr>
            <w:r>
              <w:t>8</w:t>
            </w:r>
          </w:p>
        </w:tc>
      </w:tr>
      <w:tr w:rsidR="00B4144B" w:rsidRPr="00933A7F" w14:paraId="21142FFA" w14:textId="77777777" w:rsidTr="00C72EC6">
        <w:trPr>
          <w:trHeight w:val="227"/>
        </w:trPr>
        <w:tc>
          <w:tcPr>
            <w:tcW w:w="432" w:type="dxa"/>
            <w:shd w:val="clear" w:color="auto" w:fill="auto"/>
            <w:vAlign w:val="center"/>
            <w:hideMark/>
          </w:tcPr>
          <w:p w14:paraId="5E02E4A5" w14:textId="77777777" w:rsidR="00B4144B" w:rsidRPr="00933A7F" w:rsidRDefault="00B4144B" w:rsidP="004E2CFD">
            <w:pPr>
              <w:pStyle w:val="cuatexto"/>
              <w:spacing w:line="240" w:lineRule="auto"/>
              <w:rPr>
                <w:szCs w:val="20"/>
              </w:rPr>
            </w:pPr>
            <w:r>
              <w:t>162</w:t>
            </w:r>
          </w:p>
        </w:tc>
        <w:tc>
          <w:tcPr>
            <w:tcW w:w="2333" w:type="dxa"/>
            <w:shd w:val="clear" w:color="auto" w:fill="auto"/>
            <w:vAlign w:val="center"/>
            <w:hideMark/>
          </w:tcPr>
          <w:p w14:paraId="300A648F" w14:textId="77777777" w:rsidR="00B4144B" w:rsidRPr="00933A7F" w:rsidRDefault="00B4144B" w:rsidP="004E2CFD">
            <w:pPr>
              <w:pStyle w:val="cuatexto"/>
              <w:spacing w:line="240" w:lineRule="auto"/>
              <w:rPr>
                <w:szCs w:val="20"/>
              </w:rPr>
            </w:pPr>
            <w:r>
              <w:t>Hondakinen bilketa, kudeaketa eta tratamendua.</w:t>
            </w:r>
          </w:p>
        </w:tc>
        <w:tc>
          <w:tcPr>
            <w:tcW w:w="727" w:type="dxa"/>
            <w:shd w:val="clear" w:color="auto" w:fill="auto"/>
            <w:vAlign w:val="center"/>
            <w:hideMark/>
          </w:tcPr>
          <w:p w14:paraId="19C09AE4" w14:textId="77777777" w:rsidR="00B4144B" w:rsidRPr="00933A7F" w:rsidRDefault="00B4144B" w:rsidP="004E2CFD">
            <w:pPr>
              <w:pStyle w:val="cuatexto"/>
              <w:spacing w:line="240" w:lineRule="auto"/>
              <w:jc w:val="right"/>
              <w:rPr>
                <w:szCs w:val="20"/>
              </w:rPr>
            </w:pPr>
            <w:r>
              <w:t>36,74</w:t>
            </w:r>
          </w:p>
        </w:tc>
        <w:tc>
          <w:tcPr>
            <w:tcW w:w="742" w:type="dxa"/>
            <w:shd w:val="clear" w:color="auto" w:fill="auto"/>
            <w:vAlign w:val="center"/>
            <w:hideMark/>
          </w:tcPr>
          <w:p w14:paraId="0D02E79C" w14:textId="77777777" w:rsidR="00B4144B" w:rsidRPr="00933A7F" w:rsidRDefault="00B4144B" w:rsidP="004E2CFD">
            <w:pPr>
              <w:pStyle w:val="cuatexto"/>
              <w:tabs>
                <w:tab w:val="clear" w:pos="3969"/>
                <w:tab w:val="clear" w:pos="5103"/>
              </w:tabs>
              <w:spacing w:line="240" w:lineRule="auto"/>
              <w:jc w:val="right"/>
              <w:rPr>
                <w:szCs w:val="20"/>
              </w:rPr>
            </w:pPr>
            <w:r>
              <w:t>25,68</w:t>
            </w:r>
          </w:p>
        </w:tc>
        <w:tc>
          <w:tcPr>
            <w:tcW w:w="980" w:type="dxa"/>
            <w:shd w:val="clear" w:color="auto" w:fill="auto"/>
            <w:noWrap/>
            <w:vAlign w:val="center"/>
            <w:hideMark/>
          </w:tcPr>
          <w:p w14:paraId="437C09CA" w14:textId="77777777" w:rsidR="00B4144B" w:rsidRPr="00933A7F" w:rsidRDefault="00B4144B" w:rsidP="004E2CFD">
            <w:pPr>
              <w:pStyle w:val="cuatexto"/>
              <w:tabs>
                <w:tab w:val="clear" w:pos="3969"/>
                <w:tab w:val="clear" w:pos="5103"/>
              </w:tabs>
              <w:spacing w:line="240" w:lineRule="auto"/>
              <w:jc w:val="right"/>
              <w:rPr>
                <w:szCs w:val="20"/>
              </w:rPr>
            </w:pPr>
            <w:r>
              <w:t>3</w:t>
            </w:r>
          </w:p>
        </w:tc>
        <w:tc>
          <w:tcPr>
            <w:tcW w:w="850" w:type="dxa"/>
            <w:shd w:val="clear" w:color="auto" w:fill="auto"/>
            <w:noWrap/>
            <w:vAlign w:val="center"/>
            <w:hideMark/>
          </w:tcPr>
          <w:p w14:paraId="0890541E" w14:textId="77777777" w:rsidR="00B4144B" w:rsidRPr="00933A7F" w:rsidRDefault="00B4144B" w:rsidP="004E2CFD">
            <w:pPr>
              <w:pStyle w:val="cuatexto"/>
              <w:tabs>
                <w:tab w:val="clear" w:pos="3969"/>
                <w:tab w:val="clear" w:pos="5103"/>
              </w:tabs>
              <w:spacing w:line="240" w:lineRule="auto"/>
              <w:jc w:val="right"/>
              <w:rPr>
                <w:szCs w:val="20"/>
              </w:rPr>
            </w:pPr>
            <w:r>
              <w:t>-30</w:t>
            </w:r>
          </w:p>
        </w:tc>
        <w:tc>
          <w:tcPr>
            <w:tcW w:w="815" w:type="dxa"/>
            <w:tcBorders>
              <w:right w:val="single" w:sz="2" w:space="0" w:color="auto"/>
            </w:tcBorders>
            <w:shd w:val="clear" w:color="auto" w:fill="auto"/>
            <w:noWrap/>
            <w:vAlign w:val="center"/>
            <w:hideMark/>
          </w:tcPr>
          <w:p w14:paraId="23F7AC30" w14:textId="77777777" w:rsidR="00B4144B" w:rsidRPr="00933A7F" w:rsidRDefault="00B4144B" w:rsidP="004E2CFD">
            <w:pPr>
              <w:pStyle w:val="cuatexto"/>
              <w:tabs>
                <w:tab w:val="clear" w:pos="3969"/>
                <w:tab w:val="clear" w:pos="5103"/>
              </w:tabs>
              <w:spacing w:line="240" w:lineRule="auto"/>
              <w:jc w:val="right"/>
              <w:rPr>
                <w:szCs w:val="20"/>
              </w:rPr>
            </w:pPr>
            <w:r>
              <w:t>-11,06</w:t>
            </w:r>
          </w:p>
        </w:tc>
        <w:tc>
          <w:tcPr>
            <w:tcW w:w="866" w:type="dxa"/>
            <w:tcBorders>
              <w:top w:val="single" w:sz="2" w:space="0" w:color="auto"/>
              <w:left w:val="single" w:sz="2" w:space="0" w:color="auto"/>
              <w:bottom w:val="single" w:sz="2" w:space="0" w:color="auto"/>
            </w:tcBorders>
            <w:shd w:val="clear" w:color="auto" w:fill="auto"/>
            <w:vAlign w:val="center"/>
            <w:hideMark/>
          </w:tcPr>
          <w:p w14:paraId="6F956422" w14:textId="77777777" w:rsidR="00B4144B" w:rsidRPr="00933A7F" w:rsidRDefault="00B4144B" w:rsidP="004E2CFD">
            <w:pPr>
              <w:pStyle w:val="cuatexto"/>
              <w:tabs>
                <w:tab w:val="clear" w:pos="3969"/>
                <w:tab w:val="clear" w:pos="5103"/>
              </w:tabs>
              <w:spacing w:line="240" w:lineRule="auto"/>
              <w:jc w:val="right"/>
              <w:rPr>
                <w:szCs w:val="20"/>
              </w:rPr>
            </w:pPr>
            <w:r>
              <w:t>42,78</w:t>
            </w:r>
          </w:p>
        </w:tc>
        <w:tc>
          <w:tcPr>
            <w:tcW w:w="1015" w:type="dxa"/>
            <w:shd w:val="clear" w:color="auto" w:fill="auto"/>
            <w:noWrap/>
            <w:vAlign w:val="center"/>
            <w:hideMark/>
          </w:tcPr>
          <w:p w14:paraId="512F5D1E" w14:textId="77777777" w:rsidR="00B4144B" w:rsidRPr="00933A7F" w:rsidRDefault="00B4144B" w:rsidP="004E2CFD">
            <w:pPr>
              <w:pStyle w:val="cuatexto"/>
              <w:tabs>
                <w:tab w:val="clear" w:pos="3969"/>
                <w:tab w:val="clear" w:pos="5103"/>
              </w:tabs>
              <w:spacing w:line="240" w:lineRule="auto"/>
              <w:jc w:val="right"/>
              <w:rPr>
                <w:szCs w:val="20"/>
              </w:rPr>
            </w:pPr>
            <w:r>
              <w:t>5</w:t>
            </w:r>
          </w:p>
        </w:tc>
      </w:tr>
      <w:tr w:rsidR="00B4144B" w:rsidRPr="00933A7F" w14:paraId="488BE7CD" w14:textId="77777777" w:rsidTr="00C72EC6">
        <w:trPr>
          <w:trHeight w:val="227"/>
        </w:trPr>
        <w:tc>
          <w:tcPr>
            <w:tcW w:w="432" w:type="dxa"/>
            <w:shd w:val="clear" w:color="auto" w:fill="auto"/>
            <w:vAlign w:val="center"/>
            <w:hideMark/>
          </w:tcPr>
          <w:p w14:paraId="1E8148C3" w14:textId="77777777" w:rsidR="00B4144B" w:rsidRPr="00933A7F" w:rsidRDefault="00B4144B" w:rsidP="004E2CFD">
            <w:pPr>
              <w:pStyle w:val="cuatexto"/>
              <w:spacing w:line="240" w:lineRule="auto"/>
              <w:rPr>
                <w:szCs w:val="20"/>
              </w:rPr>
            </w:pPr>
            <w:r>
              <w:t>165</w:t>
            </w:r>
          </w:p>
        </w:tc>
        <w:tc>
          <w:tcPr>
            <w:tcW w:w="2333" w:type="dxa"/>
            <w:shd w:val="clear" w:color="auto" w:fill="auto"/>
            <w:vAlign w:val="center"/>
            <w:hideMark/>
          </w:tcPr>
          <w:p w14:paraId="60D12A7E" w14:textId="77777777" w:rsidR="00B4144B" w:rsidRPr="00933A7F" w:rsidRDefault="00B4144B" w:rsidP="004E2CFD">
            <w:pPr>
              <w:pStyle w:val="cuatexto"/>
              <w:spacing w:line="240" w:lineRule="auto"/>
              <w:rPr>
                <w:szCs w:val="20"/>
              </w:rPr>
            </w:pPr>
            <w:r>
              <w:t>Argiteria publikoa.</w:t>
            </w:r>
          </w:p>
        </w:tc>
        <w:tc>
          <w:tcPr>
            <w:tcW w:w="727" w:type="dxa"/>
            <w:shd w:val="clear" w:color="auto" w:fill="auto"/>
            <w:vAlign w:val="center"/>
            <w:hideMark/>
          </w:tcPr>
          <w:p w14:paraId="535812D1" w14:textId="77777777" w:rsidR="00B4144B" w:rsidRPr="00933A7F" w:rsidRDefault="00B4144B" w:rsidP="004E2CFD">
            <w:pPr>
              <w:pStyle w:val="cuatexto"/>
              <w:spacing w:line="240" w:lineRule="auto"/>
              <w:jc w:val="right"/>
              <w:rPr>
                <w:szCs w:val="20"/>
              </w:rPr>
            </w:pPr>
            <w:r>
              <w:t>29,46</w:t>
            </w:r>
          </w:p>
        </w:tc>
        <w:tc>
          <w:tcPr>
            <w:tcW w:w="742" w:type="dxa"/>
            <w:shd w:val="clear" w:color="auto" w:fill="auto"/>
            <w:vAlign w:val="center"/>
            <w:hideMark/>
          </w:tcPr>
          <w:p w14:paraId="74D6BD1B" w14:textId="77777777" w:rsidR="00B4144B" w:rsidRPr="00933A7F" w:rsidRDefault="00B4144B" w:rsidP="004E2CFD">
            <w:pPr>
              <w:pStyle w:val="cuatexto"/>
              <w:tabs>
                <w:tab w:val="clear" w:pos="3969"/>
                <w:tab w:val="clear" w:pos="5103"/>
              </w:tabs>
              <w:spacing w:line="240" w:lineRule="auto"/>
              <w:jc w:val="right"/>
              <w:rPr>
                <w:szCs w:val="20"/>
              </w:rPr>
            </w:pPr>
            <w:r>
              <w:t>17,71</w:t>
            </w:r>
          </w:p>
        </w:tc>
        <w:tc>
          <w:tcPr>
            <w:tcW w:w="980" w:type="dxa"/>
            <w:shd w:val="clear" w:color="auto" w:fill="auto"/>
            <w:noWrap/>
            <w:vAlign w:val="center"/>
            <w:hideMark/>
          </w:tcPr>
          <w:p w14:paraId="6D21A533" w14:textId="77777777" w:rsidR="00B4144B" w:rsidRPr="00933A7F" w:rsidRDefault="00B4144B" w:rsidP="004E2CFD">
            <w:pPr>
              <w:pStyle w:val="cuatexto"/>
              <w:tabs>
                <w:tab w:val="clear" w:pos="3969"/>
                <w:tab w:val="clear" w:pos="5103"/>
              </w:tabs>
              <w:spacing w:line="240" w:lineRule="auto"/>
              <w:jc w:val="right"/>
              <w:rPr>
                <w:szCs w:val="20"/>
              </w:rPr>
            </w:pPr>
            <w:r>
              <w:t>2</w:t>
            </w:r>
          </w:p>
        </w:tc>
        <w:tc>
          <w:tcPr>
            <w:tcW w:w="850" w:type="dxa"/>
            <w:shd w:val="clear" w:color="auto" w:fill="auto"/>
            <w:noWrap/>
            <w:vAlign w:val="center"/>
            <w:hideMark/>
          </w:tcPr>
          <w:p w14:paraId="3ECB810D" w14:textId="77777777" w:rsidR="00B4144B" w:rsidRPr="00933A7F" w:rsidRDefault="00B4144B" w:rsidP="004E2CFD">
            <w:pPr>
              <w:pStyle w:val="cuatexto"/>
              <w:tabs>
                <w:tab w:val="clear" w:pos="3969"/>
                <w:tab w:val="clear" w:pos="5103"/>
              </w:tabs>
              <w:spacing w:line="240" w:lineRule="auto"/>
              <w:jc w:val="right"/>
              <w:rPr>
                <w:szCs w:val="20"/>
              </w:rPr>
            </w:pPr>
            <w:r>
              <w:t>-40</w:t>
            </w:r>
          </w:p>
        </w:tc>
        <w:tc>
          <w:tcPr>
            <w:tcW w:w="815" w:type="dxa"/>
            <w:tcBorders>
              <w:right w:val="single" w:sz="2" w:space="0" w:color="auto"/>
            </w:tcBorders>
            <w:shd w:val="clear" w:color="auto" w:fill="auto"/>
            <w:noWrap/>
            <w:vAlign w:val="center"/>
            <w:hideMark/>
          </w:tcPr>
          <w:p w14:paraId="20229C60" w14:textId="77777777" w:rsidR="00B4144B" w:rsidRPr="00933A7F" w:rsidRDefault="00B4144B" w:rsidP="004E2CFD">
            <w:pPr>
              <w:pStyle w:val="cuatexto"/>
              <w:tabs>
                <w:tab w:val="clear" w:pos="3969"/>
                <w:tab w:val="clear" w:pos="5103"/>
              </w:tabs>
              <w:spacing w:line="240" w:lineRule="auto"/>
              <w:jc w:val="right"/>
              <w:rPr>
                <w:szCs w:val="20"/>
              </w:rPr>
            </w:pPr>
            <w:r>
              <w:t>-11,75</w:t>
            </w:r>
          </w:p>
        </w:tc>
        <w:tc>
          <w:tcPr>
            <w:tcW w:w="866" w:type="dxa"/>
            <w:tcBorders>
              <w:top w:val="single" w:sz="2" w:space="0" w:color="auto"/>
              <w:left w:val="single" w:sz="2" w:space="0" w:color="auto"/>
              <w:bottom w:val="single" w:sz="2" w:space="0" w:color="auto"/>
            </w:tcBorders>
            <w:shd w:val="clear" w:color="auto" w:fill="auto"/>
            <w:vAlign w:val="center"/>
            <w:hideMark/>
          </w:tcPr>
          <w:p w14:paraId="6AD5E1BE" w14:textId="77777777" w:rsidR="00B4144B" w:rsidRPr="00933A7F" w:rsidRDefault="00B4144B" w:rsidP="004E2CFD">
            <w:pPr>
              <w:pStyle w:val="cuatexto"/>
              <w:tabs>
                <w:tab w:val="clear" w:pos="3969"/>
                <w:tab w:val="clear" w:pos="5103"/>
              </w:tabs>
              <w:spacing w:line="240" w:lineRule="auto"/>
              <w:jc w:val="right"/>
              <w:rPr>
                <w:szCs w:val="20"/>
              </w:rPr>
            </w:pPr>
            <w:r>
              <w:t>17,71</w:t>
            </w:r>
          </w:p>
        </w:tc>
        <w:tc>
          <w:tcPr>
            <w:tcW w:w="1015" w:type="dxa"/>
            <w:shd w:val="clear" w:color="auto" w:fill="auto"/>
            <w:noWrap/>
            <w:vAlign w:val="center"/>
            <w:hideMark/>
          </w:tcPr>
          <w:p w14:paraId="2A42322E" w14:textId="77777777" w:rsidR="00B4144B" w:rsidRPr="00933A7F" w:rsidRDefault="00B4144B" w:rsidP="004E2CFD">
            <w:pPr>
              <w:pStyle w:val="cuatexto"/>
              <w:tabs>
                <w:tab w:val="clear" w:pos="3969"/>
                <w:tab w:val="clear" w:pos="5103"/>
              </w:tabs>
              <w:spacing w:line="240" w:lineRule="auto"/>
              <w:jc w:val="right"/>
              <w:rPr>
                <w:szCs w:val="20"/>
              </w:rPr>
            </w:pPr>
            <w:r>
              <w:t>2</w:t>
            </w:r>
          </w:p>
        </w:tc>
      </w:tr>
      <w:tr w:rsidR="00B4144B" w:rsidRPr="00933A7F" w14:paraId="427A099B" w14:textId="77777777" w:rsidTr="00C72EC6">
        <w:trPr>
          <w:trHeight w:val="227"/>
        </w:trPr>
        <w:tc>
          <w:tcPr>
            <w:tcW w:w="432" w:type="dxa"/>
            <w:shd w:val="clear" w:color="auto" w:fill="auto"/>
            <w:vAlign w:val="center"/>
            <w:hideMark/>
          </w:tcPr>
          <w:p w14:paraId="3A487C30" w14:textId="77777777" w:rsidR="00B4144B" w:rsidRPr="00933A7F" w:rsidRDefault="00B4144B" w:rsidP="004E2CFD">
            <w:pPr>
              <w:pStyle w:val="cuatexto"/>
              <w:spacing w:line="240" w:lineRule="auto"/>
              <w:rPr>
                <w:szCs w:val="20"/>
              </w:rPr>
            </w:pPr>
            <w:r>
              <w:t>163</w:t>
            </w:r>
          </w:p>
        </w:tc>
        <w:tc>
          <w:tcPr>
            <w:tcW w:w="2333" w:type="dxa"/>
            <w:shd w:val="clear" w:color="auto" w:fill="auto"/>
            <w:vAlign w:val="center"/>
            <w:hideMark/>
          </w:tcPr>
          <w:p w14:paraId="09D119AE" w14:textId="77777777" w:rsidR="00B4144B" w:rsidRPr="00933A7F" w:rsidRDefault="00B4144B" w:rsidP="004E2CFD">
            <w:pPr>
              <w:pStyle w:val="cuatexto"/>
              <w:spacing w:line="240" w:lineRule="auto"/>
              <w:rPr>
                <w:szCs w:val="20"/>
              </w:rPr>
            </w:pPr>
            <w:r>
              <w:t>Bideak garbitzea.</w:t>
            </w:r>
          </w:p>
        </w:tc>
        <w:tc>
          <w:tcPr>
            <w:tcW w:w="727" w:type="dxa"/>
            <w:shd w:val="clear" w:color="auto" w:fill="auto"/>
            <w:vAlign w:val="center"/>
            <w:hideMark/>
          </w:tcPr>
          <w:p w14:paraId="35D2CC54" w14:textId="77777777" w:rsidR="00B4144B" w:rsidRPr="00933A7F" w:rsidRDefault="00B4144B" w:rsidP="004E2CFD">
            <w:pPr>
              <w:pStyle w:val="cuatexto"/>
              <w:spacing w:line="240" w:lineRule="auto"/>
              <w:jc w:val="right"/>
              <w:rPr>
                <w:szCs w:val="20"/>
              </w:rPr>
            </w:pPr>
            <w:r>
              <w:t>17,22</w:t>
            </w:r>
          </w:p>
        </w:tc>
        <w:tc>
          <w:tcPr>
            <w:tcW w:w="742" w:type="dxa"/>
            <w:shd w:val="clear" w:color="auto" w:fill="auto"/>
            <w:vAlign w:val="center"/>
            <w:hideMark/>
          </w:tcPr>
          <w:p w14:paraId="72F57B1E" w14:textId="77777777" w:rsidR="00B4144B" w:rsidRPr="00933A7F" w:rsidRDefault="00B4144B" w:rsidP="004E2CFD">
            <w:pPr>
              <w:pStyle w:val="cuatexto"/>
              <w:tabs>
                <w:tab w:val="clear" w:pos="3969"/>
                <w:tab w:val="clear" w:pos="5103"/>
              </w:tabs>
              <w:spacing w:line="240" w:lineRule="auto"/>
              <w:jc w:val="right"/>
              <w:rPr>
                <w:szCs w:val="20"/>
              </w:rPr>
            </w:pPr>
            <w:r>
              <w:t>17,48</w:t>
            </w:r>
          </w:p>
        </w:tc>
        <w:tc>
          <w:tcPr>
            <w:tcW w:w="980" w:type="dxa"/>
            <w:shd w:val="clear" w:color="auto" w:fill="auto"/>
            <w:noWrap/>
            <w:vAlign w:val="center"/>
            <w:hideMark/>
          </w:tcPr>
          <w:p w14:paraId="4E812E7A" w14:textId="77777777" w:rsidR="00B4144B" w:rsidRPr="00933A7F" w:rsidRDefault="00B4144B" w:rsidP="004E2CFD">
            <w:pPr>
              <w:pStyle w:val="cuatexto"/>
              <w:tabs>
                <w:tab w:val="clear" w:pos="3969"/>
                <w:tab w:val="clear" w:pos="5103"/>
              </w:tabs>
              <w:spacing w:line="240" w:lineRule="auto"/>
              <w:jc w:val="right"/>
              <w:rPr>
                <w:szCs w:val="20"/>
              </w:rPr>
            </w:pPr>
            <w:r>
              <w:t>2</w:t>
            </w:r>
          </w:p>
        </w:tc>
        <w:tc>
          <w:tcPr>
            <w:tcW w:w="850" w:type="dxa"/>
            <w:shd w:val="clear" w:color="auto" w:fill="auto"/>
            <w:noWrap/>
            <w:vAlign w:val="center"/>
            <w:hideMark/>
          </w:tcPr>
          <w:p w14:paraId="4CE0CC78" w14:textId="77777777" w:rsidR="00B4144B" w:rsidRPr="00933A7F" w:rsidRDefault="00B4144B" w:rsidP="004E2CFD">
            <w:pPr>
              <w:pStyle w:val="cuatexto"/>
              <w:tabs>
                <w:tab w:val="clear" w:pos="3969"/>
                <w:tab w:val="clear" w:pos="5103"/>
              </w:tabs>
              <w:spacing w:line="240" w:lineRule="auto"/>
              <w:jc w:val="right"/>
              <w:rPr>
                <w:szCs w:val="20"/>
              </w:rPr>
            </w:pPr>
            <w:r>
              <w:t>1</w:t>
            </w:r>
          </w:p>
        </w:tc>
        <w:tc>
          <w:tcPr>
            <w:tcW w:w="815" w:type="dxa"/>
            <w:tcBorders>
              <w:right w:val="single" w:sz="2" w:space="0" w:color="auto"/>
            </w:tcBorders>
            <w:shd w:val="clear" w:color="auto" w:fill="auto"/>
            <w:noWrap/>
            <w:vAlign w:val="center"/>
            <w:hideMark/>
          </w:tcPr>
          <w:p w14:paraId="671102BD" w14:textId="77777777" w:rsidR="00B4144B" w:rsidRPr="00933A7F" w:rsidRDefault="00B4144B" w:rsidP="004E2CFD">
            <w:pPr>
              <w:pStyle w:val="cuatexto"/>
              <w:tabs>
                <w:tab w:val="clear" w:pos="3969"/>
                <w:tab w:val="clear" w:pos="5103"/>
              </w:tabs>
              <w:spacing w:line="240" w:lineRule="auto"/>
              <w:jc w:val="right"/>
              <w:rPr>
                <w:szCs w:val="20"/>
              </w:rPr>
            </w:pPr>
            <w:r>
              <w:t>0,25</w:t>
            </w:r>
          </w:p>
        </w:tc>
        <w:tc>
          <w:tcPr>
            <w:tcW w:w="866" w:type="dxa"/>
            <w:tcBorders>
              <w:top w:val="single" w:sz="2" w:space="0" w:color="auto"/>
              <w:left w:val="single" w:sz="2" w:space="0" w:color="auto"/>
              <w:bottom w:val="single" w:sz="2" w:space="0" w:color="auto"/>
            </w:tcBorders>
            <w:shd w:val="clear" w:color="auto" w:fill="auto"/>
            <w:vAlign w:val="center"/>
            <w:hideMark/>
          </w:tcPr>
          <w:p w14:paraId="12A30320" w14:textId="77777777" w:rsidR="00B4144B" w:rsidRPr="00933A7F" w:rsidRDefault="00B4144B" w:rsidP="004E2CFD">
            <w:pPr>
              <w:pStyle w:val="cuatexto"/>
              <w:tabs>
                <w:tab w:val="clear" w:pos="3969"/>
                <w:tab w:val="clear" w:pos="5103"/>
              </w:tabs>
              <w:spacing w:line="240" w:lineRule="auto"/>
              <w:jc w:val="right"/>
              <w:rPr>
                <w:szCs w:val="20"/>
              </w:rPr>
            </w:pPr>
            <w:r>
              <w:t>17,48</w:t>
            </w:r>
          </w:p>
        </w:tc>
        <w:tc>
          <w:tcPr>
            <w:tcW w:w="1015" w:type="dxa"/>
            <w:shd w:val="clear" w:color="auto" w:fill="auto"/>
            <w:noWrap/>
            <w:vAlign w:val="center"/>
            <w:hideMark/>
          </w:tcPr>
          <w:p w14:paraId="12BB9CC6" w14:textId="77777777" w:rsidR="00B4144B" w:rsidRPr="00933A7F" w:rsidRDefault="00B4144B" w:rsidP="004E2CFD">
            <w:pPr>
              <w:pStyle w:val="cuatexto"/>
              <w:tabs>
                <w:tab w:val="clear" w:pos="3969"/>
                <w:tab w:val="clear" w:pos="5103"/>
              </w:tabs>
              <w:spacing w:line="240" w:lineRule="auto"/>
              <w:jc w:val="right"/>
              <w:rPr>
                <w:szCs w:val="20"/>
              </w:rPr>
            </w:pPr>
            <w:r>
              <w:t>2</w:t>
            </w:r>
          </w:p>
        </w:tc>
      </w:tr>
      <w:tr w:rsidR="00B4144B" w:rsidRPr="00933A7F" w14:paraId="32DB9B41" w14:textId="77777777" w:rsidTr="00C72EC6">
        <w:trPr>
          <w:trHeight w:val="227"/>
        </w:trPr>
        <w:tc>
          <w:tcPr>
            <w:tcW w:w="432" w:type="dxa"/>
            <w:shd w:val="clear" w:color="auto" w:fill="auto"/>
            <w:vAlign w:val="center"/>
            <w:hideMark/>
          </w:tcPr>
          <w:p w14:paraId="5ECF698E" w14:textId="77777777" w:rsidR="00B4144B" w:rsidRPr="00933A7F" w:rsidRDefault="00B4144B" w:rsidP="004E2CFD">
            <w:pPr>
              <w:pStyle w:val="cuatexto"/>
              <w:spacing w:line="240" w:lineRule="auto"/>
              <w:rPr>
                <w:szCs w:val="20"/>
              </w:rPr>
            </w:pPr>
            <w:r>
              <w:t>160</w:t>
            </w:r>
          </w:p>
        </w:tc>
        <w:tc>
          <w:tcPr>
            <w:tcW w:w="2333" w:type="dxa"/>
            <w:shd w:val="clear" w:color="auto" w:fill="auto"/>
            <w:vAlign w:val="center"/>
            <w:hideMark/>
          </w:tcPr>
          <w:p w14:paraId="56115C27" w14:textId="6DB4C7A9" w:rsidR="00B4144B" w:rsidRPr="00933A7F" w:rsidRDefault="00C72EC6" w:rsidP="004E2CFD">
            <w:pPr>
              <w:pStyle w:val="cuatexto"/>
              <w:spacing w:line="240" w:lineRule="auto"/>
              <w:rPr>
                <w:szCs w:val="20"/>
              </w:rPr>
            </w:pPr>
            <w:r>
              <w:t>Estolderia, hondakin urak hustu eta tratatzea.</w:t>
            </w:r>
          </w:p>
        </w:tc>
        <w:tc>
          <w:tcPr>
            <w:tcW w:w="727" w:type="dxa"/>
            <w:shd w:val="clear" w:color="auto" w:fill="auto"/>
            <w:vAlign w:val="center"/>
            <w:hideMark/>
          </w:tcPr>
          <w:p w14:paraId="73092FC3" w14:textId="77777777" w:rsidR="00B4144B" w:rsidRPr="00933A7F" w:rsidRDefault="00B4144B" w:rsidP="004E2CFD">
            <w:pPr>
              <w:pStyle w:val="cuatexto"/>
              <w:spacing w:line="240" w:lineRule="auto"/>
              <w:jc w:val="right"/>
              <w:rPr>
                <w:szCs w:val="20"/>
              </w:rPr>
            </w:pPr>
            <w:r>
              <w:t>6,08</w:t>
            </w:r>
          </w:p>
        </w:tc>
        <w:tc>
          <w:tcPr>
            <w:tcW w:w="742" w:type="dxa"/>
            <w:shd w:val="clear" w:color="auto" w:fill="auto"/>
            <w:vAlign w:val="center"/>
            <w:hideMark/>
          </w:tcPr>
          <w:p w14:paraId="427A45C0" w14:textId="77777777" w:rsidR="00B4144B" w:rsidRPr="00933A7F" w:rsidRDefault="00B4144B" w:rsidP="004E2CFD">
            <w:pPr>
              <w:pStyle w:val="cuatexto"/>
              <w:tabs>
                <w:tab w:val="clear" w:pos="3969"/>
                <w:tab w:val="clear" w:pos="5103"/>
              </w:tabs>
              <w:spacing w:line="240" w:lineRule="auto"/>
              <w:jc w:val="right"/>
              <w:rPr>
                <w:szCs w:val="20"/>
              </w:rPr>
            </w:pPr>
            <w:r>
              <w:t>3,32</w:t>
            </w:r>
          </w:p>
        </w:tc>
        <w:tc>
          <w:tcPr>
            <w:tcW w:w="980" w:type="dxa"/>
            <w:shd w:val="clear" w:color="auto" w:fill="auto"/>
            <w:noWrap/>
            <w:vAlign w:val="center"/>
            <w:hideMark/>
          </w:tcPr>
          <w:p w14:paraId="67D29E9B" w14:textId="77777777" w:rsidR="00B4144B" w:rsidRPr="00933A7F" w:rsidRDefault="00B4144B" w:rsidP="004E2CFD">
            <w:pPr>
              <w:pStyle w:val="cuatexto"/>
              <w:tabs>
                <w:tab w:val="clear" w:pos="3969"/>
                <w:tab w:val="clear" w:pos="5103"/>
              </w:tabs>
              <w:spacing w:line="240" w:lineRule="auto"/>
              <w:jc w:val="right"/>
              <w:rPr>
                <w:szCs w:val="20"/>
              </w:rPr>
            </w:pPr>
            <w:r>
              <w:t>0</w:t>
            </w:r>
          </w:p>
        </w:tc>
        <w:tc>
          <w:tcPr>
            <w:tcW w:w="850" w:type="dxa"/>
            <w:shd w:val="clear" w:color="auto" w:fill="auto"/>
            <w:noWrap/>
            <w:vAlign w:val="center"/>
            <w:hideMark/>
          </w:tcPr>
          <w:p w14:paraId="161B8192" w14:textId="77777777" w:rsidR="00B4144B" w:rsidRPr="00933A7F" w:rsidRDefault="00B4144B" w:rsidP="004E2CFD">
            <w:pPr>
              <w:pStyle w:val="cuatexto"/>
              <w:tabs>
                <w:tab w:val="clear" w:pos="3969"/>
                <w:tab w:val="clear" w:pos="5103"/>
              </w:tabs>
              <w:spacing w:line="240" w:lineRule="auto"/>
              <w:jc w:val="right"/>
              <w:rPr>
                <w:szCs w:val="20"/>
              </w:rPr>
            </w:pPr>
            <w:r>
              <w:t>-45</w:t>
            </w:r>
          </w:p>
        </w:tc>
        <w:tc>
          <w:tcPr>
            <w:tcW w:w="815" w:type="dxa"/>
            <w:tcBorders>
              <w:right w:val="single" w:sz="2" w:space="0" w:color="auto"/>
            </w:tcBorders>
            <w:shd w:val="clear" w:color="auto" w:fill="auto"/>
            <w:noWrap/>
            <w:vAlign w:val="center"/>
            <w:hideMark/>
          </w:tcPr>
          <w:p w14:paraId="384668AD" w14:textId="77777777" w:rsidR="00B4144B" w:rsidRPr="00933A7F" w:rsidRDefault="00B4144B" w:rsidP="004E2CFD">
            <w:pPr>
              <w:pStyle w:val="cuatexto"/>
              <w:tabs>
                <w:tab w:val="clear" w:pos="3969"/>
                <w:tab w:val="clear" w:pos="5103"/>
              </w:tabs>
              <w:spacing w:line="240" w:lineRule="auto"/>
              <w:jc w:val="right"/>
              <w:rPr>
                <w:szCs w:val="20"/>
              </w:rPr>
            </w:pPr>
            <w:r>
              <w:t>-2,76</w:t>
            </w:r>
          </w:p>
        </w:tc>
        <w:tc>
          <w:tcPr>
            <w:tcW w:w="866" w:type="dxa"/>
            <w:tcBorders>
              <w:top w:val="single" w:sz="2" w:space="0" w:color="auto"/>
              <w:left w:val="single" w:sz="2" w:space="0" w:color="auto"/>
              <w:bottom w:val="single" w:sz="2" w:space="0" w:color="auto"/>
            </w:tcBorders>
            <w:shd w:val="clear" w:color="auto" w:fill="auto"/>
            <w:vAlign w:val="center"/>
            <w:hideMark/>
          </w:tcPr>
          <w:p w14:paraId="002A75E4" w14:textId="77777777" w:rsidR="00B4144B" w:rsidRPr="00933A7F" w:rsidRDefault="00B4144B" w:rsidP="004E2CFD">
            <w:pPr>
              <w:pStyle w:val="cuatexto"/>
              <w:tabs>
                <w:tab w:val="clear" w:pos="3969"/>
                <w:tab w:val="clear" w:pos="5103"/>
              </w:tabs>
              <w:spacing w:line="240" w:lineRule="auto"/>
              <w:jc w:val="right"/>
              <w:rPr>
                <w:szCs w:val="20"/>
              </w:rPr>
            </w:pPr>
            <w:r>
              <w:t>14,87</w:t>
            </w:r>
          </w:p>
        </w:tc>
        <w:tc>
          <w:tcPr>
            <w:tcW w:w="1015" w:type="dxa"/>
            <w:shd w:val="clear" w:color="auto" w:fill="auto"/>
            <w:noWrap/>
            <w:vAlign w:val="center"/>
            <w:hideMark/>
          </w:tcPr>
          <w:p w14:paraId="77F9526A" w14:textId="77777777" w:rsidR="00B4144B" w:rsidRPr="00933A7F" w:rsidRDefault="00B4144B" w:rsidP="004E2CFD">
            <w:pPr>
              <w:pStyle w:val="cuatexto"/>
              <w:tabs>
                <w:tab w:val="clear" w:pos="3969"/>
                <w:tab w:val="clear" w:pos="5103"/>
              </w:tabs>
              <w:spacing w:line="240" w:lineRule="auto"/>
              <w:jc w:val="right"/>
              <w:rPr>
                <w:szCs w:val="20"/>
              </w:rPr>
            </w:pPr>
            <w:r>
              <w:t>2</w:t>
            </w:r>
          </w:p>
        </w:tc>
      </w:tr>
      <w:tr w:rsidR="00B4144B" w:rsidRPr="00933A7F" w14:paraId="1169EDBB" w14:textId="77777777" w:rsidTr="00C72EC6">
        <w:trPr>
          <w:trHeight w:val="227"/>
        </w:trPr>
        <w:tc>
          <w:tcPr>
            <w:tcW w:w="432" w:type="dxa"/>
            <w:shd w:val="clear" w:color="auto" w:fill="auto"/>
            <w:vAlign w:val="center"/>
            <w:hideMark/>
          </w:tcPr>
          <w:p w14:paraId="2DDFE04F" w14:textId="77777777" w:rsidR="00B4144B" w:rsidRPr="00933A7F" w:rsidRDefault="00B4144B" w:rsidP="004E2CFD">
            <w:pPr>
              <w:pStyle w:val="cuatexto"/>
              <w:spacing w:line="240" w:lineRule="auto"/>
              <w:rPr>
                <w:szCs w:val="20"/>
              </w:rPr>
            </w:pPr>
            <w:r>
              <w:t>169</w:t>
            </w:r>
          </w:p>
        </w:tc>
        <w:tc>
          <w:tcPr>
            <w:tcW w:w="2333" w:type="dxa"/>
            <w:shd w:val="clear" w:color="auto" w:fill="auto"/>
            <w:vAlign w:val="center"/>
            <w:hideMark/>
          </w:tcPr>
          <w:p w14:paraId="00AD0C6C" w14:textId="77777777" w:rsidR="00B4144B" w:rsidRPr="00933A7F" w:rsidRDefault="00B4144B" w:rsidP="004E2CFD">
            <w:pPr>
              <w:pStyle w:val="cuatexto"/>
              <w:spacing w:line="240" w:lineRule="auto"/>
              <w:rPr>
                <w:szCs w:val="20"/>
              </w:rPr>
            </w:pPr>
            <w:r>
              <w:t>Erkidegoaren ongizaterako beste zerbitzu batzuk.</w:t>
            </w:r>
          </w:p>
        </w:tc>
        <w:tc>
          <w:tcPr>
            <w:tcW w:w="727" w:type="dxa"/>
            <w:shd w:val="clear" w:color="auto" w:fill="auto"/>
            <w:vAlign w:val="center"/>
            <w:hideMark/>
          </w:tcPr>
          <w:p w14:paraId="09C236EC" w14:textId="77777777" w:rsidR="00B4144B" w:rsidRPr="00933A7F" w:rsidRDefault="00B4144B" w:rsidP="004E2CFD">
            <w:pPr>
              <w:pStyle w:val="cuatexto"/>
              <w:spacing w:line="240" w:lineRule="auto"/>
              <w:jc w:val="right"/>
              <w:rPr>
                <w:szCs w:val="20"/>
              </w:rPr>
            </w:pPr>
            <w:r>
              <w:t>2,86</w:t>
            </w:r>
          </w:p>
        </w:tc>
        <w:tc>
          <w:tcPr>
            <w:tcW w:w="742" w:type="dxa"/>
            <w:shd w:val="clear" w:color="auto" w:fill="auto"/>
            <w:vAlign w:val="center"/>
            <w:hideMark/>
          </w:tcPr>
          <w:p w14:paraId="7AC1AB3D" w14:textId="77777777" w:rsidR="00B4144B" w:rsidRPr="00933A7F" w:rsidRDefault="00B4144B" w:rsidP="004E2CFD">
            <w:pPr>
              <w:pStyle w:val="cuatexto"/>
              <w:tabs>
                <w:tab w:val="clear" w:pos="3969"/>
                <w:tab w:val="clear" w:pos="5103"/>
              </w:tabs>
              <w:spacing w:line="240" w:lineRule="auto"/>
              <w:jc w:val="right"/>
              <w:rPr>
                <w:szCs w:val="20"/>
              </w:rPr>
            </w:pPr>
            <w:r>
              <w:t>2,44</w:t>
            </w:r>
          </w:p>
        </w:tc>
        <w:tc>
          <w:tcPr>
            <w:tcW w:w="980" w:type="dxa"/>
            <w:shd w:val="clear" w:color="auto" w:fill="auto"/>
            <w:noWrap/>
            <w:vAlign w:val="center"/>
            <w:hideMark/>
          </w:tcPr>
          <w:p w14:paraId="72D32EA4" w14:textId="77777777" w:rsidR="00B4144B" w:rsidRPr="00933A7F" w:rsidRDefault="00B4144B" w:rsidP="004E2CFD">
            <w:pPr>
              <w:pStyle w:val="cuatexto"/>
              <w:tabs>
                <w:tab w:val="clear" w:pos="3969"/>
                <w:tab w:val="clear" w:pos="5103"/>
              </w:tabs>
              <w:spacing w:line="240" w:lineRule="auto"/>
              <w:jc w:val="right"/>
              <w:rPr>
                <w:szCs w:val="20"/>
              </w:rPr>
            </w:pPr>
            <w:r>
              <w:t>0</w:t>
            </w:r>
          </w:p>
        </w:tc>
        <w:tc>
          <w:tcPr>
            <w:tcW w:w="850" w:type="dxa"/>
            <w:shd w:val="clear" w:color="auto" w:fill="auto"/>
            <w:noWrap/>
            <w:vAlign w:val="center"/>
            <w:hideMark/>
          </w:tcPr>
          <w:p w14:paraId="2AB14C54" w14:textId="77777777" w:rsidR="00B4144B" w:rsidRPr="00933A7F" w:rsidRDefault="00B4144B" w:rsidP="004E2CFD">
            <w:pPr>
              <w:pStyle w:val="cuatexto"/>
              <w:tabs>
                <w:tab w:val="clear" w:pos="3969"/>
                <w:tab w:val="clear" w:pos="5103"/>
              </w:tabs>
              <w:spacing w:line="240" w:lineRule="auto"/>
              <w:jc w:val="right"/>
              <w:rPr>
                <w:szCs w:val="20"/>
              </w:rPr>
            </w:pPr>
            <w:r>
              <w:t>-15</w:t>
            </w:r>
          </w:p>
        </w:tc>
        <w:tc>
          <w:tcPr>
            <w:tcW w:w="815" w:type="dxa"/>
            <w:tcBorders>
              <w:right w:val="single" w:sz="2" w:space="0" w:color="auto"/>
            </w:tcBorders>
            <w:shd w:val="clear" w:color="auto" w:fill="auto"/>
            <w:noWrap/>
            <w:vAlign w:val="center"/>
            <w:hideMark/>
          </w:tcPr>
          <w:p w14:paraId="6ECA0B01" w14:textId="77777777" w:rsidR="00B4144B" w:rsidRPr="00933A7F" w:rsidRDefault="00B4144B" w:rsidP="004E2CFD">
            <w:pPr>
              <w:pStyle w:val="cuatexto"/>
              <w:tabs>
                <w:tab w:val="clear" w:pos="3969"/>
                <w:tab w:val="clear" w:pos="5103"/>
              </w:tabs>
              <w:spacing w:line="240" w:lineRule="auto"/>
              <w:jc w:val="right"/>
              <w:rPr>
                <w:szCs w:val="20"/>
              </w:rPr>
            </w:pPr>
            <w:r>
              <w:t>-0,42</w:t>
            </w:r>
          </w:p>
        </w:tc>
        <w:tc>
          <w:tcPr>
            <w:tcW w:w="866" w:type="dxa"/>
            <w:tcBorders>
              <w:top w:val="single" w:sz="2" w:space="0" w:color="auto"/>
              <w:left w:val="single" w:sz="2" w:space="0" w:color="auto"/>
              <w:bottom w:val="single" w:sz="2" w:space="0" w:color="auto"/>
            </w:tcBorders>
            <w:shd w:val="clear" w:color="auto" w:fill="auto"/>
            <w:vAlign w:val="center"/>
            <w:hideMark/>
          </w:tcPr>
          <w:p w14:paraId="5815130F" w14:textId="77777777" w:rsidR="00B4144B" w:rsidRPr="00933A7F" w:rsidRDefault="00B4144B" w:rsidP="004E2CFD">
            <w:pPr>
              <w:pStyle w:val="cuatexto"/>
              <w:tabs>
                <w:tab w:val="clear" w:pos="3969"/>
                <w:tab w:val="clear" w:pos="5103"/>
              </w:tabs>
              <w:spacing w:line="240" w:lineRule="auto"/>
              <w:jc w:val="right"/>
              <w:rPr>
                <w:szCs w:val="20"/>
              </w:rPr>
            </w:pPr>
            <w:r>
              <w:t>2,44</w:t>
            </w:r>
          </w:p>
        </w:tc>
        <w:tc>
          <w:tcPr>
            <w:tcW w:w="1015" w:type="dxa"/>
            <w:shd w:val="clear" w:color="auto" w:fill="auto"/>
            <w:noWrap/>
            <w:vAlign w:val="center"/>
            <w:hideMark/>
          </w:tcPr>
          <w:p w14:paraId="3B88FD4B" w14:textId="77777777" w:rsidR="00B4144B" w:rsidRPr="00933A7F" w:rsidRDefault="00B4144B" w:rsidP="004E2CFD">
            <w:pPr>
              <w:pStyle w:val="cuatexto"/>
              <w:tabs>
                <w:tab w:val="clear" w:pos="3969"/>
                <w:tab w:val="clear" w:pos="5103"/>
              </w:tabs>
              <w:spacing w:line="240" w:lineRule="auto"/>
              <w:jc w:val="right"/>
              <w:rPr>
                <w:szCs w:val="20"/>
              </w:rPr>
            </w:pPr>
            <w:r>
              <w:t>0</w:t>
            </w:r>
          </w:p>
        </w:tc>
      </w:tr>
      <w:tr w:rsidR="00B4144B" w:rsidRPr="00933A7F" w14:paraId="72EA8D2A" w14:textId="77777777" w:rsidTr="00C72EC6">
        <w:trPr>
          <w:trHeight w:val="227"/>
        </w:trPr>
        <w:tc>
          <w:tcPr>
            <w:tcW w:w="432" w:type="dxa"/>
            <w:shd w:val="clear" w:color="auto" w:fill="auto"/>
            <w:vAlign w:val="center"/>
            <w:hideMark/>
          </w:tcPr>
          <w:p w14:paraId="27D1DD5A" w14:textId="77777777" w:rsidR="00B4144B" w:rsidRPr="00933A7F" w:rsidRDefault="00B4144B" w:rsidP="004E2CFD">
            <w:pPr>
              <w:pStyle w:val="cuatexto"/>
              <w:spacing w:line="240" w:lineRule="auto"/>
              <w:rPr>
                <w:szCs w:val="20"/>
              </w:rPr>
            </w:pPr>
            <w:r>
              <w:t>164</w:t>
            </w:r>
          </w:p>
        </w:tc>
        <w:tc>
          <w:tcPr>
            <w:tcW w:w="2333" w:type="dxa"/>
            <w:shd w:val="clear" w:color="auto" w:fill="auto"/>
            <w:vAlign w:val="center"/>
            <w:hideMark/>
          </w:tcPr>
          <w:p w14:paraId="392584EF" w14:textId="77777777" w:rsidR="00B4144B" w:rsidRPr="00933A7F" w:rsidRDefault="00B4144B" w:rsidP="004E2CFD">
            <w:pPr>
              <w:pStyle w:val="cuatexto"/>
              <w:spacing w:line="240" w:lineRule="auto"/>
              <w:rPr>
                <w:szCs w:val="20"/>
              </w:rPr>
            </w:pPr>
            <w:r>
              <w:t>Hilerriak eta hileta-zerbitzuak.</w:t>
            </w:r>
          </w:p>
        </w:tc>
        <w:tc>
          <w:tcPr>
            <w:tcW w:w="727" w:type="dxa"/>
            <w:shd w:val="clear" w:color="auto" w:fill="auto"/>
            <w:vAlign w:val="center"/>
            <w:hideMark/>
          </w:tcPr>
          <w:p w14:paraId="6F69AA59" w14:textId="77777777" w:rsidR="00B4144B" w:rsidRPr="00933A7F" w:rsidRDefault="00B4144B" w:rsidP="004E2CFD">
            <w:pPr>
              <w:pStyle w:val="cuatexto"/>
              <w:spacing w:line="240" w:lineRule="auto"/>
              <w:jc w:val="right"/>
              <w:rPr>
                <w:szCs w:val="20"/>
              </w:rPr>
            </w:pPr>
            <w:r>
              <w:t>2,33</w:t>
            </w:r>
          </w:p>
        </w:tc>
        <w:tc>
          <w:tcPr>
            <w:tcW w:w="742" w:type="dxa"/>
            <w:shd w:val="clear" w:color="auto" w:fill="auto"/>
            <w:vAlign w:val="center"/>
            <w:hideMark/>
          </w:tcPr>
          <w:p w14:paraId="43B91D41" w14:textId="77777777" w:rsidR="00B4144B" w:rsidRPr="00933A7F" w:rsidRDefault="00B4144B" w:rsidP="004E2CFD">
            <w:pPr>
              <w:pStyle w:val="cuatexto"/>
              <w:tabs>
                <w:tab w:val="clear" w:pos="3969"/>
                <w:tab w:val="clear" w:pos="5103"/>
              </w:tabs>
              <w:spacing w:line="240" w:lineRule="auto"/>
              <w:jc w:val="right"/>
              <w:rPr>
                <w:szCs w:val="20"/>
              </w:rPr>
            </w:pPr>
            <w:r>
              <w:t>2,26</w:t>
            </w:r>
          </w:p>
        </w:tc>
        <w:tc>
          <w:tcPr>
            <w:tcW w:w="980" w:type="dxa"/>
            <w:shd w:val="clear" w:color="auto" w:fill="auto"/>
            <w:noWrap/>
            <w:vAlign w:val="center"/>
            <w:hideMark/>
          </w:tcPr>
          <w:p w14:paraId="2FA42972" w14:textId="77777777" w:rsidR="00B4144B" w:rsidRPr="00933A7F" w:rsidRDefault="00B4144B" w:rsidP="004E2CFD">
            <w:pPr>
              <w:pStyle w:val="cuatexto"/>
              <w:tabs>
                <w:tab w:val="clear" w:pos="3969"/>
                <w:tab w:val="clear" w:pos="5103"/>
              </w:tabs>
              <w:spacing w:line="240" w:lineRule="auto"/>
              <w:jc w:val="right"/>
              <w:rPr>
                <w:szCs w:val="20"/>
              </w:rPr>
            </w:pPr>
            <w:r>
              <w:t>0</w:t>
            </w:r>
          </w:p>
        </w:tc>
        <w:tc>
          <w:tcPr>
            <w:tcW w:w="850" w:type="dxa"/>
            <w:shd w:val="clear" w:color="auto" w:fill="auto"/>
            <w:noWrap/>
            <w:vAlign w:val="center"/>
            <w:hideMark/>
          </w:tcPr>
          <w:p w14:paraId="47D6C44B" w14:textId="77777777" w:rsidR="00B4144B" w:rsidRPr="00933A7F" w:rsidRDefault="00B4144B" w:rsidP="004E2CFD">
            <w:pPr>
              <w:pStyle w:val="cuatexto"/>
              <w:tabs>
                <w:tab w:val="clear" w:pos="3969"/>
                <w:tab w:val="clear" w:pos="5103"/>
              </w:tabs>
              <w:spacing w:line="240" w:lineRule="auto"/>
              <w:jc w:val="right"/>
              <w:rPr>
                <w:szCs w:val="20"/>
              </w:rPr>
            </w:pPr>
            <w:r>
              <w:t>-3</w:t>
            </w:r>
          </w:p>
        </w:tc>
        <w:tc>
          <w:tcPr>
            <w:tcW w:w="815" w:type="dxa"/>
            <w:tcBorders>
              <w:right w:val="single" w:sz="2" w:space="0" w:color="auto"/>
            </w:tcBorders>
            <w:shd w:val="clear" w:color="auto" w:fill="auto"/>
            <w:noWrap/>
            <w:vAlign w:val="center"/>
            <w:hideMark/>
          </w:tcPr>
          <w:p w14:paraId="15354ED6" w14:textId="77777777" w:rsidR="00B4144B" w:rsidRPr="00933A7F" w:rsidRDefault="00B4144B" w:rsidP="004E2CFD">
            <w:pPr>
              <w:pStyle w:val="cuatexto"/>
              <w:tabs>
                <w:tab w:val="clear" w:pos="3969"/>
                <w:tab w:val="clear" w:pos="5103"/>
              </w:tabs>
              <w:spacing w:line="240" w:lineRule="auto"/>
              <w:jc w:val="right"/>
              <w:rPr>
                <w:szCs w:val="20"/>
              </w:rPr>
            </w:pPr>
            <w:r>
              <w:t>-0,07</w:t>
            </w:r>
          </w:p>
        </w:tc>
        <w:tc>
          <w:tcPr>
            <w:tcW w:w="866" w:type="dxa"/>
            <w:tcBorders>
              <w:top w:val="single" w:sz="2" w:space="0" w:color="auto"/>
              <w:left w:val="single" w:sz="2" w:space="0" w:color="auto"/>
              <w:bottom w:val="single" w:sz="2" w:space="0" w:color="auto"/>
            </w:tcBorders>
            <w:shd w:val="clear" w:color="auto" w:fill="auto"/>
            <w:vAlign w:val="center"/>
            <w:hideMark/>
          </w:tcPr>
          <w:p w14:paraId="391E1633" w14:textId="77777777" w:rsidR="00B4144B" w:rsidRPr="00933A7F" w:rsidRDefault="00B4144B" w:rsidP="004E2CFD">
            <w:pPr>
              <w:pStyle w:val="cuatexto"/>
              <w:tabs>
                <w:tab w:val="clear" w:pos="3969"/>
                <w:tab w:val="clear" w:pos="5103"/>
              </w:tabs>
              <w:spacing w:line="240" w:lineRule="auto"/>
              <w:jc w:val="right"/>
              <w:rPr>
                <w:szCs w:val="20"/>
              </w:rPr>
            </w:pPr>
            <w:r>
              <w:t>2,26</w:t>
            </w:r>
          </w:p>
        </w:tc>
        <w:tc>
          <w:tcPr>
            <w:tcW w:w="1015" w:type="dxa"/>
            <w:shd w:val="clear" w:color="auto" w:fill="auto"/>
            <w:noWrap/>
            <w:vAlign w:val="center"/>
            <w:hideMark/>
          </w:tcPr>
          <w:p w14:paraId="52466DAE" w14:textId="77777777" w:rsidR="00B4144B" w:rsidRPr="00933A7F" w:rsidRDefault="00B4144B" w:rsidP="004E2CFD">
            <w:pPr>
              <w:pStyle w:val="cuatexto"/>
              <w:tabs>
                <w:tab w:val="clear" w:pos="3969"/>
                <w:tab w:val="clear" w:pos="5103"/>
              </w:tabs>
              <w:spacing w:line="240" w:lineRule="auto"/>
              <w:jc w:val="right"/>
              <w:rPr>
                <w:szCs w:val="20"/>
              </w:rPr>
            </w:pPr>
            <w:r>
              <w:t>0</w:t>
            </w:r>
          </w:p>
        </w:tc>
      </w:tr>
      <w:tr w:rsidR="006F231C" w:rsidRPr="00C72EC6" w14:paraId="23358A8D" w14:textId="77777777" w:rsidTr="00C72EC6">
        <w:trPr>
          <w:trHeight w:val="227"/>
        </w:trPr>
        <w:tc>
          <w:tcPr>
            <w:tcW w:w="432" w:type="dxa"/>
            <w:shd w:val="clear" w:color="auto" w:fill="FABF8F" w:themeFill="accent6" w:themeFillTint="99"/>
            <w:vAlign w:val="center"/>
          </w:tcPr>
          <w:p w14:paraId="2B36861C" w14:textId="77777777" w:rsidR="006F231C" w:rsidRPr="00C72EC6" w:rsidRDefault="006F231C" w:rsidP="004E2CFD">
            <w:pPr>
              <w:pStyle w:val="cuadroCabe"/>
              <w:spacing w:line="240" w:lineRule="auto"/>
            </w:pPr>
            <w:r>
              <w:t>16</w:t>
            </w:r>
          </w:p>
        </w:tc>
        <w:tc>
          <w:tcPr>
            <w:tcW w:w="2333" w:type="dxa"/>
            <w:shd w:val="clear" w:color="auto" w:fill="FABF8F" w:themeFill="accent6" w:themeFillTint="99"/>
            <w:vAlign w:val="center"/>
          </w:tcPr>
          <w:p w14:paraId="65C3B1C4" w14:textId="77777777" w:rsidR="006F231C" w:rsidRPr="00C72EC6" w:rsidRDefault="006F231C" w:rsidP="004E2CFD">
            <w:pPr>
              <w:pStyle w:val="cuadroCabe"/>
              <w:spacing w:line="240" w:lineRule="auto"/>
            </w:pPr>
            <w:r>
              <w:t>Erkidegoaren ongizatea.</w:t>
            </w:r>
          </w:p>
        </w:tc>
        <w:tc>
          <w:tcPr>
            <w:tcW w:w="727" w:type="dxa"/>
            <w:shd w:val="clear" w:color="auto" w:fill="FABF8F" w:themeFill="accent6" w:themeFillTint="99"/>
            <w:vAlign w:val="center"/>
          </w:tcPr>
          <w:p w14:paraId="1F87A4FD" w14:textId="77777777" w:rsidR="006F231C" w:rsidRPr="00C72EC6" w:rsidRDefault="006F231C" w:rsidP="004E2CFD">
            <w:pPr>
              <w:pStyle w:val="cuadroCabe"/>
              <w:spacing w:line="240" w:lineRule="auto"/>
              <w:jc w:val="right"/>
            </w:pPr>
            <w:r>
              <w:t>139,18</w:t>
            </w:r>
          </w:p>
        </w:tc>
        <w:tc>
          <w:tcPr>
            <w:tcW w:w="742" w:type="dxa"/>
            <w:shd w:val="clear" w:color="auto" w:fill="FABF8F" w:themeFill="accent6" w:themeFillTint="99"/>
            <w:vAlign w:val="center"/>
          </w:tcPr>
          <w:p w14:paraId="31D15042" w14:textId="77777777" w:rsidR="006F231C" w:rsidRPr="00C72EC6" w:rsidRDefault="006F231C" w:rsidP="004E2CFD">
            <w:pPr>
              <w:pStyle w:val="cuadroCabe"/>
              <w:spacing w:line="240" w:lineRule="auto"/>
              <w:jc w:val="right"/>
            </w:pPr>
            <w:r>
              <w:t>105,37</w:t>
            </w:r>
          </w:p>
        </w:tc>
        <w:tc>
          <w:tcPr>
            <w:tcW w:w="980" w:type="dxa"/>
            <w:shd w:val="clear" w:color="auto" w:fill="FABF8F" w:themeFill="accent6" w:themeFillTint="99"/>
            <w:noWrap/>
            <w:vAlign w:val="center"/>
          </w:tcPr>
          <w:p w14:paraId="4600BF5B" w14:textId="77777777" w:rsidR="006F231C" w:rsidRPr="00C72EC6" w:rsidRDefault="006F231C" w:rsidP="004E2CFD">
            <w:pPr>
              <w:pStyle w:val="cuadroCabe"/>
              <w:spacing w:line="240" w:lineRule="auto"/>
              <w:jc w:val="right"/>
            </w:pPr>
            <w:r>
              <w:t>13</w:t>
            </w:r>
          </w:p>
        </w:tc>
        <w:tc>
          <w:tcPr>
            <w:tcW w:w="850" w:type="dxa"/>
            <w:shd w:val="clear" w:color="auto" w:fill="FABF8F" w:themeFill="accent6" w:themeFillTint="99"/>
            <w:noWrap/>
            <w:vAlign w:val="center"/>
          </w:tcPr>
          <w:p w14:paraId="25B9D58F" w14:textId="77777777" w:rsidR="006F231C" w:rsidRPr="00C72EC6" w:rsidRDefault="006F231C" w:rsidP="004E2CFD">
            <w:pPr>
              <w:pStyle w:val="cuadroCabe"/>
              <w:spacing w:line="240" w:lineRule="auto"/>
              <w:jc w:val="right"/>
            </w:pPr>
            <w:r>
              <w:t>-24</w:t>
            </w:r>
          </w:p>
        </w:tc>
        <w:tc>
          <w:tcPr>
            <w:tcW w:w="815" w:type="dxa"/>
            <w:tcBorders>
              <w:right w:val="single" w:sz="2" w:space="0" w:color="auto"/>
            </w:tcBorders>
            <w:shd w:val="clear" w:color="auto" w:fill="FABF8F" w:themeFill="accent6" w:themeFillTint="99"/>
            <w:noWrap/>
            <w:vAlign w:val="center"/>
          </w:tcPr>
          <w:p w14:paraId="65429E12" w14:textId="77777777" w:rsidR="006F231C" w:rsidRPr="00C72EC6" w:rsidRDefault="006F231C" w:rsidP="004E2CFD">
            <w:pPr>
              <w:pStyle w:val="cuadroCabe"/>
              <w:spacing w:line="240" w:lineRule="auto"/>
              <w:jc w:val="right"/>
            </w:pPr>
            <w:r>
              <w:t>-33,81</w:t>
            </w:r>
          </w:p>
        </w:tc>
        <w:tc>
          <w:tcPr>
            <w:tcW w:w="866" w:type="dxa"/>
            <w:tcBorders>
              <w:top w:val="single" w:sz="2" w:space="0" w:color="auto"/>
              <w:left w:val="single" w:sz="2" w:space="0" w:color="auto"/>
              <w:bottom w:val="single" w:sz="4" w:space="0" w:color="auto"/>
            </w:tcBorders>
            <w:shd w:val="clear" w:color="auto" w:fill="FABF8F" w:themeFill="accent6" w:themeFillTint="99"/>
            <w:vAlign w:val="center"/>
          </w:tcPr>
          <w:p w14:paraId="47B7118C" w14:textId="77777777" w:rsidR="006F231C" w:rsidRPr="00C72EC6" w:rsidRDefault="006F231C" w:rsidP="004E2CFD">
            <w:pPr>
              <w:pStyle w:val="cuadroCabe"/>
              <w:spacing w:line="240" w:lineRule="auto"/>
              <w:jc w:val="right"/>
            </w:pPr>
            <w:r>
              <w:t>168,11</w:t>
            </w:r>
          </w:p>
        </w:tc>
        <w:tc>
          <w:tcPr>
            <w:tcW w:w="1015" w:type="dxa"/>
            <w:shd w:val="clear" w:color="auto" w:fill="FABF8F" w:themeFill="accent6" w:themeFillTint="99"/>
            <w:noWrap/>
            <w:vAlign w:val="center"/>
          </w:tcPr>
          <w:p w14:paraId="55290F1C" w14:textId="77777777" w:rsidR="006F231C" w:rsidRPr="00C72EC6" w:rsidRDefault="006F231C" w:rsidP="004E2CFD">
            <w:pPr>
              <w:pStyle w:val="cuadroCabe"/>
              <w:spacing w:line="240" w:lineRule="auto"/>
              <w:jc w:val="right"/>
            </w:pPr>
            <w:r>
              <w:t>19</w:t>
            </w:r>
          </w:p>
        </w:tc>
      </w:tr>
    </w:tbl>
    <w:p w14:paraId="22333065" w14:textId="77777777" w:rsidR="007825F1" w:rsidRPr="00C050A8" w:rsidRDefault="007825F1" w:rsidP="00681E7B">
      <w:pPr>
        <w:pStyle w:val="texto"/>
        <w:spacing w:before="240" w:after="240"/>
        <w:rPr>
          <w:color w:val="000000" w:themeColor="text1"/>
        </w:rPr>
      </w:pPr>
      <w:r>
        <w:rPr>
          <w:color w:val="000000" w:themeColor="text1"/>
        </w:rPr>
        <w:t xml:space="preserve">Hiru sozietateen bateratzea jasotzen duten datuetan ikus daiteke politika horretarako gastua etxeak edateko urez hornitzera eta hondakinen bilketa, kudeaketa eta tratamendura bideratzen dela batez ere. </w:t>
      </w:r>
    </w:p>
    <w:p w14:paraId="0BBCC3FA" w14:textId="77777777" w:rsidR="00345C6C" w:rsidRPr="00EF0883" w:rsidRDefault="00345C6C" w:rsidP="00DA0A2D">
      <w:pPr>
        <w:pStyle w:val="Ttulo2"/>
        <w:rPr>
          <w:szCs w:val="25"/>
        </w:rPr>
      </w:pPr>
      <w:bookmarkStart w:id="81" w:name="_Toc465686690"/>
      <w:bookmarkStart w:id="82" w:name="_Toc529773884"/>
      <w:bookmarkStart w:id="83" w:name="_Toc24100145"/>
      <w:bookmarkStart w:id="84" w:name="_Toc52348293"/>
      <w:bookmarkStart w:id="85" w:name="_Toc88727718"/>
      <w:bookmarkStart w:id="86" w:name="_Toc126061976"/>
      <w:r>
        <w:t xml:space="preserve">VI.3. </w:t>
      </w:r>
      <w:bookmarkEnd w:id="81"/>
      <w:r>
        <w:t>Adierazleak</w:t>
      </w:r>
      <w:bookmarkEnd w:id="82"/>
      <w:bookmarkEnd w:id="83"/>
      <w:bookmarkEnd w:id="84"/>
      <w:bookmarkEnd w:id="85"/>
      <w:bookmarkEnd w:id="86"/>
    </w:p>
    <w:p w14:paraId="63B6FE5F" w14:textId="5EDAC627" w:rsidR="00345C6C" w:rsidRPr="00B81E61" w:rsidRDefault="00345C6C" w:rsidP="00345C6C">
      <w:pPr>
        <w:pStyle w:val="texto"/>
        <w:spacing w:after="240"/>
        <w:rPr>
          <w:color w:val="000000" w:themeColor="text1"/>
        </w:rPr>
      </w:pPr>
      <w:r>
        <w:rPr>
          <w:color w:val="000000" w:themeColor="text1"/>
        </w:rPr>
        <w:t>Beheko taulan, toki sektore publikoan gastatutako 100 euroko kopuru bakoitzaren banaketa erakusten dugu, bai eta finantzaketa ere, sozietateen bateratzea kontuan hartu gabe:</w:t>
      </w:r>
    </w:p>
    <w:tbl>
      <w:tblPr>
        <w:tblW w:w="8799" w:type="dxa"/>
        <w:jc w:val="center"/>
        <w:tblBorders>
          <w:top w:val="single" w:sz="4" w:space="0" w:color="auto"/>
          <w:bottom w:val="single" w:sz="4" w:space="0" w:color="auto"/>
          <w:insideH w:val="single" w:sz="2" w:space="0" w:color="auto"/>
        </w:tblBorders>
        <w:tblLook w:val="01E0" w:firstRow="1" w:lastRow="1" w:firstColumn="1" w:lastColumn="1" w:noHBand="0" w:noVBand="0"/>
      </w:tblPr>
      <w:tblGrid>
        <w:gridCol w:w="2977"/>
        <w:gridCol w:w="788"/>
        <w:gridCol w:w="707"/>
        <w:gridCol w:w="2835"/>
        <w:gridCol w:w="641"/>
        <w:gridCol w:w="851"/>
      </w:tblGrid>
      <w:tr w:rsidR="00793D68" w:rsidRPr="00C72EC6" w14:paraId="71381360" w14:textId="77777777" w:rsidTr="004E2CFD">
        <w:trPr>
          <w:trHeight w:val="227"/>
          <w:jc w:val="center"/>
        </w:trPr>
        <w:tc>
          <w:tcPr>
            <w:tcW w:w="2977" w:type="dxa"/>
            <w:tcBorders>
              <w:top w:val="single" w:sz="4" w:space="0" w:color="auto"/>
              <w:bottom w:val="single" w:sz="4" w:space="0" w:color="auto"/>
            </w:tcBorders>
            <w:shd w:val="clear" w:color="auto" w:fill="FABF8F" w:themeFill="accent6" w:themeFillTint="99"/>
            <w:vAlign w:val="center"/>
          </w:tcPr>
          <w:p w14:paraId="7E497752" w14:textId="77777777" w:rsidR="00793D68" w:rsidRPr="00C72EC6" w:rsidRDefault="00793D68" w:rsidP="00C72EC6">
            <w:pPr>
              <w:pStyle w:val="cuadroCabe"/>
              <w:spacing w:line="240" w:lineRule="auto"/>
            </w:pPr>
            <w:r>
              <w:t>Gastuaren izaera</w:t>
            </w:r>
          </w:p>
        </w:tc>
        <w:tc>
          <w:tcPr>
            <w:tcW w:w="788" w:type="dxa"/>
            <w:tcBorders>
              <w:top w:val="single" w:sz="4" w:space="0" w:color="auto"/>
              <w:bottom w:val="single" w:sz="4" w:space="0" w:color="auto"/>
            </w:tcBorders>
            <w:shd w:val="clear" w:color="auto" w:fill="FABF8F" w:themeFill="accent6" w:themeFillTint="99"/>
            <w:vAlign w:val="center"/>
          </w:tcPr>
          <w:p w14:paraId="63738BCF" w14:textId="77777777" w:rsidR="00793D68" w:rsidRPr="00C72EC6" w:rsidRDefault="00793D68" w:rsidP="002B2783">
            <w:pPr>
              <w:pStyle w:val="cuadroCabe"/>
              <w:spacing w:line="240" w:lineRule="auto"/>
              <w:jc w:val="right"/>
            </w:pPr>
            <w:r>
              <w:t>2019</w:t>
            </w:r>
          </w:p>
        </w:tc>
        <w:tc>
          <w:tcPr>
            <w:tcW w:w="707" w:type="dxa"/>
            <w:tcBorders>
              <w:top w:val="single" w:sz="4" w:space="0" w:color="auto"/>
              <w:bottom w:val="single" w:sz="4" w:space="0" w:color="auto"/>
              <w:right w:val="single" w:sz="2" w:space="0" w:color="auto"/>
            </w:tcBorders>
            <w:shd w:val="clear" w:color="auto" w:fill="FABF8F" w:themeFill="accent6" w:themeFillTint="99"/>
            <w:vAlign w:val="center"/>
          </w:tcPr>
          <w:p w14:paraId="62C76A53" w14:textId="77777777" w:rsidR="00793D68" w:rsidRPr="00C72EC6" w:rsidRDefault="00793D68" w:rsidP="002B2783">
            <w:pPr>
              <w:pStyle w:val="cuadroCabe"/>
              <w:spacing w:line="240" w:lineRule="auto"/>
              <w:jc w:val="right"/>
            </w:pPr>
            <w:r>
              <w:t>2020</w:t>
            </w:r>
          </w:p>
        </w:tc>
        <w:tc>
          <w:tcPr>
            <w:tcW w:w="2835" w:type="dxa"/>
            <w:tcBorders>
              <w:top w:val="single" w:sz="4" w:space="0" w:color="auto"/>
              <w:left w:val="single" w:sz="2" w:space="0" w:color="auto"/>
              <w:bottom w:val="single" w:sz="4" w:space="0" w:color="auto"/>
            </w:tcBorders>
            <w:shd w:val="clear" w:color="auto" w:fill="FABF8F" w:themeFill="accent6" w:themeFillTint="99"/>
            <w:vAlign w:val="center"/>
          </w:tcPr>
          <w:p w14:paraId="1746E219" w14:textId="77777777" w:rsidR="00793D68" w:rsidRPr="00C72EC6" w:rsidRDefault="00793D68" w:rsidP="00C72EC6">
            <w:pPr>
              <w:pStyle w:val="cuadroCabe"/>
              <w:spacing w:line="240" w:lineRule="auto"/>
            </w:pPr>
            <w:r>
              <w:t>Finantzaketa iturria</w:t>
            </w:r>
          </w:p>
        </w:tc>
        <w:tc>
          <w:tcPr>
            <w:tcW w:w="641" w:type="dxa"/>
            <w:tcBorders>
              <w:top w:val="single" w:sz="4" w:space="0" w:color="auto"/>
              <w:bottom w:val="single" w:sz="4" w:space="0" w:color="auto"/>
            </w:tcBorders>
            <w:shd w:val="clear" w:color="auto" w:fill="FABF8F" w:themeFill="accent6" w:themeFillTint="99"/>
            <w:vAlign w:val="center"/>
          </w:tcPr>
          <w:p w14:paraId="155C9ACC" w14:textId="77777777" w:rsidR="00793D68" w:rsidRPr="00C72EC6" w:rsidRDefault="00793D68" w:rsidP="00C72EC6">
            <w:pPr>
              <w:pStyle w:val="cuadroCabe"/>
              <w:spacing w:line="240" w:lineRule="auto"/>
              <w:jc w:val="right"/>
            </w:pPr>
            <w:r>
              <w:t>2019</w:t>
            </w:r>
          </w:p>
        </w:tc>
        <w:tc>
          <w:tcPr>
            <w:tcW w:w="851" w:type="dxa"/>
            <w:tcBorders>
              <w:top w:val="single" w:sz="4" w:space="0" w:color="auto"/>
              <w:bottom w:val="single" w:sz="4" w:space="0" w:color="auto"/>
            </w:tcBorders>
            <w:shd w:val="clear" w:color="auto" w:fill="FABF8F" w:themeFill="accent6" w:themeFillTint="99"/>
            <w:vAlign w:val="center"/>
          </w:tcPr>
          <w:p w14:paraId="1CAB430D" w14:textId="77777777" w:rsidR="00793D68" w:rsidRPr="00C72EC6" w:rsidRDefault="00793D68" w:rsidP="00C72EC6">
            <w:pPr>
              <w:pStyle w:val="cuadroCabe"/>
              <w:spacing w:line="240" w:lineRule="auto"/>
              <w:jc w:val="right"/>
            </w:pPr>
            <w:r>
              <w:t>2020</w:t>
            </w:r>
          </w:p>
        </w:tc>
      </w:tr>
      <w:tr w:rsidR="00793D68" w:rsidRPr="00933A7F" w14:paraId="10AFC70D" w14:textId="77777777" w:rsidTr="004E2CFD">
        <w:trPr>
          <w:trHeight w:val="227"/>
          <w:jc w:val="center"/>
        </w:trPr>
        <w:tc>
          <w:tcPr>
            <w:tcW w:w="2977" w:type="dxa"/>
            <w:tcBorders>
              <w:top w:val="single" w:sz="4" w:space="0" w:color="auto"/>
            </w:tcBorders>
            <w:vAlign w:val="center"/>
          </w:tcPr>
          <w:p w14:paraId="0F4C38EC" w14:textId="77777777" w:rsidR="00793D68" w:rsidRPr="00933A7F" w:rsidRDefault="00793D68" w:rsidP="00C72EC6">
            <w:pPr>
              <w:pStyle w:val="cuatexto"/>
              <w:spacing w:line="240" w:lineRule="auto"/>
              <w:rPr>
                <w:szCs w:val="20"/>
              </w:rPr>
            </w:pPr>
            <w:r>
              <w:t>Langileak</w:t>
            </w:r>
          </w:p>
        </w:tc>
        <w:tc>
          <w:tcPr>
            <w:tcW w:w="788" w:type="dxa"/>
            <w:tcBorders>
              <w:top w:val="single" w:sz="4" w:space="0" w:color="auto"/>
            </w:tcBorders>
            <w:vAlign w:val="center"/>
          </w:tcPr>
          <w:p w14:paraId="7A3070B3" w14:textId="77777777" w:rsidR="00793D68" w:rsidRPr="00933A7F" w:rsidRDefault="00793D68" w:rsidP="002B2783">
            <w:pPr>
              <w:pStyle w:val="cuatexto"/>
              <w:spacing w:line="240" w:lineRule="auto"/>
              <w:jc w:val="right"/>
              <w:rPr>
                <w:szCs w:val="20"/>
              </w:rPr>
            </w:pPr>
            <w:r>
              <w:t>34</w:t>
            </w:r>
          </w:p>
        </w:tc>
        <w:tc>
          <w:tcPr>
            <w:tcW w:w="707" w:type="dxa"/>
            <w:tcBorders>
              <w:top w:val="single" w:sz="4" w:space="0" w:color="auto"/>
              <w:right w:val="single" w:sz="2" w:space="0" w:color="auto"/>
            </w:tcBorders>
            <w:vAlign w:val="center"/>
          </w:tcPr>
          <w:p w14:paraId="2F60815C" w14:textId="77777777" w:rsidR="00793D68" w:rsidRPr="00933A7F" w:rsidRDefault="00793D68" w:rsidP="002B2783">
            <w:pPr>
              <w:pStyle w:val="cuatexto"/>
              <w:spacing w:line="240" w:lineRule="auto"/>
              <w:jc w:val="right"/>
              <w:rPr>
                <w:szCs w:val="20"/>
              </w:rPr>
            </w:pPr>
            <w:r>
              <w:t>39</w:t>
            </w:r>
          </w:p>
        </w:tc>
        <w:tc>
          <w:tcPr>
            <w:tcW w:w="2835" w:type="dxa"/>
            <w:tcBorders>
              <w:top w:val="single" w:sz="4" w:space="0" w:color="auto"/>
              <w:left w:val="single" w:sz="2" w:space="0" w:color="auto"/>
              <w:bottom w:val="single" w:sz="2" w:space="0" w:color="auto"/>
            </w:tcBorders>
            <w:vAlign w:val="center"/>
          </w:tcPr>
          <w:p w14:paraId="244F637E" w14:textId="77777777" w:rsidR="00793D68" w:rsidRPr="00933A7F" w:rsidRDefault="00793D68" w:rsidP="00C72EC6">
            <w:pPr>
              <w:pStyle w:val="cuatexto"/>
              <w:spacing w:line="240" w:lineRule="auto"/>
              <w:rPr>
                <w:szCs w:val="20"/>
              </w:rPr>
            </w:pPr>
            <w:r>
              <w:t>Tributu bidezko diru-sarrerak</w:t>
            </w:r>
          </w:p>
        </w:tc>
        <w:tc>
          <w:tcPr>
            <w:tcW w:w="641" w:type="dxa"/>
            <w:tcBorders>
              <w:top w:val="single" w:sz="4" w:space="0" w:color="auto"/>
            </w:tcBorders>
            <w:vAlign w:val="center"/>
          </w:tcPr>
          <w:p w14:paraId="14A88DAD" w14:textId="77777777" w:rsidR="00793D68" w:rsidRPr="00933A7F" w:rsidRDefault="00793D68" w:rsidP="00C72EC6">
            <w:pPr>
              <w:pStyle w:val="cuatexto"/>
              <w:spacing w:line="240" w:lineRule="auto"/>
              <w:jc w:val="right"/>
              <w:rPr>
                <w:szCs w:val="20"/>
              </w:rPr>
            </w:pPr>
            <w:r>
              <w:t>45</w:t>
            </w:r>
          </w:p>
        </w:tc>
        <w:tc>
          <w:tcPr>
            <w:tcW w:w="851" w:type="dxa"/>
            <w:tcBorders>
              <w:top w:val="single" w:sz="4" w:space="0" w:color="auto"/>
            </w:tcBorders>
            <w:vAlign w:val="center"/>
          </w:tcPr>
          <w:p w14:paraId="214FE278" w14:textId="77777777" w:rsidR="00793D68" w:rsidRPr="00933A7F" w:rsidRDefault="00793D68" w:rsidP="00C72EC6">
            <w:pPr>
              <w:pStyle w:val="cuatexto"/>
              <w:spacing w:line="240" w:lineRule="auto"/>
              <w:jc w:val="right"/>
              <w:rPr>
                <w:szCs w:val="20"/>
              </w:rPr>
            </w:pPr>
            <w:r>
              <w:t>44</w:t>
            </w:r>
          </w:p>
        </w:tc>
      </w:tr>
      <w:tr w:rsidR="00793D68" w:rsidRPr="00933A7F" w14:paraId="7B0D4D29" w14:textId="77777777" w:rsidTr="002B2783">
        <w:trPr>
          <w:trHeight w:val="227"/>
          <w:jc w:val="center"/>
        </w:trPr>
        <w:tc>
          <w:tcPr>
            <w:tcW w:w="2977" w:type="dxa"/>
            <w:vAlign w:val="center"/>
          </w:tcPr>
          <w:p w14:paraId="4273ECB4" w14:textId="77777777" w:rsidR="00793D68" w:rsidRPr="00933A7F" w:rsidRDefault="00793D68" w:rsidP="00C72EC6">
            <w:pPr>
              <w:pStyle w:val="cuatexto"/>
              <w:spacing w:line="240" w:lineRule="auto"/>
              <w:rPr>
                <w:szCs w:val="20"/>
              </w:rPr>
            </w:pPr>
            <w:r>
              <w:t>Ondasun arruntak eta zerbitzuak</w:t>
            </w:r>
          </w:p>
        </w:tc>
        <w:tc>
          <w:tcPr>
            <w:tcW w:w="788" w:type="dxa"/>
            <w:vAlign w:val="center"/>
          </w:tcPr>
          <w:p w14:paraId="744C8AF5" w14:textId="77777777" w:rsidR="00793D68" w:rsidRPr="00933A7F" w:rsidRDefault="00793D68" w:rsidP="002B2783">
            <w:pPr>
              <w:pStyle w:val="cuatexto"/>
              <w:spacing w:line="240" w:lineRule="auto"/>
              <w:jc w:val="right"/>
              <w:rPr>
                <w:szCs w:val="20"/>
              </w:rPr>
            </w:pPr>
            <w:r>
              <w:t>32</w:t>
            </w:r>
          </w:p>
        </w:tc>
        <w:tc>
          <w:tcPr>
            <w:tcW w:w="707" w:type="dxa"/>
            <w:tcBorders>
              <w:right w:val="single" w:sz="2" w:space="0" w:color="auto"/>
            </w:tcBorders>
            <w:vAlign w:val="center"/>
          </w:tcPr>
          <w:p w14:paraId="377BC37A" w14:textId="77777777" w:rsidR="00793D68" w:rsidRPr="00933A7F" w:rsidRDefault="00793D68" w:rsidP="002B2783">
            <w:pPr>
              <w:pStyle w:val="cuatexto"/>
              <w:spacing w:line="240" w:lineRule="auto"/>
              <w:jc w:val="right"/>
              <w:rPr>
                <w:szCs w:val="20"/>
              </w:rPr>
            </w:pPr>
            <w:r>
              <w:t>32</w:t>
            </w:r>
          </w:p>
        </w:tc>
        <w:tc>
          <w:tcPr>
            <w:tcW w:w="2835" w:type="dxa"/>
            <w:tcBorders>
              <w:top w:val="single" w:sz="2" w:space="0" w:color="auto"/>
              <w:left w:val="single" w:sz="2" w:space="0" w:color="auto"/>
              <w:bottom w:val="single" w:sz="2" w:space="0" w:color="auto"/>
            </w:tcBorders>
            <w:vAlign w:val="center"/>
          </w:tcPr>
          <w:p w14:paraId="2206FD82" w14:textId="77777777" w:rsidR="00793D68" w:rsidRPr="00933A7F" w:rsidRDefault="00793D68" w:rsidP="00C72EC6">
            <w:pPr>
              <w:pStyle w:val="cuatexto"/>
              <w:spacing w:line="240" w:lineRule="auto"/>
              <w:rPr>
                <w:szCs w:val="20"/>
              </w:rPr>
            </w:pPr>
            <w:r>
              <w:t>Transferentzien bidezko diru-sarrerak</w:t>
            </w:r>
          </w:p>
        </w:tc>
        <w:tc>
          <w:tcPr>
            <w:tcW w:w="641" w:type="dxa"/>
            <w:vAlign w:val="center"/>
          </w:tcPr>
          <w:p w14:paraId="01382412" w14:textId="77777777" w:rsidR="00793D68" w:rsidRPr="00933A7F" w:rsidRDefault="00793D68" w:rsidP="00C72EC6">
            <w:pPr>
              <w:pStyle w:val="cuatexto"/>
              <w:spacing w:line="240" w:lineRule="auto"/>
              <w:jc w:val="right"/>
              <w:rPr>
                <w:szCs w:val="20"/>
              </w:rPr>
            </w:pPr>
            <w:r>
              <w:t>48</w:t>
            </w:r>
          </w:p>
        </w:tc>
        <w:tc>
          <w:tcPr>
            <w:tcW w:w="851" w:type="dxa"/>
            <w:vAlign w:val="center"/>
          </w:tcPr>
          <w:p w14:paraId="61CC70B9" w14:textId="77777777" w:rsidR="00793D68" w:rsidRPr="00933A7F" w:rsidRDefault="00793D68" w:rsidP="00C72EC6">
            <w:pPr>
              <w:pStyle w:val="cuatexto"/>
              <w:spacing w:line="240" w:lineRule="auto"/>
              <w:jc w:val="right"/>
              <w:rPr>
                <w:szCs w:val="20"/>
              </w:rPr>
            </w:pPr>
            <w:r>
              <w:t>50</w:t>
            </w:r>
          </w:p>
        </w:tc>
      </w:tr>
      <w:tr w:rsidR="00793D68" w:rsidRPr="00933A7F" w14:paraId="312EEF75" w14:textId="77777777" w:rsidTr="002B2783">
        <w:trPr>
          <w:trHeight w:val="227"/>
          <w:jc w:val="center"/>
        </w:trPr>
        <w:tc>
          <w:tcPr>
            <w:tcW w:w="2977" w:type="dxa"/>
            <w:vAlign w:val="center"/>
          </w:tcPr>
          <w:p w14:paraId="48560F09" w14:textId="77777777" w:rsidR="00793D68" w:rsidRPr="00933A7F" w:rsidRDefault="00793D68" w:rsidP="00C72EC6">
            <w:pPr>
              <w:pStyle w:val="cuatexto"/>
              <w:spacing w:line="240" w:lineRule="auto"/>
              <w:rPr>
                <w:szCs w:val="20"/>
              </w:rPr>
            </w:pPr>
            <w:r>
              <w:t>Transferentziengatiko gastuak</w:t>
            </w:r>
          </w:p>
        </w:tc>
        <w:tc>
          <w:tcPr>
            <w:tcW w:w="788" w:type="dxa"/>
            <w:vAlign w:val="center"/>
          </w:tcPr>
          <w:p w14:paraId="288BB0E6" w14:textId="77777777" w:rsidR="00793D68" w:rsidRPr="00933A7F" w:rsidRDefault="00793D68" w:rsidP="002B2783">
            <w:pPr>
              <w:pStyle w:val="cuatexto"/>
              <w:spacing w:line="240" w:lineRule="auto"/>
              <w:jc w:val="right"/>
              <w:rPr>
                <w:szCs w:val="20"/>
              </w:rPr>
            </w:pPr>
            <w:r>
              <w:t>10</w:t>
            </w:r>
          </w:p>
        </w:tc>
        <w:tc>
          <w:tcPr>
            <w:tcW w:w="707" w:type="dxa"/>
            <w:tcBorders>
              <w:right w:val="single" w:sz="2" w:space="0" w:color="auto"/>
            </w:tcBorders>
            <w:vAlign w:val="center"/>
          </w:tcPr>
          <w:p w14:paraId="120E3F39" w14:textId="77777777" w:rsidR="00793D68" w:rsidRPr="00933A7F" w:rsidRDefault="00793D68" w:rsidP="002B2783">
            <w:pPr>
              <w:pStyle w:val="cuatexto"/>
              <w:spacing w:line="240" w:lineRule="auto"/>
              <w:jc w:val="right"/>
              <w:rPr>
                <w:szCs w:val="20"/>
              </w:rPr>
            </w:pPr>
            <w:r>
              <w:t>11</w:t>
            </w:r>
          </w:p>
        </w:tc>
        <w:tc>
          <w:tcPr>
            <w:tcW w:w="2835" w:type="dxa"/>
            <w:tcBorders>
              <w:top w:val="single" w:sz="2" w:space="0" w:color="auto"/>
              <w:left w:val="single" w:sz="2" w:space="0" w:color="auto"/>
              <w:bottom w:val="single" w:sz="2" w:space="0" w:color="auto"/>
            </w:tcBorders>
            <w:vAlign w:val="center"/>
          </w:tcPr>
          <w:p w14:paraId="479C351D" w14:textId="77777777" w:rsidR="00793D68" w:rsidRPr="00933A7F" w:rsidRDefault="00793D68" w:rsidP="00C72EC6">
            <w:pPr>
              <w:pStyle w:val="cuatexto"/>
              <w:spacing w:line="240" w:lineRule="auto"/>
              <w:rPr>
                <w:szCs w:val="20"/>
              </w:rPr>
            </w:pPr>
            <w:r>
              <w:t>Ondare bidezko diru-sarrerak eta beste</w:t>
            </w:r>
          </w:p>
        </w:tc>
        <w:tc>
          <w:tcPr>
            <w:tcW w:w="641" w:type="dxa"/>
            <w:vAlign w:val="center"/>
          </w:tcPr>
          <w:p w14:paraId="4EAE7758" w14:textId="77777777" w:rsidR="00793D68" w:rsidRPr="00933A7F" w:rsidRDefault="00793D68" w:rsidP="00C72EC6">
            <w:pPr>
              <w:pStyle w:val="cuatexto"/>
              <w:spacing w:line="240" w:lineRule="auto"/>
              <w:jc w:val="right"/>
              <w:rPr>
                <w:szCs w:val="20"/>
              </w:rPr>
            </w:pPr>
            <w:r>
              <w:t>6</w:t>
            </w:r>
          </w:p>
        </w:tc>
        <w:tc>
          <w:tcPr>
            <w:tcW w:w="851" w:type="dxa"/>
            <w:vAlign w:val="center"/>
          </w:tcPr>
          <w:p w14:paraId="162554B2" w14:textId="77777777" w:rsidR="00793D68" w:rsidRPr="00933A7F" w:rsidRDefault="00793D68" w:rsidP="00C72EC6">
            <w:pPr>
              <w:pStyle w:val="cuatexto"/>
              <w:spacing w:line="240" w:lineRule="auto"/>
              <w:jc w:val="right"/>
              <w:rPr>
                <w:szCs w:val="20"/>
              </w:rPr>
            </w:pPr>
            <w:r>
              <w:t>4</w:t>
            </w:r>
          </w:p>
        </w:tc>
      </w:tr>
      <w:tr w:rsidR="00793D68" w:rsidRPr="00933A7F" w14:paraId="776EFFBF" w14:textId="77777777" w:rsidTr="002B2783">
        <w:trPr>
          <w:trHeight w:val="227"/>
          <w:jc w:val="center"/>
        </w:trPr>
        <w:tc>
          <w:tcPr>
            <w:tcW w:w="2977" w:type="dxa"/>
            <w:vAlign w:val="center"/>
          </w:tcPr>
          <w:p w14:paraId="70A51738" w14:textId="77777777" w:rsidR="00793D68" w:rsidRPr="00933A7F" w:rsidRDefault="00793D68" w:rsidP="00C72EC6">
            <w:pPr>
              <w:pStyle w:val="cuatexto"/>
              <w:spacing w:line="240" w:lineRule="auto"/>
              <w:rPr>
                <w:szCs w:val="20"/>
              </w:rPr>
            </w:pPr>
            <w:r>
              <w:t>Inbertsio errealak</w:t>
            </w:r>
          </w:p>
        </w:tc>
        <w:tc>
          <w:tcPr>
            <w:tcW w:w="788" w:type="dxa"/>
            <w:vAlign w:val="center"/>
          </w:tcPr>
          <w:p w14:paraId="0878B6A2" w14:textId="77777777" w:rsidR="00793D68" w:rsidRPr="00933A7F" w:rsidRDefault="00793D68" w:rsidP="002B2783">
            <w:pPr>
              <w:pStyle w:val="cuatexto"/>
              <w:spacing w:line="240" w:lineRule="auto"/>
              <w:jc w:val="right"/>
              <w:rPr>
                <w:szCs w:val="20"/>
              </w:rPr>
            </w:pPr>
            <w:r>
              <w:t>21</w:t>
            </w:r>
          </w:p>
        </w:tc>
        <w:tc>
          <w:tcPr>
            <w:tcW w:w="707" w:type="dxa"/>
            <w:tcBorders>
              <w:right w:val="single" w:sz="2" w:space="0" w:color="auto"/>
            </w:tcBorders>
            <w:vAlign w:val="center"/>
          </w:tcPr>
          <w:p w14:paraId="1A031EEC" w14:textId="77777777" w:rsidR="00793D68" w:rsidRPr="00933A7F" w:rsidRDefault="00793D68" w:rsidP="002B2783">
            <w:pPr>
              <w:pStyle w:val="cuatexto"/>
              <w:spacing w:line="240" w:lineRule="auto"/>
              <w:jc w:val="right"/>
              <w:rPr>
                <w:szCs w:val="20"/>
              </w:rPr>
            </w:pPr>
            <w:r>
              <w:t>14</w:t>
            </w:r>
          </w:p>
        </w:tc>
        <w:tc>
          <w:tcPr>
            <w:tcW w:w="2835" w:type="dxa"/>
            <w:tcBorders>
              <w:top w:val="single" w:sz="2" w:space="0" w:color="auto"/>
              <w:left w:val="single" w:sz="2" w:space="0" w:color="auto"/>
              <w:bottom w:val="single" w:sz="2" w:space="0" w:color="auto"/>
            </w:tcBorders>
            <w:vAlign w:val="center"/>
          </w:tcPr>
          <w:p w14:paraId="04C614D0" w14:textId="77777777" w:rsidR="00793D68" w:rsidRPr="00933A7F" w:rsidRDefault="00793D68" w:rsidP="00C72EC6">
            <w:pPr>
              <w:pStyle w:val="cuatexto"/>
              <w:spacing w:line="240" w:lineRule="auto"/>
              <w:rPr>
                <w:szCs w:val="20"/>
              </w:rPr>
            </w:pPr>
            <w:r>
              <w:t>Inbertsioak besterentzea</w:t>
            </w:r>
          </w:p>
        </w:tc>
        <w:tc>
          <w:tcPr>
            <w:tcW w:w="641" w:type="dxa"/>
            <w:vAlign w:val="center"/>
          </w:tcPr>
          <w:p w14:paraId="3E191135" w14:textId="77777777" w:rsidR="00793D68" w:rsidRPr="00933A7F" w:rsidRDefault="00793D68" w:rsidP="00C72EC6">
            <w:pPr>
              <w:pStyle w:val="cuatexto"/>
              <w:spacing w:line="240" w:lineRule="auto"/>
              <w:jc w:val="right"/>
              <w:rPr>
                <w:szCs w:val="20"/>
              </w:rPr>
            </w:pPr>
            <w:r>
              <w:t>1</w:t>
            </w:r>
          </w:p>
        </w:tc>
        <w:tc>
          <w:tcPr>
            <w:tcW w:w="851" w:type="dxa"/>
            <w:vAlign w:val="center"/>
          </w:tcPr>
          <w:p w14:paraId="62B5E715" w14:textId="77777777" w:rsidR="00793D68" w:rsidRPr="00933A7F" w:rsidRDefault="00793D68" w:rsidP="00C72EC6">
            <w:pPr>
              <w:pStyle w:val="cuatexto"/>
              <w:spacing w:line="240" w:lineRule="auto"/>
              <w:jc w:val="right"/>
              <w:rPr>
                <w:szCs w:val="20"/>
              </w:rPr>
            </w:pPr>
            <w:r>
              <w:t>1</w:t>
            </w:r>
          </w:p>
        </w:tc>
      </w:tr>
      <w:tr w:rsidR="00793D68" w:rsidRPr="00933A7F" w14:paraId="3135A498" w14:textId="77777777" w:rsidTr="002B2783">
        <w:trPr>
          <w:trHeight w:val="227"/>
          <w:jc w:val="center"/>
        </w:trPr>
        <w:tc>
          <w:tcPr>
            <w:tcW w:w="2977" w:type="dxa"/>
            <w:vAlign w:val="center"/>
          </w:tcPr>
          <w:p w14:paraId="78562A89" w14:textId="77777777" w:rsidR="00793D68" w:rsidRPr="00933A7F" w:rsidRDefault="00793D68" w:rsidP="00C72EC6">
            <w:pPr>
              <w:pStyle w:val="cuatexto"/>
              <w:spacing w:line="240" w:lineRule="auto"/>
              <w:rPr>
                <w:szCs w:val="20"/>
              </w:rPr>
            </w:pPr>
            <w:r>
              <w:t>Finantza-zama</w:t>
            </w:r>
          </w:p>
        </w:tc>
        <w:tc>
          <w:tcPr>
            <w:tcW w:w="788" w:type="dxa"/>
            <w:vAlign w:val="center"/>
          </w:tcPr>
          <w:p w14:paraId="1CAAB631" w14:textId="77777777" w:rsidR="00793D68" w:rsidRPr="00933A7F" w:rsidRDefault="00793D68" w:rsidP="002B2783">
            <w:pPr>
              <w:pStyle w:val="cuatexto"/>
              <w:spacing w:line="240" w:lineRule="auto"/>
              <w:jc w:val="right"/>
              <w:rPr>
                <w:szCs w:val="20"/>
              </w:rPr>
            </w:pPr>
            <w:r>
              <w:t>3</w:t>
            </w:r>
          </w:p>
        </w:tc>
        <w:tc>
          <w:tcPr>
            <w:tcW w:w="707" w:type="dxa"/>
            <w:tcBorders>
              <w:right w:val="single" w:sz="2" w:space="0" w:color="auto"/>
            </w:tcBorders>
            <w:vAlign w:val="center"/>
          </w:tcPr>
          <w:p w14:paraId="5C1C4958" w14:textId="77777777" w:rsidR="00793D68" w:rsidRPr="00933A7F" w:rsidRDefault="00793D68" w:rsidP="002B2783">
            <w:pPr>
              <w:pStyle w:val="cuatexto"/>
              <w:spacing w:line="240" w:lineRule="auto"/>
              <w:jc w:val="right"/>
              <w:rPr>
                <w:szCs w:val="20"/>
              </w:rPr>
            </w:pPr>
            <w:r>
              <w:t>4</w:t>
            </w:r>
          </w:p>
        </w:tc>
        <w:tc>
          <w:tcPr>
            <w:tcW w:w="2835" w:type="dxa"/>
            <w:tcBorders>
              <w:top w:val="single" w:sz="2" w:space="0" w:color="auto"/>
              <w:left w:val="single" w:sz="2" w:space="0" w:color="auto"/>
              <w:bottom w:val="single" w:sz="2" w:space="0" w:color="auto"/>
            </w:tcBorders>
            <w:vAlign w:val="center"/>
          </w:tcPr>
          <w:p w14:paraId="4436A31D" w14:textId="77777777" w:rsidR="00793D68" w:rsidRPr="00933A7F" w:rsidRDefault="00793D68" w:rsidP="00C72EC6">
            <w:pPr>
              <w:pStyle w:val="cuatexto"/>
              <w:spacing w:line="240" w:lineRule="auto"/>
              <w:rPr>
                <w:szCs w:val="20"/>
              </w:rPr>
            </w:pPr>
            <w:r>
              <w:t>Zorpetzea</w:t>
            </w:r>
          </w:p>
        </w:tc>
        <w:tc>
          <w:tcPr>
            <w:tcW w:w="641" w:type="dxa"/>
            <w:vAlign w:val="center"/>
          </w:tcPr>
          <w:p w14:paraId="7F1C69D2" w14:textId="77777777" w:rsidR="00793D68" w:rsidRPr="00933A7F" w:rsidRDefault="00793D68" w:rsidP="00C72EC6">
            <w:pPr>
              <w:pStyle w:val="cuatexto"/>
              <w:spacing w:line="240" w:lineRule="auto"/>
              <w:jc w:val="right"/>
              <w:rPr>
                <w:szCs w:val="20"/>
              </w:rPr>
            </w:pPr>
            <w:r>
              <w:t>-</w:t>
            </w:r>
          </w:p>
        </w:tc>
        <w:tc>
          <w:tcPr>
            <w:tcW w:w="851" w:type="dxa"/>
            <w:vAlign w:val="center"/>
          </w:tcPr>
          <w:p w14:paraId="001498C6" w14:textId="77777777" w:rsidR="00793D68" w:rsidRPr="00933A7F" w:rsidRDefault="00793D68" w:rsidP="00C72EC6">
            <w:pPr>
              <w:pStyle w:val="cuatexto"/>
              <w:spacing w:line="240" w:lineRule="auto"/>
              <w:jc w:val="right"/>
              <w:rPr>
                <w:szCs w:val="20"/>
              </w:rPr>
            </w:pPr>
            <w:r>
              <w:t>1</w:t>
            </w:r>
          </w:p>
        </w:tc>
      </w:tr>
      <w:tr w:rsidR="00793D68" w:rsidRPr="00C72EC6" w14:paraId="6723B502" w14:textId="77777777" w:rsidTr="002B2783">
        <w:trPr>
          <w:trHeight w:val="227"/>
          <w:jc w:val="center"/>
        </w:trPr>
        <w:tc>
          <w:tcPr>
            <w:tcW w:w="2977" w:type="dxa"/>
            <w:shd w:val="clear" w:color="auto" w:fill="FABF8F" w:themeFill="accent6" w:themeFillTint="99"/>
            <w:vAlign w:val="center"/>
          </w:tcPr>
          <w:p w14:paraId="5CAB9844" w14:textId="77777777" w:rsidR="00793D68" w:rsidRPr="00C72EC6" w:rsidRDefault="00793D68" w:rsidP="00C72EC6">
            <w:pPr>
              <w:pStyle w:val="cuadroCabe"/>
              <w:spacing w:line="240" w:lineRule="auto"/>
            </w:pPr>
          </w:p>
        </w:tc>
        <w:tc>
          <w:tcPr>
            <w:tcW w:w="788" w:type="dxa"/>
            <w:shd w:val="clear" w:color="auto" w:fill="FABF8F" w:themeFill="accent6" w:themeFillTint="99"/>
            <w:vAlign w:val="center"/>
          </w:tcPr>
          <w:p w14:paraId="3DFD464A" w14:textId="77777777" w:rsidR="00793D68" w:rsidRPr="00C72EC6" w:rsidRDefault="00793D68" w:rsidP="002B2783">
            <w:pPr>
              <w:pStyle w:val="cuadroCabe"/>
              <w:spacing w:line="240" w:lineRule="auto"/>
              <w:jc w:val="right"/>
            </w:pPr>
            <w:r>
              <w:t>100</w:t>
            </w:r>
          </w:p>
        </w:tc>
        <w:tc>
          <w:tcPr>
            <w:tcW w:w="707" w:type="dxa"/>
            <w:tcBorders>
              <w:right w:val="single" w:sz="2" w:space="0" w:color="auto"/>
            </w:tcBorders>
            <w:shd w:val="clear" w:color="auto" w:fill="FABF8F" w:themeFill="accent6" w:themeFillTint="99"/>
            <w:vAlign w:val="center"/>
          </w:tcPr>
          <w:p w14:paraId="387E59B4" w14:textId="77777777" w:rsidR="00793D68" w:rsidRPr="00C72EC6" w:rsidRDefault="00793D68" w:rsidP="002B2783">
            <w:pPr>
              <w:pStyle w:val="cuadroCabe"/>
              <w:spacing w:line="240" w:lineRule="auto"/>
              <w:jc w:val="right"/>
            </w:pPr>
            <w:r>
              <w:t>100</w:t>
            </w:r>
          </w:p>
        </w:tc>
        <w:tc>
          <w:tcPr>
            <w:tcW w:w="2835" w:type="dxa"/>
            <w:tcBorders>
              <w:top w:val="single" w:sz="2" w:space="0" w:color="auto"/>
              <w:left w:val="single" w:sz="2" w:space="0" w:color="auto"/>
              <w:bottom w:val="single" w:sz="4" w:space="0" w:color="auto"/>
            </w:tcBorders>
            <w:shd w:val="clear" w:color="auto" w:fill="FABF8F" w:themeFill="accent6" w:themeFillTint="99"/>
            <w:vAlign w:val="center"/>
          </w:tcPr>
          <w:p w14:paraId="6244198B" w14:textId="77777777" w:rsidR="00793D68" w:rsidRPr="00C72EC6" w:rsidRDefault="00793D68" w:rsidP="00C72EC6">
            <w:pPr>
              <w:pStyle w:val="cuadroCabe"/>
              <w:spacing w:line="240" w:lineRule="auto"/>
            </w:pPr>
          </w:p>
        </w:tc>
        <w:tc>
          <w:tcPr>
            <w:tcW w:w="641" w:type="dxa"/>
            <w:shd w:val="clear" w:color="auto" w:fill="FABF8F" w:themeFill="accent6" w:themeFillTint="99"/>
            <w:vAlign w:val="center"/>
          </w:tcPr>
          <w:p w14:paraId="6994CA73" w14:textId="77777777" w:rsidR="00793D68" w:rsidRPr="00C72EC6" w:rsidRDefault="00793D68" w:rsidP="00C72EC6">
            <w:pPr>
              <w:pStyle w:val="cuadroCabe"/>
              <w:spacing w:line="240" w:lineRule="auto"/>
              <w:jc w:val="right"/>
            </w:pPr>
            <w:r>
              <w:t>100</w:t>
            </w:r>
          </w:p>
        </w:tc>
        <w:tc>
          <w:tcPr>
            <w:tcW w:w="851" w:type="dxa"/>
            <w:shd w:val="clear" w:color="auto" w:fill="FABF8F" w:themeFill="accent6" w:themeFillTint="99"/>
            <w:vAlign w:val="center"/>
          </w:tcPr>
          <w:p w14:paraId="0C279FA2" w14:textId="77777777" w:rsidR="00793D68" w:rsidRPr="00C72EC6" w:rsidRDefault="00793D68" w:rsidP="00C72EC6">
            <w:pPr>
              <w:pStyle w:val="cuadroCabe"/>
              <w:spacing w:line="240" w:lineRule="auto"/>
              <w:jc w:val="right"/>
            </w:pPr>
            <w:r>
              <w:t>100</w:t>
            </w:r>
          </w:p>
        </w:tc>
      </w:tr>
    </w:tbl>
    <w:p w14:paraId="5FE3FF8A" w14:textId="77777777" w:rsidR="008C027D" w:rsidRDefault="008C027D" w:rsidP="00345C6C">
      <w:pPr>
        <w:pStyle w:val="texto"/>
        <w:spacing w:before="240"/>
        <w:rPr>
          <w:color w:val="000000" w:themeColor="text1"/>
        </w:rPr>
      </w:pPr>
      <w:r>
        <w:rPr>
          <w:color w:val="000000" w:themeColor="text1"/>
        </w:rPr>
        <w:t>2020an transferentzietatik datoz diru-sarreren erdiak, eta tributuak dira diru-sarreren bigarren iturria, ehuneko 44arekin. Urtetik urterako aldaketan ikusten da nola tributu eta ondare bidezko diru-sarreren ekarpena pixka bat jaitsi eta transferentziek pisu handiagoa hartu duten.</w:t>
      </w:r>
    </w:p>
    <w:p w14:paraId="48CF4DF7" w14:textId="640F17B9" w:rsidR="008C027D" w:rsidRDefault="008C027D" w:rsidP="004B1F4E">
      <w:pPr>
        <w:pStyle w:val="texto"/>
        <w:rPr>
          <w:color w:val="000000" w:themeColor="text1"/>
        </w:rPr>
      </w:pPr>
      <w:r>
        <w:rPr>
          <w:color w:val="000000" w:themeColor="text1"/>
        </w:rPr>
        <w:t xml:space="preserve">Gastuei dagokienez, langileenak eta ondasun arruntetakoak eta zerbitzuetakoak dira nagusi, ehuneko 39 eta ehuneko 32, hurrenez hurren, eta atzetik inbertsio errealak datoz. Esparru honetan, urtetik urterako aldaketa garrantzitsuena </w:t>
      </w:r>
      <w:r>
        <w:rPr>
          <w:color w:val="000000" w:themeColor="text1"/>
        </w:rPr>
        <w:lastRenderedPageBreak/>
        <w:t xml:space="preserve">izan da inbertsio errealek pisua galdu dutela eta langile-gastuek zati handiagoa hartzen dutela. </w:t>
      </w:r>
    </w:p>
    <w:p w14:paraId="53EEC7BC" w14:textId="0EB9029B" w:rsidR="00B72304" w:rsidRDefault="00B72304" w:rsidP="004B1F4E">
      <w:pPr>
        <w:pStyle w:val="texto"/>
        <w:spacing w:after="120"/>
        <w:rPr>
          <w:color w:val="000000" w:themeColor="text1"/>
        </w:rPr>
      </w:pPr>
      <w:r>
        <w:rPr>
          <w:color w:val="000000" w:themeColor="text1"/>
        </w:rPr>
        <w:t xml:space="preserve">Inbertsioetako gastuaren murrizketa 2019an izandako ezohiko gastu handiari egozten ahal zaio, IV.2 atalean azaldu diren arrazoiak tarteko. </w:t>
      </w:r>
    </w:p>
    <w:p w14:paraId="0A714A52" w14:textId="2358B1A1" w:rsidR="008433A0" w:rsidRDefault="008433A0" w:rsidP="004B1F4E">
      <w:pPr>
        <w:pStyle w:val="texto"/>
        <w:spacing w:after="120"/>
        <w:rPr>
          <w:color w:val="000000" w:themeColor="text1"/>
        </w:rPr>
      </w:pPr>
      <w:r>
        <w:rPr>
          <w:color w:val="000000" w:themeColor="text1"/>
        </w:rPr>
        <w:t xml:space="preserve">Langile-gastuek zati handiagoa hartu dute, batetik handitu egin direlako (12 milioi gehiago), eta bestetik guztizko gastuak murriztu direlako. </w:t>
      </w:r>
    </w:p>
    <w:p w14:paraId="36C9744E" w14:textId="082C807C" w:rsidR="008433A0" w:rsidRDefault="00345C6C" w:rsidP="00345C6C">
      <w:pPr>
        <w:pStyle w:val="texto"/>
        <w:rPr>
          <w:color w:val="000000" w:themeColor="text1"/>
        </w:rPr>
      </w:pPr>
      <w:r>
        <w:rPr>
          <w:color w:val="000000" w:themeColor="text1"/>
        </w:rPr>
        <w:t>Jarraian, toki entitateen finantza egoeraren adierazle batzuek 2016-2020 aldian zehar izan duten bilakaera ageri da:</w:t>
      </w:r>
    </w:p>
    <w:p w14:paraId="5804550F" w14:textId="4B7A1693" w:rsidR="008633BF" w:rsidRPr="0003647B" w:rsidRDefault="0023469F" w:rsidP="008633BF">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(Milioiak)</w:t>
      </w:r>
    </w:p>
    <w:tbl>
      <w:tblPr>
        <w:tblW w:w="5057" w:type="pct"/>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111"/>
        <w:gridCol w:w="661"/>
        <w:gridCol w:w="661"/>
        <w:gridCol w:w="844"/>
        <w:gridCol w:w="850"/>
        <w:gridCol w:w="775"/>
        <w:gridCol w:w="761"/>
        <w:gridCol w:w="802"/>
        <w:gridCol w:w="763"/>
        <w:gridCol w:w="661"/>
      </w:tblGrid>
      <w:tr w:rsidR="0023469F" w:rsidRPr="008633BF" w14:paraId="2B332A47" w14:textId="77777777" w:rsidTr="0023469F">
        <w:trPr>
          <w:trHeight w:val="255"/>
        </w:trPr>
        <w:tc>
          <w:tcPr>
            <w:tcW w:w="1187" w:type="pct"/>
            <w:vMerge w:val="restart"/>
            <w:tcBorders>
              <w:top w:val="single" w:sz="4" w:space="0" w:color="auto"/>
            </w:tcBorders>
            <w:shd w:val="clear" w:color="auto" w:fill="FABF8F" w:themeFill="accent6" w:themeFillTint="99"/>
            <w:vAlign w:val="center"/>
          </w:tcPr>
          <w:p w14:paraId="613012B1" w14:textId="3A70FA8F" w:rsidR="0023469F" w:rsidRPr="0023469F" w:rsidRDefault="0023469F" w:rsidP="00A45614">
            <w:pPr>
              <w:pStyle w:val="cuadroCabe"/>
              <w:spacing w:line="240" w:lineRule="auto"/>
              <w:rPr>
                <w:szCs w:val="18"/>
              </w:rPr>
            </w:pPr>
            <w:r>
              <w:t>Adierazleak</w:t>
            </w:r>
          </w:p>
        </w:tc>
        <w:tc>
          <w:tcPr>
            <w:tcW w:w="3441" w:type="pct"/>
            <w:gridSpan w:val="8"/>
            <w:shd w:val="clear" w:color="auto" w:fill="FABF8F" w:themeFill="accent6" w:themeFillTint="99"/>
            <w:vAlign w:val="center"/>
          </w:tcPr>
          <w:p w14:paraId="0C49FDED" w14:textId="77777777" w:rsidR="0023469F" w:rsidRPr="008633BF" w:rsidRDefault="0023469F" w:rsidP="0023469F">
            <w:pPr>
              <w:pStyle w:val="cuadroCabe"/>
              <w:spacing w:line="240" w:lineRule="auto"/>
              <w:jc w:val="center"/>
              <w:rPr>
                <w:sz w:val="16"/>
                <w:szCs w:val="16"/>
              </w:rPr>
            </w:pPr>
            <w:r>
              <w:rPr>
                <w:sz w:val="16"/>
              </w:rPr>
              <w:t>Toki entitateak, entitate bakar bat ere bateratu gabe</w:t>
            </w:r>
          </w:p>
        </w:tc>
        <w:tc>
          <w:tcPr>
            <w:tcW w:w="372" w:type="pct"/>
            <w:shd w:val="clear" w:color="auto" w:fill="FABF8F" w:themeFill="accent6" w:themeFillTint="99"/>
            <w:vAlign w:val="center"/>
          </w:tcPr>
          <w:p w14:paraId="0D9F169D" w14:textId="77777777" w:rsidR="0023469F" w:rsidRPr="008633BF" w:rsidRDefault="0023469F" w:rsidP="00A45614">
            <w:pPr>
              <w:pStyle w:val="cuadroCabe"/>
              <w:spacing w:line="240" w:lineRule="auto"/>
              <w:rPr>
                <w:sz w:val="16"/>
                <w:szCs w:val="16"/>
              </w:rPr>
            </w:pPr>
          </w:p>
        </w:tc>
      </w:tr>
      <w:tr w:rsidR="0023469F" w:rsidRPr="008633BF" w14:paraId="7963C700" w14:textId="77777777" w:rsidTr="0023469F">
        <w:trPr>
          <w:trHeight w:val="255"/>
        </w:trPr>
        <w:tc>
          <w:tcPr>
            <w:tcW w:w="1187" w:type="pct"/>
            <w:vMerge/>
            <w:tcBorders>
              <w:bottom w:val="single" w:sz="2" w:space="0" w:color="auto"/>
            </w:tcBorders>
            <w:shd w:val="clear" w:color="auto" w:fill="FABF8F" w:themeFill="accent6" w:themeFillTint="99"/>
            <w:vAlign w:val="center"/>
            <w:hideMark/>
          </w:tcPr>
          <w:p w14:paraId="64E9A3D5" w14:textId="119FCC65" w:rsidR="0023469F" w:rsidRPr="008633BF" w:rsidRDefault="0023469F" w:rsidP="00A45614">
            <w:pPr>
              <w:pStyle w:val="cuadroCabe"/>
              <w:spacing w:line="240" w:lineRule="auto"/>
              <w:rPr>
                <w:sz w:val="16"/>
                <w:szCs w:val="16"/>
              </w:rPr>
            </w:pPr>
          </w:p>
        </w:tc>
        <w:tc>
          <w:tcPr>
            <w:tcW w:w="372" w:type="pct"/>
            <w:shd w:val="clear" w:color="auto" w:fill="FABF8F" w:themeFill="accent6" w:themeFillTint="99"/>
            <w:vAlign w:val="center"/>
            <w:hideMark/>
          </w:tcPr>
          <w:p w14:paraId="723F0B80" w14:textId="77777777" w:rsidR="0023469F" w:rsidRPr="008633BF" w:rsidRDefault="0023469F" w:rsidP="0023469F">
            <w:pPr>
              <w:pStyle w:val="cuadroCabe"/>
              <w:spacing w:line="240" w:lineRule="auto"/>
              <w:jc w:val="right"/>
              <w:rPr>
                <w:sz w:val="16"/>
                <w:szCs w:val="16"/>
              </w:rPr>
            </w:pPr>
            <w:r>
              <w:rPr>
                <w:sz w:val="16"/>
              </w:rPr>
              <w:t>2016</w:t>
            </w:r>
          </w:p>
        </w:tc>
        <w:tc>
          <w:tcPr>
            <w:tcW w:w="372" w:type="pct"/>
            <w:shd w:val="clear" w:color="auto" w:fill="FABF8F" w:themeFill="accent6" w:themeFillTint="99"/>
            <w:vAlign w:val="center"/>
            <w:hideMark/>
          </w:tcPr>
          <w:p w14:paraId="77A927A1" w14:textId="77777777" w:rsidR="0023469F" w:rsidRPr="008633BF" w:rsidRDefault="0023469F" w:rsidP="0023469F">
            <w:pPr>
              <w:pStyle w:val="cuadroCabe"/>
              <w:spacing w:line="240" w:lineRule="auto"/>
              <w:jc w:val="right"/>
              <w:rPr>
                <w:sz w:val="16"/>
                <w:szCs w:val="16"/>
              </w:rPr>
            </w:pPr>
            <w:r>
              <w:rPr>
                <w:sz w:val="16"/>
              </w:rPr>
              <w:t>2017</w:t>
            </w:r>
          </w:p>
        </w:tc>
        <w:tc>
          <w:tcPr>
            <w:tcW w:w="475" w:type="pct"/>
            <w:shd w:val="clear" w:color="auto" w:fill="FABF8F" w:themeFill="accent6" w:themeFillTint="99"/>
            <w:vAlign w:val="center"/>
            <w:hideMark/>
          </w:tcPr>
          <w:p w14:paraId="2F624EB0" w14:textId="77777777" w:rsidR="0023469F" w:rsidRPr="008633BF" w:rsidRDefault="0023469F" w:rsidP="0023469F">
            <w:pPr>
              <w:pStyle w:val="cuadroCabe"/>
              <w:spacing w:line="240" w:lineRule="auto"/>
              <w:jc w:val="right"/>
              <w:rPr>
                <w:sz w:val="16"/>
                <w:szCs w:val="16"/>
              </w:rPr>
            </w:pPr>
            <w:r>
              <w:rPr>
                <w:sz w:val="16"/>
              </w:rPr>
              <w:t>2018</w:t>
            </w:r>
          </w:p>
        </w:tc>
        <w:tc>
          <w:tcPr>
            <w:tcW w:w="478" w:type="pct"/>
            <w:shd w:val="clear" w:color="auto" w:fill="FABF8F" w:themeFill="accent6" w:themeFillTint="99"/>
            <w:vAlign w:val="center"/>
          </w:tcPr>
          <w:p w14:paraId="697191DF" w14:textId="77777777" w:rsidR="0023469F" w:rsidRPr="008633BF" w:rsidRDefault="0023469F" w:rsidP="0023469F">
            <w:pPr>
              <w:pStyle w:val="cuadroCabe"/>
              <w:spacing w:line="240" w:lineRule="auto"/>
              <w:jc w:val="right"/>
              <w:rPr>
                <w:sz w:val="16"/>
                <w:szCs w:val="16"/>
              </w:rPr>
            </w:pPr>
            <w:r>
              <w:rPr>
                <w:sz w:val="16"/>
              </w:rPr>
              <w:t>2019</w:t>
            </w:r>
          </w:p>
        </w:tc>
        <w:tc>
          <w:tcPr>
            <w:tcW w:w="436" w:type="pct"/>
            <w:shd w:val="clear" w:color="auto" w:fill="FABF8F" w:themeFill="accent6" w:themeFillTint="99"/>
            <w:vAlign w:val="center"/>
          </w:tcPr>
          <w:p w14:paraId="44F61358" w14:textId="77777777" w:rsidR="0023469F" w:rsidRPr="008633BF" w:rsidRDefault="0023469F" w:rsidP="0023469F">
            <w:pPr>
              <w:pStyle w:val="cuadroCabe"/>
              <w:spacing w:line="240" w:lineRule="auto"/>
              <w:jc w:val="right"/>
              <w:rPr>
                <w:sz w:val="16"/>
                <w:szCs w:val="16"/>
              </w:rPr>
            </w:pPr>
            <w:r>
              <w:rPr>
                <w:sz w:val="16"/>
              </w:rPr>
              <w:t>2020</w:t>
            </w:r>
          </w:p>
        </w:tc>
        <w:tc>
          <w:tcPr>
            <w:tcW w:w="428" w:type="pct"/>
            <w:shd w:val="clear" w:color="auto" w:fill="FABF8F" w:themeFill="accent6" w:themeFillTint="99"/>
            <w:vAlign w:val="center"/>
            <w:hideMark/>
          </w:tcPr>
          <w:p w14:paraId="358D3430" w14:textId="77777777" w:rsidR="0023469F" w:rsidRDefault="0023469F" w:rsidP="0023469F">
            <w:pPr>
              <w:pStyle w:val="cuadroCabe"/>
              <w:spacing w:line="240" w:lineRule="auto"/>
              <w:jc w:val="right"/>
              <w:rPr>
                <w:sz w:val="16"/>
                <w:szCs w:val="16"/>
              </w:rPr>
            </w:pPr>
            <w:r>
              <w:rPr>
                <w:sz w:val="16"/>
              </w:rPr>
              <w:t xml:space="preserve">2020/16 aldea (%) </w:t>
            </w:r>
          </w:p>
          <w:p w14:paraId="2F50F00F" w14:textId="3CB2E1CC" w:rsidR="0023469F" w:rsidRPr="008633BF" w:rsidRDefault="0023469F" w:rsidP="0023469F">
            <w:pPr>
              <w:pStyle w:val="cuadroCabe"/>
              <w:spacing w:line="240" w:lineRule="auto"/>
              <w:jc w:val="right"/>
              <w:rPr>
                <w:sz w:val="16"/>
                <w:szCs w:val="16"/>
              </w:rPr>
            </w:pPr>
          </w:p>
        </w:tc>
        <w:tc>
          <w:tcPr>
            <w:tcW w:w="451" w:type="pct"/>
            <w:shd w:val="clear" w:color="auto" w:fill="FABF8F" w:themeFill="accent6" w:themeFillTint="99"/>
            <w:vAlign w:val="center"/>
          </w:tcPr>
          <w:p w14:paraId="4F16482A" w14:textId="77777777" w:rsidR="0023469F" w:rsidRPr="008633BF" w:rsidRDefault="0023469F" w:rsidP="0023469F">
            <w:pPr>
              <w:pStyle w:val="cuadroCabe"/>
              <w:spacing w:line="240" w:lineRule="auto"/>
              <w:jc w:val="right"/>
              <w:rPr>
                <w:sz w:val="16"/>
                <w:szCs w:val="16"/>
              </w:rPr>
            </w:pPr>
            <w:r>
              <w:rPr>
                <w:sz w:val="16"/>
              </w:rPr>
              <w:t>2020/19 aldea (abs.)</w:t>
            </w:r>
          </w:p>
        </w:tc>
        <w:tc>
          <w:tcPr>
            <w:tcW w:w="428" w:type="pct"/>
            <w:shd w:val="clear" w:color="auto" w:fill="FABF8F" w:themeFill="accent6" w:themeFillTint="99"/>
            <w:vAlign w:val="center"/>
            <w:hideMark/>
          </w:tcPr>
          <w:p w14:paraId="280CB7E3" w14:textId="77777777" w:rsidR="0023469F" w:rsidRDefault="0023469F" w:rsidP="0023469F">
            <w:pPr>
              <w:pStyle w:val="cuadroCabe"/>
              <w:spacing w:line="240" w:lineRule="auto"/>
              <w:jc w:val="right"/>
              <w:rPr>
                <w:sz w:val="16"/>
                <w:szCs w:val="16"/>
              </w:rPr>
            </w:pPr>
            <w:r>
              <w:rPr>
                <w:sz w:val="16"/>
              </w:rPr>
              <w:t xml:space="preserve">2020/19 aldea (%) </w:t>
            </w:r>
          </w:p>
          <w:p w14:paraId="24DB4F7F" w14:textId="3CF1EC8D" w:rsidR="0023469F" w:rsidRPr="008633BF" w:rsidRDefault="0023469F" w:rsidP="0023469F">
            <w:pPr>
              <w:pStyle w:val="cuadroCabe"/>
              <w:spacing w:line="240" w:lineRule="auto"/>
              <w:jc w:val="right"/>
              <w:rPr>
                <w:sz w:val="16"/>
                <w:szCs w:val="16"/>
              </w:rPr>
            </w:pPr>
          </w:p>
        </w:tc>
        <w:tc>
          <w:tcPr>
            <w:tcW w:w="372" w:type="pct"/>
            <w:shd w:val="clear" w:color="auto" w:fill="FABF8F" w:themeFill="accent6" w:themeFillTint="99"/>
            <w:vAlign w:val="center"/>
          </w:tcPr>
          <w:p w14:paraId="0C85859E" w14:textId="77777777" w:rsidR="0023469F" w:rsidRPr="008633BF" w:rsidRDefault="0023469F" w:rsidP="0023469F">
            <w:pPr>
              <w:pStyle w:val="cuadroCabe"/>
              <w:spacing w:line="240" w:lineRule="auto"/>
              <w:jc w:val="right"/>
              <w:rPr>
                <w:sz w:val="16"/>
                <w:szCs w:val="16"/>
              </w:rPr>
            </w:pPr>
            <w:r>
              <w:rPr>
                <w:sz w:val="16"/>
              </w:rPr>
              <w:t>2020*</w:t>
            </w:r>
          </w:p>
        </w:tc>
      </w:tr>
      <w:tr w:rsidR="008433A0" w:rsidRPr="00A45614" w14:paraId="766C1390" w14:textId="77777777" w:rsidTr="0023469F">
        <w:trPr>
          <w:trHeight w:val="255"/>
        </w:trPr>
        <w:tc>
          <w:tcPr>
            <w:tcW w:w="1187" w:type="pct"/>
            <w:tcBorders>
              <w:top w:val="single" w:sz="2" w:space="0" w:color="auto"/>
            </w:tcBorders>
            <w:shd w:val="clear" w:color="auto" w:fill="auto"/>
            <w:vAlign w:val="center"/>
            <w:hideMark/>
          </w:tcPr>
          <w:p w14:paraId="03D64B95" w14:textId="77777777" w:rsidR="008433A0" w:rsidRPr="00A45614" w:rsidRDefault="008433A0" w:rsidP="00A45614">
            <w:pPr>
              <w:pStyle w:val="cuatexto"/>
              <w:spacing w:line="240" w:lineRule="auto"/>
              <w:rPr>
                <w:sz w:val="17"/>
                <w:szCs w:val="17"/>
              </w:rPr>
            </w:pPr>
            <w:r>
              <w:rPr>
                <w:sz w:val="17"/>
              </w:rPr>
              <w:t>Diru-sarrerak, guztira</w:t>
            </w:r>
          </w:p>
        </w:tc>
        <w:tc>
          <w:tcPr>
            <w:tcW w:w="372" w:type="pct"/>
            <w:shd w:val="clear" w:color="auto" w:fill="auto"/>
            <w:vAlign w:val="center"/>
            <w:hideMark/>
          </w:tcPr>
          <w:p w14:paraId="4F1E3AEA" w14:textId="77777777" w:rsidR="008433A0" w:rsidRPr="00A45614" w:rsidRDefault="008433A0" w:rsidP="0023469F">
            <w:pPr>
              <w:pStyle w:val="cuatexto"/>
              <w:spacing w:line="240" w:lineRule="auto"/>
              <w:jc w:val="right"/>
              <w:rPr>
                <w:sz w:val="17"/>
                <w:szCs w:val="17"/>
              </w:rPr>
            </w:pPr>
            <w:r>
              <w:rPr>
                <w:sz w:val="17"/>
              </w:rPr>
              <w:t>765,30</w:t>
            </w:r>
          </w:p>
        </w:tc>
        <w:tc>
          <w:tcPr>
            <w:tcW w:w="372" w:type="pct"/>
            <w:shd w:val="clear" w:color="auto" w:fill="auto"/>
            <w:vAlign w:val="center"/>
            <w:hideMark/>
          </w:tcPr>
          <w:p w14:paraId="55C70E27" w14:textId="77777777" w:rsidR="008433A0" w:rsidRPr="00A45614" w:rsidRDefault="008433A0" w:rsidP="0023469F">
            <w:pPr>
              <w:pStyle w:val="cuatexto"/>
              <w:spacing w:line="240" w:lineRule="auto"/>
              <w:jc w:val="right"/>
              <w:rPr>
                <w:sz w:val="17"/>
                <w:szCs w:val="17"/>
              </w:rPr>
            </w:pPr>
            <w:r>
              <w:rPr>
                <w:sz w:val="17"/>
              </w:rPr>
              <w:t>784,48</w:t>
            </w:r>
          </w:p>
        </w:tc>
        <w:tc>
          <w:tcPr>
            <w:tcW w:w="475" w:type="pct"/>
            <w:shd w:val="clear" w:color="auto" w:fill="auto"/>
            <w:vAlign w:val="center"/>
            <w:hideMark/>
          </w:tcPr>
          <w:p w14:paraId="5076E4A1" w14:textId="77777777" w:rsidR="008433A0" w:rsidRPr="00A45614" w:rsidRDefault="008433A0" w:rsidP="0023469F">
            <w:pPr>
              <w:pStyle w:val="cuatexto"/>
              <w:spacing w:line="240" w:lineRule="auto"/>
              <w:jc w:val="right"/>
              <w:rPr>
                <w:sz w:val="17"/>
                <w:szCs w:val="17"/>
              </w:rPr>
            </w:pPr>
            <w:r>
              <w:rPr>
                <w:sz w:val="17"/>
              </w:rPr>
              <w:t>839,48</w:t>
            </w:r>
          </w:p>
        </w:tc>
        <w:tc>
          <w:tcPr>
            <w:tcW w:w="478" w:type="pct"/>
            <w:shd w:val="clear" w:color="auto" w:fill="auto"/>
            <w:vAlign w:val="center"/>
          </w:tcPr>
          <w:p w14:paraId="7C2DD4FE" w14:textId="77777777" w:rsidR="008433A0" w:rsidRPr="00A45614" w:rsidRDefault="008433A0" w:rsidP="0023469F">
            <w:pPr>
              <w:pStyle w:val="cuatexto"/>
              <w:spacing w:line="240" w:lineRule="auto"/>
              <w:jc w:val="right"/>
              <w:rPr>
                <w:color w:val="000000"/>
                <w:sz w:val="17"/>
                <w:szCs w:val="17"/>
              </w:rPr>
            </w:pPr>
            <w:r>
              <w:rPr>
                <w:color w:val="000000"/>
                <w:sz w:val="17"/>
              </w:rPr>
              <w:t>891,40</w:t>
            </w:r>
          </w:p>
        </w:tc>
        <w:tc>
          <w:tcPr>
            <w:tcW w:w="436" w:type="pct"/>
            <w:vAlign w:val="center"/>
          </w:tcPr>
          <w:p w14:paraId="055112AE" w14:textId="77777777" w:rsidR="008433A0" w:rsidRPr="00A45614" w:rsidRDefault="008433A0" w:rsidP="0023469F">
            <w:pPr>
              <w:pStyle w:val="cuatexto"/>
              <w:spacing w:line="240" w:lineRule="auto"/>
              <w:jc w:val="right"/>
              <w:rPr>
                <w:sz w:val="17"/>
                <w:szCs w:val="17"/>
              </w:rPr>
            </w:pPr>
            <w:r>
              <w:rPr>
                <w:sz w:val="17"/>
              </w:rPr>
              <w:t>855,31</w:t>
            </w:r>
          </w:p>
        </w:tc>
        <w:tc>
          <w:tcPr>
            <w:tcW w:w="428" w:type="pct"/>
            <w:shd w:val="clear" w:color="auto" w:fill="auto"/>
            <w:vAlign w:val="center"/>
            <w:hideMark/>
          </w:tcPr>
          <w:p w14:paraId="1246612D" w14:textId="77777777" w:rsidR="008433A0" w:rsidRPr="00A45614" w:rsidRDefault="008433A0" w:rsidP="0023469F">
            <w:pPr>
              <w:pStyle w:val="cuatexto"/>
              <w:spacing w:line="240" w:lineRule="auto"/>
              <w:jc w:val="right"/>
              <w:rPr>
                <w:sz w:val="17"/>
                <w:szCs w:val="17"/>
              </w:rPr>
            </w:pPr>
            <w:r>
              <w:rPr>
                <w:sz w:val="17"/>
              </w:rPr>
              <w:t>12</w:t>
            </w:r>
          </w:p>
        </w:tc>
        <w:tc>
          <w:tcPr>
            <w:tcW w:w="451" w:type="pct"/>
            <w:vAlign w:val="center"/>
          </w:tcPr>
          <w:p w14:paraId="310AA529" w14:textId="77777777" w:rsidR="008433A0" w:rsidRPr="00A45614" w:rsidRDefault="008433A0" w:rsidP="0023469F">
            <w:pPr>
              <w:pStyle w:val="cuatexto"/>
              <w:spacing w:line="240" w:lineRule="auto"/>
              <w:jc w:val="right"/>
              <w:rPr>
                <w:color w:val="000000"/>
                <w:sz w:val="17"/>
                <w:szCs w:val="17"/>
              </w:rPr>
            </w:pPr>
            <w:r>
              <w:rPr>
                <w:color w:val="000000"/>
                <w:sz w:val="17"/>
              </w:rPr>
              <w:t>-36,09</w:t>
            </w:r>
          </w:p>
        </w:tc>
        <w:tc>
          <w:tcPr>
            <w:tcW w:w="428" w:type="pct"/>
            <w:shd w:val="clear" w:color="auto" w:fill="auto"/>
            <w:vAlign w:val="center"/>
            <w:hideMark/>
          </w:tcPr>
          <w:p w14:paraId="006ED703" w14:textId="77777777" w:rsidR="008433A0" w:rsidRPr="00A45614" w:rsidRDefault="008433A0" w:rsidP="0023469F">
            <w:pPr>
              <w:pStyle w:val="cuatexto"/>
              <w:spacing w:line="240" w:lineRule="auto"/>
              <w:jc w:val="right"/>
              <w:rPr>
                <w:sz w:val="17"/>
                <w:szCs w:val="17"/>
              </w:rPr>
            </w:pPr>
            <w:r>
              <w:rPr>
                <w:sz w:val="17"/>
              </w:rPr>
              <w:t>-4</w:t>
            </w:r>
          </w:p>
        </w:tc>
        <w:tc>
          <w:tcPr>
            <w:tcW w:w="372" w:type="pct"/>
            <w:shd w:val="clear" w:color="auto" w:fill="auto"/>
            <w:vAlign w:val="center"/>
          </w:tcPr>
          <w:p w14:paraId="373B3BA6" w14:textId="77777777" w:rsidR="008433A0" w:rsidRPr="00A45614" w:rsidRDefault="008433A0" w:rsidP="0023469F">
            <w:pPr>
              <w:pStyle w:val="cuatexto"/>
              <w:spacing w:line="240" w:lineRule="auto"/>
              <w:jc w:val="right"/>
              <w:rPr>
                <w:sz w:val="17"/>
                <w:szCs w:val="17"/>
              </w:rPr>
            </w:pPr>
            <w:r>
              <w:rPr>
                <w:sz w:val="17"/>
              </w:rPr>
              <w:t>933,78</w:t>
            </w:r>
          </w:p>
        </w:tc>
      </w:tr>
      <w:tr w:rsidR="008433A0" w:rsidRPr="00A45614" w14:paraId="1715BACE" w14:textId="77777777" w:rsidTr="0023469F">
        <w:trPr>
          <w:trHeight w:val="255"/>
        </w:trPr>
        <w:tc>
          <w:tcPr>
            <w:tcW w:w="1187" w:type="pct"/>
            <w:shd w:val="clear" w:color="auto" w:fill="auto"/>
            <w:vAlign w:val="center"/>
            <w:hideMark/>
          </w:tcPr>
          <w:p w14:paraId="2B3772D3" w14:textId="77777777" w:rsidR="008433A0" w:rsidRPr="00A45614" w:rsidRDefault="008433A0" w:rsidP="00A45614">
            <w:pPr>
              <w:pStyle w:val="cuatexto"/>
              <w:spacing w:line="240" w:lineRule="auto"/>
              <w:rPr>
                <w:sz w:val="17"/>
                <w:szCs w:val="17"/>
              </w:rPr>
            </w:pPr>
            <w:r>
              <w:rPr>
                <w:sz w:val="17"/>
              </w:rPr>
              <w:t>Gastuak, guztira</w:t>
            </w:r>
          </w:p>
        </w:tc>
        <w:tc>
          <w:tcPr>
            <w:tcW w:w="372" w:type="pct"/>
            <w:shd w:val="clear" w:color="auto" w:fill="auto"/>
            <w:vAlign w:val="center"/>
            <w:hideMark/>
          </w:tcPr>
          <w:p w14:paraId="093CD7B5" w14:textId="77777777" w:rsidR="008433A0" w:rsidRPr="00A45614" w:rsidRDefault="008433A0" w:rsidP="0023469F">
            <w:pPr>
              <w:pStyle w:val="cuatexto"/>
              <w:spacing w:line="240" w:lineRule="auto"/>
              <w:jc w:val="right"/>
              <w:rPr>
                <w:sz w:val="17"/>
                <w:szCs w:val="17"/>
              </w:rPr>
            </w:pPr>
            <w:r>
              <w:rPr>
                <w:sz w:val="17"/>
              </w:rPr>
              <w:t>717,40</w:t>
            </w:r>
          </w:p>
        </w:tc>
        <w:tc>
          <w:tcPr>
            <w:tcW w:w="372" w:type="pct"/>
            <w:shd w:val="clear" w:color="auto" w:fill="auto"/>
            <w:vAlign w:val="center"/>
            <w:hideMark/>
          </w:tcPr>
          <w:p w14:paraId="7E2BE011" w14:textId="77777777" w:rsidR="008433A0" w:rsidRPr="00A45614" w:rsidRDefault="008433A0" w:rsidP="0023469F">
            <w:pPr>
              <w:pStyle w:val="cuatexto"/>
              <w:spacing w:line="240" w:lineRule="auto"/>
              <w:jc w:val="right"/>
              <w:rPr>
                <w:sz w:val="17"/>
                <w:szCs w:val="17"/>
              </w:rPr>
            </w:pPr>
            <w:r>
              <w:rPr>
                <w:sz w:val="17"/>
              </w:rPr>
              <w:t>758,13</w:t>
            </w:r>
          </w:p>
        </w:tc>
        <w:tc>
          <w:tcPr>
            <w:tcW w:w="475" w:type="pct"/>
            <w:shd w:val="clear" w:color="auto" w:fill="auto"/>
            <w:vAlign w:val="center"/>
            <w:hideMark/>
          </w:tcPr>
          <w:p w14:paraId="743FD78C" w14:textId="77777777" w:rsidR="008433A0" w:rsidRPr="00A45614" w:rsidRDefault="008433A0" w:rsidP="0023469F">
            <w:pPr>
              <w:pStyle w:val="cuatexto"/>
              <w:spacing w:line="240" w:lineRule="auto"/>
              <w:jc w:val="right"/>
              <w:rPr>
                <w:sz w:val="17"/>
                <w:szCs w:val="17"/>
              </w:rPr>
            </w:pPr>
            <w:r>
              <w:rPr>
                <w:sz w:val="17"/>
              </w:rPr>
              <w:t>787,98</w:t>
            </w:r>
          </w:p>
        </w:tc>
        <w:tc>
          <w:tcPr>
            <w:tcW w:w="478" w:type="pct"/>
            <w:shd w:val="clear" w:color="auto" w:fill="auto"/>
            <w:vAlign w:val="center"/>
          </w:tcPr>
          <w:p w14:paraId="503CFAF0" w14:textId="77777777" w:rsidR="008433A0" w:rsidRPr="00A45614" w:rsidRDefault="008433A0" w:rsidP="0023469F">
            <w:pPr>
              <w:pStyle w:val="cuatexto"/>
              <w:spacing w:line="240" w:lineRule="auto"/>
              <w:jc w:val="right"/>
              <w:rPr>
                <w:color w:val="000000"/>
                <w:sz w:val="17"/>
                <w:szCs w:val="17"/>
              </w:rPr>
            </w:pPr>
            <w:r>
              <w:rPr>
                <w:color w:val="000000"/>
                <w:sz w:val="17"/>
              </w:rPr>
              <w:t>885,37</w:t>
            </w:r>
          </w:p>
        </w:tc>
        <w:tc>
          <w:tcPr>
            <w:tcW w:w="436" w:type="pct"/>
            <w:vAlign w:val="center"/>
          </w:tcPr>
          <w:p w14:paraId="4E73A460" w14:textId="77777777" w:rsidR="008433A0" w:rsidRPr="00A45614" w:rsidRDefault="008433A0" w:rsidP="0023469F">
            <w:pPr>
              <w:pStyle w:val="cuatexto"/>
              <w:spacing w:line="240" w:lineRule="auto"/>
              <w:jc w:val="right"/>
              <w:rPr>
                <w:sz w:val="17"/>
                <w:szCs w:val="17"/>
              </w:rPr>
            </w:pPr>
            <w:r>
              <w:rPr>
                <w:sz w:val="17"/>
              </w:rPr>
              <w:t>799,18</w:t>
            </w:r>
          </w:p>
        </w:tc>
        <w:tc>
          <w:tcPr>
            <w:tcW w:w="428" w:type="pct"/>
            <w:shd w:val="clear" w:color="auto" w:fill="auto"/>
            <w:vAlign w:val="center"/>
            <w:hideMark/>
          </w:tcPr>
          <w:p w14:paraId="4575D2E3" w14:textId="77777777" w:rsidR="008433A0" w:rsidRPr="00A45614" w:rsidRDefault="008433A0" w:rsidP="0023469F">
            <w:pPr>
              <w:pStyle w:val="cuatexto"/>
              <w:spacing w:line="240" w:lineRule="auto"/>
              <w:jc w:val="right"/>
              <w:rPr>
                <w:sz w:val="17"/>
                <w:szCs w:val="17"/>
              </w:rPr>
            </w:pPr>
            <w:r>
              <w:rPr>
                <w:sz w:val="17"/>
              </w:rPr>
              <w:t>11</w:t>
            </w:r>
          </w:p>
        </w:tc>
        <w:tc>
          <w:tcPr>
            <w:tcW w:w="451" w:type="pct"/>
            <w:vAlign w:val="center"/>
          </w:tcPr>
          <w:p w14:paraId="54282A67" w14:textId="77777777" w:rsidR="008433A0" w:rsidRPr="00A45614" w:rsidRDefault="008433A0" w:rsidP="0023469F">
            <w:pPr>
              <w:pStyle w:val="cuatexto"/>
              <w:spacing w:line="240" w:lineRule="auto"/>
              <w:jc w:val="right"/>
              <w:rPr>
                <w:color w:val="000000"/>
                <w:sz w:val="17"/>
                <w:szCs w:val="17"/>
              </w:rPr>
            </w:pPr>
            <w:r>
              <w:rPr>
                <w:color w:val="000000"/>
                <w:sz w:val="17"/>
              </w:rPr>
              <w:t>-86,19</w:t>
            </w:r>
          </w:p>
        </w:tc>
        <w:tc>
          <w:tcPr>
            <w:tcW w:w="428" w:type="pct"/>
            <w:shd w:val="clear" w:color="auto" w:fill="auto"/>
            <w:vAlign w:val="center"/>
            <w:hideMark/>
          </w:tcPr>
          <w:p w14:paraId="23EF8664" w14:textId="77777777" w:rsidR="008433A0" w:rsidRPr="00A45614" w:rsidRDefault="008433A0" w:rsidP="0023469F">
            <w:pPr>
              <w:pStyle w:val="cuatexto"/>
              <w:spacing w:line="240" w:lineRule="auto"/>
              <w:jc w:val="right"/>
              <w:rPr>
                <w:sz w:val="17"/>
                <w:szCs w:val="17"/>
              </w:rPr>
            </w:pPr>
            <w:r>
              <w:rPr>
                <w:sz w:val="17"/>
              </w:rPr>
              <w:t>-10</w:t>
            </w:r>
          </w:p>
        </w:tc>
        <w:tc>
          <w:tcPr>
            <w:tcW w:w="372" w:type="pct"/>
            <w:shd w:val="clear" w:color="auto" w:fill="auto"/>
            <w:vAlign w:val="center"/>
          </w:tcPr>
          <w:p w14:paraId="37035D0E" w14:textId="77777777" w:rsidR="008433A0" w:rsidRPr="00A45614" w:rsidRDefault="008433A0" w:rsidP="0023469F">
            <w:pPr>
              <w:pStyle w:val="cuatexto"/>
              <w:spacing w:line="240" w:lineRule="auto"/>
              <w:jc w:val="right"/>
              <w:rPr>
                <w:sz w:val="17"/>
                <w:szCs w:val="17"/>
              </w:rPr>
            </w:pPr>
            <w:r>
              <w:rPr>
                <w:sz w:val="17"/>
              </w:rPr>
              <w:t>877,62</w:t>
            </w:r>
          </w:p>
        </w:tc>
      </w:tr>
      <w:tr w:rsidR="008433A0" w:rsidRPr="00A45614" w14:paraId="3742C6B2" w14:textId="77777777" w:rsidTr="0023469F">
        <w:trPr>
          <w:trHeight w:val="255"/>
        </w:trPr>
        <w:tc>
          <w:tcPr>
            <w:tcW w:w="1187" w:type="pct"/>
            <w:shd w:val="clear" w:color="auto" w:fill="auto"/>
            <w:vAlign w:val="center"/>
            <w:hideMark/>
          </w:tcPr>
          <w:p w14:paraId="37AC26B6" w14:textId="77777777" w:rsidR="008433A0" w:rsidRPr="00A45614" w:rsidRDefault="008433A0" w:rsidP="00A45614">
            <w:pPr>
              <w:pStyle w:val="cuatexto"/>
              <w:spacing w:line="240" w:lineRule="auto"/>
              <w:rPr>
                <w:sz w:val="17"/>
                <w:szCs w:val="17"/>
              </w:rPr>
            </w:pPr>
            <w:r>
              <w:rPr>
                <w:sz w:val="17"/>
              </w:rPr>
              <w:t>Tributu bidezko diru-sarrerak</w:t>
            </w:r>
          </w:p>
        </w:tc>
        <w:tc>
          <w:tcPr>
            <w:tcW w:w="372" w:type="pct"/>
            <w:shd w:val="clear" w:color="auto" w:fill="auto"/>
            <w:vAlign w:val="center"/>
            <w:hideMark/>
          </w:tcPr>
          <w:p w14:paraId="6255DE98" w14:textId="77777777" w:rsidR="008433A0" w:rsidRPr="00A45614" w:rsidRDefault="008433A0" w:rsidP="0023469F">
            <w:pPr>
              <w:pStyle w:val="cuatexto"/>
              <w:spacing w:line="240" w:lineRule="auto"/>
              <w:jc w:val="right"/>
              <w:rPr>
                <w:sz w:val="17"/>
                <w:szCs w:val="17"/>
              </w:rPr>
            </w:pPr>
            <w:r>
              <w:rPr>
                <w:sz w:val="17"/>
              </w:rPr>
              <w:t>371,55</w:t>
            </w:r>
          </w:p>
        </w:tc>
        <w:tc>
          <w:tcPr>
            <w:tcW w:w="372" w:type="pct"/>
            <w:shd w:val="clear" w:color="auto" w:fill="auto"/>
            <w:vAlign w:val="center"/>
            <w:hideMark/>
          </w:tcPr>
          <w:p w14:paraId="13495C31" w14:textId="77777777" w:rsidR="008433A0" w:rsidRPr="00A45614" w:rsidRDefault="008433A0" w:rsidP="0023469F">
            <w:pPr>
              <w:pStyle w:val="cuatexto"/>
              <w:spacing w:line="240" w:lineRule="auto"/>
              <w:jc w:val="right"/>
              <w:rPr>
                <w:sz w:val="17"/>
                <w:szCs w:val="17"/>
              </w:rPr>
            </w:pPr>
            <w:r>
              <w:rPr>
                <w:sz w:val="17"/>
              </w:rPr>
              <w:t>368,83</w:t>
            </w:r>
          </w:p>
        </w:tc>
        <w:tc>
          <w:tcPr>
            <w:tcW w:w="475" w:type="pct"/>
            <w:shd w:val="clear" w:color="auto" w:fill="auto"/>
            <w:vAlign w:val="center"/>
            <w:hideMark/>
          </w:tcPr>
          <w:p w14:paraId="006277A8" w14:textId="77777777" w:rsidR="008433A0" w:rsidRPr="00A45614" w:rsidRDefault="008433A0" w:rsidP="0023469F">
            <w:pPr>
              <w:pStyle w:val="cuatexto"/>
              <w:spacing w:line="240" w:lineRule="auto"/>
              <w:jc w:val="right"/>
              <w:rPr>
                <w:sz w:val="17"/>
                <w:szCs w:val="17"/>
              </w:rPr>
            </w:pPr>
            <w:r>
              <w:rPr>
                <w:sz w:val="17"/>
              </w:rPr>
              <w:t>385,04</w:t>
            </w:r>
          </w:p>
        </w:tc>
        <w:tc>
          <w:tcPr>
            <w:tcW w:w="478" w:type="pct"/>
            <w:shd w:val="clear" w:color="auto" w:fill="auto"/>
            <w:vAlign w:val="center"/>
          </w:tcPr>
          <w:p w14:paraId="5C950FD1" w14:textId="77777777" w:rsidR="008433A0" w:rsidRPr="00A45614" w:rsidRDefault="008433A0" w:rsidP="0023469F">
            <w:pPr>
              <w:pStyle w:val="cuatexto"/>
              <w:spacing w:line="240" w:lineRule="auto"/>
              <w:jc w:val="right"/>
              <w:rPr>
                <w:color w:val="000000"/>
                <w:sz w:val="17"/>
                <w:szCs w:val="17"/>
              </w:rPr>
            </w:pPr>
            <w:r>
              <w:rPr>
                <w:color w:val="000000"/>
                <w:sz w:val="17"/>
              </w:rPr>
              <w:t>402,08</w:t>
            </w:r>
          </w:p>
        </w:tc>
        <w:tc>
          <w:tcPr>
            <w:tcW w:w="436" w:type="pct"/>
            <w:vAlign w:val="center"/>
          </w:tcPr>
          <w:p w14:paraId="5D8CB013" w14:textId="77777777" w:rsidR="008433A0" w:rsidRPr="00A45614" w:rsidRDefault="008433A0" w:rsidP="0023469F">
            <w:pPr>
              <w:pStyle w:val="cuatexto"/>
              <w:spacing w:line="240" w:lineRule="auto"/>
              <w:jc w:val="right"/>
              <w:rPr>
                <w:sz w:val="17"/>
                <w:szCs w:val="17"/>
              </w:rPr>
            </w:pPr>
            <w:r>
              <w:rPr>
                <w:sz w:val="17"/>
              </w:rPr>
              <w:t>374,47</w:t>
            </w:r>
          </w:p>
        </w:tc>
        <w:tc>
          <w:tcPr>
            <w:tcW w:w="428" w:type="pct"/>
            <w:shd w:val="clear" w:color="auto" w:fill="auto"/>
            <w:vAlign w:val="center"/>
            <w:hideMark/>
          </w:tcPr>
          <w:p w14:paraId="794BA762" w14:textId="77777777" w:rsidR="008433A0" w:rsidRPr="00A45614" w:rsidRDefault="008433A0" w:rsidP="0023469F">
            <w:pPr>
              <w:pStyle w:val="cuatexto"/>
              <w:spacing w:line="240" w:lineRule="auto"/>
              <w:jc w:val="right"/>
              <w:rPr>
                <w:sz w:val="17"/>
                <w:szCs w:val="17"/>
              </w:rPr>
            </w:pPr>
            <w:r>
              <w:rPr>
                <w:sz w:val="17"/>
              </w:rPr>
              <w:t>1</w:t>
            </w:r>
          </w:p>
        </w:tc>
        <w:tc>
          <w:tcPr>
            <w:tcW w:w="451" w:type="pct"/>
            <w:vAlign w:val="center"/>
          </w:tcPr>
          <w:p w14:paraId="66615CAD" w14:textId="77777777" w:rsidR="008433A0" w:rsidRPr="00A45614" w:rsidRDefault="008433A0" w:rsidP="0023469F">
            <w:pPr>
              <w:pStyle w:val="cuatexto"/>
              <w:spacing w:line="240" w:lineRule="auto"/>
              <w:jc w:val="right"/>
              <w:rPr>
                <w:color w:val="000000"/>
                <w:sz w:val="17"/>
                <w:szCs w:val="17"/>
              </w:rPr>
            </w:pPr>
            <w:r>
              <w:rPr>
                <w:color w:val="000000"/>
                <w:sz w:val="17"/>
              </w:rPr>
              <w:t>-27,61</w:t>
            </w:r>
          </w:p>
        </w:tc>
        <w:tc>
          <w:tcPr>
            <w:tcW w:w="428" w:type="pct"/>
            <w:shd w:val="clear" w:color="auto" w:fill="auto"/>
            <w:vAlign w:val="center"/>
            <w:hideMark/>
          </w:tcPr>
          <w:p w14:paraId="402D3F46" w14:textId="77777777" w:rsidR="008433A0" w:rsidRPr="00A45614" w:rsidRDefault="008433A0" w:rsidP="0023469F">
            <w:pPr>
              <w:pStyle w:val="cuatexto"/>
              <w:spacing w:line="240" w:lineRule="auto"/>
              <w:jc w:val="right"/>
              <w:rPr>
                <w:sz w:val="17"/>
                <w:szCs w:val="17"/>
              </w:rPr>
            </w:pPr>
            <w:r>
              <w:rPr>
                <w:sz w:val="17"/>
              </w:rPr>
              <w:t>-7</w:t>
            </w:r>
          </w:p>
        </w:tc>
        <w:tc>
          <w:tcPr>
            <w:tcW w:w="372" w:type="pct"/>
            <w:shd w:val="clear" w:color="auto" w:fill="auto"/>
            <w:vAlign w:val="center"/>
          </w:tcPr>
          <w:p w14:paraId="22E145E2" w14:textId="77777777" w:rsidR="008433A0" w:rsidRPr="00A45614" w:rsidRDefault="008433A0" w:rsidP="0023469F">
            <w:pPr>
              <w:pStyle w:val="cuatexto"/>
              <w:spacing w:line="240" w:lineRule="auto"/>
              <w:jc w:val="right"/>
              <w:rPr>
                <w:sz w:val="17"/>
                <w:szCs w:val="17"/>
              </w:rPr>
            </w:pPr>
            <w:r>
              <w:rPr>
                <w:sz w:val="17"/>
              </w:rPr>
              <w:t>438,74</w:t>
            </w:r>
          </w:p>
        </w:tc>
      </w:tr>
      <w:tr w:rsidR="008433A0" w:rsidRPr="00A45614" w14:paraId="2017A9AB" w14:textId="77777777" w:rsidTr="0023469F">
        <w:trPr>
          <w:trHeight w:val="255"/>
        </w:trPr>
        <w:tc>
          <w:tcPr>
            <w:tcW w:w="1187" w:type="pct"/>
            <w:shd w:val="clear" w:color="auto" w:fill="auto"/>
            <w:vAlign w:val="center"/>
            <w:hideMark/>
          </w:tcPr>
          <w:p w14:paraId="17CD5B1B" w14:textId="77777777" w:rsidR="008433A0" w:rsidRPr="00A45614" w:rsidRDefault="008433A0" w:rsidP="00A45614">
            <w:pPr>
              <w:pStyle w:val="cuatexto"/>
              <w:spacing w:line="240" w:lineRule="auto"/>
              <w:rPr>
                <w:sz w:val="17"/>
                <w:szCs w:val="17"/>
              </w:rPr>
            </w:pPr>
            <w:r>
              <w:rPr>
                <w:sz w:val="17"/>
              </w:rPr>
              <w:t>Transferentzien bidezko diru-sarrerak</w:t>
            </w:r>
          </w:p>
        </w:tc>
        <w:tc>
          <w:tcPr>
            <w:tcW w:w="372" w:type="pct"/>
            <w:shd w:val="clear" w:color="auto" w:fill="auto"/>
            <w:vAlign w:val="center"/>
            <w:hideMark/>
          </w:tcPr>
          <w:p w14:paraId="3C2CD661" w14:textId="77777777" w:rsidR="008433A0" w:rsidRPr="00A45614" w:rsidRDefault="008433A0" w:rsidP="0023469F">
            <w:pPr>
              <w:pStyle w:val="cuatexto"/>
              <w:spacing w:line="240" w:lineRule="auto"/>
              <w:jc w:val="right"/>
              <w:rPr>
                <w:sz w:val="17"/>
                <w:szCs w:val="17"/>
              </w:rPr>
            </w:pPr>
            <w:r>
              <w:rPr>
                <w:sz w:val="17"/>
              </w:rPr>
              <w:t>332</w:t>
            </w:r>
          </w:p>
        </w:tc>
        <w:tc>
          <w:tcPr>
            <w:tcW w:w="372" w:type="pct"/>
            <w:shd w:val="clear" w:color="auto" w:fill="auto"/>
            <w:vAlign w:val="center"/>
            <w:hideMark/>
          </w:tcPr>
          <w:p w14:paraId="1F290A3A" w14:textId="77777777" w:rsidR="008433A0" w:rsidRPr="00A45614" w:rsidRDefault="008433A0" w:rsidP="0023469F">
            <w:pPr>
              <w:pStyle w:val="cuatexto"/>
              <w:spacing w:line="240" w:lineRule="auto"/>
              <w:jc w:val="right"/>
              <w:rPr>
                <w:sz w:val="17"/>
                <w:szCs w:val="17"/>
              </w:rPr>
            </w:pPr>
            <w:r>
              <w:rPr>
                <w:sz w:val="17"/>
              </w:rPr>
              <w:t>347,39</w:t>
            </w:r>
          </w:p>
        </w:tc>
        <w:tc>
          <w:tcPr>
            <w:tcW w:w="475" w:type="pct"/>
            <w:shd w:val="clear" w:color="auto" w:fill="auto"/>
            <w:vAlign w:val="center"/>
            <w:hideMark/>
          </w:tcPr>
          <w:p w14:paraId="047A1563" w14:textId="77777777" w:rsidR="008433A0" w:rsidRPr="00A45614" w:rsidRDefault="008433A0" w:rsidP="0023469F">
            <w:pPr>
              <w:pStyle w:val="cuatexto"/>
              <w:spacing w:line="240" w:lineRule="auto"/>
              <w:jc w:val="right"/>
              <w:rPr>
                <w:sz w:val="17"/>
                <w:szCs w:val="17"/>
              </w:rPr>
            </w:pPr>
            <w:r>
              <w:rPr>
                <w:sz w:val="17"/>
              </w:rPr>
              <w:t>390,26</w:t>
            </w:r>
          </w:p>
        </w:tc>
        <w:tc>
          <w:tcPr>
            <w:tcW w:w="478" w:type="pct"/>
            <w:shd w:val="clear" w:color="auto" w:fill="auto"/>
            <w:vAlign w:val="center"/>
          </w:tcPr>
          <w:p w14:paraId="5A9320EC" w14:textId="77777777" w:rsidR="008433A0" w:rsidRPr="00A45614" w:rsidRDefault="008433A0" w:rsidP="0023469F">
            <w:pPr>
              <w:pStyle w:val="cuatexto"/>
              <w:spacing w:line="240" w:lineRule="auto"/>
              <w:jc w:val="right"/>
              <w:rPr>
                <w:color w:val="000000"/>
                <w:sz w:val="17"/>
                <w:szCs w:val="17"/>
              </w:rPr>
            </w:pPr>
            <w:r>
              <w:rPr>
                <w:color w:val="000000"/>
                <w:sz w:val="17"/>
              </w:rPr>
              <w:t>424,10</w:t>
            </w:r>
          </w:p>
        </w:tc>
        <w:tc>
          <w:tcPr>
            <w:tcW w:w="436" w:type="pct"/>
            <w:vAlign w:val="center"/>
          </w:tcPr>
          <w:p w14:paraId="5962F325" w14:textId="77777777" w:rsidR="008433A0" w:rsidRPr="00A45614" w:rsidRDefault="008433A0" w:rsidP="0023469F">
            <w:pPr>
              <w:pStyle w:val="cuatexto"/>
              <w:spacing w:line="240" w:lineRule="auto"/>
              <w:jc w:val="right"/>
              <w:rPr>
                <w:sz w:val="17"/>
                <w:szCs w:val="17"/>
              </w:rPr>
            </w:pPr>
            <w:r>
              <w:rPr>
                <w:sz w:val="17"/>
              </w:rPr>
              <w:t>429,54</w:t>
            </w:r>
          </w:p>
        </w:tc>
        <w:tc>
          <w:tcPr>
            <w:tcW w:w="428" w:type="pct"/>
            <w:shd w:val="clear" w:color="auto" w:fill="auto"/>
            <w:vAlign w:val="center"/>
            <w:hideMark/>
          </w:tcPr>
          <w:p w14:paraId="4416C47B" w14:textId="77777777" w:rsidR="008433A0" w:rsidRPr="00A45614" w:rsidRDefault="008433A0" w:rsidP="0023469F">
            <w:pPr>
              <w:pStyle w:val="cuatexto"/>
              <w:spacing w:line="240" w:lineRule="auto"/>
              <w:jc w:val="right"/>
              <w:rPr>
                <w:sz w:val="17"/>
                <w:szCs w:val="17"/>
              </w:rPr>
            </w:pPr>
            <w:r>
              <w:rPr>
                <w:sz w:val="17"/>
              </w:rPr>
              <w:t>29</w:t>
            </w:r>
          </w:p>
        </w:tc>
        <w:tc>
          <w:tcPr>
            <w:tcW w:w="451" w:type="pct"/>
            <w:vAlign w:val="center"/>
          </w:tcPr>
          <w:p w14:paraId="387C8E0E" w14:textId="77777777" w:rsidR="008433A0" w:rsidRPr="00A45614" w:rsidRDefault="008433A0" w:rsidP="0023469F">
            <w:pPr>
              <w:pStyle w:val="cuatexto"/>
              <w:spacing w:line="240" w:lineRule="auto"/>
              <w:jc w:val="right"/>
              <w:rPr>
                <w:color w:val="000000"/>
                <w:sz w:val="17"/>
                <w:szCs w:val="17"/>
              </w:rPr>
            </w:pPr>
            <w:r>
              <w:rPr>
                <w:color w:val="000000"/>
                <w:sz w:val="17"/>
              </w:rPr>
              <w:t>5,44</w:t>
            </w:r>
          </w:p>
        </w:tc>
        <w:tc>
          <w:tcPr>
            <w:tcW w:w="428" w:type="pct"/>
            <w:shd w:val="clear" w:color="auto" w:fill="auto"/>
            <w:vAlign w:val="center"/>
            <w:hideMark/>
          </w:tcPr>
          <w:p w14:paraId="1D629417" w14:textId="77777777" w:rsidR="008433A0" w:rsidRPr="00A45614" w:rsidRDefault="008433A0" w:rsidP="0023469F">
            <w:pPr>
              <w:pStyle w:val="cuatexto"/>
              <w:spacing w:line="240" w:lineRule="auto"/>
              <w:jc w:val="right"/>
              <w:rPr>
                <w:sz w:val="17"/>
                <w:szCs w:val="17"/>
              </w:rPr>
            </w:pPr>
            <w:r>
              <w:rPr>
                <w:sz w:val="17"/>
              </w:rPr>
              <w:t>1</w:t>
            </w:r>
          </w:p>
        </w:tc>
        <w:tc>
          <w:tcPr>
            <w:tcW w:w="372" w:type="pct"/>
            <w:shd w:val="clear" w:color="auto" w:fill="auto"/>
            <w:vAlign w:val="center"/>
          </w:tcPr>
          <w:p w14:paraId="69D80A7F" w14:textId="77777777" w:rsidR="008433A0" w:rsidRPr="00A45614" w:rsidRDefault="008433A0" w:rsidP="0023469F">
            <w:pPr>
              <w:pStyle w:val="cuatexto"/>
              <w:spacing w:line="240" w:lineRule="auto"/>
              <w:jc w:val="right"/>
              <w:rPr>
                <w:sz w:val="17"/>
                <w:szCs w:val="17"/>
              </w:rPr>
            </w:pPr>
            <w:r>
              <w:rPr>
                <w:sz w:val="17"/>
              </w:rPr>
              <w:t>440,93</w:t>
            </w:r>
          </w:p>
        </w:tc>
      </w:tr>
      <w:tr w:rsidR="008433A0" w:rsidRPr="00A45614" w14:paraId="409C3AF1" w14:textId="77777777" w:rsidTr="0023469F">
        <w:trPr>
          <w:trHeight w:val="255"/>
        </w:trPr>
        <w:tc>
          <w:tcPr>
            <w:tcW w:w="1187" w:type="pct"/>
            <w:shd w:val="clear" w:color="auto" w:fill="auto"/>
            <w:vAlign w:val="center"/>
            <w:hideMark/>
          </w:tcPr>
          <w:p w14:paraId="46D4BE71" w14:textId="77777777" w:rsidR="008433A0" w:rsidRPr="00A45614" w:rsidRDefault="008433A0" w:rsidP="00A45614">
            <w:pPr>
              <w:pStyle w:val="cuatexto"/>
              <w:spacing w:line="240" w:lineRule="auto"/>
              <w:rPr>
                <w:sz w:val="17"/>
                <w:szCs w:val="17"/>
              </w:rPr>
            </w:pPr>
            <w:r>
              <w:rPr>
                <w:sz w:val="17"/>
              </w:rPr>
              <w:t>Funtzionamendu gastuak</w:t>
            </w:r>
          </w:p>
        </w:tc>
        <w:tc>
          <w:tcPr>
            <w:tcW w:w="372" w:type="pct"/>
            <w:shd w:val="clear" w:color="auto" w:fill="auto"/>
            <w:vAlign w:val="center"/>
            <w:hideMark/>
          </w:tcPr>
          <w:p w14:paraId="6A9ACD2A" w14:textId="77777777" w:rsidR="008433A0" w:rsidRPr="00A45614" w:rsidRDefault="008433A0" w:rsidP="0023469F">
            <w:pPr>
              <w:pStyle w:val="cuatexto"/>
              <w:spacing w:line="240" w:lineRule="auto"/>
              <w:jc w:val="right"/>
              <w:rPr>
                <w:sz w:val="17"/>
                <w:szCs w:val="17"/>
              </w:rPr>
            </w:pPr>
            <w:r>
              <w:rPr>
                <w:sz w:val="17"/>
              </w:rPr>
              <w:t>598,92</w:t>
            </w:r>
          </w:p>
        </w:tc>
        <w:tc>
          <w:tcPr>
            <w:tcW w:w="372" w:type="pct"/>
            <w:shd w:val="clear" w:color="auto" w:fill="auto"/>
            <w:vAlign w:val="center"/>
            <w:hideMark/>
          </w:tcPr>
          <w:p w14:paraId="4FBDB579" w14:textId="77777777" w:rsidR="008433A0" w:rsidRPr="00A45614" w:rsidRDefault="008433A0" w:rsidP="0023469F">
            <w:pPr>
              <w:pStyle w:val="cuatexto"/>
              <w:spacing w:line="240" w:lineRule="auto"/>
              <w:jc w:val="right"/>
              <w:rPr>
                <w:sz w:val="17"/>
                <w:szCs w:val="17"/>
              </w:rPr>
            </w:pPr>
            <w:r>
              <w:rPr>
                <w:sz w:val="17"/>
              </w:rPr>
              <w:t>610,52</w:t>
            </w:r>
          </w:p>
        </w:tc>
        <w:tc>
          <w:tcPr>
            <w:tcW w:w="475" w:type="pct"/>
            <w:shd w:val="clear" w:color="auto" w:fill="auto"/>
            <w:vAlign w:val="center"/>
            <w:hideMark/>
          </w:tcPr>
          <w:p w14:paraId="3BE7CE68" w14:textId="77777777" w:rsidR="008433A0" w:rsidRPr="00A45614" w:rsidRDefault="008433A0" w:rsidP="0023469F">
            <w:pPr>
              <w:pStyle w:val="cuatexto"/>
              <w:spacing w:line="240" w:lineRule="auto"/>
              <w:jc w:val="right"/>
              <w:rPr>
                <w:sz w:val="17"/>
                <w:szCs w:val="17"/>
              </w:rPr>
            </w:pPr>
            <w:r>
              <w:rPr>
                <w:sz w:val="17"/>
              </w:rPr>
              <w:t>626,02</w:t>
            </w:r>
          </w:p>
        </w:tc>
        <w:tc>
          <w:tcPr>
            <w:tcW w:w="478" w:type="pct"/>
            <w:shd w:val="clear" w:color="auto" w:fill="auto"/>
            <w:vAlign w:val="center"/>
          </w:tcPr>
          <w:p w14:paraId="46E63164" w14:textId="77777777" w:rsidR="008433A0" w:rsidRPr="00A45614" w:rsidRDefault="008433A0" w:rsidP="0023469F">
            <w:pPr>
              <w:pStyle w:val="cuatexto"/>
              <w:spacing w:line="240" w:lineRule="auto"/>
              <w:jc w:val="right"/>
              <w:rPr>
                <w:sz w:val="17"/>
                <w:szCs w:val="17"/>
              </w:rPr>
            </w:pPr>
            <w:r>
              <w:rPr>
                <w:sz w:val="17"/>
              </w:rPr>
              <w:t>653,91</w:t>
            </w:r>
          </w:p>
        </w:tc>
        <w:tc>
          <w:tcPr>
            <w:tcW w:w="436" w:type="pct"/>
            <w:vAlign w:val="center"/>
          </w:tcPr>
          <w:p w14:paraId="0801995B" w14:textId="77777777" w:rsidR="008433A0" w:rsidRPr="00A45614" w:rsidRDefault="008433A0" w:rsidP="0023469F">
            <w:pPr>
              <w:pStyle w:val="cuatexto"/>
              <w:spacing w:line="240" w:lineRule="auto"/>
              <w:jc w:val="right"/>
              <w:rPr>
                <w:sz w:val="17"/>
                <w:szCs w:val="17"/>
              </w:rPr>
            </w:pPr>
            <w:r>
              <w:rPr>
                <w:sz w:val="17"/>
              </w:rPr>
              <w:t>643,17</w:t>
            </w:r>
          </w:p>
        </w:tc>
        <w:tc>
          <w:tcPr>
            <w:tcW w:w="428" w:type="pct"/>
            <w:shd w:val="clear" w:color="auto" w:fill="auto"/>
            <w:vAlign w:val="center"/>
            <w:hideMark/>
          </w:tcPr>
          <w:p w14:paraId="4064EB3C" w14:textId="77777777" w:rsidR="008433A0" w:rsidRPr="00A45614" w:rsidRDefault="008433A0" w:rsidP="0023469F">
            <w:pPr>
              <w:pStyle w:val="cuatexto"/>
              <w:spacing w:line="240" w:lineRule="auto"/>
              <w:jc w:val="right"/>
              <w:rPr>
                <w:sz w:val="17"/>
                <w:szCs w:val="17"/>
              </w:rPr>
            </w:pPr>
            <w:r>
              <w:rPr>
                <w:sz w:val="17"/>
              </w:rPr>
              <w:t>7</w:t>
            </w:r>
          </w:p>
        </w:tc>
        <w:tc>
          <w:tcPr>
            <w:tcW w:w="451" w:type="pct"/>
            <w:vAlign w:val="center"/>
          </w:tcPr>
          <w:p w14:paraId="7AA138F5" w14:textId="77777777" w:rsidR="008433A0" w:rsidRPr="00A45614" w:rsidRDefault="008433A0" w:rsidP="0023469F">
            <w:pPr>
              <w:pStyle w:val="cuatexto"/>
              <w:spacing w:line="240" w:lineRule="auto"/>
              <w:jc w:val="right"/>
              <w:rPr>
                <w:color w:val="000000"/>
                <w:sz w:val="17"/>
                <w:szCs w:val="17"/>
              </w:rPr>
            </w:pPr>
            <w:r>
              <w:rPr>
                <w:color w:val="000000"/>
                <w:sz w:val="17"/>
              </w:rPr>
              <w:t>-10,74</w:t>
            </w:r>
          </w:p>
        </w:tc>
        <w:tc>
          <w:tcPr>
            <w:tcW w:w="428" w:type="pct"/>
            <w:shd w:val="clear" w:color="auto" w:fill="auto"/>
            <w:vAlign w:val="center"/>
            <w:hideMark/>
          </w:tcPr>
          <w:p w14:paraId="1612F8E1" w14:textId="77777777" w:rsidR="008433A0" w:rsidRPr="00A45614" w:rsidRDefault="008433A0" w:rsidP="0023469F">
            <w:pPr>
              <w:pStyle w:val="cuatexto"/>
              <w:spacing w:line="240" w:lineRule="auto"/>
              <w:jc w:val="right"/>
              <w:rPr>
                <w:sz w:val="17"/>
                <w:szCs w:val="17"/>
              </w:rPr>
            </w:pPr>
            <w:r>
              <w:rPr>
                <w:sz w:val="17"/>
              </w:rPr>
              <w:t>-2</w:t>
            </w:r>
          </w:p>
        </w:tc>
        <w:tc>
          <w:tcPr>
            <w:tcW w:w="372" w:type="pct"/>
            <w:shd w:val="clear" w:color="auto" w:fill="auto"/>
            <w:vAlign w:val="center"/>
          </w:tcPr>
          <w:p w14:paraId="70E29C8A" w14:textId="77777777" w:rsidR="008433A0" w:rsidRPr="00A45614" w:rsidRDefault="008433A0" w:rsidP="0023469F">
            <w:pPr>
              <w:pStyle w:val="cuatexto"/>
              <w:spacing w:line="240" w:lineRule="auto"/>
              <w:jc w:val="right"/>
              <w:rPr>
                <w:sz w:val="17"/>
                <w:szCs w:val="17"/>
              </w:rPr>
            </w:pPr>
            <w:r>
              <w:rPr>
                <w:sz w:val="17"/>
              </w:rPr>
              <w:t>707,86</w:t>
            </w:r>
          </w:p>
        </w:tc>
      </w:tr>
      <w:tr w:rsidR="008433A0" w:rsidRPr="00A45614" w14:paraId="76F6B8A4" w14:textId="77777777" w:rsidTr="0023469F">
        <w:trPr>
          <w:trHeight w:val="255"/>
        </w:trPr>
        <w:tc>
          <w:tcPr>
            <w:tcW w:w="1187" w:type="pct"/>
            <w:shd w:val="clear" w:color="auto" w:fill="auto"/>
            <w:vAlign w:val="center"/>
            <w:hideMark/>
          </w:tcPr>
          <w:p w14:paraId="448DFD1A" w14:textId="77777777" w:rsidR="008433A0" w:rsidRPr="00A45614" w:rsidRDefault="008433A0" w:rsidP="00A45614">
            <w:pPr>
              <w:pStyle w:val="cuatexto"/>
              <w:spacing w:line="240" w:lineRule="auto"/>
              <w:rPr>
                <w:sz w:val="17"/>
                <w:szCs w:val="17"/>
              </w:rPr>
            </w:pPr>
            <w:r>
              <w:rPr>
                <w:sz w:val="17"/>
              </w:rPr>
              <w:t>Kapitaleko gastuak</w:t>
            </w:r>
          </w:p>
        </w:tc>
        <w:tc>
          <w:tcPr>
            <w:tcW w:w="372" w:type="pct"/>
            <w:shd w:val="clear" w:color="auto" w:fill="auto"/>
            <w:vAlign w:val="center"/>
            <w:hideMark/>
          </w:tcPr>
          <w:p w14:paraId="1633A836" w14:textId="77777777" w:rsidR="008433A0" w:rsidRPr="00A45614" w:rsidRDefault="008433A0" w:rsidP="0023469F">
            <w:pPr>
              <w:pStyle w:val="cuatexto"/>
              <w:spacing w:line="240" w:lineRule="auto"/>
              <w:jc w:val="right"/>
              <w:rPr>
                <w:sz w:val="17"/>
                <w:szCs w:val="17"/>
              </w:rPr>
            </w:pPr>
            <w:r>
              <w:rPr>
                <w:sz w:val="17"/>
              </w:rPr>
              <w:t>79,69</w:t>
            </w:r>
          </w:p>
        </w:tc>
        <w:tc>
          <w:tcPr>
            <w:tcW w:w="372" w:type="pct"/>
            <w:shd w:val="clear" w:color="auto" w:fill="auto"/>
            <w:vAlign w:val="center"/>
            <w:hideMark/>
          </w:tcPr>
          <w:p w14:paraId="56C8EA52" w14:textId="77777777" w:rsidR="008433A0" w:rsidRPr="00A45614" w:rsidRDefault="008433A0" w:rsidP="0023469F">
            <w:pPr>
              <w:pStyle w:val="cuatexto"/>
              <w:spacing w:line="240" w:lineRule="auto"/>
              <w:jc w:val="right"/>
              <w:rPr>
                <w:sz w:val="17"/>
                <w:szCs w:val="17"/>
              </w:rPr>
            </w:pPr>
            <w:r>
              <w:rPr>
                <w:sz w:val="17"/>
              </w:rPr>
              <w:t>98,25</w:t>
            </w:r>
          </w:p>
        </w:tc>
        <w:tc>
          <w:tcPr>
            <w:tcW w:w="475" w:type="pct"/>
            <w:shd w:val="clear" w:color="auto" w:fill="auto"/>
            <w:vAlign w:val="center"/>
            <w:hideMark/>
          </w:tcPr>
          <w:p w14:paraId="74D2294C" w14:textId="77777777" w:rsidR="008433A0" w:rsidRPr="00A45614" w:rsidRDefault="008433A0" w:rsidP="0023469F">
            <w:pPr>
              <w:pStyle w:val="cuatexto"/>
              <w:spacing w:line="240" w:lineRule="auto"/>
              <w:jc w:val="right"/>
              <w:rPr>
                <w:sz w:val="17"/>
                <w:szCs w:val="17"/>
              </w:rPr>
            </w:pPr>
            <w:r>
              <w:rPr>
                <w:sz w:val="17"/>
              </w:rPr>
              <w:t>125,09</w:t>
            </w:r>
          </w:p>
        </w:tc>
        <w:tc>
          <w:tcPr>
            <w:tcW w:w="478" w:type="pct"/>
            <w:shd w:val="clear" w:color="auto" w:fill="auto"/>
            <w:vAlign w:val="center"/>
          </w:tcPr>
          <w:p w14:paraId="3D873CD3" w14:textId="77777777" w:rsidR="008433A0" w:rsidRPr="00A45614" w:rsidRDefault="008433A0" w:rsidP="0023469F">
            <w:pPr>
              <w:pStyle w:val="cuatexto"/>
              <w:spacing w:line="240" w:lineRule="auto"/>
              <w:jc w:val="right"/>
              <w:rPr>
                <w:sz w:val="17"/>
                <w:szCs w:val="17"/>
              </w:rPr>
            </w:pPr>
            <w:r>
              <w:rPr>
                <w:sz w:val="17"/>
              </w:rPr>
              <w:t>199,42</w:t>
            </w:r>
          </w:p>
        </w:tc>
        <w:tc>
          <w:tcPr>
            <w:tcW w:w="436" w:type="pct"/>
            <w:vAlign w:val="center"/>
          </w:tcPr>
          <w:p w14:paraId="08353A01" w14:textId="77777777" w:rsidR="008433A0" w:rsidRPr="00A45614" w:rsidRDefault="008433A0" w:rsidP="0023469F">
            <w:pPr>
              <w:pStyle w:val="cuatexto"/>
              <w:spacing w:line="240" w:lineRule="auto"/>
              <w:jc w:val="right"/>
              <w:rPr>
                <w:sz w:val="17"/>
                <w:szCs w:val="17"/>
              </w:rPr>
            </w:pPr>
            <w:r>
              <w:rPr>
                <w:sz w:val="17"/>
              </w:rPr>
              <w:t>123,59</w:t>
            </w:r>
          </w:p>
        </w:tc>
        <w:tc>
          <w:tcPr>
            <w:tcW w:w="428" w:type="pct"/>
            <w:shd w:val="clear" w:color="auto" w:fill="auto"/>
            <w:vAlign w:val="center"/>
            <w:hideMark/>
          </w:tcPr>
          <w:p w14:paraId="7CFEF98C" w14:textId="77777777" w:rsidR="008433A0" w:rsidRPr="00A45614" w:rsidRDefault="008433A0" w:rsidP="0023469F">
            <w:pPr>
              <w:pStyle w:val="cuatexto"/>
              <w:spacing w:line="240" w:lineRule="auto"/>
              <w:jc w:val="right"/>
              <w:rPr>
                <w:sz w:val="17"/>
                <w:szCs w:val="17"/>
              </w:rPr>
            </w:pPr>
            <w:r>
              <w:rPr>
                <w:sz w:val="17"/>
              </w:rPr>
              <w:t>55</w:t>
            </w:r>
          </w:p>
        </w:tc>
        <w:tc>
          <w:tcPr>
            <w:tcW w:w="451" w:type="pct"/>
            <w:vAlign w:val="center"/>
          </w:tcPr>
          <w:p w14:paraId="5CB8711C" w14:textId="77777777" w:rsidR="008433A0" w:rsidRPr="00A45614" w:rsidRDefault="008433A0" w:rsidP="0023469F">
            <w:pPr>
              <w:pStyle w:val="cuatexto"/>
              <w:spacing w:line="240" w:lineRule="auto"/>
              <w:jc w:val="right"/>
              <w:rPr>
                <w:color w:val="000000"/>
                <w:sz w:val="17"/>
                <w:szCs w:val="17"/>
              </w:rPr>
            </w:pPr>
            <w:r>
              <w:rPr>
                <w:color w:val="000000"/>
                <w:sz w:val="17"/>
              </w:rPr>
              <w:t>-75,83</w:t>
            </w:r>
          </w:p>
        </w:tc>
        <w:tc>
          <w:tcPr>
            <w:tcW w:w="428" w:type="pct"/>
            <w:shd w:val="clear" w:color="auto" w:fill="auto"/>
            <w:vAlign w:val="center"/>
            <w:hideMark/>
          </w:tcPr>
          <w:p w14:paraId="2AD825C0" w14:textId="77777777" w:rsidR="008433A0" w:rsidRPr="00A45614" w:rsidRDefault="008433A0" w:rsidP="0023469F">
            <w:pPr>
              <w:pStyle w:val="cuatexto"/>
              <w:spacing w:line="240" w:lineRule="auto"/>
              <w:jc w:val="right"/>
              <w:rPr>
                <w:sz w:val="17"/>
                <w:szCs w:val="17"/>
              </w:rPr>
            </w:pPr>
            <w:r>
              <w:rPr>
                <w:sz w:val="17"/>
              </w:rPr>
              <w:t>-38</w:t>
            </w:r>
          </w:p>
        </w:tc>
        <w:tc>
          <w:tcPr>
            <w:tcW w:w="372" w:type="pct"/>
            <w:shd w:val="clear" w:color="auto" w:fill="auto"/>
            <w:vAlign w:val="center"/>
          </w:tcPr>
          <w:p w14:paraId="412D03C7" w14:textId="77777777" w:rsidR="008433A0" w:rsidRPr="00A45614" w:rsidRDefault="008433A0" w:rsidP="0023469F">
            <w:pPr>
              <w:pStyle w:val="cuatexto"/>
              <w:spacing w:line="240" w:lineRule="auto"/>
              <w:jc w:val="right"/>
              <w:rPr>
                <w:sz w:val="17"/>
                <w:szCs w:val="17"/>
              </w:rPr>
            </w:pPr>
            <w:r>
              <w:rPr>
                <w:sz w:val="17"/>
              </w:rPr>
              <w:t>137,33</w:t>
            </w:r>
          </w:p>
        </w:tc>
      </w:tr>
      <w:tr w:rsidR="008433A0" w:rsidRPr="00A45614" w14:paraId="246C7008" w14:textId="77777777" w:rsidTr="0023469F">
        <w:trPr>
          <w:trHeight w:val="255"/>
        </w:trPr>
        <w:tc>
          <w:tcPr>
            <w:tcW w:w="1187" w:type="pct"/>
            <w:shd w:val="clear" w:color="auto" w:fill="auto"/>
            <w:vAlign w:val="center"/>
            <w:hideMark/>
          </w:tcPr>
          <w:p w14:paraId="72165320" w14:textId="77777777" w:rsidR="008433A0" w:rsidRPr="00A45614" w:rsidRDefault="008433A0" w:rsidP="00A45614">
            <w:pPr>
              <w:pStyle w:val="cuatexto"/>
              <w:spacing w:line="240" w:lineRule="auto"/>
              <w:rPr>
                <w:sz w:val="17"/>
                <w:szCs w:val="17"/>
              </w:rPr>
            </w:pPr>
            <w:r>
              <w:rPr>
                <w:sz w:val="17"/>
              </w:rPr>
              <w:t>Aurrekontu-emaitza ez-finantzarioa</w:t>
            </w:r>
          </w:p>
        </w:tc>
        <w:tc>
          <w:tcPr>
            <w:tcW w:w="372" w:type="pct"/>
            <w:shd w:val="clear" w:color="auto" w:fill="auto"/>
            <w:vAlign w:val="center"/>
            <w:hideMark/>
          </w:tcPr>
          <w:p w14:paraId="5D7FF406" w14:textId="77777777" w:rsidR="008433A0" w:rsidRPr="00A45614" w:rsidRDefault="008433A0" w:rsidP="0023469F">
            <w:pPr>
              <w:pStyle w:val="cuatexto"/>
              <w:spacing w:line="240" w:lineRule="auto"/>
              <w:jc w:val="right"/>
              <w:rPr>
                <w:sz w:val="17"/>
                <w:szCs w:val="17"/>
              </w:rPr>
            </w:pPr>
            <w:r>
              <w:rPr>
                <w:sz w:val="17"/>
              </w:rPr>
              <w:t>78,22</w:t>
            </w:r>
          </w:p>
        </w:tc>
        <w:tc>
          <w:tcPr>
            <w:tcW w:w="372" w:type="pct"/>
            <w:shd w:val="clear" w:color="auto" w:fill="auto"/>
            <w:vAlign w:val="center"/>
            <w:hideMark/>
          </w:tcPr>
          <w:p w14:paraId="10C17EB2" w14:textId="77777777" w:rsidR="008433A0" w:rsidRPr="00A45614" w:rsidRDefault="008433A0" w:rsidP="0023469F">
            <w:pPr>
              <w:pStyle w:val="cuatexto"/>
              <w:spacing w:line="240" w:lineRule="auto"/>
              <w:jc w:val="right"/>
              <w:rPr>
                <w:sz w:val="17"/>
                <w:szCs w:val="17"/>
              </w:rPr>
            </w:pPr>
            <w:r>
              <w:rPr>
                <w:sz w:val="17"/>
              </w:rPr>
              <w:t>62,70</w:t>
            </w:r>
          </w:p>
        </w:tc>
        <w:tc>
          <w:tcPr>
            <w:tcW w:w="475" w:type="pct"/>
            <w:shd w:val="clear" w:color="auto" w:fill="auto"/>
            <w:vAlign w:val="center"/>
            <w:hideMark/>
          </w:tcPr>
          <w:p w14:paraId="6A263772" w14:textId="77777777" w:rsidR="008433A0" w:rsidRPr="00A45614" w:rsidRDefault="008433A0" w:rsidP="0023469F">
            <w:pPr>
              <w:pStyle w:val="cuatexto"/>
              <w:spacing w:line="240" w:lineRule="auto"/>
              <w:jc w:val="right"/>
              <w:rPr>
                <w:sz w:val="17"/>
                <w:szCs w:val="17"/>
              </w:rPr>
            </w:pPr>
            <w:r>
              <w:rPr>
                <w:sz w:val="17"/>
              </w:rPr>
              <w:t>81,22</w:t>
            </w:r>
          </w:p>
        </w:tc>
        <w:tc>
          <w:tcPr>
            <w:tcW w:w="478" w:type="pct"/>
            <w:shd w:val="clear" w:color="auto" w:fill="auto"/>
            <w:vAlign w:val="center"/>
          </w:tcPr>
          <w:p w14:paraId="572A06E0" w14:textId="77777777" w:rsidR="008433A0" w:rsidRPr="00A45614" w:rsidRDefault="008433A0" w:rsidP="0023469F">
            <w:pPr>
              <w:pStyle w:val="cuatexto"/>
              <w:spacing w:line="240" w:lineRule="auto"/>
              <w:jc w:val="right"/>
              <w:rPr>
                <w:sz w:val="17"/>
                <w:szCs w:val="17"/>
              </w:rPr>
            </w:pPr>
            <w:r>
              <w:rPr>
                <w:sz w:val="17"/>
              </w:rPr>
              <w:t>31,16</w:t>
            </w:r>
          </w:p>
        </w:tc>
        <w:tc>
          <w:tcPr>
            <w:tcW w:w="436" w:type="pct"/>
            <w:vAlign w:val="center"/>
          </w:tcPr>
          <w:p w14:paraId="02569FE3" w14:textId="77777777" w:rsidR="008433A0" w:rsidRPr="00A45614" w:rsidRDefault="008433A0" w:rsidP="0023469F">
            <w:pPr>
              <w:pStyle w:val="cuatexto"/>
              <w:spacing w:line="240" w:lineRule="auto"/>
              <w:jc w:val="right"/>
              <w:rPr>
                <w:sz w:val="17"/>
                <w:szCs w:val="17"/>
              </w:rPr>
            </w:pPr>
            <w:r>
              <w:rPr>
                <w:sz w:val="17"/>
              </w:rPr>
              <w:t>78,00</w:t>
            </w:r>
          </w:p>
        </w:tc>
        <w:tc>
          <w:tcPr>
            <w:tcW w:w="428" w:type="pct"/>
            <w:shd w:val="clear" w:color="auto" w:fill="auto"/>
            <w:vAlign w:val="center"/>
            <w:hideMark/>
          </w:tcPr>
          <w:p w14:paraId="50407924" w14:textId="77777777" w:rsidR="008433A0" w:rsidRPr="00A45614" w:rsidRDefault="008433A0" w:rsidP="0023469F">
            <w:pPr>
              <w:pStyle w:val="cuatexto"/>
              <w:spacing w:line="240" w:lineRule="auto"/>
              <w:jc w:val="right"/>
              <w:rPr>
                <w:sz w:val="17"/>
                <w:szCs w:val="17"/>
              </w:rPr>
            </w:pPr>
            <w:r>
              <w:rPr>
                <w:sz w:val="17"/>
              </w:rPr>
              <w:t>0</w:t>
            </w:r>
          </w:p>
        </w:tc>
        <w:tc>
          <w:tcPr>
            <w:tcW w:w="451" w:type="pct"/>
            <w:vAlign w:val="center"/>
          </w:tcPr>
          <w:p w14:paraId="54744454" w14:textId="77777777" w:rsidR="008433A0" w:rsidRPr="00A45614" w:rsidRDefault="008433A0" w:rsidP="0023469F">
            <w:pPr>
              <w:pStyle w:val="cuatexto"/>
              <w:spacing w:line="240" w:lineRule="auto"/>
              <w:jc w:val="right"/>
              <w:rPr>
                <w:color w:val="000000"/>
                <w:sz w:val="17"/>
                <w:szCs w:val="17"/>
              </w:rPr>
            </w:pPr>
            <w:r>
              <w:rPr>
                <w:color w:val="000000"/>
                <w:sz w:val="17"/>
              </w:rPr>
              <w:t>46,84</w:t>
            </w:r>
          </w:p>
        </w:tc>
        <w:tc>
          <w:tcPr>
            <w:tcW w:w="428" w:type="pct"/>
            <w:shd w:val="clear" w:color="auto" w:fill="auto"/>
            <w:vAlign w:val="center"/>
            <w:hideMark/>
          </w:tcPr>
          <w:p w14:paraId="0B6E2ABA" w14:textId="77777777" w:rsidR="008433A0" w:rsidRPr="00A45614" w:rsidRDefault="008433A0" w:rsidP="0023469F">
            <w:pPr>
              <w:pStyle w:val="cuatexto"/>
              <w:spacing w:line="240" w:lineRule="auto"/>
              <w:jc w:val="right"/>
              <w:rPr>
                <w:sz w:val="17"/>
                <w:szCs w:val="17"/>
              </w:rPr>
            </w:pPr>
            <w:r>
              <w:rPr>
                <w:sz w:val="17"/>
              </w:rPr>
              <w:t>150</w:t>
            </w:r>
          </w:p>
        </w:tc>
        <w:tc>
          <w:tcPr>
            <w:tcW w:w="372" w:type="pct"/>
            <w:shd w:val="clear" w:color="auto" w:fill="auto"/>
            <w:vAlign w:val="center"/>
          </w:tcPr>
          <w:p w14:paraId="1C69DDBD" w14:textId="77777777" w:rsidR="008433A0" w:rsidRPr="00A45614" w:rsidRDefault="008433A0" w:rsidP="0023469F">
            <w:pPr>
              <w:pStyle w:val="cuatexto"/>
              <w:spacing w:line="240" w:lineRule="auto"/>
              <w:jc w:val="right"/>
              <w:rPr>
                <w:sz w:val="17"/>
                <w:szCs w:val="17"/>
              </w:rPr>
            </w:pPr>
            <w:r>
              <w:rPr>
                <w:sz w:val="17"/>
              </w:rPr>
              <w:t>6,84</w:t>
            </w:r>
          </w:p>
        </w:tc>
      </w:tr>
      <w:tr w:rsidR="008433A0" w:rsidRPr="00A45614" w14:paraId="4059DEB1" w14:textId="77777777" w:rsidTr="0023469F">
        <w:trPr>
          <w:trHeight w:val="255"/>
        </w:trPr>
        <w:tc>
          <w:tcPr>
            <w:tcW w:w="1187" w:type="pct"/>
            <w:shd w:val="clear" w:color="auto" w:fill="auto"/>
            <w:vAlign w:val="center"/>
            <w:hideMark/>
          </w:tcPr>
          <w:p w14:paraId="6F12AA9C" w14:textId="77777777" w:rsidR="008433A0" w:rsidRPr="00A45614" w:rsidRDefault="008433A0" w:rsidP="00A45614">
            <w:pPr>
              <w:pStyle w:val="cuatexto"/>
              <w:spacing w:line="240" w:lineRule="auto"/>
              <w:rPr>
                <w:sz w:val="17"/>
                <w:szCs w:val="17"/>
              </w:rPr>
            </w:pPr>
            <w:r>
              <w:rPr>
                <w:sz w:val="17"/>
              </w:rPr>
              <w:t xml:space="preserve">Aurrezki gordina </w:t>
            </w:r>
          </w:p>
        </w:tc>
        <w:tc>
          <w:tcPr>
            <w:tcW w:w="372" w:type="pct"/>
            <w:shd w:val="clear" w:color="auto" w:fill="auto"/>
            <w:vAlign w:val="center"/>
            <w:hideMark/>
          </w:tcPr>
          <w:p w14:paraId="3A281C5B" w14:textId="77777777" w:rsidR="008433A0" w:rsidRPr="00A45614" w:rsidRDefault="008433A0" w:rsidP="0023469F">
            <w:pPr>
              <w:pStyle w:val="cuatexto"/>
              <w:spacing w:line="240" w:lineRule="auto"/>
              <w:jc w:val="right"/>
              <w:rPr>
                <w:sz w:val="17"/>
                <w:szCs w:val="17"/>
              </w:rPr>
            </w:pPr>
            <w:r>
              <w:rPr>
                <w:sz w:val="17"/>
              </w:rPr>
              <w:t>123,24</w:t>
            </w:r>
          </w:p>
        </w:tc>
        <w:tc>
          <w:tcPr>
            <w:tcW w:w="372" w:type="pct"/>
            <w:shd w:val="clear" w:color="auto" w:fill="auto"/>
            <w:vAlign w:val="center"/>
            <w:hideMark/>
          </w:tcPr>
          <w:p w14:paraId="2FD4A84D" w14:textId="77777777" w:rsidR="008433A0" w:rsidRPr="00A45614" w:rsidRDefault="008433A0" w:rsidP="0023469F">
            <w:pPr>
              <w:pStyle w:val="cuatexto"/>
              <w:spacing w:line="240" w:lineRule="auto"/>
              <w:jc w:val="right"/>
              <w:rPr>
                <w:sz w:val="17"/>
                <w:szCs w:val="17"/>
              </w:rPr>
            </w:pPr>
            <w:r>
              <w:rPr>
                <w:sz w:val="17"/>
              </w:rPr>
              <w:t>112,17</w:t>
            </w:r>
          </w:p>
        </w:tc>
        <w:tc>
          <w:tcPr>
            <w:tcW w:w="475" w:type="pct"/>
            <w:shd w:val="clear" w:color="auto" w:fill="auto"/>
            <w:vAlign w:val="center"/>
            <w:hideMark/>
          </w:tcPr>
          <w:p w14:paraId="0C495244" w14:textId="77777777" w:rsidR="008433A0" w:rsidRPr="00A45614" w:rsidRDefault="008433A0" w:rsidP="0023469F">
            <w:pPr>
              <w:pStyle w:val="cuatexto"/>
              <w:spacing w:line="240" w:lineRule="auto"/>
              <w:jc w:val="right"/>
              <w:rPr>
                <w:sz w:val="17"/>
                <w:szCs w:val="17"/>
              </w:rPr>
            </w:pPr>
            <w:r>
              <w:rPr>
                <w:sz w:val="17"/>
              </w:rPr>
              <w:t>126,60</w:t>
            </w:r>
          </w:p>
        </w:tc>
        <w:tc>
          <w:tcPr>
            <w:tcW w:w="478" w:type="pct"/>
            <w:shd w:val="clear" w:color="auto" w:fill="auto"/>
            <w:vAlign w:val="center"/>
          </w:tcPr>
          <w:p w14:paraId="73E5A855" w14:textId="77777777" w:rsidR="008433A0" w:rsidRPr="00A45614" w:rsidRDefault="008433A0" w:rsidP="0023469F">
            <w:pPr>
              <w:pStyle w:val="cuatexto"/>
              <w:spacing w:line="240" w:lineRule="auto"/>
              <w:jc w:val="right"/>
              <w:rPr>
                <w:sz w:val="17"/>
                <w:szCs w:val="17"/>
              </w:rPr>
            </w:pPr>
            <w:r>
              <w:rPr>
                <w:sz w:val="17"/>
              </w:rPr>
              <w:t>137,68</w:t>
            </w:r>
          </w:p>
        </w:tc>
        <w:tc>
          <w:tcPr>
            <w:tcW w:w="436" w:type="pct"/>
            <w:vAlign w:val="center"/>
          </w:tcPr>
          <w:p w14:paraId="4C77B678" w14:textId="77777777" w:rsidR="008433A0" w:rsidRPr="00A45614" w:rsidRDefault="008433A0" w:rsidP="0023469F">
            <w:pPr>
              <w:pStyle w:val="cuatexto"/>
              <w:spacing w:line="240" w:lineRule="auto"/>
              <w:jc w:val="right"/>
              <w:rPr>
                <w:sz w:val="17"/>
                <w:szCs w:val="17"/>
              </w:rPr>
            </w:pPr>
            <w:r>
              <w:rPr>
                <w:sz w:val="17"/>
              </w:rPr>
              <w:t>138,84</w:t>
            </w:r>
          </w:p>
        </w:tc>
        <w:tc>
          <w:tcPr>
            <w:tcW w:w="428" w:type="pct"/>
            <w:shd w:val="clear" w:color="auto" w:fill="auto"/>
            <w:vAlign w:val="center"/>
            <w:hideMark/>
          </w:tcPr>
          <w:p w14:paraId="27A00185" w14:textId="77777777" w:rsidR="008433A0" w:rsidRPr="00A45614" w:rsidRDefault="008433A0" w:rsidP="0023469F">
            <w:pPr>
              <w:pStyle w:val="cuatexto"/>
              <w:spacing w:line="240" w:lineRule="auto"/>
              <w:jc w:val="right"/>
              <w:rPr>
                <w:sz w:val="17"/>
                <w:szCs w:val="17"/>
              </w:rPr>
            </w:pPr>
            <w:r>
              <w:rPr>
                <w:sz w:val="17"/>
              </w:rPr>
              <w:t>13</w:t>
            </w:r>
          </w:p>
        </w:tc>
        <w:tc>
          <w:tcPr>
            <w:tcW w:w="451" w:type="pct"/>
            <w:vAlign w:val="center"/>
          </w:tcPr>
          <w:p w14:paraId="406722AF" w14:textId="77777777" w:rsidR="008433A0" w:rsidRPr="00A45614" w:rsidRDefault="008433A0" w:rsidP="0023469F">
            <w:pPr>
              <w:pStyle w:val="cuatexto"/>
              <w:spacing w:line="240" w:lineRule="auto"/>
              <w:jc w:val="right"/>
              <w:rPr>
                <w:color w:val="000000"/>
                <w:sz w:val="17"/>
                <w:szCs w:val="17"/>
              </w:rPr>
            </w:pPr>
            <w:r>
              <w:rPr>
                <w:color w:val="000000"/>
                <w:sz w:val="17"/>
              </w:rPr>
              <w:t>1,16</w:t>
            </w:r>
          </w:p>
        </w:tc>
        <w:tc>
          <w:tcPr>
            <w:tcW w:w="428" w:type="pct"/>
            <w:shd w:val="clear" w:color="auto" w:fill="auto"/>
            <w:vAlign w:val="center"/>
            <w:hideMark/>
          </w:tcPr>
          <w:p w14:paraId="4FAA6578" w14:textId="77777777" w:rsidR="008433A0" w:rsidRPr="00A45614" w:rsidRDefault="008433A0" w:rsidP="0023469F">
            <w:pPr>
              <w:pStyle w:val="cuatexto"/>
              <w:spacing w:line="240" w:lineRule="auto"/>
              <w:jc w:val="right"/>
              <w:rPr>
                <w:sz w:val="17"/>
                <w:szCs w:val="17"/>
              </w:rPr>
            </w:pPr>
            <w:r>
              <w:rPr>
                <w:sz w:val="17"/>
              </w:rPr>
              <w:t>1</w:t>
            </w:r>
          </w:p>
        </w:tc>
        <w:tc>
          <w:tcPr>
            <w:tcW w:w="372" w:type="pct"/>
            <w:shd w:val="clear" w:color="auto" w:fill="auto"/>
            <w:vAlign w:val="center"/>
          </w:tcPr>
          <w:p w14:paraId="57039AE3" w14:textId="77777777" w:rsidR="008433A0" w:rsidRPr="00A45614" w:rsidRDefault="008433A0" w:rsidP="0023469F">
            <w:pPr>
              <w:pStyle w:val="cuatexto"/>
              <w:spacing w:line="240" w:lineRule="auto"/>
              <w:jc w:val="right"/>
              <w:rPr>
                <w:sz w:val="17"/>
                <w:szCs w:val="17"/>
              </w:rPr>
            </w:pPr>
            <w:r>
              <w:rPr>
                <w:sz w:val="17"/>
              </w:rPr>
              <w:t>145,95</w:t>
            </w:r>
          </w:p>
        </w:tc>
      </w:tr>
      <w:tr w:rsidR="008433A0" w:rsidRPr="00A45614" w14:paraId="6A4FD58A" w14:textId="77777777" w:rsidTr="0023469F">
        <w:trPr>
          <w:trHeight w:val="255"/>
        </w:trPr>
        <w:tc>
          <w:tcPr>
            <w:tcW w:w="1187" w:type="pct"/>
            <w:shd w:val="clear" w:color="auto" w:fill="auto"/>
            <w:vAlign w:val="center"/>
            <w:hideMark/>
          </w:tcPr>
          <w:p w14:paraId="52C0F92D" w14:textId="77777777" w:rsidR="008433A0" w:rsidRPr="00A45614" w:rsidRDefault="008433A0" w:rsidP="00A45614">
            <w:pPr>
              <w:pStyle w:val="cuatexto"/>
              <w:spacing w:line="240" w:lineRule="auto"/>
              <w:rPr>
                <w:sz w:val="17"/>
                <w:szCs w:val="17"/>
              </w:rPr>
            </w:pPr>
            <w:r>
              <w:rPr>
                <w:sz w:val="17"/>
              </w:rPr>
              <w:t>Finantza-zama</w:t>
            </w:r>
          </w:p>
        </w:tc>
        <w:tc>
          <w:tcPr>
            <w:tcW w:w="372" w:type="pct"/>
            <w:shd w:val="clear" w:color="auto" w:fill="auto"/>
            <w:vAlign w:val="center"/>
            <w:hideMark/>
          </w:tcPr>
          <w:p w14:paraId="50241B1F" w14:textId="77777777" w:rsidR="008433A0" w:rsidRPr="00A45614" w:rsidRDefault="008433A0" w:rsidP="0023469F">
            <w:pPr>
              <w:pStyle w:val="cuatexto"/>
              <w:spacing w:line="240" w:lineRule="auto"/>
              <w:jc w:val="right"/>
              <w:rPr>
                <w:sz w:val="17"/>
                <w:szCs w:val="17"/>
              </w:rPr>
            </w:pPr>
            <w:r>
              <w:rPr>
                <w:sz w:val="17"/>
              </w:rPr>
              <w:t>37,59</w:t>
            </w:r>
          </w:p>
        </w:tc>
        <w:tc>
          <w:tcPr>
            <w:tcW w:w="372" w:type="pct"/>
            <w:shd w:val="clear" w:color="auto" w:fill="auto"/>
            <w:vAlign w:val="center"/>
            <w:hideMark/>
          </w:tcPr>
          <w:p w14:paraId="1431640F" w14:textId="77777777" w:rsidR="008433A0" w:rsidRPr="00A45614" w:rsidRDefault="008433A0" w:rsidP="0023469F">
            <w:pPr>
              <w:pStyle w:val="cuatexto"/>
              <w:spacing w:line="240" w:lineRule="auto"/>
              <w:jc w:val="right"/>
              <w:rPr>
                <w:sz w:val="17"/>
                <w:szCs w:val="17"/>
              </w:rPr>
            </w:pPr>
            <w:r>
              <w:rPr>
                <w:sz w:val="17"/>
              </w:rPr>
              <w:t>47,59</w:t>
            </w:r>
          </w:p>
        </w:tc>
        <w:tc>
          <w:tcPr>
            <w:tcW w:w="475" w:type="pct"/>
            <w:shd w:val="clear" w:color="auto" w:fill="auto"/>
            <w:vAlign w:val="center"/>
            <w:hideMark/>
          </w:tcPr>
          <w:p w14:paraId="45D8473A" w14:textId="77777777" w:rsidR="008433A0" w:rsidRPr="00A45614" w:rsidRDefault="008433A0" w:rsidP="0023469F">
            <w:pPr>
              <w:pStyle w:val="cuatexto"/>
              <w:spacing w:line="240" w:lineRule="auto"/>
              <w:jc w:val="right"/>
              <w:rPr>
                <w:sz w:val="17"/>
                <w:szCs w:val="17"/>
              </w:rPr>
            </w:pPr>
            <w:r>
              <w:rPr>
                <w:sz w:val="17"/>
              </w:rPr>
              <w:t>35,00</w:t>
            </w:r>
          </w:p>
        </w:tc>
        <w:tc>
          <w:tcPr>
            <w:tcW w:w="478" w:type="pct"/>
            <w:shd w:val="clear" w:color="auto" w:fill="auto"/>
            <w:vAlign w:val="center"/>
          </w:tcPr>
          <w:p w14:paraId="15314341" w14:textId="77777777" w:rsidR="008433A0" w:rsidRPr="00A45614" w:rsidRDefault="008433A0" w:rsidP="0023469F">
            <w:pPr>
              <w:pStyle w:val="cuatexto"/>
              <w:spacing w:line="240" w:lineRule="auto"/>
              <w:jc w:val="right"/>
              <w:rPr>
                <w:sz w:val="17"/>
                <w:szCs w:val="17"/>
              </w:rPr>
            </w:pPr>
            <w:r>
              <w:rPr>
                <w:sz w:val="17"/>
              </w:rPr>
              <w:t>30,54</w:t>
            </w:r>
          </w:p>
        </w:tc>
        <w:tc>
          <w:tcPr>
            <w:tcW w:w="436" w:type="pct"/>
            <w:vAlign w:val="center"/>
          </w:tcPr>
          <w:p w14:paraId="1DEDDD85" w14:textId="77777777" w:rsidR="008433A0" w:rsidRPr="00A45614" w:rsidRDefault="008433A0" w:rsidP="0023469F">
            <w:pPr>
              <w:pStyle w:val="cuatexto"/>
              <w:spacing w:line="240" w:lineRule="auto"/>
              <w:jc w:val="right"/>
              <w:rPr>
                <w:sz w:val="17"/>
                <w:szCs w:val="17"/>
              </w:rPr>
            </w:pPr>
            <w:r>
              <w:rPr>
                <w:sz w:val="17"/>
              </w:rPr>
              <w:t>30,33</w:t>
            </w:r>
          </w:p>
        </w:tc>
        <w:tc>
          <w:tcPr>
            <w:tcW w:w="428" w:type="pct"/>
            <w:shd w:val="clear" w:color="auto" w:fill="auto"/>
            <w:vAlign w:val="center"/>
            <w:hideMark/>
          </w:tcPr>
          <w:p w14:paraId="4958070A" w14:textId="77777777" w:rsidR="008433A0" w:rsidRPr="00A45614" w:rsidRDefault="008433A0" w:rsidP="0023469F">
            <w:pPr>
              <w:pStyle w:val="cuatexto"/>
              <w:spacing w:line="240" w:lineRule="auto"/>
              <w:jc w:val="right"/>
              <w:rPr>
                <w:sz w:val="17"/>
                <w:szCs w:val="17"/>
              </w:rPr>
            </w:pPr>
            <w:r>
              <w:rPr>
                <w:sz w:val="17"/>
              </w:rPr>
              <w:t>-19</w:t>
            </w:r>
          </w:p>
        </w:tc>
        <w:tc>
          <w:tcPr>
            <w:tcW w:w="451" w:type="pct"/>
            <w:vAlign w:val="center"/>
          </w:tcPr>
          <w:p w14:paraId="5112EEA9" w14:textId="77777777" w:rsidR="008433A0" w:rsidRPr="00A45614" w:rsidRDefault="008433A0" w:rsidP="0023469F">
            <w:pPr>
              <w:pStyle w:val="cuatexto"/>
              <w:spacing w:line="240" w:lineRule="auto"/>
              <w:jc w:val="right"/>
              <w:rPr>
                <w:color w:val="000000"/>
                <w:sz w:val="17"/>
                <w:szCs w:val="17"/>
              </w:rPr>
            </w:pPr>
            <w:r>
              <w:rPr>
                <w:color w:val="000000"/>
                <w:sz w:val="17"/>
              </w:rPr>
              <w:t>-0,21</w:t>
            </w:r>
          </w:p>
        </w:tc>
        <w:tc>
          <w:tcPr>
            <w:tcW w:w="428" w:type="pct"/>
            <w:shd w:val="clear" w:color="auto" w:fill="auto"/>
            <w:vAlign w:val="center"/>
            <w:hideMark/>
          </w:tcPr>
          <w:p w14:paraId="5E5AB60A" w14:textId="77777777" w:rsidR="008433A0" w:rsidRPr="00A45614" w:rsidRDefault="008433A0" w:rsidP="0023469F">
            <w:pPr>
              <w:pStyle w:val="cuatexto"/>
              <w:spacing w:line="240" w:lineRule="auto"/>
              <w:jc w:val="right"/>
              <w:rPr>
                <w:sz w:val="17"/>
                <w:szCs w:val="17"/>
              </w:rPr>
            </w:pPr>
            <w:r>
              <w:rPr>
                <w:sz w:val="17"/>
              </w:rPr>
              <w:t>-1</w:t>
            </w:r>
          </w:p>
        </w:tc>
        <w:tc>
          <w:tcPr>
            <w:tcW w:w="372" w:type="pct"/>
            <w:shd w:val="clear" w:color="auto" w:fill="auto"/>
            <w:vAlign w:val="center"/>
          </w:tcPr>
          <w:p w14:paraId="59068602" w14:textId="77777777" w:rsidR="008433A0" w:rsidRPr="00A45614" w:rsidRDefault="008433A0" w:rsidP="0023469F">
            <w:pPr>
              <w:pStyle w:val="cuatexto"/>
              <w:spacing w:line="240" w:lineRule="auto"/>
              <w:jc w:val="right"/>
              <w:rPr>
                <w:sz w:val="17"/>
                <w:szCs w:val="17"/>
              </w:rPr>
            </w:pPr>
            <w:r>
              <w:rPr>
                <w:sz w:val="17"/>
              </w:rPr>
              <w:t>30,33</w:t>
            </w:r>
          </w:p>
        </w:tc>
      </w:tr>
      <w:tr w:rsidR="008433A0" w:rsidRPr="00A45614" w14:paraId="1694A06F" w14:textId="77777777" w:rsidTr="0023469F">
        <w:trPr>
          <w:trHeight w:val="255"/>
        </w:trPr>
        <w:tc>
          <w:tcPr>
            <w:tcW w:w="1187" w:type="pct"/>
            <w:shd w:val="clear" w:color="auto" w:fill="auto"/>
            <w:vAlign w:val="center"/>
            <w:hideMark/>
          </w:tcPr>
          <w:p w14:paraId="13BFEEAB" w14:textId="77777777" w:rsidR="008433A0" w:rsidRPr="00A45614" w:rsidRDefault="008433A0" w:rsidP="00A45614">
            <w:pPr>
              <w:pStyle w:val="cuatexto"/>
              <w:spacing w:line="240" w:lineRule="auto"/>
              <w:rPr>
                <w:sz w:val="17"/>
                <w:szCs w:val="17"/>
              </w:rPr>
            </w:pPr>
            <w:r>
              <w:rPr>
                <w:sz w:val="17"/>
              </w:rPr>
              <w:t xml:space="preserve">Aurrezki garbia </w:t>
            </w:r>
          </w:p>
        </w:tc>
        <w:tc>
          <w:tcPr>
            <w:tcW w:w="372" w:type="pct"/>
            <w:shd w:val="clear" w:color="auto" w:fill="auto"/>
            <w:vAlign w:val="center"/>
            <w:hideMark/>
          </w:tcPr>
          <w:p w14:paraId="4533E04D" w14:textId="77777777" w:rsidR="008433A0" w:rsidRPr="00A45614" w:rsidRDefault="008433A0" w:rsidP="0023469F">
            <w:pPr>
              <w:pStyle w:val="cuatexto"/>
              <w:spacing w:line="240" w:lineRule="auto"/>
              <w:jc w:val="right"/>
              <w:rPr>
                <w:sz w:val="17"/>
                <w:szCs w:val="17"/>
              </w:rPr>
            </w:pPr>
            <w:r>
              <w:rPr>
                <w:sz w:val="17"/>
              </w:rPr>
              <w:t>85,41</w:t>
            </w:r>
          </w:p>
        </w:tc>
        <w:tc>
          <w:tcPr>
            <w:tcW w:w="372" w:type="pct"/>
            <w:shd w:val="clear" w:color="auto" w:fill="auto"/>
            <w:vAlign w:val="center"/>
            <w:hideMark/>
          </w:tcPr>
          <w:p w14:paraId="7230BD11" w14:textId="77777777" w:rsidR="008433A0" w:rsidRPr="00A45614" w:rsidRDefault="008433A0" w:rsidP="0023469F">
            <w:pPr>
              <w:pStyle w:val="cuatexto"/>
              <w:spacing w:line="240" w:lineRule="auto"/>
              <w:jc w:val="right"/>
              <w:rPr>
                <w:sz w:val="17"/>
                <w:szCs w:val="17"/>
              </w:rPr>
            </w:pPr>
            <w:r>
              <w:rPr>
                <w:sz w:val="17"/>
              </w:rPr>
              <w:t>64,58</w:t>
            </w:r>
          </w:p>
        </w:tc>
        <w:tc>
          <w:tcPr>
            <w:tcW w:w="475" w:type="pct"/>
            <w:shd w:val="clear" w:color="auto" w:fill="auto"/>
            <w:vAlign w:val="center"/>
            <w:hideMark/>
          </w:tcPr>
          <w:p w14:paraId="52D21FDF" w14:textId="77777777" w:rsidR="008433A0" w:rsidRPr="00A45614" w:rsidRDefault="008433A0" w:rsidP="0023469F">
            <w:pPr>
              <w:pStyle w:val="cuatexto"/>
              <w:spacing w:line="240" w:lineRule="auto"/>
              <w:jc w:val="right"/>
              <w:rPr>
                <w:sz w:val="17"/>
                <w:szCs w:val="17"/>
              </w:rPr>
            </w:pPr>
            <w:r>
              <w:rPr>
                <w:sz w:val="17"/>
              </w:rPr>
              <w:t>91,60</w:t>
            </w:r>
          </w:p>
        </w:tc>
        <w:tc>
          <w:tcPr>
            <w:tcW w:w="478" w:type="pct"/>
            <w:shd w:val="clear" w:color="auto" w:fill="auto"/>
            <w:vAlign w:val="center"/>
          </w:tcPr>
          <w:p w14:paraId="621DA106" w14:textId="77777777" w:rsidR="008433A0" w:rsidRPr="00A45614" w:rsidRDefault="008433A0" w:rsidP="0023469F">
            <w:pPr>
              <w:pStyle w:val="cuatexto"/>
              <w:spacing w:line="240" w:lineRule="auto"/>
              <w:jc w:val="right"/>
              <w:rPr>
                <w:sz w:val="17"/>
                <w:szCs w:val="17"/>
              </w:rPr>
            </w:pPr>
            <w:r>
              <w:rPr>
                <w:sz w:val="17"/>
              </w:rPr>
              <w:t>107,14</w:t>
            </w:r>
          </w:p>
        </w:tc>
        <w:tc>
          <w:tcPr>
            <w:tcW w:w="436" w:type="pct"/>
            <w:vAlign w:val="center"/>
          </w:tcPr>
          <w:p w14:paraId="25B75C6A" w14:textId="77777777" w:rsidR="008433A0" w:rsidRPr="00A45614" w:rsidRDefault="008433A0" w:rsidP="0023469F">
            <w:pPr>
              <w:pStyle w:val="cuatexto"/>
              <w:spacing w:line="240" w:lineRule="auto"/>
              <w:jc w:val="right"/>
              <w:rPr>
                <w:sz w:val="17"/>
                <w:szCs w:val="17"/>
              </w:rPr>
            </w:pPr>
            <w:r>
              <w:rPr>
                <w:sz w:val="17"/>
              </w:rPr>
              <w:t>108,51</w:t>
            </w:r>
          </w:p>
        </w:tc>
        <w:tc>
          <w:tcPr>
            <w:tcW w:w="428" w:type="pct"/>
            <w:shd w:val="clear" w:color="auto" w:fill="auto"/>
            <w:vAlign w:val="center"/>
            <w:hideMark/>
          </w:tcPr>
          <w:p w14:paraId="0661244E" w14:textId="77777777" w:rsidR="008433A0" w:rsidRPr="00A45614" w:rsidRDefault="008433A0" w:rsidP="0023469F">
            <w:pPr>
              <w:pStyle w:val="cuatexto"/>
              <w:spacing w:line="240" w:lineRule="auto"/>
              <w:jc w:val="right"/>
              <w:rPr>
                <w:sz w:val="17"/>
                <w:szCs w:val="17"/>
              </w:rPr>
            </w:pPr>
            <w:r>
              <w:rPr>
                <w:sz w:val="17"/>
              </w:rPr>
              <w:t>27</w:t>
            </w:r>
          </w:p>
        </w:tc>
        <w:tc>
          <w:tcPr>
            <w:tcW w:w="451" w:type="pct"/>
            <w:vAlign w:val="center"/>
          </w:tcPr>
          <w:p w14:paraId="57BA76FD" w14:textId="77777777" w:rsidR="008433A0" w:rsidRPr="00A45614" w:rsidRDefault="008433A0" w:rsidP="0023469F">
            <w:pPr>
              <w:pStyle w:val="cuatexto"/>
              <w:spacing w:line="240" w:lineRule="auto"/>
              <w:jc w:val="right"/>
              <w:rPr>
                <w:color w:val="000000"/>
                <w:sz w:val="17"/>
                <w:szCs w:val="17"/>
              </w:rPr>
            </w:pPr>
            <w:r>
              <w:rPr>
                <w:color w:val="000000"/>
                <w:sz w:val="17"/>
              </w:rPr>
              <w:t>1,37</w:t>
            </w:r>
          </w:p>
        </w:tc>
        <w:tc>
          <w:tcPr>
            <w:tcW w:w="428" w:type="pct"/>
            <w:shd w:val="clear" w:color="auto" w:fill="auto"/>
            <w:vAlign w:val="center"/>
            <w:hideMark/>
          </w:tcPr>
          <w:p w14:paraId="277399A9" w14:textId="77777777" w:rsidR="008433A0" w:rsidRPr="00A45614" w:rsidRDefault="008433A0" w:rsidP="0023469F">
            <w:pPr>
              <w:pStyle w:val="cuatexto"/>
              <w:spacing w:line="240" w:lineRule="auto"/>
              <w:jc w:val="right"/>
              <w:rPr>
                <w:sz w:val="17"/>
                <w:szCs w:val="17"/>
              </w:rPr>
            </w:pPr>
            <w:r>
              <w:rPr>
                <w:sz w:val="17"/>
              </w:rPr>
              <w:t>1</w:t>
            </w:r>
          </w:p>
        </w:tc>
        <w:tc>
          <w:tcPr>
            <w:tcW w:w="372" w:type="pct"/>
            <w:shd w:val="clear" w:color="auto" w:fill="auto"/>
            <w:vAlign w:val="center"/>
          </w:tcPr>
          <w:p w14:paraId="18DAA264" w14:textId="77777777" w:rsidR="008433A0" w:rsidRPr="00A45614" w:rsidRDefault="008433A0" w:rsidP="0023469F">
            <w:pPr>
              <w:pStyle w:val="cuatexto"/>
              <w:spacing w:line="240" w:lineRule="auto"/>
              <w:jc w:val="right"/>
              <w:rPr>
                <w:sz w:val="17"/>
                <w:szCs w:val="17"/>
              </w:rPr>
            </w:pPr>
            <w:r>
              <w:rPr>
                <w:sz w:val="17"/>
              </w:rPr>
              <w:t>115,62</w:t>
            </w:r>
          </w:p>
        </w:tc>
      </w:tr>
      <w:tr w:rsidR="008433A0" w:rsidRPr="00A45614" w14:paraId="2CB35287" w14:textId="77777777" w:rsidTr="0023469F">
        <w:trPr>
          <w:trHeight w:val="255"/>
        </w:trPr>
        <w:tc>
          <w:tcPr>
            <w:tcW w:w="1187" w:type="pct"/>
            <w:shd w:val="clear" w:color="auto" w:fill="auto"/>
            <w:vAlign w:val="center"/>
            <w:hideMark/>
          </w:tcPr>
          <w:p w14:paraId="5EDB8E73" w14:textId="77777777" w:rsidR="008433A0" w:rsidRPr="00A45614" w:rsidRDefault="008433A0" w:rsidP="00A45614">
            <w:pPr>
              <w:pStyle w:val="cuatexto"/>
              <w:spacing w:line="240" w:lineRule="auto"/>
              <w:rPr>
                <w:sz w:val="17"/>
                <w:szCs w:val="17"/>
              </w:rPr>
            </w:pPr>
            <w:r>
              <w:rPr>
                <w:sz w:val="17"/>
              </w:rPr>
              <w:t>Finantza-zamaren indizea</w:t>
            </w:r>
          </w:p>
        </w:tc>
        <w:tc>
          <w:tcPr>
            <w:tcW w:w="372" w:type="pct"/>
            <w:shd w:val="clear" w:color="auto" w:fill="auto"/>
            <w:vAlign w:val="center"/>
            <w:hideMark/>
          </w:tcPr>
          <w:p w14:paraId="27F4C099" w14:textId="77777777" w:rsidR="008433A0" w:rsidRPr="00A45614" w:rsidRDefault="008433A0" w:rsidP="0023469F">
            <w:pPr>
              <w:pStyle w:val="cuatexto"/>
              <w:spacing w:line="240" w:lineRule="auto"/>
              <w:jc w:val="right"/>
              <w:rPr>
                <w:sz w:val="17"/>
                <w:szCs w:val="17"/>
              </w:rPr>
            </w:pPr>
            <w:r>
              <w:rPr>
                <w:sz w:val="17"/>
              </w:rPr>
              <w:t>5,23</w:t>
            </w:r>
          </w:p>
        </w:tc>
        <w:tc>
          <w:tcPr>
            <w:tcW w:w="372" w:type="pct"/>
            <w:shd w:val="clear" w:color="auto" w:fill="auto"/>
            <w:vAlign w:val="center"/>
            <w:hideMark/>
          </w:tcPr>
          <w:p w14:paraId="738D79DB" w14:textId="77777777" w:rsidR="008433A0" w:rsidRPr="00A45614" w:rsidRDefault="008433A0" w:rsidP="0023469F">
            <w:pPr>
              <w:pStyle w:val="cuatexto"/>
              <w:spacing w:line="240" w:lineRule="auto"/>
              <w:jc w:val="right"/>
              <w:rPr>
                <w:sz w:val="17"/>
                <w:szCs w:val="17"/>
              </w:rPr>
            </w:pPr>
            <w:r>
              <w:rPr>
                <w:sz w:val="17"/>
              </w:rPr>
              <w:t>6,58</w:t>
            </w:r>
          </w:p>
        </w:tc>
        <w:tc>
          <w:tcPr>
            <w:tcW w:w="475" w:type="pct"/>
            <w:shd w:val="clear" w:color="auto" w:fill="auto"/>
            <w:vAlign w:val="center"/>
            <w:hideMark/>
          </w:tcPr>
          <w:p w14:paraId="1588C351" w14:textId="77777777" w:rsidR="008433A0" w:rsidRPr="00A45614" w:rsidRDefault="008433A0" w:rsidP="0023469F">
            <w:pPr>
              <w:pStyle w:val="cuatexto"/>
              <w:spacing w:line="240" w:lineRule="auto"/>
              <w:jc w:val="right"/>
              <w:rPr>
                <w:sz w:val="17"/>
                <w:szCs w:val="17"/>
              </w:rPr>
            </w:pPr>
            <w:r>
              <w:rPr>
                <w:sz w:val="17"/>
              </w:rPr>
              <w:t>4,65</w:t>
            </w:r>
          </w:p>
        </w:tc>
        <w:tc>
          <w:tcPr>
            <w:tcW w:w="478" w:type="pct"/>
            <w:shd w:val="clear" w:color="auto" w:fill="auto"/>
            <w:vAlign w:val="center"/>
          </w:tcPr>
          <w:p w14:paraId="3AB9BE89" w14:textId="77777777" w:rsidR="008433A0" w:rsidRPr="00A45614" w:rsidRDefault="008433A0" w:rsidP="0023469F">
            <w:pPr>
              <w:pStyle w:val="cuatexto"/>
              <w:spacing w:line="240" w:lineRule="auto"/>
              <w:jc w:val="right"/>
              <w:rPr>
                <w:sz w:val="17"/>
                <w:szCs w:val="17"/>
              </w:rPr>
            </w:pPr>
            <w:r>
              <w:rPr>
                <w:sz w:val="17"/>
              </w:rPr>
              <w:t>3,86</w:t>
            </w:r>
          </w:p>
        </w:tc>
        <w:tc>
          <w:tcPr>
            <w:tcW w:w="436" w:type="pct"/>
            <w:vAlign w:val="center"/>
          </w:tcPr>
          <w:p w14:paraId="02CF6BE2" w14:textId="77777777" w:rsidR="008433A0" w:rsidRPr="00A45614" w:rsidRDefault="008433A0" w:rsidP="0023469F">
            <w:pPr>
              <w:pStyle w:val="cuatexto"/>
              <w:spacing w:line="240" w:lineRule="auto"/>
              <w:jc w:val="right"/>
              <w:rPr>
                <w:sz w:val="17"/>
                <w:szCs w:val="17"/>
              </w:rPr>
            </w:pPr>
            <w:r>
              <w:rPr>
                <w:sz w:val="17"/>
              </w:rPr>
              <w:t>3,88</w:t>
            </w:r>
          </w:p>
        </w:tc>
        <w:tc>
          <w:tcPr>
            <w:tcW w:w="428" w:type="pct"/>
            <w:shd w:val="clear" w:color="auto" w:fill="auto"/>
            <w:vAlign w:val="center"/>
            <w:hideMark/>
          </w:tcPr>
          <w:p w14:paraId="6A6A75F8" w14:textId="77777777" w:rsidR="008433A0" w:rsidRPr="00A45614" w:rsidRDefault="008433A0" w:rsidP="0023469F">
            <w:pPr>
              <w:pStyle w:val="cuatexto"/>
              <w:spacing w:line="240" w:lineRule="auto"/>
              <w:jc w:val="right"/>
              <w:rPr>
                <w:sz w:val="17"/>
                <w:szCs w:val="17"/>
              </w:rPr>
            </w:pPr>
            <w:r>
              <w:rPr>
                <w:sz w:val="17"/>
              </w:rPr>
              <w:t>-26</w:t>
            </w:r>
          </w:p>
        </w:tc>
        <w:tc>
          <w:tcPr>
            <w:tcW w:w="451" w:type="pct"/>
            <w:vAlign w:val="center"/>
          </w:tcPr>
          <w:p w14:paraId="113CA622" w14:textId="77777777" w:rsidR="008433A0" w:rsidRPr="00A45614" w:rsidRDefault="008433A0" w:rsidP="0023469F">
            <w:pPr>
              <w:pStyle w:val="cuatexto"/>
              <w:spacing w:line="240" w:lineRule="auto"/>
              <w:jc w:val="right"/>
              <w:rPr>
                <w:color w:val="000000"/>
                <w:sz w:val="17"/>
                <w:szCs w:val="17"/>
              </w:rPr>
            </w:pPr>
            <w:r>
              <w:rPr>
                <w:color w:val="000000"/>
                <w:sz w:val="17"/>
              </w:rPr>
              <w:t>0,02</w:t>
            </w:r>
          </w:p>
        </w:tc>
        <w:tc>
          <w:tcPr>
            <w:tcW w:w="428" w:type="pct"/>
            <w:shd w:val="clear" w:color="auto" w:fill="auto"/>
            <w:vAlign w:val="center"/>
            <w:hideMark/>
          </w:tcPr>
          <w:p w14:paraId="5EBE1435" w14:textId="77777777" w:rsidR="008433A0" w:rsidRPr="00A45614" w:rsidRDefault="008433A0" w:rsidP="0023469F">
            <w:pPr>
              <w:pStyle w:val="cuatexto"/>
              <w:spacing w:line="240" w:lineRule="auto"/>
              <w:jc w:val="right"/>
              <w:rPr>
                <w:sz w:val="17"/>
                <w:szCs w:val="17"/>
              </w:rPr>
            </w:pPr>
            <w:r>
              <w:rPr>
                <w:sz w:val="17"/>
              </w:rPr>
              <w:t>1</w:t>
            </w:r>
          </w:p>
        </w:tc>
        <w:tc>
          <w:tcPr>
            <w:tcW w:w="372" w:type="pct"/>
            <w:shd w:val="clear" w:color="auto" w:fill="auto"/>
            <w:vAlign w:val="center"/>
          </w:tcPr>
          <w:p w14:paraId="3D1A1563" w14:textId="77777777" w:rsidR="008433A0" w:rsidRPr="00A45614" w:rsidRDefault="008433A0" w:rsidP="0023469F">
            <w:pPr>
              <w:pStyle w:val="cuatexto"/>
              <w:spacing w:line="240" w:lineRule="auto"/>
              <w:jc w:val="right"/>
              <w:rPr>
                <w:sz w:val="17"/>
                <w:szCs w:val="17"/>
              </w:rPr>
            </w:pPr>
            <w:r>
              <w:rPr>
                <w:sz w:val="17"/>
              </w:rPr>
              <w:t>3,55</w:t>
            </w:r>
          </w:p>
        </w:tc>
      </w:tr>
      <w:tr w:rsidR="008433A0" w:rsidRPr="00A45614" w14:paraId="1C0EB384" w14:textId="77777777" w:rsidTr="0023469F">
        <w:trPr>
          <w:trHeight w:val="255"/>
        </w:trPr>
        <w:tc>
          <w:tcPr>
            <w:tcW w:w="1187" w:type="pct"/>
            <w:shd w:val="clear" w:color="auto" w:fill="auto"/>
            <w:vAlign w:val="center"/>
            <w:hideMark/>
          </w:tcPr>
          <w:p w14:paraId="4AF4064F" w14:textId="77777777" w:rsidR="00A45614" w:rsidRDefault="008433A0" w:rsidP="00A45614">
            <w:pPr>
              <w:pStyle w:val="cuatexto"/>
              <w:spacing w:line="240" w:lineRule="auto"/>
              <w:rPr>
                <w:sz w:val="17"/>
                <w:szCs w:val="17"/>
              </w:rPr>
            </w:pPr>
            <w:r>
              <w:rPr>
                <w:sz w:val="17"/>
              </w:rPr>
              <w:t xml:space="preserve">Aurrezki gordina/diru-sarrera arruntak (%) </w:t>
            </w:r>
          </w:p>
          <w:p w14:paraId="7671DD88" w14:textId="49728F66" w:rsidR="008433A0" w:rsidRPr="00A45614" w:rsidRDefault="008433A0" w:rsidP="00A45614">
            <w:pPr>
              <w:pStyle w:val="cuatexto"/>
              <w:spacing w:line="240" w:lineRule="auto"/>
              <w:rPr>
                <w:sz w:val="17"/>
                <w:szCs w:val="17"/>
              </w:rPr>
            </w:pPr>
          </w:p>
        </w:tc>
        <w:tc>
          <w:tcPr>
            <w:tcW w:w="372" w:type="pct"/>
            <w:shd w:val="clear" w:color="auto" w:fill="auto"/>
            <w:vAlign w:val="center"/>
            <w:hideMark/>
          </w:tcPr>
          <w:p w14:paraId="094C981B" w14:textId="77777777" w:rsidR="008433A0" w:rsidRPr="00A45614" w:rsidRDefault="008433A0" w:rsidP="0023469F">
            <w:pPr>
              <w:pStyle w:val="cuatexto"/>
              <w:spacing w:line="240" w:lineRule="auto"/>
              <w:jc w:val="right"/>
              <w:rPr>
                <w:sz w:val="17"/>
                <w:szCs w:val="17"/>
              </w:rPr>
            </w:pPr>
            <w:r>
              <w:rPr>
                <w:sz w:val="17"/>
              </w:rPr>
              <w:t>17,15</w:t>
            </w:r>
          </w:p>
        </w:tc>
        <w:tc>
          <w:tcPr>
            <w:tcW w:w="372" w:type="pct"/>
            <w:shd w:val="clear" w:color="auto" w:fill="auto"/>
            <w:vAlign w:val="center"/>
            <w:hideMark/>
          </w:tcPr>
          <w:p w14:paraId="5A73F449" w14:textId="77777777" w:rsidR="008433A0" w:rsidRPr="00A45614" w:rsidRDefault="008433A0" w:rsidP="0023469F">
            <w:pPr>
              <w:pStyle w:val="cuatexto"/>
              <w:spacing w:line="240" w:lineRule="auto"/>
              <w:jc w:val="right"/>
              <w:rPr>
                <w:sz w:val="17"/>
                <w:szCs w:val="17"/>
              </w:rPr>
            </w:pPr>
            <w:r>
              <w:rPr>
                <w:sz w:val="17"/>
              </w:rPr>
              <w:t>15,52</w:t>
            </w:r>
          </w:p>
        </w:tc>
        <w:tc>
          <w:tcPr>
            <w:tcW w:w="475" w:type="pct"/>
            <w:shd w:val="clear" w:color="auto" w:fill="auto"/>
            <w:vAlign w:val="center"/>
            <w:hideMark/>
          </w:tcPr>
          <w:p w14:paraId="2D6F825E" w14:textId="77777777" w:rsidR="008433A0" w:rsidRPr="00A45614" w:rsidRDefault="008433A0" w:rsidP="0023469F">
            <w:pPr>
              <w:pStyle w:val="cuatexto"/>
              <w:spacing w:line="240" w:lineRule="auto"/>
              <w:jc w:val="right"/>
              <w:rPr>
                <w:sz w:val="17"/>
                <w:szCs w:val="17"/>
              </w:rPr>
            </w:pPr>
            <w:r>
              <w:rPr>
                <w:sz w:val="17"/>
              </w:rPr>
              <w:t>16,82</w:t>
            </w:r>
          </w:p>
        </w:tc>
        <w:tc>
          <w:tcPr>
            <w:tcW w:w="478" w:type="pct"/>
            <w:shd w:val="clear" w:color="auto" w:fill="auto"/>
            <w:vAlign w:val="center"/>
          </w:tcPr>
          <w:p w14:paraId="29E90E91" w14:textId="77777777" w:rsidR="008433A0" w:rsidRPr="00A45614" w:rsidRDefault="008433A0" w:rsidP="0023469F">
            <w:pPr>
              <w:pStyle w:val="cuatexto"/>
              <w:spacing w:line="240" w:lineRule="auto"/>
              <w:jc w:val="right"/>
              <w:rPr>
                <w:sz w:val="17"/>
                <w:szCs w:val="17"/>
              </w:rPr>
            </w:pPr>
            <w:r>
              <w:rPr>
                <w:sz w:val="17"/>
              </w:rPr>
              <w:t>17,39</w:t>
            </w:r>
          </w:p>
        </w:tc>
        <w:tc>
          <w:tcPr>
            <w:tcW w:w="436" w:type="pct"/>
            <w:vAlign w:val="center"/>
          </w:tcPr>
          <w:p w14:paraId="6CE08FEA" w14:textId="77777777" w:rsidR="008433A0" w:rsidRPr="00A45614" w:rsidRDefault="008433A0" w:rsidP="0023469F">
            <w:pPr>
              <w:pStyle w:val="cuatexto"/>
              <w:spacing w:line="240" w:lineRule="auto"/>
              <w:jc w:val="right"/>
              <w:rPr>
                <w:sz w:val="17"/>
                <w:szCs w:val="17"/>
              </w:rPr>
            </w:pPr>
            <w:r>
              <w:rPr>
                <w:sz w:val="17"/>
              </w:rPr>
              <w:t>17,75</w:t>
            </w:r>
          </w:p>
        </w:tc>
        <w:tc>
          <w:tcPr>
            <w:tcW w:w="428" w:type="pct"/>
            <w:shd w:val="clear" w:color="auto" w:fill="auto"/>
            <w:vAlign w:val="center"/>
            <w:hideMark/>
          </w:tcPr>
          <w:p w14:paraId="7DFDE988" w14:textId="77777777" w:rsidR="008433A0" w:rsidRPr="00A45614" w:rsidRDefault="008433A0" w:rsidP="0023469F">
            <w:pPr>
              <w:pStyle w:val="cuatexto"/>
              <w:spacing w:line="240" w:lineRule="auto"/>
              <w:jc w:val="right"/>
              <w:rPr>
                <w:sz w:val="17"/>
                <w:szCs w:val="17"/>
              </w:rPr>
            </w:pPr>
            <w:r>
              <w:rPr>
                <w:sz w:val="17"/>
              </w:rPr>
              <w:t>4</w:t>
            </w:r>
          </w:p>
        </w:tc>
        <w:tc>
          <w:tcPr>
            <w:tcW w:w="451" w:type="pct"/>
            <w:vAlign w:val="center"/>
          </w:tcPr>
          <w:p w14:paraId="10F50B68" w14:textId="77777777" w:rsidR="008433A0" w:rsidRPr="00A45614" w:rsidRDefault="008433A0" w:rsidP="0023469F">
            <w:pPr>
              <w:pStyle w:val="cuatexto"/>
              <w:spacing w:line="240" w:lineRule="auto"/>
              <w:jc w:val="right"/>
              <w:rPr>
                <w:color w:val="000000"/>
                <w:sz w:val="17"/>
                <w:szCs w:val="17"/>
              </w:rPr>
            </w:pPr>
            <w:r>
              <w:rPr>
                <w:color w:val="000000"/>
                <w:sz w:val="17"/>
              </w:rPr>
              <w:t>0,36</w:t>
            </w:r>
          </w:p>
        </w:tc>
        <w:tc>
          <w:tcPr>
            <w:tcW w:w="428" w:type="pct"/>
            <w:shd w:val="clear" w:color="auto" w:fill="auto"/>
            <w:vAlign w:val="center"/>
            <w:hideMark/>
          </w:tcPr>
          <w:p w14:paraId="23C35825" w14:textId="77777777" w:rsidR="008433A0" w:rsidRPr="00A45614" w:rsidRDefault="008433A0" w:rsidP="0023469F">
            <w:pPr>
              <w:pStyle w:val="cuatexto"/>
              <w:spacing w:line="240" w:lineRule="auto"/>
              <w:jc w:val="right"/>
              <w:rPr>
                <w:sz w:val="17"/>
                <w:szCs w:val="17"/>
              </w:rPr>
            </w:pPr>
            <w:r>
              <w:rPr>
                <w:sz w:val="17"/>
              </w:rPr>
              <w:t>2</w:t>
            </w:r>
          </w:p>
        </w:tc>
        <w:tc>
          <w:tcPr>
            <w:tcW w:w="372" w:type="pct"/>
            <w:shd w:val="clear" w:color="auto" w:fill="auto"/>
            <w:vAlign w:val="center"/>
          </w:tcPr>
          <w:p w14:paraId="1819423C" w14:textId="77777777" w:rsidR="008433A0" w:rsidRPr="00A45614" w:rsidRDefault="008433A0" w:rsidP="0023469F">
            <w:pPr>
              <w:pStyle w:val="cuatexto"/>
              <w:spacing w:line="240" w:lineRule="auto"/>
              <w:jc w:val="right"/>
              <w:rPr>
                <w:sz w:val="17"/>
                <w:szCs w:val="17"/>
              </w:rPr>
            </w:pPr>
            <w:r>
              <w:rPr>
                <w:sz w:val="17"/>
              </w:rPr>
              <w:t>17,09</w:t>
            </w:r>
          </w:p>
        </w:tc>
      </w:tr>
      <w:tr w:rsidR="008433A0" w:rsidRPr="00A45614" w14:paraId="37250D5E" w14:textId="77777777" w:rsidTr="0023469F">
        <w:trPr>
          <w:trHeight w:val="255"/>
        </w:trPr>
        <w:tc>
          <w:tcPr>
            <w:tcW w:w="1187" w:type="pct"/>
            <w:shd w:val="clear" w:color="auto" w:fill="auto"/>
            <w:vAlign w:val="center"/>
            <w:hideMark/>
          </w:tcPr>
          <w:p w14:paraId="13FBD9D6" w14:textId="77777777" w:rsidR="00A45614" w:rsidRDefault="008433A0" w:rsidP="00A45614">
            <w:pPr>
              <w:pStyle w:val="cuatexto"/>
              <w:spacing w:line="240" w:lineRule="auto"/>
              <w:rPr>
                <w:sz w:val="17"/>
                <w:szCs w:val="17"/>
              </w:rPr>
            </w:pPr>
            <w:r>
              <w:rPr>
                <w:sz w:val="17"/>
              </w:rPr>
              <w:t xml:space="preserve">Zorpetze-ahalmena (%) </w:t>
            </w:r>
          </w:p>
          <w:p w14:paraId="7B099FDF" w14:textId="3951D8ED" w:rsidR="008433A0" w:rsidRPr="00A45614" w:rsidRDefault="008433A0" w:rsidP="00A45614">
            <w:pPr>
              <w:pStyle w:val="cuatexto"/>
              <w:spacing w:line="240" w:lineRule="auto"/>
              <w:rPr>
                <w:sz w:val="17"/>
                <w:szCs w:val="17"/>
              </w:rPr>
            </w:pPr>
          </w:p>
        </w:tc>
        <w:tc>
          <w:tcPr>
            <w:tcW w:w="372" w:type="pct"/>
            <w:shd w:val="clear" w:color="auto" w:fill="auto"/>
            <w:vAlign w:val="center"/>
            <w:hideMark/>
          </w:tcPr>
          <w:p w14:paraId="3B4734CF" w14:textId="77777777" w:rsidR="008433A0" w:rsidRPr="00A45614" w:rsidRDefault="008433A0" w:rsidP="0023469F">
            <w:pPr>
              <w:pStyle w:val="cuatexto"/>
              <w:spacing w:line="240" w:lineRule="auto"/>
              <w:jc w:val="right"/>
              <w:rPr>
                <w:sz w:val="17"/>
                <w:szCs w:val="17"/>
              </w:rPr>
            </w:pPr>
            <w:r>
              <w:rPr>
                <w:sz w:val="17"/>
              </w:rPr>
              <w:t>11,92</w:t>
            </w:r>
          </w:p>
        </w:tc>
        <w:tc>
          <w:tcPr>
            <w:tcW w:w="372" w:type="pct"/>
            <w:shd w:val="clear" w:color="auto" w:fill="auto"/>
            <w:vAlign w:val="center"/>
            <w:hideMark/>
          </w:tcPr>
          <w:p w14:paraId="35C1BA59" w14:textId="77777777" w:rsidR="008433A0" w:rsidRPr="00A45614" w:rsidRDefault="008433A0" w:rsidP="0023469F">
            <w:pPr>
              <w:pStyle w:val="cuatexto"/>
              <w:spacing w:line="240" w:lineRule="auto"/>
              <w:jc w:val="right"/>
              <w:rPr>
                <w:sz w:val="17"/>
                <w:szCs w:val="17"/>
              </w:rPr>
            </w:pPr>
            <w:r>
              <w:rPr>
                <w:sz w:val="17"/>
              </w:rPr>
              <w:t>8,94</w:t>
            </w:r>
          </w:p>
        </w:tc>
        <w:tc>
          <w:tcPr>
            <w:tcW w:w="475" w:type="pct"/>
            <w:shd w:val="clear" w:color="auto" w:fill="auto"/>
            <w:vAlign w:val="center"/>
            <w:hideMark/>
          </w:tcPr>
          <w:p w14:paraId="6416B74E" w14:textId="77777777" w:rsidR="008433A0" w:rsidRPr="00A45614" w:rsidRDefault="008433A0" w:rsidP="0023469F">
            <w:pPr>
              <w:pStyle w:val="cuatexto"/>
              <w:spacing w:line="240" w:lineRule="auto"/>
              <w:jc w:val="right"/>
              <w:rPr>
                <w:sz w:val="17"/>
                <w:szCs w:val="17"/>
              </w:rPr>
            </w:pPr>
            <w:r>
              <w:rPr>
                <w:sz w:val="17"/>
              </w:rPr>
              <w:t>12,17</w:t>
            </w:r>
          </w:p>
        </w:tc>
        <w:tc>
          <w:tcPr>
            <w:tcW w:w="478" w:type="pct"/>
            <w:shd w:val="clear" w:color="auto" w:fill="auto"/>
            <w:vAlign w:val="center"/>
          </w:tcPr>
          <w:p w14:paraId="56831668" w14:textId="77777777" w:rsidR="008433A0" w:rsidRPr="00A45614" w:rsidRDefault="008433A0" w:rsidP="0023469F">
            <w:pPr>
              <w:pStyle w:val="cuatexto"/>
              <w:spacing w:line="240" w:lineRule="auto"/>
              <w:jc w:val="right"/>
              <w:rPr>
                <w:sz w:val="17"/>
                <w:szCs w:val="17"/>
              </w:rPr>
            </w:pPr>
            <w:r>
              <w:rPr>
                <w:sz w:val="17"/>
              </w:rPr>
              <w:t>13,53</w:t>
            </w:r>
          </w:p>
        </w:tc>
        <w:tc>
          <w:tcPr>
            <w:tcW w:w="436" w:type="pct"/>
            <w:vAlign w:val="center"/>
          </w:tcPr>
          <w:p w14:paraId="7DFF8345" w14:textId="77777777" w:rsidR="008433A0" w:rsidRPr="00A45614" w:rsidRDefault="008433A0" w:rsidP="0023469F">
            <w:pPr>
              <w:pStyle w:val="cuatexto"/>
              <w:spacing w:line="240" w:lineRule="auto"/>
              <w:jc w:val="right"/>
              <w:rPr>
                <w:sz w:val="17"/>
                <w:szCs w:val="17"/>
              </w:rPr>
            </w:pPr>
            <w:r>
              <w:rPr>
                <w:sz w:val="17"/>
              </w:rPr>
              <w:t>13,88</w:t>
            </w:r>
          </w:p>
        </w:tc>
        <w:tc>
          <w:tcPr>
            <w:tcW w:w="428" w:type="pct"/>
            <w:shd w:val="clear" w:color="auto" w:fill="auto"/>
            <w:vAlign w:val="center"/>
            <w:hideMark/>
          </w:tcPr>
          <w:p w14:paraId="4E5BF90F" w14:textId="77777777" w:rsidR="008433A0" w:rsidRPr="00A45614" w:rsidRDefault="008433A0" w:rsidP="0023469F">
            <w:pPr>
              <w:pStyle w:val="cuatexto"/>
              <w:spacing w:line="240" w:lineRule="auto"/>
              <w:jc w:val="right"/>
              <w:rPr>
                <w:sz w:val="17"/>
                <w:szCs w:val="17"/>
              </w:rPr>
            </w:pPr>
            <w:r>
              <w:rPr>
                <w:sz w:val="17"/>
              </w:rPr>
              <w:t>16</w:t>
            </w:r>
          </w:p>
        </w:tc>
        <w:tc>
          <w:tcPr>
            <w:tcW w:w="451" w:type="pct"/>
            <w:vAlign w:val="center"/>
          </w:tcPr>
          <w:p w14:paraId="396E8C31" w14:textId="77777777" w:rsidR="008433A0" w:rsidRPr="00A45614" w:rsidRDefault="008433A0" w:rsidP="0023469F">
            <w:pPr>
              <w:pStyle w:val="cuatexto"/>
              <w:spacing w:line="240" w:lineRule="auto"/>
              <w:jc w:val="right"/>
              <w:rPr>
                <w:color w:val="000000"/>
                <w:sz w:val="17"/>
                <w:szCs w:val="17"/>
              </w:rPr>
            </w:pPr>
            <w:r>
              <w:rPr>
                <w:color w:val="000000"/>
                <w:sz w:val="17"/>
              </w:rPr>
              <w:t>0,35</w:t>
            </w:r>
          </w:p>
        </w:tc>
        <w:tc>
          <w:tcPr>
            <w:tcW w:w="428" w:type="pct"/>
            <w:shd w:val="clear" w:color="auto" w:fill="auto"/>
            <w:vAlign w:val="center"/>
            <w:hideMark/>
          </w:tcPr>
          <w:p w14:paraId="6105022D" w14:textId="77777777" w:rsidR="008433A0" w:rsidRPr="00A45614" w:rsidRDefault="008433A0" w:rsidP="0023469F">
            <w:pPr>
              <w:pStyle w:val="cuatexto"/>
              <w:spacing w:line="240" w:lineRule="auto"/>
              <w:jc w:val="right"/>
              <w:rPr>
                <w:sz w:val="17"/>
                <w:szCs w:val="17"/>
              </w:rPr>
            </w:pPr>
            <w:r>
              <w:rPr>
                <w:sz w:val="17"/>
              </w:rPr>
              <w:t>3</w:t>
            </w:r>
          </w:p>
        </w:tc>
        <w:tc>
          <w:tcPr>
            <w:tcW w:w="372" w:type="pct"/>
            <w:shd w:val="clear" w:color="auto" w:fill="auto"/>
            <w:vAlign w:val="center"/>
          </w:tcPr>
          <w:p w14:paraId="1831520A" w14:textId="77777777" w:rsidR="008433A0" w:rsidRPr="00A45614" w:rsidRDefault="008433A0" w:rsidP="0023469F">
            <w:pPr>
              <w:pStyle w:val="cuatexto"/>
              <w:spacing w:line="240" w:lineRule="auto"/>
              <w:jc w:val="right"/>
              <w:rPr>
                <w:sz w:val="17"/>
                <w:szCs w:val="17"/>
              </w:rPr>
            </w:pPr>
            <w:r>
              <w:rPr>
                <w:sz w:val="17"/>
              </w:rPr>
              <w:t>13,54</w:t>
            </w:r>
          </w:p>
        </w:tc>
      </w:tr>
      <w:tr w:rsidR="008433A0" w:rsidRPr="00A45614" w14:paraId="7ABF970A" w14:textId="77777777" w:rsidTr="0023469F">
        <w:trPr>
          <w:trHeight w:val="255"/>
        </w:trPr>
        <w:tc>
          <w:tcPr>
            <w:tcW w:w="1187" w:type="pct"/>
            <w:tcBorders>
              <w:bottom w:val="single" w:sz="2" w:space="0" w:color="auto"/>
            </w:tcBorders>
            <w:shd w:val="clear" w:color="auto" w:fill="auto"/>
            <w:vAlign w:val="center"/>
            <w:hideMark/>
          </w:tcPr>
          <w:p w14:paraId="237EB0C8" w14:textId="77777777" w:rsidR="008433A0" w:rsidRPr="00A45614" w:rsidRDefault="008433A0" w:rsidP="00A45614">
            <w:pPr>
              <w:pStyle w:val="cuatexto"/>
              <w:spacing w:line="240" w:lineRule="auto"/>
              <w:rPr>
                <w:sz w:val="17"/>
                <w:szCs w:val="17"/>
              </w:rPr>
            </w:pPr>
            <w:r>
              <w:rPr>
                <w:sz w:val="17"/>
              </w:rPr>
              <w:t>Zor bizia**</w:t>
            </w:r>
          </w:p>
        </w:tc>
        <w:tc>
          <w:tcPr>
            <w:tcW w:w="372" w:type="pct"/>
            <w:tcBorders>
              <w:bottom w:val="single" w:sz="2" w:space="0" w:color="auto"/>
            </w:tcBorders>
            <w:shd w:val="clear" w:color="auto" w:fill="auto"/>
            <w:vAlign w:val="center"/>
            <w:hideMark/>
          </w:tcPr>
          <w:p w14:paraId="4E50B622" w14:textId="77777777" w:rsidR="008433A0" w:rsidRPr="00A45614" w:rsidRDefault="008433A0" w:rsidP="0023469F">
            <w:pPr>
              <w:pStyle w:val="cuatexto"/>
              <w:spacing w:line="240" w:lineRule="auto"/>
              <w:jc w:val="right"/>
              <w:rPr>
                <w:sz w:val="17"/>
                <w:szCs w:val="17"/>
              </w:rPr>
            </w:pPr>
            <w:r>
              <w:rPr>
                <w:sz w:val="17"/>
              </w:rPr>
              <w:t>280,46</w:t>
            </w:r>
          </w:p>
        </w:tc>
        <w:tc>
          <w:tcPr>
            <w:tcW w:w="372" w:type="pct"/>
            <w:tcBorders>
              <w:bottom w:val="single" w:sz="2" w:space="0" w:color="auto"/>
            </w:tcBorders>
            <w:shd w:val="clear" w:color="auto" w:fill="auto"/>
            <w:vAlign w:val="center"/>
            <w:hideMark/>
          </w:tcPr>
          <w:p w14:paraId="09680927" w14:textId="77777777" w:rsidR="008433A0" w:rsidRPr="00A45614" w:rsidRDefault="008433A0" w:rsidP="0023469F">
            <w:pPr>
              <w:pStyle w:val="cuatexto"/>
              <w:spacing w:line="240" w:lineRule="auto"/>
              <w:jc w:val="right"/>
              <w:rPr>
                <w:sz w:val="17"/>
                <w:szCs w:val="17"/>
              </w:rPr>
            </w:pPr>
            <w:r>
              <w:rPr>
                <w:sz w:val="17"/>
              </w:rPr>
              <w:t>234,26</w:t>
            </w:r>
          </w:p>
        </w:tc>
        <w:tc>
          <w:tcPr>
            <w:tcW w:w="475" w:type="pct"/>
            <w:tcBorders>
              <w:bottom w:val="single" w:sz="2" w:space="0" w:color="auto"/>
            </w:tcBorders>
            <w:shd w:val="clear" w:color="auto" w:fill="auto"/>
            <w:vAlign w:val="center"/>
            <w:hideMark/>
          </w:tcPr>
          <w:p w14:paraId="7733C5A0" w14:textId="77777777" w:rsidR="008433A0" w:rsidRPr="00A45614" w:rsidRDefault="008433A0" w:rsidP="0023469F">
            <w:pPr>
              <w:pStyle w:val="cuatexto"/>
              <w:spacing w:line="240" w:lineRule="auto"/>
              <w:jc w:val="right"/>
              <w:rPr>
                <w:sz w:val="17"/>
                <w:szCs w:val="17"/>
              </w:rPr>
            </w:pPr>
            <w:r>
              <w:rPr>
                <w:sz w:val="17"/>
              </w:rPr>
              <w:t>207,63</w:t>
            </w:r>
          </w:p>
        </w:tc>
        <w:tc>
          <w:tcPr>
            <w:tcW w:w="478" w:type="pct"/>
            <w:tcBorders>
              <w:bottom w:val="single" w:sz="2" w:space="0" w:color="auto"/>
            </w:tcBorders>
            <w:shd w:val="clear" w:color="auto" w:fill="auto"/>
            <w:vAlign w:val="center"/>
          </w:tcPr>
          <w:p w14:paraId="18318EA0" w14:textId="77777777" w:rsidR="008433A0" w:rsidRPr="00A45614" w:rsidRDefault="008433A0" w:rsidP="0023469F">
            <w:pPr>
              <w:pStyle w:val="cuatexto"/>
              <w:spacing w:line="240" w:lineRule="auto"/>
              <w:jc w:val="right"/>
              <w:rPr>
                <w:sz w:val="17"/>
                <w:szCs w:val="17"/>
              </w:rPr>
            </w:pPr>
            <w:r>
              <w:rPr>
                <w:sz w:val="17"/>
              </w:rPr>
              <w:t>179,61</w:t>
            </w:r>
          </w:p>
        </w:tc>
        <w:tc>
          <w:tcPr>
            <w:tcW w:w="436" w:type="pct"/>
            <w:tcBorders>
              <w:bottom w:val="single" w:sz="2" w:space="0" w:color="auto"/>
            </w:tcBorders>
            <w:vAlign w:val="center"/>
          </w:tcPr>
          <w:p w14:paraId="40396193" w14:textId="77777777" w:rsidR="008433A0" w:rsidRPr="00A45614" w:rsidRDefault="008433A0" w:rsidP="0023469F">
            <w:pPr>
              <w:pStyle w:val="cuatexto"/>
              <w:spacing w:line="240" w:lineRule="auto"/>
              <w:jc w:val="right"/>
              <w:rPr>
                <w:sz w:val="17"/>
                <w:szCs w:val="17"/>
              </w:rPr>
            </w:pPr>
            <w:r>
              <w:rPr>
                <w:sz w:val="17"/>
              </w:rPr>
              <w:t>137,74</w:t>
            </w:r>
          </w:p>
        </w:tc>
        <w:tc>
          <w:tcPr>
            <w:tcW w:w="428" w:type="pct"/>
            <w:tcBorders>
              <w:bottom w:val="single" w:sz="2" w:space="0" w:color="auto"/>
            </w:tcBorders>
            <w:shd w:val="clear" w:color="auto" w:fill="auto"/>
            <w:vAlign w:val="center"/>
            <w:hideMark/>
          </w:tcPr>
          <w:p w14:paraId="746108E2" w14:textId="77777777" w:rsidR="008433A0" w:rsidRPr="00A45614" w:rsidRDefault="008433A0" w:rsidP="0023469F">
            <w:pPr>
              <w:pStyle w:val="cuatexto"/>
              <w:spacing w:line="240" w:lineRule="auto"/>
              <w:jc w:val="right"/>
              <w:rPr>
                <w:sz w:val="17"/>
                <w:szCs w:val="17"/>
              </w:rPr>
            </w:pPr>
            <w:r>
              <w:rPr>
                <w:sz w:val="17"/>
              </w:rPr>
              <w:t>-51</w:t>
            </w:r>
          </w:p>
        </w:tc>
        <w:tc>
          <w:tcPr>
            <w:tcW w:w="451" w:type="pct"/>
            <w:tcBorders>
              <w:bottom w:val="single" w:sz="2" w:space="0" w:color="auto"/>
            </w:tcBorders>
            <w:vAlign w:val="center"/>
          </w:tcPr>
          <w:p w14:paraId="499EC70E" w14:textId="77777777" w:rsidR="008433A0" w:rsidRPr="00A45614" w:rsidRDefault="008433A0" w:rsidP="0023469F">
            <w:pPr>
              <w:pStyle w:val="cuatexto"/>
              <w:spacing w:line="240" w:lineRule="auto"/>
              <w:jc w:val="right"/>
              <w:rPr>
                <w:color w:val="000000"/>
                <w:sz w:val="17"/>
                <w:szCs w:val="17"/>
              </w:rPr>
            </w:pPr>
            <w:r>
              <w:rPr>
                <w:color w:val="000000"/>
                <w:sz w:val="17"/>
              </w:rPr>
              <w:t>-41,87</w:t>
            </w:r>
          </w:p>
        </w:tc>
        <w:tc>
          <w:tcPr>
            <w:tcW w:w="428" w:type="pct"/>
            <w:tcBorders>
              <w:bottom w:val="single" w:sz="2" w:space="0" w:color="auto"/>
            </w:tcBorders>
            <w:shd w:val="clear" w:color="auto" w:fill="auto"/>
            <w:vAlign w:val="center"/>
            <w:hideMark/>
          </w:tcPr>
          <w:p w14:paraId="6B472ECA" w14:textId="77777777" w:rsidR="008433A0" w:rsidRPr="00A45614" w:rsidRDefault="008433A0" w:rsidP="0023469F">
            <w:pPr>
              <w:pStyle w:val="cuatexto"/>
              <w:spacing w:line="240" w:lineRule="auto"/>
              <w:jc w:val="right"/>
              <w:rPr>
                <w:sz w:val="17"/>
                <w:szCs w:val="17"/>
              </w:rPr>
            </w:pPr>
            <w:r>
              <w:rPr>
                <w:sz w:val="17"/>
              </w:rPr>
              <w:t>-23</w:t>
            </w:r>
          </w:p>
        </w:tc>
        <w:tc>
          <w:tcPr>
            <w:tcW w:w="372" w:type="pct"/>
            <w:tcBorders>
              <w:bottom w:val="single" w:sz="2" w:space="0" w:color="auto"/>
            </w:tcBorders>
            <w:shd w:val="clear" w:color="000000" w:fill="FFFFFF" w:themeFill="background1"/>
            <w:vAlign w:val="center"/>
          </w:tcPr>
          <w:p w14:paraId="24DAD8E5" w14:textId="77777777" w:rsidR="008433A0" w:rsidRPr="00A45614" w:rsidRDefault="008433A0" w:rsidP="0023469F">
            <w:pPr>
              <w:pStyle w:val="cuatexto"/>
              <w:spacing w:line="240" w:lineRule="auto"/>
              <w:jc w:val="right"/>
              <w:rPr>
                <w:sz w:val="17"/>
                <w:szCs w:val="17"/>
              </w:rPr>
            </w:pPr>
            <w:r>
              <w:rPr>
                <w:sz w:val="17"/>
              </w:rPr>
              <w:t>137,74</w:t>
            </w:r>
          </w:p>
        </w:tc>
      </w:tr>
      <w:tr w:rsidR="008433A0" w:rsidRPr="00A45614" w14:paraId="4855B9FE" w14:textId="77777777" w:rsidTr="0023469F">
        <w:trPr>
          <w:trHeight w:val="255"/>
        </w:trPr>
        <w:tc>
          <w:tcPr>
            <w:tcW w:w="1187" w:type="pct"/>
            <w:tcBorders>
              <w:top w:val="single" w:sz="2" w:space="0" w:color="auto"/>
              <w:bottom w:val="single" w:sz="4" w:space="0" w:color="auto"/>
            </w:tcBorders>
            <w:shd w:val="clear" w:color="auto" w:fill="auto"/>
            <w:vAlign w:val="center"/>
            <w:hideMark/>
          </w:tcPr>
          <w:p w14:paraId="23125046" w14:textId="77777777" w:rsidR="008433A0" w:rsidRPr="00A45614" w:rsidRDefault="008433A0" w:rsidP="00A45614">
            <w:pPr>
              <w:pStyle w:val="cuatexto"/>
              <w:spacing w:line="240" w:lineRule="auto"/>
              <w:rPr>
                <w:sz w:val="17"/>
                <w:szCs w:val="17"/>
              </w:rPr>
            </w:pPr>
            <w:r>
              <w:rPr>
                <w:sz w:val="17"/>
              </w:rPr>
              <w:t>Gastu orokorretarako diruzaintza-gerakina.</w:t>
            </w:r>
          </w:p>
        </w:tc>
        <w:tc>
          <w:tcPr>
            <w:tcW w:w="372" w:type="pct"/>
            <w:tcBorders>
              <w:top w:val="single" w:sz="2" w:space="0" w:color="auto"/>
              <w:bottom w:val="single" w:sz="4" w:space="0" w:color="auto"/>
            </w:tcBorders>
            <w:shd w:val="clear" w:color="auto" w:fill="auto"/>
            <w:vAlign w:val="center"/>
            <w:hideMark/>
          </w:tcPr>
          <w:p w14:paraId="109E47CD" w14:textId="77777777" w:rsidR="008433A0" w:rsidRPr="00A45614" w:rsidRDefault="008433A0" w:rsidP="0023469F">
            <w:pPr>
              <w:pStyle w:val="cuatexto"/>
              <w:spacing w:line="240" w:lineRule="auto"/>
              <w:jc w:val="right"/>
              <w:rPr>
                <w:sz w:val="17"/>
                <w:szCs w:val="17"/>
              </w:rPr>
            </w:pPr>
            <w:r>
              <w:rPr>
                <w:sz w:val="17"/>
              </w:rPr>
              <w:t>226,99</w:t>
            </w:r>
          </w:p>
        </w:tc>
        <w:tc>
          <w:tcPr>
            <w:tcW w:w="372" w:type="pct"/>
            <w:tcBorders>
              <w:top w:val="single" w:sz="2" w:space="0" w:color="auto"/>
              <w:bottom w:val="single" w:sz="4" w:space="0" w:color="auto"/>
            </w:tcBorders>
            <w:shd w:val="clear" w:color="auto" w:fill="auto"/>
            <w:vAlign w:val="center"/>
            <w:hideMark/>
          </w:tcPr>
          <w:p w14:paraId="23354A0F" w14:textId="77777777" w:rsidR="008433A0" w:rsidRPr="00A45614" w:rsidRDefault="008433A0" w:rsidP="0023469F">
            <w:pPr>
              <w:pStyle w:val="cuatexto"/>
              <w:spacing w:line="240" w:lineRule="auto"/>
              <w:jc w:val="right"/>
              <w:rPr>
                <w:sz w:val="17"/>
                <w:szCs w:val="17"/>
              </w:rPr>
            </w:pPr>
            <w:r>
              <w:rPr>
                <w:sz w:val="17"/>
              </w:rPr>
              <w:t>238,45</w:t>
            </w:r>
          </w:p>
        </w:tc>
        <w:tc>
          <w:tcPr>
            <w:tcW w:w="475" w:type="pct"/>
            <w:tcBorders>
              <w:top w:val="single" w:sz="2" w:space="0" w:color="auto"/>
              <w:bottom w:val="single" w:sz="4" w:space="0" w:color="auto"/>
            </w:tcBorders>
            <w:shd w:val="clear" w:color="auto" w:fill="auto"/>
            <w:vAlign w:val="center"/>
            <w:hideMark/>
          </w:tcPr>
          <w:p w14:paraId="4E66D8F8" w14:textId="77777777" w:rsidR="008433A0" w:rsidRPr="00A45614" w:rsidRDefault="008433A0" w:rsidP="0023469F">
            <w:pPr>
              <w:pStyle w:val="cuatexto"/>
              <w:spacing w:line="240" w:lineRule="auto"/>
              <w:jc w:val="right"/>
              <w:rPr>
                <w:sz w:val="17"/>
                <w:szCs w:val="17"/>
              </w:rPr>
            </w:pPr>
            <w:r>
              <w:rPr>
                <w:sz w:val="17"/>
              </w:rPr>
              <w:t>250,65</w:t>
            </w:r>
          </w:p>
        </w:tc>
        <w:tc>
          <w:tcPr>
            <w:tcW w:w="478" w:type="pct"/>
            <w:tcBorders>
              <w:top w:val="single" w:sz="2" w:space="0" w:color="auto"/>
              <w:bottom w:val="single" w:sz="4" w:space="0" w:color="auto"/>
            </w:tcBorders>
            <w:shd w:val="clear" w:color="auto" w:fill="auto"/>
            <w:vAlign w:val="center"/>
          </w:tcPr>
          <w:p w14:paraId="5A9E92C9" w14:textId="77777777" w:rsidR="008433A0" w:rsidRPr="00A45614" w:rsidRDefault="008433A0" w:rsidP="0023469F">
            <w:pPr>
              <w:pStyle w:val="cuatexto"/>
              <w:spacing w:line="240" w:lineRule="auto"/>
              <w:jc w:val="right"/>
              <w:rPr>
                <w:sz w:val="17"/>
                <w:szCs w:val="17"/>
              </w:rPr>
            </w:pPr>
            <w:r>
              <w:rPr>
                <w:sz w:val="17"/>
              </w:rPr>
              <w:t>275,17</w:t>
            </w:r>
          </w:p>
        </w:tc>
        <w:tc>
          <w:tcPr>
            <w:tcW w:w="436" w:type="pct"/>
            <w:tcBorders>
              <w:top w:val="single" w:sz="2" w:space="0" w:color="auto"/>
              <w:bottom w:val="single" w:sz="4" w:space="0" w:color="auto"/>
            </w:tcBorders>
            <w:vAlign w:val="center"/>
          </w:tcPr>
          <w:p w14:paraId="10720A0E" w14:textId="77777777" w:rsidR="008433A0" w:rsidRPr="00A45614" w:rsidRDefault="008433A0" w:rsidP="0023469F">
            <w:pPr>
              <w:pStyle w:val="cuatexto"/>
              <w:spacing w:line="240" w:lineRule="auto"/>
              <w:jc w:val="right"/>
              <w:rPr>
                <w:sz w:val="17"/>
                <w:szCs w:val="17"/>
              </w:rPr>
            </w:pPr>
            <w:r>
              <w:rPr>
                <w:sz w:val="17"/>
              </w:rPr>
              <w:t>301,52</w:t>
            </w:r>
          </w:p>
        </w:tc>
        <w:tc>
          <w:tcPr>
            <w:tcW w:w="428" w:type="pct"/>
            <w:tcBorders>
              <w:top w:val="single" w:sz="2" w:space="0" w:color="auto"/>
              <w:bottom w:val="single" w:sz="4" w:space="0" w:color="auto"/>
            </w:tcBorders>
            <w:shd w:val="clear" w:color="auto" w:fill="auto"/>
            <w:vAlign w:val="center"/>
            <w:hideMark/>
          </w:tcPr>
          <w:p w14:paraId="01F8772F" w14:textId="77777777" w:rsidR="008433A0" w:rsidRPr="00A45614" w:rsidRDefault="008433A0" w:rsidP="0023469F">
            <w:pPr>
              <w:pStyle w:val="cuatexto"/>
              <w:spacing w:line="240" w:lineRule="auto"/>
              <w:jc w:val="right"/>
              <w:rPr>
                <w:sz w:val="17"/>
                <w:szCs w:val="17"/>
              </w:rPr>
            </w:pPr>
            <w:r>
              <w:rPr>
                <w:sz w:val="17"/>
              </w:rPr>
              <w:t>33</w:t>
            </w:r>
          </w:p>
        </w:tc>
        <w:tc>
          <w:tcPr>
            <w:tcW w:w="451" w:type="pct"/>
            <w:tcBorders>
              <w:top w:val="single" w:sz="2" w:space="0" w:color="auto"/>
              <w:bottom w:val="single" w:sz="4" w:space="0" w:color="auto"/>
            </w:tcBorders>
            <w:vAlign w:val="center"/>
          </w:tcPr>
          <w:p w14:paraId="3400ED1D" w14:textId="77777777" w:rsidR="008433A0" w:rsidRPr="00A45614" w:rsidRDefault="008433A0" w:rsidP="0023469F">
            <w:pPr>
              <w:pStyle w:val="cuatexto"/>
              <w:spacing w:line="240" w:lineRule="auto"/>
              <w:jc w:val="right"/>
              <w:rPr>
                <w:color w:val="000000"/>
                <w:sz w:val="17"/>
                <w:szCs w:val="17"/>
              </w:rPr>
            </w:pPr>
            <w:r>
              <w:rPr>
                <w:color w:val="000000"/>
                <w:sz w:val="17"/>
              </w:rPr>
              <w:t>26,35</w:t>
            </w:r>
          </w:p>
        </w:tc>
        <w:tc>
          <w:tcPr>
            <w:tcW w:w="428" w:type="pct"/>
            <w:tcBorders>
              <w:top w:val="single" w:sz="2" w:space="0" w:color="auto"/>
              <w:bottom w:val="single" w:sz="4" w:space="0" w:color="auto"/>
            </w:tcBorders>
            <w:shd w:val="clear" w:color="auto" w:fill="auto"/>
            <w:vAlign w:val="center"/>
            <w:hideMark/>
          </w:tcPr>
          <w:p w14:paraId="22953D5E" w14:textId="77777777" w:rsidR="008433A0" w:rsidRPr="00A45614" w:rsidRDefault="008433A0" w:rsidP="0023469F">
            <w:pPr>
              <w:pStyle w:val="cuatexto"/>
              <w:spacing w:line="240" w:lineRule="auto"/>
              <w:jc w:val="right"/>
              <w:rPr>
                <w:sz w:val="17"/>
                <w:szCs w:val="17"/>
              </w:rPr>
            </w:pPr>
            <w:r>
              <w:rPr>
                <w:sz w:val="17"/>
              </w:rPr>
              <w:t>10</w:t>
            </w:r>
          </w:p>
        </w:tc>
        <w:tc>
          <w:tcPr>
            <w:tcW w:w="372" w:type="pct"/>
            <w:tcBorders>
              <w:top w:val="single" w:sz="2" w:space="0" w:color="auto"/>
              <w:bottom w:val="single" w:sz="4" w:space="0" w:color="auto"/>
            </w:tcBorders>
            <w:shd w:val="clear" w:color="000000" w:fill="FFFFFF" w:themeFill="background1"/>
            <w:vAlign w:val="center"/>
          </w:tcPr>
          <w:p w14:paraId="526002BC" w14:textId="77777777" w:rsidR="008433A0" w:rsidRPr="00A45614" w:rsidRDefault="008433A0" w:rsidP="0023469F">
            <w:pPr>
              <w:pStyle w:val="cuatexto"/>
              <w:spacing w:line="240" w:lineRule="auto"/>
              <w:jc w:val="right"/>
              <w:rPr>
                <w:sz w:val="17"/>
                <w:szCs w:val="17"/>
              </w:rPr>
            </w:pPr>
            <w:r>
              <w:rPr>
                <w:sz w:val="17"/>
              </w:rPr>
              <w:t>*** </w:t>
            </w:r>
          </w:p>
        </w:tc>
      </w:tr>
    </w:tbl>
    <w:p w14:paraId="1BCD1AFE" w14:textId="77777777" w:rsidR="00345C6C" w:rsidRPr="008633BF" w:rsidRDefault="00345C6C" w:rsidP="008633BF">
      <w:pPr>
        <w:pStyle w:val="texto"/>
        <w:spacing w:before="60" w:after="0"/>
        <w:ind w:firstLine="0"/>
        <w:rPr>
          <w:rFonts w:ascii="Arial" w:hAnsi="Arial" w:cs="Arial"/>
          <w:color w:val="000000" w:themeColor="text1"/>
          <w:sz w:val="14"/>
          <w:szCs w:val="14"/>
        </w:rPr>
      </w:pPr>
      <w:r>
        <w:rPr>
          <w:rFonts w:ascii="Arial" w:hAnsi="Arial"/>
          <w:color w:val="000000" w:themeColor="text1"/>
          <w:sz w:val="14"/>
        </w:rPr>
        <w:t>(*) Hiru sozietateekin bateratutako adierazleak.</w:t>
      </w:r>
    </w:p>
    <w:p w14:paraId="26915452" w14:textId="77777777" w:rsidR="00C775B8" w:rsidRPr="008633BF" w:rsidRDefault="00345C6C" w:rsidP="008633BF">
      <w:pPr>
        <w:pStyle w:val="texto"/>
        <w:spacing w:before="60" w:after="0"/>
        <w:ind w:firstLine="0"/>
        <w:rPr>
          <w:rFonts w:ascii="Arial" w:hAnsi="Arial" w:cs="Arial"/>
          <w:color w:val="000000" w:themeColor="text1"/>
          <w:sz w:val="14"/>
          <w:szCs w:val="14"/>
        </w:rPr>
      </w:pPr>
      <w:r>
        <w:rPr>
          <w:rFonts w:ascii="Arial" w:hAnsi="Arial"/>
          <w:color w:val="000000" w:themeColor="text1"/>
          <w:sz w:val="14"/>
        </w:rPr>
        <w:t>(**) Toki sektore publiko osoarena, barnean harturik toki entitateak, haien erakunde autonomoak eta haiek % 100eko partaidetza duten sozietate guztiak.</w:t>
      </w:r>
    </w:p>
    <w:p w14:paraId="305CA3A8" w14:textId="5645AC4C" w:rsidR="00345C6C" w:rsidRPr="008633BF" w:rsidRDefault="00C775B8" w:rsidP="008633BF">
      <w:pPr>
        <w:pStyle w:val="texto"/>
        <w:spacing w:before="60" w:after="0"/>
        <w:ind w:firstLine="0"/>
        <w:rPr>
          <w:rFonts w:ascii="Arial" w:hAnsi="Arial" w:cs="Arial"/>
          <w:color w:val="000000" w:themeColor="text1"/>
          <w:sz w:val="14"/>
          <w:szCs w:val="14"/>
        </w:rPr>
      </w:pPr>
      <w:r>
        <w:rPr>
          <w:rFonts w:ascii="Arial" w:hAnsi="Arial"/>
          <w:color w:val="000000" w:themeColor="text1"/>
          <w:sz w:val="14"/>
        </w:rPr>
        <w:t>(***) Ez dago eskura adierazle bateratu hori.</w:t>
      </w:r>
    </w:p>
    <w:p w14:paraId="17E11B15" w14:textId="77777777" w:rsidR="00345C6C" w:rsidRPr="00B81E61" w:rsidRDefault="00345C6C" w:rsidP="00345C6C">
      <w:pPr>
        <w:pStyle w:val="texto"/>
        <w:spacing w:before="200" w:after="120"/>
        <w:rPr>
          <w:color w:val="000000" w:themeColor="text1"/>
        </w:rPr>
      </w:pPr>
      <w:r>
        <w:rPr>
          <w:color w:val="000000" w:themeColor="text1"/>
        </w:rPr>
        <w:t>Aurreko taulako datuetatik zenbait alderdi nabarmenduko ditugu, toki entitateen 2016-2020 aldiko bilakaerari dagozkionak, mankomunitateen menpeko sozietateak kontuan hartu gabe:</w:t>
      </w:r>
    </w:p>
    <w:p w14:paraId="31D8AF00" w14:textId="0B6F4BEE" w:rsidR="00B72304" w:rsidRDefault="00B72304"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spacing w:val="4"/>
        </w:rPr>
      </w:pPr>
      <w:r>
        <w:rPr>
          <w:color w:val="000000" w:themeColor="text1"/>
        </w:rPr>
        <w:t>2019ko ekitaldiarekin alderatuta, diru-sarrerek ehuneko lau egin dute behera, eta gastuek, berrik, ehuneko hamar egin dute gora. Nolanahi ere, ehuneko 12 eta ehuneko 11 hazi dira 2016tik, hurrenez hurren.</w:t>
      </w:r>
    </w:p>
    <w:p w14:paraId="60BE5995" w14:textId="3B95945C" w:rsidR="00FA4909" w:rsidRPr="00FA4909" w:rsidRDefault="00B72304" w:rsidP="00FA4909">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 xml:space="preserve">Diru-sarreren murrizketaren arrazoi nagusia da murriztu egin direla tributuen bidezko diru-sarrerak –27,61 milioi gutxiago, batez ere tasa, prezio publiko eta beste sarrera batzuen bidezko diru-sarrera txikiagoen ondorioz– eta zeharkako zergak.   </w:t>
      </w:r>
    </w:p>
    <w:p w14:paraId="017F8705" w14:textId="2DCA9141" w:rsidR="00345C6C" w:rsidRPr="00B81E61" w:rsidRDefault="00345C6C"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lastRenderedPageBreak/>
        <w:t>Kapitaleko gastuak 123,59 milioikoak dira. Gehien jaitsi diren gastuak dira, hala zenbaki absolututan (75,83 milioi) nola erlatibotan (ehuneko 38). Kapitaleko gastua, hala ere, 2018koaren pare dago, eta 2016koa baino ehuneko 55 gorago.</w:t>
      </w:r>
    </w:p>
    <w:p w14:paraId="146B6EC9" w14:textId="77777777" w:rsidR="00B72304" w:rsidRDefault="00B72304"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Aurrekoaren ondorioz, 2020an toki sektore publikoak 108,51 milioiko aurrezki garbia eragin zuen, funtzionamendu gastuak eta finantza-zama ordaindu ondoren. Zenbateko hori aurreko ekitaldian lortutakoaren antzekoa eta 2016an lortutakoa baino ehuneko 27 handiagoa da.</w:t>
      </w:r>
    </w:p>
    <w:p w14:paraId="7885CFB0" w14:textId="0B41C2CC" w:rsidR="00B72304" w:rsidRDefault="00B72304"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Nafarroako toki entitateen zor bizia, 2020aren amaieran, haien erakunde publiko guztiak eta haiek partaidetza osoa duten sozietate publikoak kontuan hartuta, 137,74 milioikoa zen, hau da, 2019koa eta 2016koa baino ehuneko 23 eta 51 txikiagoa, hurrenez hurren. Joera horrek zerikusi handia du Aurrekontu-egonkortasunari eta Finantza-iraunkortasunari buruzko Lege Organikoaren eskakizunekin. 2020an 28,55 milioiko zorra amortizatu zen, eta 7,39 milioiko zor berria hitzartu. Zor biziaren batez besteko interes tasa ehuneko 1,51koa da, eta batez besteko mugaeguneratze epea, 8,75 urtekoa.</w:t>
      </w:r>
    </w:p>
    <w:p w14:paraId="407D80E5" w14:textId="576A58EA" w:rsidR="00B72304" w:rsidRDefault="00B72304"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spacing w:after="0"/>
        <w:ind w:left="0" w:firstLine="289"/>
        <w:rPr>
          <w:rFonts w:cs="Arial"/>
          <w:color w:val="000000" w:themeColor="text1"/>
        </w:rPr>
      </w:pPr>
      <w:r>
        <w:rPr>
          <w:color w:val="000000" w:themeColor="text1"/>
        </w:rPr>
        <w:t xml:space="preserve">Gastu orokorretarako diruzaintza-gerakina, alegia, sortutako baliabideen soberakina, geroko ekitaldietan gastuaren aurrekontu-aldaketak finantzatzeko erabiltzen ahal dena, azken urteotako joerari eutsiz, igo egin da eta 301,52 milioikoa izan da 2020aren amaieran. Horrenbestez, ehuneko hamar eta ehuneko 33 hazi da, hurrenez hurren, 2019koaren eta 2016koaren aldean.  </w:t>
      </w:r>
    </w:p>
    <w:p w14:paraId="25E1EB3E" w14:textId="77777777" w:rsidR="008B5AD0" w:rsidRDefault="008B5AD0" w:rsidP="00EC2B57">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spacing w:after="0"/>
        <w:ind w:firstLine="0"/>
        <w:rPr>
          <w:rFonts w:cs="Arial"/>
          <w:color w:val="000000" w:themeColor="text1"/>
        </w:rPr>
      </w:pPr>
    </w:p>
    <w:p w14:paraId="7E4E26DF" w14:textId="2B1B2210" w:rsidR="006A63EC" w:rsidRPr="00EF0883" w:rsidRDefault="004B35F2" w:rsidP="00DA0A2D">
      <w:pPr>
        <w:pStyle w:val="Ttulo2"/>
        <w:rPr>
          <w:szCs w:val="25"/>
        </w:rPr>
      </w:pPr>
      <w:bookmarkStart w:id="87" w:name="_Toc126061977"/>
      <w:r>
        <w:t>VI.4. COVID-19aren eragina</w:t>
      </w:r>
      <w:bookmarkEnd w:id="87"/>
    </w:p>
    <w:p w14:paraId="162F6574" w14:textId="29C6A153" w:rsidR="00B83A58" w:rsidRDefault="00B83A58" w:rsidP="006A63EC">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spacing w:after="120"/>
        <w:rPr>
          <w:rFonts w:cs="Arial"/>
          <w:color w:val="000000" w:themeColor="text1"/>
        </w:rPr>
      </w:pPr>
      <w:r>
        <w:rPr>
          <w:color w:val="000000" w:themeColor="text1"/>
        </w:rPr>
        <w:t xml:space="preserve">Eskura dauden datuekin ezin da zenbatetsi pandemiak toki sektore publikoaren finantza egoeran izandako eragina. Izan ere, pandemiarekin lotutako gastuak eta diru-sarrerak kasu askotan ez zaizkie egotzi aurrekontu-aplikazio berariazkoei edo identifikagarriei. </w:t>
      </w:r>
    </w:p>
    <w:p w14:paraId="3353C259" w14:textId="21B60A4B" w:rsidR="006A63EC" w:rsidRDefault="00846D14" w:rsidP="006A63EC">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spacing w:after="120"/>
        <w:rPr>
          <w:rFonts w:cs="Arial"/>
          <w:color w:val="000000" w:themeColor="text1"/>
        </w:rPr>
      </w:pPr>
      <w:r>
        <w:rPr>
          <w:color w:val="000000" w:themeColor="text1"/>
        </w:rPr>
        <w:t>Toki sektore publikoaren kontuak aztertuta eta 10.000 biztanle baino gehiago dituzten herrien kontuetan txertatutako txosten eta oroitidazkiak aztertuta, ondorioztatzen ahal da honako hauek direla COVID-19aren pandemiak toki entitateen egoera ekonomikoan izandako eragin nagusiak:</w:t>
      </w:r>
    </w:p>
    <w:p w14:paraId="2F539471" w14:textId="390B429D" w:rsidR="00B83A58" w:rsidRDefault="00B83A58" w:rsidP="006D5F52">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 xml:space="preserve">Diru-sarrera arruntak pixka bat baino ez dira jaitsi, transferentzia arrunten bidezko diru-sarreren gehikuntzak neurri handian konpentsatu duelako jarduera ekonomiko eta sozialarekin zuzenean lotutako diru-sarreren beherakada. </w:t>
      </w:r>
    </w:p>
    <w:p w14:paraId="34729129" w14:textId="3286671C" w:rsidR="006A63EC" w:rsidRDefault="008E43F9" w:rsidP="004B1F4E">
      <w:pPr>
        <w:pStyle w:val="texto"/>
        <w:spacing w:after="0"/>
      </w:pPr>
      <w:r>
        <w:t>Toki entitateetan</w:t>
      </w:r>
      <w:r>
        <w:rPr>
          <w:rStyle w:val="Refdenotaalpie"/>
          <w:rFonts w:cs="Arial"/>
          <w:color w:val="000000" w:themeColor="text1"/>
        </w:rPr>
        <w:footnoteReference w:id="1"/>
      </w:r>
      <w:r>
        <w:t xml:space="preserve">, diru-sarrera arruntak 9,57 milioi jaitsi dira (ehuneko bat). Tributuen bidezko diru-sarrerak 27,61 milioi (ehuneko zazpi) jaitsi dira, batez ere, diru gutxiago bildu delako zerbitzuen prestazioari lotutako tasa eta prezio </w:t>
      </w:r>
      <w:r>
        <w:lastRenderedPageBreak/>
        <w:t>publikoen bidez eta zeharkako zergen bidez (eraikuntza, instalazio eta obren gaineko zerga). Bestalde, transferentzia arrunten bidezko diru-sarrerak 32,36 milioi (ehuneko hamar) hazi dira, eta horietatik 13,13 milioi Nafarroako Aurrekontu Orokorretako COVID partidetatik datoz</w:t>
      </w:r>
      <w:r w:rsidR="00BC5897">
        <w:rPr>
          <w:rStyle w:val="Refdenotaalpie"/>
          <w:rFonts w:cs="Arial"/>
          <w:color w:val="000000" w:themeColor="text1"/>
        </w:rPr>
        <w:footnoteReference w:id="2"/>
      </w:r>
      <w:r>
        <w:t>, xehakapen honen arabera:</w:t>
      </w:r>
    </w:p>
    <w:p w14:paraId="6A231A8E" w14:textId="7E9E9412" w:rsidR="006D5F52" w:rsidRPr="0003647B" w:rsidRDefault="00CF0526" w:rsidP="006D5F52">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 xml:space="preserve">(Milioiak)  </w:t>
      </w:r>
    </w:p>
    <w:tbl>
      <w:tblPr>
        <w:tblW w:w="8714" w:type="dxa"/>
        <w:tblInd w:w="75"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729"/>
        <w:gridCol w:w="1985"/>
      </w:tblGrid>
      <w:tr w:rsidR="006202F5" w:rsidRPr="00933A7F" w14:paraId="5D4E1B68" w14:textId="77777777" w:rsidTr="00C57A54">
        <w:trPr>
          <w:trHeight w:val="227"/>
        </w:trPr>
        <w:tc>
          <w:tcPr>
            <w:tcW w:w="6729" w:type="dxa"/>
            <w:shd w:val="clear" w:color="auto" w:fill="FABF8F" w:themeFill="accent6" w:themeFillTint="99"/>
            <w:vAlign w:val="center"/>
          </w:tcPr>
          <w:p w14:paraId="2399CBA0" w14:textId="5FD6B818" w:rsidR="006202F5" w:rsidRDefault="006202F5" w:rsidP="00C57A54">
            <w:pPr>
              <w:pStyle w:val="cuadroCabe"/>
              <w:spacing w:line="240" w:lineRule="auto"/>
            </w:pPr>
            <w:r>
              <w:t>Aurrekontu-partida</w:t>
            </w:r>
          </w:p>
        </w:tc>
        <w:tc>
          <w:tcPr>
            <w:tcW w:w="1985" w:type="dxa"/>
            <w:shd w:val="clear" w:color="auto" w:fill="FABF8F" w:themeFill="accent6" w:themeFillTint="99"/>
            <w:noWrap/>
            <w:vAlign w:val="center"/>
          </w:tcPr>
          <w:p w14:paraId="5E257032" w14:textId="6C375F16" w:rsidR="006202F5" w:rsidRPr="00933A7F" w:rsidRDefault="006202F5" w:rsidP="00C57A54">
            <w:pPr>
              <w:pStyle w:val="cuadroCabe"/>
              <w:spacing w:line="240" w:lineRule="auto"/>
              <w:jc w:val="right"/>
              <w:rPr>
                <w:szCs w:val="20"/>
              </w:rPr>
            </w:pPr>
            <w:r>
              <w:t>ABGak NAOetan</w:t>
            </w:r>
          </w:p>
        </w:tc>
      </w:tr>
      <w:tr w:rsidR="006202F5" w:rsidRPr="00C57A54" w14:paraId="2D507899" w14:textId="77777777" w:rsidTr="00C57A54">
        <w:trPr>
          <w:trHeight w:val="227"/>
        </w:trPr>
        <w:tc>
          <w:tcPr>
            <w:tcW w:w="6729" w:type="dxa"/>
            <w:vAlign w:val="center"/>
          </w:tcPr>
          <w:p w14:paraId="509CB9C0" w14:textId="778666B3" w:rsidR="006202F5" w:rsidRPr="00C57A54" w:rsidRDefault="006202F5" w:rsidP="00C57A54">
            <w:pPr>
              <w:pStyle w:val="cuatexto"/>
              <w:spacing w:line="240" w:lineRule="auto"/>
            </w:pPr>
            <w:r>
              <w:t>COVID-19a. Funts berezia (13/2020 FL - udal aurrekontuetan izandako inpaktua)</w:t>
            </w:r>
          </w:p>
        </w:tc>
        <w:tc>
          <w:tcPr>
            <w:tcW w:w="1985" w:type="dxa"/>
            <w:shd w:val="clear" w:color="auto" w:fill="auto"/>
            <w:noWrap/>
            <w:vAlign w:val="center"/>
          </w:tcPr>
          <w:p w14:paraId="278ED364" w14:textId="420128AB" w:rsidR="006202F5" w:rsidRPr="00C57A54" w:rsidRDefault="006202F5" w:rsidP="00C57A54">
            <w:pPr>
              <w:pStyle w:val="cuatexto"/>
              <w:spacing w:line="240" w:lineRule="auto"/>
              <w:jc w:val="right"/>
            </w:pPr>
            <w:r>
              <w:t>10,5</w:t>
            </w:r>
          </w:p>
        </w:tc>
      </w:tr>
      <w:tr w:rsidR="006202F5" w:rsidRPr="00C57A54" w14:paraId="2FF3914D" w14:textId="77777777" w:rsidTr="00C57A54">
        <w:trPr>
          <w:trHeight w:val="227"/>
        </w:trPr>
        <w:tc>
          <w:tcPr>
            <w:tcW w:w="6729" w:type="dxa"/>
            <w:vAlign w:val="center"/>
          </w:tcPr>
          <w:p w14:paraId="49BD574E" w14:textId="5C8A68FB" w:rsidR="006202F5" w:rsidRPr="00C57A54" w:rsidRDefault="006202F5" w:rsidP="00C57A54">
            <w:pPr>
              <w:pStyle w:val="cuatexto"/>
              <w:spacing w:line="240" w:lineRule="auto"/>
            </w:pPr>
            <w:r>
              <w:t>COVID-19a. Funts berezia (13/2020 FL - hiri garraioaren defizit gehigarria)</w:t>
            </w:r>
          </w:p>
        </w:tc>
        <w:tc>
          <w:tcPr>
            <w:tcW w:w="1985" w:type="dxa"/>
            <w:shd w:val="clear" w:color="auto" w:fill="auto"/>
            <w:noWrap/>
            <w:vAlign w:val="center"/>
            <w:hideMark/>
          </w:tcPr>
          <w:p w14:paraId="7FCB2912" w14:textId="7060E953" w:rsidR="006202F5" w:rsidRPr="00C57A54" w:rsidRDefault="006202F5" w:rsidP="00C57A54">
            <w:pPr>
              <w:pStyle w:val="cuatexto"/>
              <w:spacing w:line="240" w:lineRule="auto"/>
              <w:jc w:val="right"/>
            </w:pPr>
            <w:r>
              <w:t xml:space="preserve">1,00 </w:t>
            </w:r>
          </w:p>
        </w:tc>
      </w:tr>
      <w:tr w:rsidR="006202F5" w:rsidRPr="00C57A54" w14:paraId="38449949" w14:textId="77777777" w:rsidTr="00C57A54">
        <w:trPr>
          <w:trHeight w:val="227"/>
        </w:trPr>
        <w:tc>
          <w:tcPr>
            <w:tcW w:w="6729" w:type="dxa"/>
            <w:vAlign w:val="center"/>
          </w:tcPr>
          <w:p w14:paraId="343B4454" w14:textId="385E3829" w:rsidR="006202F5" w:rsidRPr="00C57A54" w:rsidRDefault="006202F5" w:rsidP="00C57A54">
            <w:pPr>
              <w:pStyle w:val="cuatexto"/>
              <w:spacing w:line="240" w:lineRule="auto"/>
            </w:pPr>
            <w:r>
              <w:t>COVID-19a. Larrialdiko laguntzak (8/2020 FL)</w:t>
            </w:r>
          </w:p>
        </w:tc>
        <w:tc>
          <w:tcPr>
            <w:tcW w:w="1985" w:type="dxa"/>
            <w:shd w:val="clear" w:color="auto" w:fill="auto"/>
            <w:noWrap/>
            <w:vAlign w:val="center"/>
            <w:hideMark/>
          </w:tcPr>
          <w:p w14:paraId="60B91AC3" w14:textId="77777777" w:rsidR="006202F5" w:rsidRPr="00C57A54" w:rsidRDefault="006202F5" w:rsidP="00C57A54">
            <w:pPr>
              <w:pStyle w:val="cuatexto"/>
              <w:spacing w:line="240" w:lineRule="auto"/>
              <w:jc w:val="right"/>
            </w:pPr>
            <w:r>
              <w:t xml:space="preserve">0,51 </w:t>
            </w:r>
          </w:p>
        </w:tc>
      </w:tr>
      <w:tr w:rsidR="006202F5" w:rsidRPr="00C57A54" w14:paraId="7D2DFD4C" w14:textId="77777777" w:rsidTr="00C57A54">
        <w:trPr>
          <w:trHeight w:val="227"/>
        </w:trPr>
        <w:tc>
          <w:tcPr>
            <w:tcW w:w="6729" w:type="dxa"/>
            <w:vAlign w:val="center"/>
          </w:tcPr>
          <w:p w14:paraId="730AEF6C" w14:textId="34A13AE8" w:rsidR="006202F5" w:rsidRPr="00C57A54" w:rsidRDefault="006202F5" w:rsidP="00C57A54">
            <w:pPr>
              <w:pStyle w:val="cuatexto"/>
              <w:spacing w:line="240" w:lineRule="auto"/>
              <w:rPr>
                <w:highlight w:val="yellow"/>
              </w:rPr>
            </w:pPr>
            <w:r>
              <w:t>COVID-19a. Etxe gabeko pertsonentzako harrera zerbitzua (8/2020 FL eta azaroaren 12ko 591/2020 Ebazpena, Aurrekontuen, Ondarearen eta Politika Ekonomikoaren zuzendari nagusiarena)</w:t>
            </w:r>
          </w:p>
        </w:tc>
        <w:tc>
          <w:tcPr>
            <w:tcW w:w="1985" w:type="dxa"/>
            <w:shd w:val="clear" w:color="auto" w:fill="auto"/>
            <w:noWrap/>
            <w:vAlign w:val="center"/>
            <w:hideMark/>
          </w:tcPr>
          <w:p w14:paraId="058FEAC3" w14:textId="77777777" w:rsidR="006202F5" w:rsidRPr="00C57A54" w:rsidRDefault="006202F5" w:rsidP="00C57A54">
            <w:pPr>
              <w:pStyle w:val="cuatexto"/>
              <w:spacing w:line="240" w:lineRule="auto"/>
              <w:jc w:val="right"/>
              <w:rPr>
                <w:highlight w:val="yellow"/>
              </w:rPr>
            </w:pPr>
            <w:r>
              <w:t xml:space="preserve">0,15 </w:t>
            </w:r>
          </w:p>
        </w:tc>
      </w:tr>
      <w:tr w:rsidR="006202F5" w:rsidRPr="00C57A54" w14:paraId="628B8B68" w14:textId="77777777" w:rsidTr="00C57A54">
        <w:trPr>
          <w:trHeight w:val="227"/>
        </w:trPr>
        <w:tc>
          <w:tcPr>
            <w:tcW w:w="6729" w:type="dxa"/>
            <w:vAlign w:val="center"/>
          </w:tcPr>
          <w:p w14:paraId="124831C2" w14:textId="056DB2CE" w:rsidR="006202F5" w:rsidRPr="00C57A54" w:rsidRDefault="006202F5" w:rsidP="00C57A54">
            <w:pPr>
              <w:pStyle w:val="cuatexto"/>
              <w:spacing w:line="240" w:lineRule="auto"/>
            </w:pPr>
            <w:r>
              <w:t>COVID-19a. Oinarrizko gizarte zerbitzuak (233/2020 Foru Agindua)</w:t>
            </w:r>
          </w:p>
        </w:tc>
        <w:tc>
          <w:tcPr>
            <w:tcW w:w="1985" w:type="dxa"/>
            <w:shd w:val="clear" w:color="auto" w:fill="auto"/>
            <w:noWrap/>
            <w:vAlign w:val="center"/>
            <w:hideMark/>
          </w:tcPr>
          <w:p w14:paraId="76A99379" w14:textId="77777777" w:rsidR="006202F5" w:rsidRPr="00C57A54" w:rsidRDefault="006202F5" w:rsidP="00C57A54">
            <w:pPr>
              <w:pStyle w:val="cuatexto"/>
              <w:spacing w:line="240" w:lineRule="auto"/>
              <w:jc w:val="right"/>
            </w:pPr>
            <w:r>
              <w:t xml:space="preserve">0,98 </w:t>
            </w:r>
          </w:p>
        </w:tc>
      </w:tr>
      <w:tr w:rsidR="006202F5" w:rsidRPr="00C57A54" w14:paraId="14345572" w14:textId="77777777" w:rsidTr="00C57A54">
        <w:trPr>
          <w:trHeight w:val="227"/>
        </w:trPr>
        <w:tc>
          <w:tcPr>
            <w:tcW w:w="6729" w:type="dxa"/>
            <w:shd w:val="clear" w:color="auto" w:fill="FABF8F" w:themeFill="accent6" w:themeFillTint="99"/>
            <w:vAlign w:val="center"/>
          </w:tcPr>
          <w:p w14:paraId="4880CBA8" w14:textId="77777777" w:rsidR="006202F5" w:rsidRPr="00C57A54" w:rsidRDefault="006202F5" w:rsidP="00C57A54">
            <w:pPr>
              <w:pStyle w:val="cuadroCabe"/>
              <w:spacing w:line="240" w:lineRule="auto"/>
            </w:pPr>
          </w:p>
        </w:tc>
        <w:tc>
          <w:tcPr>
            <w:tcW w:w="1985" w:type="dxa"/>
            <w:shd w:val="clear" w:color="auto" w:fill="FABF8F" w:themeFill="accent6" w:themeFillTint="99"/>
            <w:noWrap/>
            <w:vAlign w:val="center"/>
            <w:hideMark/>
          </w:tcPr>
          <w:p w14:paraId="1011C161" w14:textId="77777777" w:rsidR="006202F5" w:rsidRPr="00C57A54" w:rsidRDefault="006202F5" w:rsidP="00C57A54">
            <w:pPr>
              <w:pStyle w:val="cuadroCabe"/>
              <w:spacing w:line="240" w:lineRule="auto"/>
              <w:jc w:val="right"/>
            </w:pPr>
            <w:r>
              <w:t xml:space="preserve">13,13 </w:t>
            </w:r>
          </w:p>
        </w:tc>
      </w:tr>
    </w:tbl>
    <w:p w14:paraId="4E0684CA" w14:textId="77777777" w:rsidR="006A63EC" w:rsidRDefault="006A63EC" w:rsidP="00CE2ACA">
      <w:pPr>
        <w:pStyle w:val="texto"/>
        <w:tabs>
          <w:tab w:val="clear" w:pos="2835"/>
          <w:tab w:val="clear" w:pos="3969"/>
          <w:tab w:val="clear" w:pos="5103"/>
          <w:tab w:val="clear" w:pos="6237"/>
          <w:tab w:val="clear" w:pos="7371"/>
          <w:tab w:val="left" w:pos="709"/>
          <w:tab w:val="num" w:pos="1948"/>
          <w:tab w:val="num" w:pos="5606"/>
        </w:tabs>
        <w:spacing w:after="0"/>
        <w:ind w:left="284" w:firstLine="0"/>
        <w:rPr>
          <w:rFonts w:cs="Arial"/>
          <w:color w:val="000000" w:themeColor="text1"/>
        </w:rPr>
      </w:pPr>
    </w:p>
    <w:p w14:paraId="6B21189D" w14:textId="51F23854" w:rsidR="00B83A58" w:rsidRPr="000166FA" w:rsidRDefault="00B83A58" w:rsidP="00514E3E">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Funtzionamendu gastuen jaitsiera nabarmena, jarduera, ekitaldi eta festarik ez egitearen ondorioz. Beste gastu batzuen gehikuntzak partez neutralizatu du.</w:t>
      </w:r>
    </w:p>
    <w:p w14:paraId="6FBA3A11" w14:textId="51BB3660" w:rsidR="008433A0" w:rsidRDefault="008E43F9" w:rsidP="006D5F52">
      <w:pPr>
        <w:pStyle w:val="texto"/>
      </w:pPr>
      <w:r>
        <w:t>Toki entitateetan</w:t>
      </w:r>
      <w:r>
        <w:rPr>
          <w:rStyle w:val="Refdenotaalpie"/>
          <w:rFonts w:cs="Arial"/>
          <w:color w:val="000000" w:themeColor="text1"/>
        </w:rPr>
        <w:footnoteReference w:id="3"/>
      </w:r>
      <w:r>
        <w:t>, kulturako gastu arruntak 22,68 milioiko murrizketa izan du. Zenbateko hori 2019ko funtzionamendu gastu guztien ehuneko 3,4 da. Guztizko funtzionamendu gastuak, hala ere, 10,74 milioi (ehuneko bi) baino ez dira murriztu, beste gastu batzuek gora egin dutelako; horien artean langile-gastuak nabarmentzen dira, 12 milioiko igoera izan baitute, neurri handian ordainsarien eboluzioak eraginda. Horrenbestez, zati bat baino ez litzaieke egotzi behar COVID-19aren ondoriozko gastu gehikuntzei.</w:t>
      </w:r>
    </w:p>
    <w:p w14:paraId="565281E8" w14:textId="77E5D178" w:rsidR="00B83A58" w:rsidRDefault="00B83A58" w:rsidP="00514E3E">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Kapitaleko diru-sarrerei dagokienez, pandemiaren kariaz toki entitateek 13,5 milioiko kapital-transferentziak jaso zituzten “Tokiko ekonomia bultzatzeko inbertsioetarako kapital-transferentzien” aparteko funtsetik, zeina uztailaren 1eko 13/2020 Foru Legeak ezarri baitzuen (25 milioi euroko aparteko kreditu bat eman, arautu eta banatzekoa, Nafarroako toki ogasunen parte-hartzearen funtsaren kargura, COVID-19ak eragindako osasun publikoko arrazoiak direla-eta hartu behar izan diren ohiz kanpoko neurri urgenteengatik toki entitateek dituzten beharrei erantzuteko). Zenbateko hori osorik ordaindu zitzaien toki entitateei, baina finantzatutako inbertsioak 2021eko irailera arte gauzatzen ahal ziren.</w:t>
      </w:r>
    </w:p>
    <w:p w14:paraId="364E7221" w14:textId="43BB59F1" w:rsidR="00F83B7B" w:rsidRPr="006D5F52" w:rsidRDefault="000166FA" w:rsidP="006D5F52">
      <w:pPr>
        <w:pStyle w:val="texto"/>
      </w:pPr>
      <w:r>
        <w:t>Hala ere, kapitaleko diru-sarrerak 30,01 milioi (ehuneko 32) murriztu dira. Kontuan hartu behar da, ordea, 2019ko datu altua ohiz kanpokoa zela, aurrean adierazi den bezala.</w:t>
      </w:r>
    </w:p>
    <w:p w14:paraId="7A7D3573" w14:textId="42E16786" w:rsidR="000166FA" w:rsidRDefault="00F83B7B" w:rsidP="006D5F52">
      <w:pPr>
        <w:pStyle w:val="texto"/>
      </w:pPr>
      <w:r>
        <w:lastRenderedPageBreak/>
        <w:t xml:space="preserve">Kapitaleko gastua 75,83 milioi (ehuneko 38) murriztu da, baina 2019ko datu altua ohiz kanpokoa izan zen, lehen azaldutako arrazoiengatik, eta beherakadaren osteko mailak 2018koen parekoak dira. Beraz, murrizketaren zati bat baino ezin zaio egotzi pandemiaren ondorioz inbertsioak gelditu izanari. </w:t>
      </w:r>
    </w:p>
    <w:p w14:paraId="49EE3799" w14:textId="07DF8F66" w:rsidR="00F83B7B" w:rsidRPr="00B15291" w:rsidRDefault="00B83A58" w:rsidP="00B15291">
      <w:pPr>
        <w:pStyle w:val="texto"/>
      </w:pPr>
      <w:r>
        <w:rPr>
          <w:b/>
        </w:rPr>
        <w:t>Laburbilduz</w:t>
      </w:r>
      <w:r>
        <w:t>, ekitaldian diru-sarrera eta gastu arruntek izandako bilakaerari esker, toki entitateen aurrezki gordina eta aurrezki garbia aurreko ekitaldikoen parekoak izan dira, COVID-19aren ondoriozko krisia gorabehera. Kapitaleko diru-sarrerak eta gastuak, berriz, asko murriztu dira. Hala ere, eskura dagoen informazioa eta 2019ko kopuru bereziki altuak ikusita, ezin da zehaztu pandemiaren eraginaren neurria.</w:t>
      </w:r>
    </w:p>
    <w:p w14:paraId="3A337BF1" w14:textId="25CE7410" w:rsidR="00345C6C" w:rsidRPr="00EF0883" w:rsidRDefault="00345C6C" w:rsidP="00DA0A2D">
      <w:pPr>
        <w:pStyle w:val="Ttulo2"/>
        <w:rPr>
          <w:szCs w:val="25"/>
        </w:rPr>
      </w:pPr>
      <w:bookmarkStart w:id="88" w:name="_Toc529773885"/>
      <w:bookmarkStart w:id="89" w:name="_Toc24100146"/>
      <w:bookmarkStart w:id="90" w:name="_Toc52348294"/>
      <w:bookmarkStart w:id="91" w:name="_Toc88727719"/>
      <w:bookmarkStart w:id="92" w:name="_Toc126061978"/>
      <w:r>
        <w:t>VI.5. Aurrekontu-egonkortasuneko eta finantza-iraunkortasuneko helburuak</w:t>
      </w:r>
      <w:bookmarkEnd w:id="88"/>
      <w:bookmarkEnd w:id="89"/>
      <w:bookmarkEnd w:id="90"/>
      <w:bookmarkEnd w:id="91"/>
      <w:bookmarkEnd w:id="92"/>
    </w:p>
    <w:p w14:paraId="6426A08B" w14:textId="4B9C0C2F" w:rsidR="00345C6C" w:rsidRPr="00B81E61" w:rsidRDefault="00345C6C" w:rsidP="00345C6C">
      <w:pPr>
        <w:tabs>
          <w:tab w:val="center" w:pos="2835"/>
          <w:tab w:val="center" w:pos="3969"/>
          <w:tab w:val="center" w:pos="5103"/>
          <w:tab w:val="center" w:pos="6237"/>
          <w:tab w:val="center" w:pos="7371"/>
        </w:tabs>
        <w:ind w:firstLine="284"/>
        <w:rPr>
          <w:color w:val="000000" w:themeColor="text1"/>
          <w:spacing w:val="6"/>
          <w:sz w:val="26"/>
          <w:szCs w:val="24"/>
        </w:rPr>
      </w:pPr>
      <w:proofErr w:type="spellStart"/>
      <w:r>
        <w:rPr>
          <w:color w:val="000000" w:themeColor="text1"/>
          <w:sz w:val="26"/>
        </w:rPr>
        <w:t>AEFILOren</w:t>
      </w:r>
      <w:proofErr w:type="spellEnd"/>
      <w:r>
        <w:rPr>
          <w:color w:val="000000" w:themeColor="text1"/>
          <w:sz w:val="26"/>
        </w:rPr>
        <w:t xml:space="preserve"> arabera, Toki Administrazioaren esparruan arau fiskal hauek bete behar dira:</w:t>
      </w:r>
    </w:p>
    <w:p w14:paraId="38E9E617" w14:textId="77777777" w:rsidR="00345C6C" w:rsidRPr="00B81E61" w:rsidRDefault="00B83A58"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 xml:space="preserve"> Aurrekontu-egonkortasuna: finantzatzeko ahalmena izatea, kontabilitate nazionaleko terminoetan neurtuta.</w:t>
      </w:r>
    </w:p>
    <w:p w14:paraId="002CC1EC" w14:textId="77777777" w:rsidR="00345C6C" w:rsidRPr="00B83A58" w:rsidRDefault="00345C6C"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 xml:space="preserve">Gastu araua: ondorio hauetarako konputagarria den gastuaren urtetik urterako aldaketak ez du gainditu behar </w:t>
      </w:r>
      <w:proofErr w:type="spellStart"/>
      <w:r>
        <w:rPr>
          <w:color w:val="000000" w:themeColor="text1"/>
        </w:rPr>
        <w:t>BPGaren</w:t>
      </w:r>
      <w:proofErr w:type="spellEnd"/>
      <w:r>
        <w:rPr>
          <w:color w:val="000000" w:themeColor="text1"/>
        </w:rPr>
        <w:t xml:space="preserve"> epe ertaineko hazkundearen erreferentziako tasa. Pandemia deklaratu baino lehen, ehuneko 2,9ko hazkunde tasa ezarri zen 2020ko ekitaldirako.</w:t>
      </w:r>
    </w:p>
    <w:p w14:paraId="50182BBD" w14:textId="1DC94EBA" w:rsidR="00345C6C" w:rsidRPr="00B83A58" w:rsidRDefault="00345C6C"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Zor publikoaren jasangarritasuna: zor biziak, gehiegizko defizitaren prozedurari buruzko protokoloaren arabera kalkulatuta, ez du gainditu behar diru-sarrera arrunten ehuneko 110a.</w:t>
      </w:r>
    </w:p>
    <w:p w14:paraId="4A52C38F" w14:textId="77777777" w:rsidR="00345C6C" w:rsidRPr="00B83A58" w:rsidRDefault="00345C6C" w:rsidP="00345C6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Merkataritza-zorraren jasangarritasuna: hornitzaileei ordaintzeko batez besteko epeak ezin du, orokorrean, 30 eguneko muga gainditu.</w:t>
      </w:r>
    </w:p>
    <w:p w14:paraId="64251B44" w14:textId="2F084EB0" w:rsidR="00C775B8" w:rsidRDefault="00B15291" w:rsidP="00C775B8">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z w:val="26"/>
        </w:rPr>
        <w:t>Hori horrela, Toki Administrazioaren eta Despopulazioaren Zuzendaritza Nagusiak emandako informazioan ez da Nafarroako “Toki Administrazioa” azpisektorerik azaltzen, aitzitik, toki entitateei eta haien erakunde autonomoei buruzko datuak eskaintzen dira, oro har, eta, zor publikoari dagokionez, toki entitateek partaidetza osoa duten sozietateak ere barnean hartzen dira.</w:t>
      </w:r>
    </w:p>
    <w:p w14:paraId="7E93E321" w14:textId="6496B5EC" w:rsidR="00C775B8" w:rsidRDefault="00C775B8" w:rsidP="00C775B8">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z w:val="26"/>
        </w:rPr>
        <w:t xml:space="preserve">COVID-19aren pandemiak ekarritako krisi sanitario, sozial eta ekonomikoa zela eta, Europako Batzordearen gomendioei jarraituz, 2020ko urrian Diputatuen Kongresuak aparteko larrialdi bat gertatu zela adierazi zuen, Konstituzioaren 135.4 artikuluan eta </w:t>
      </w:r>
      <w:proofErr w:type="spellStart"/>
      <w:r>
        <w:rPr>
          <w:color w:val="000000" w:themeColor="text1"/>
          <w:sz w:val="26"/>
        </w:rPr>
        <w:t>AEFILOn</w:t>
      </w:r>
      <w:proofErr w:type="spellEnd"/>
      <w:r>
        <w:rPr>
          <w:color w:val="000000" w:themeColor="text1"/>
          <w:sz w:val="26"/>
        </w:rPr>
        <w:t xml:space="preserve"> ezarritakoarekin bat. Horrenbestez, 2020-2021 aldirako etenda gelditu ziren aurrekontu-egonkortasunaren, zor publikoaren eta gastu arauaren helburuak, eta etenaldia luzatuz joan da 2022ko eta 2023ko ekitaldietarako.</w:t>
      </w:r>
    </w:p>
    <w:p w14:paraId="0A7D6A9E" w14:textId="77777777" w:rsidR="00F00171" w:rsidRDefault="00F00171" w:rsidP="00C775B8">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z w:val="26"/>
        </w:rPr>
        <w:t>Nolanahi ere, erantzukizun fiskala eta zuhurtzia lagun, komeni da etendako arauek aipatzen dituzten aldagaien bilakaerari ere jarraipena egitea. Hartara:</w:t>
      </w:r>
    </w:p>
    <w:p w14:paraId="086FEC2B" w14:textId="77777777" w:rsidR="00F00171" w:rsidRPr="00B81E61" w:rsidRDefault="00F00171" w:rsidP="007D0B27">
      <w:pPr>
        <w:tabs>
          <w:tab w:val="center" w:pos="2835"/>
          <w:tab w:val="center" w:pos="3969"/>
          <w:tab w:val="center" w:pos="5103"/>
          <w:tab w:val="center" w:pos="6237"/>
          <w:tab w:val="center" w:pos="7371"/>
        </w:tabs>
        <w:spacing w:after="0"/>
        <w:ind w:firstLine="284"/>
        <w:rPr>
          <w:color w:val="000000" w:themeColor="text1"/>
          <w:spacing w:val="6"/>
          <w:sz w:val="26"/>
          <w:szCs w:val="24"/>
        </w:rPr>
      </w:pPr>
      <w:r>
        <w:rPr>
          <w:color w:val="000000" w:themeColor="text1"/>
          <w:sz w:val="26"/>
        </w:rPr>
        <w:lastRenderedPageBreak/>
        <w:t>a) Aurrekontu-egonkortasunaren arauari dagokionez, toki sektore publikoak 87,80 milioiko finantzaketa-ahalmena du, aurreko ekitaldian baino nabarmen handiagoa, beheko taulan xehetasunez azaltzen denez:</w:t>
      </w:r>
    </w:p>
    <w:p w14:paraId="29B40374" w14:textId="4DE3D5E9" w:rsidR="007D0B27" w:rsidRPr="0003647B" w:rsidRDefault="00C57A54" w:rsidP="007D0B27">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(Milioiak)</w:t>
      </w:r>
    </w:p>
    <w:tbl>
      <w:tblPr>
        <w:tblW w:w="8770" w:type="dxa"/>
        <w:tblBorders>
          <w:top w:val="single" w:sz="4" w:space="0" w:color="auto"/>
          <w:bottom w:val="single" w:sz="4" w:space="0" w:color="auto"/>
        </w:tblBorders>
        <w:tblLook w:val="00A0" w:firstRow="1" w:lastRow="0" w:firstColumn="1" w:lastColumn="0" w:noHBand="0" w:noVBand="0"/>
      </w:tblPr>
      <w:tblGrid>
        <w:gridCol w:w="4820"/>
        <w:gridCol w:w="2391"/>
        <w:gridCol w:w="1559"/>
      </w:tblGrid>
      <w:tr w:rsidR="00F00171" w:rsidRPr="00C57A54" w14:paraId="7D55E6C7" w14:textId="77777777" w:rsidTr="004E2CFD">
        <w:trPr>
          <w:trHeight w:val="227"/>
        </w:trPr>
        <w:tc>
          <w:tcPr>
            <w:tcW w:w="4820" w:type="dxa"/>
            <w:tcBorders>
              <w:top w:val="single" w:sz="4" w:space="0" w:color="auto"/>
              <w:bottom w:val="single" w:sz="4" w:space="0" w:color="auto"/>
            </w:tcBorders>
            <w:shd w:val="clear" w:color="auto" w:fill="FABF8F" w:themeFill="accent6" w:themeFillTint="99"/>
            <w:vAlign w:val="center"/>
          </w:tcPr>
          <w:p w14:paraId="1F685932" w14:textId="77777777" w:rsidR="00F00171" w:rsidRPr="00C57A54" w:rsidRDefault="00F00171" w:rsidP="00C57A54">
            <w:pPr>
              <w:pStyle w:val="cuadroCabe"/>
              <w:spacing w:line="240" w:lineRule="auto"/>
            </w:pPr>
            <w:r>
              <w:t>Finantzatzeko ahalmena/beharra</w:t>
            </w:r>
          </w:p>
        </w:tc>
        <w:tc>
          <w:tcPr>
            <w:tcW w:w="2391" w:type="dxa"/>
            <w:tcBorders>
              <w:top w:val="single" w:sz="4" w:space="0" w:color="auto"/>
              <w:bottom w:val="single" w:sz="4" w:space="0" w:color="auto"/>
            </w:tcBorders>
            <w:shd w:val="clear" w:color="auto" w:fill="FABF8F" w:themeFill="accent6" w:themeFillTint="99"/>
            <w:vAlign w:val="center"/>
          </w:tcPr>
          <w:p w14:paraId="0132831F" w14:textId="77777777" w:rsidR="00F00171" w:rsidRPr="00C57A54" w:rsidRDefault="00F00171" w:rsidP="00C57A54">
            <w:pPr>
              <w:pStyle w:val="cuadroCabe"/>
              <w:spacing w:line="240" w:lineRule="auto"/>
              <w:jc w:val="right"/>
            </w:pPr>
            <w:r>
              <w:t>2020</w:t>
            </w:r>
          </w:p>
        </w:tc>
        <w:tc>
          <w:tcPr>
            <w:tcW w:w="1559" w:type="dxa"/>
            <w:tcBorders>
              <w:top w:val="single" w:sz="4" w:space="0" w:color="auto"/>
              <w:bottom w:val="single" w:sz="4" w:space="0" w:color="auto"/>
            </w:tcBorders>
            <w:shd w:val="clear" w:color="auto" w:fill="FABF8F" w:themeFill="accent6" w:themeFillTint="99"/>
            <w:vAlign w:val="center"/>
          </w:tcPr>
          <w:p w14:paraId="09DCF955" w14:textId="77777777" w:rsidR="00F00171" w:rsidRPr="00C57A54" w:rsidRDefault="00F00171" w:rsidP="00C57A54">
            <w:pPr>
              <w:pStyle w:val="cuadroCabe"/>
              <w:spacing w:line="240" w:lineRule="auto"/>
              <w:jc w:val="right"/>
            </w:pPr>
            <w:r>
              <w:t>2019</w:t>
            </w:r>
          </w:p>
        </w:tc>
      </w:tr>
      <w:tr w:rsidR="00F00171" w:rsidRPr="00C57A54" w14:paraId="4137DCF6" w14:textId="77777777" w:rsidTr="004E2CFD">
        <w:trPr>
          <w:trHeight w:val="227"/>
        </w:trPr>
        <w:tc>
          <w:tcPr>
            <w:tcW w:w="4820" w:type="dxa"/>
            <w:tcBorders>
              <w:top w:val="single" w:sz="4" w:space="0" w:color="auto"/>
              <w:bottom w:val="single" w:sz="2" w:space="0" w:color="auto"/>
            </w:tcBorders>
            <w:vAlign w:val="center"/>
          </w:tcPr>
          <w:p w14:paraId="63834EC6" w14:textId="77777777" w:rsidR="00F00171" w:rsidRPr="00C57A54" w:rsidRDefault="00F00171" w:rsidP="00C57A54">
            <w:pPr>
              <w:pStyle w:val="cuatexto"/>
              <w:spacing w:line="240" w:lineRule="auto"/>
            </w:pPr>
            <w:r>
              <w:t>Aurrekontu-saldo ez-finantzarioa</w:t>
            </w:r>
          </w:p>
        </w:tc>
        <w:tc>
          <w:tcPr>
            <w:tcW w:w="2391" w:type="dxa"/>
            <w:tcBorders>
              <w:top w:val="single" w:sz="4" w:space="0" w:color="auto"/>
              <w:bottom w:val="single" w:sz="2" w:space="0" w:color="auto"/>
            </w:tcBorders>
            <w:vAlign w:val="center"/>
          </w:tcPr>
          <w:p w14:paraId="3F71E882" w14:textId="77777777" w:rsidR="00F00171" w:rsidRPr="00C57A54" w:rsidRDefault="00F00171" w:rsidP="00C57A54">
            <w:pPr>
              <w:pStyle w:val="cuatexto"/>
              <w:spacing w:line="240" w:lineRule="auto"/>
              <w:jc w:val="right"/>
            </w:pPr>
            <w:r>
              <w:t>78,00</w:t>
            </w:r>
          </w:p>
        </w:tc>
        <w:tc>
          <w:tcPr>
            <w:tcW w:w="1559" w:type="dxa"/>
            <w:tcBorders>
              <w:top w:val="single" w:sz="4" w:space="0" w:color="auto"/>
              <w:bottom w:val="single" w:sz="2" w:space="0" w:color="auto"/>
            </w:tcBorders>
            <w:vAlign w:val="center"/>
          </w:tcPr>
          <w:p w14:paraId="0FF19042" w14:textId="77777777" w:rsidR="00F00171" w:rsidRPr="00C57A54" w:rsidRDefault="00F00171" w:rsidP="00C57A54">
            <w:pPr>
              <w:pStyle w:val="cuatexto"/>
              <w:spacing w:line="240" w:lineRule="auto"/>
              <w:jc w:val="right"/>
            </w:pPr>
            <w:r>
              <w:t>31,16</w:t>
            </w:r>
          </w:p>
        </w:tc>
      </w:tr>
      <w:tr w:rsidR="00F00171" w:rsidRPr="00C57A54" w14:paraId="195BF8C3" w14:textId="77777777" w:rsidTr="004E2CFD">
        <w:trPr>
          <w:trHeight w:val="227"/>
        </w:trPr>
        <w:tc>
          <w:tcPr>
            <w:tcW w:w="4820" w:type="dxa"/>
            <w:tcBorders>
              <w:top w:val="single" w:sz="2" w:space="0" w:color="auto"/>
              <w:bottom w:val="single" w:sz="4" w:space="0" w:color="auto"/>
            </w:tcBorders>
            <w:vAlign w:val="center"/>
          </w:tcPr>
          <w:p w14:paraId="1724B0EC" w14:textId="77777777" w:rsidR="00F00171" w:rsidRPr="00C57A54" w:rsidRDefault="00F00171" w:rsidP="00C57A54">
            <w:pPr>
              <w:pStyle w:val="cuatexto"/>
              <w:spacing w:line="240" w:lineRule="auto"/>
            </w:pPr>
            <w:r>
              <w:t>Doikuntzak:</w:t>
            </w:r>
          </w:p>
          <w:p w14:paraId="75A40242" w14:textId="77777777" w:rsidR="00F00171" w:rsidRPr="00C57A54" w:rsidRDefault="00F00171" w:rsidP="00C57A54">
            <w:pPr>
              <w:pStyle w:val="cuatexto"/>
              <w:spacing w:line="240" w:lineRule="auto"/>
            </w:pPr>
            <w:r>
              <w:t>Diru-bilketa ez-seguruko diru-sarrerak</w:t>
            </w:r>
          </w:p>
          <w:p w14:paraId="2FF7847B" w14:textId="77777777" w:rsidR="00F00171" w:rsidRPr="00C57A54" w:rsidRDefault="00F00171" w:rsidP="00C57A54">
            <w:pPr>
              <w:pStyle w:val="cuatexto"/>
              <w:spacing w:line="240" w:lineRule="auto"/>
            </w:pPr>
            <w:r>
              <w:t>Beste administrazio publiko batzuengandik jasotako transferentziak</w:t>
            </w:r>
          </w:p>
        </w:tc>
        <w:tc>
          <w:tcPr>
            <w:tcW w:w="2391" w:type="dxa"/>
            <w:tcBorders>
              <w:top w:val="single" w:sz="2" w:space="0" w:color="auto"/>
              <w:bottom w:val="single" w:sz="4" w:space="0" w:color="auto"/>
            </w:tcBorders>
            <w:vAlign w:val="center"/>
          </w:tcPr>
          <w:p w14:paraId="45A228BE" w14:textId="77777777" w:rsidR="00F00171" w:rsidRPr="00C57A54" w:rsidRDefault="00F00171" w:rsidP="00C57A54">
            <w:pPr>
              <w:pStyle w:val="cuatexto"/>
              <w:spacing w:line="240" w:lineRule="auto"/>
              <w:jc w:val="right"/>
            </w:pPr>
          </w:p>
          <w:p w14:paraId="7901D47E" w14:textId="77777777" w:rsidR="00F00171" w:rsidRPr="00C57A54" w:rsidRDefault="00F00171" w:rsidP="00C57A54">
            <w:pPr>
              <w:pStyle w:val="cuatexto"/>
              <w:spacing w:line="240" w:lineRule="auto"/>
              <w:jc w:val="right"/>
            </w:pPr>
            <w:r>
              <w:t>(11,66)</w:t>
            </w:r>
          </w:p>
          <w:p w14:paraId="5641CCF3" w14:textId="77777777" w:rsidR="00F00171" w:rsidRPr="00C57A54" w:rsidRDefault="00F00171" w:rsidP="00C57A54">
            <w:pPr>
              <w:pStyle w:val="cuatexto"/>
              <w:spacing w:line="240" w:lineRule="auto"/>
              <w:jc w:val="right"/>
            </w:pPr>
            <w:r>
              <w:t>21,46</w:t>
            </w:r>
          </w:p>
        </w:tc>
        <w:tc>
          <w:tcPr>
            <w:tcW w:w="1559" w:type="dxa"/>
            <w:tcBorders>
              <w:top w:val="single" w:sz="2" w:space="0" w:color="auto"/>
              <w:bottom w:val="single" w:sz="4" w:space="0" w:color="auto"/>
            </w:tcBorders>
            <w:vAlign w:val="center"/>
          </w:tcPr>
          <w:p w14:paraId="356064C3" w14:textId="77777777" w:rsidR="00F00171" w:rsidRPr="00C57A54" w:rsidRDefault="00F00171" w:rsidP="00C57A54">
            <w:pPr>
              <w:pStyle w:val="cuatexto"/>
              <w:spacing w:line="240" w:lineRule="auto"/>
              <w:jc w:val="right"/>
            </w:pPr>
          </w:p>
          <w:p w14:paraId="4E06688D" w14:textId="77777777" w:rsidR="00F00171" w:rsidRPr="00C57A54" w:rsidRDefault="00F00171" w:rsidP="00C57A54">
            <w:pPr>
              <w:pStyle w:val="cuatexto"/>
              <w:spacing w:line="240" w:lineRule="auto"/>
              <w:jc w:val="right"/>
            </w:pPr>
            <w:r>
              <w:t>(6,23)</w:t>
            </w:r>
          </w:p>
          <w:p w14:paraId="66E5CFA6" w14:textId="77777777" w:rsidR="00F00171" w:rsidRPr="00C57A54" w:rsidRDefault="00F00171" w:rsidP="00C57A54">
            <w:pPr>
              <w:pStyle w:val="cuatexto"/>
              <w:spacing w:line="240" w:lineRule="auto"/>
              <w:jc w:val="right"/>
            </w:pPr>
            <w:r>
              <w:t>12,85</w:t>
            </w:r>
          </w:p>
        </w:tc>
      </w:tr>
      <w:tr w:rsidR="00F00171" w:rsidRPr="00C57A54" w14:paraId="034D331A" w14:textId="77777777" w:rsidTr="004E2CFD">
        <w:trPr>
          <w:trHeight w:val="227"/>
        </w:trPr>
        <w:tc>
          <w:tcPr>
            <w:tcW w:w="4820" w:type="dxa"/>
            <w:tcBorders>
              <w:top w:val="single" w:sz="4" w:space="0" w:color="auto"/>
              <w:bottom w:val="single" w:sz="4" w:space="0" w:color="auto"/>
            </w:tcBorders>
            <w:shd w:val="clear" w:color="auto" w:fill="FABF8F" w:themeFill="accent6" w:themeFillTint="99"/>
            <w:vAlign w:val="center"/>
          </w:tcPr>
          <w:p w14:paraId="78630211" w14:textId="77777777" w:rsidR="00F00171" w:rsidRPr="00C57A54" w:rsidRDefault="00F00171" w:rsidP="00C57A54">
            <w:pPr>
              <w:pStyle w:val="cuadroCabe"/>
              <w:spacing w:line="240" w:lineRule="auto"/>
            </w:pPr>
            <w:r>
              <w:t>Finantzaketa-ahalmena</w:t>
            </w:r>
          </w:p>
        </w:tc>
        <w:tc>
          <w:tcPr>
            <w:tcW w:w="2391" w:type="dxa"/>
            <w:tcBorders>
              <w:top w:val="single" w:sz="4" w:space="0" w:color="auto"/>
              <w:bottom w:val="single" w:sz="4" w:space="0" w:color="auto"/>
            </w:tcBorders>
            <w:shd w:val="clear" w:color="auto" w:fill="FABF8F" w:themeFill="accent6" w:themeFillTint="99"/>
            <w:vAlign w:val="center"/>
          </w:tcPr>
          <w:p w14:paraId="09532CFB" w14:textId="77777777" w:rsidR="00F00171" w:rsidRPr="00C57A54" w:rsidRDefault="00F00171" w:rsidP="004E2CFD">
            <w:pPr>
              <w:pStyle w:val="cuadroCabe"/>
              <w:spacing w:line="240" w:lineRule="auto"/>
              <w:jc w:val="right"/>
            </w:pPr>
            <w:r>
              <w:t>87,80</w:t>
            </w:r>
          </w:p>
        </w:tc>
        <w:tc>
          <w:tcPr>
            <w:tcW w:w="1559" w:type="dxa"/>
            <w:tcBorders>
              <w:top w:val="single" w:sz="4" w:space="0" w:color="auto"/>
              <w:bottom w:val="single" w:sz="4" w:space="0" w:color="auto"/>
            </w:tcBorders>
            <w:shd w:val="clear" w:color="auto" w:fill="FABF8F" w:themeFill="accent6" w:themeFillTint="99"/>
            <w:vAlign w:val="center"/>
          </w:tcPr>
          <w:p w14:paraId="56F154C0" w14:textId="77777777" w:rsidR="00F00171" w:rsidRPr="00C57A54" w:rsidRDefault="00F00171" w:rsidP="004E2CFD">
            <w:pPr>
              <w:pStyle w:val="cuadroCabe"/>
              <w:spacing w:line="240" w:lineRule="auto"/>
              <w:jc w:val="right"/>
            </w:pPr>
            <w:r>
              <w:t>37,78</w:t>
            </w:r>
          </w:p>
        </w:tc>
      </w:tr>
    </w:tbl>
    <w:p w14:paraId="0C4498CE" w14:textId="77777777" w:rsidR="00D64F53" w:rsidRDefault="00D64F53" w:rsidP="007D0B27">
      <w:pPr>
        <w:tabs>
          <w:tab w:val="center" w:pos="2835"/>
          <w:tab w:val="center" w:pos="3969"/>
          <w:tab w:val="center" w:pos="5103"/>
          <w:tab w:val="center" w:pos="6237"/>
          <w:tab w:val="center" w:pos="7371"/>
        </w:tabs>
        <w:spacing w:before="240"/>
        <w:ind w:firstLine="284"/>
        <w:rPr>
          <w:color w:val="000000" w:themeColor="text1"/>
          <w:spacing w:val="6"/>
          <w:sz w:val="26"/>
          <w:szCs w:val="24"/>
        </w:rPr>
      </w:pPr>
      <w:r>
        <w:rPr>
          <w:color w:val="000000" w:themeColor="text1"/>
          <w:sz w:val="26"/>
        </w:rPr>
        <w:t xml:space="preserve">b) Gastu arauari dagokionez, txostenak ez du informaziorik ematen gastu konputagarriaren aldaketa tasari buruz. </w:t>
      </w:r>
    </w:p>
    <w:p w14:paraId="3EA6D687" w14:textId="4A113251" w:rsidR="00C775B8" w:rsidRDefault="00D64F53" w:rsidP="007D0B27">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z w:val="26"/>
        </w:rPr>
        <w:t>c) Zor publikoaren jasangarritasunari dagokionez, sektorearen zor bizia 137,74 milioikoa zen 2020ko abenduaren 31n, hau da, diru-sarrera arrunten ehuneko 18 hartzen zuen; portzentaje hori ehuneko 110eko gehienekoa baino askoz txikiagoa da, eta 2019ko aldean bost puntu egin du behera.</w:t>
      </w:r>
    </w:p>
    <w:p w14:paraId="62ABE1DD" w14:textId="6458DED7" w:rsidR="00345C6C" w:rsidRPr="00B81E61" w:rsidRDefault="00F00171" w:rsidP="00EC2B57">
      <w:pPr>
        <w:tabs>
          <w:tab w:val="center" w:pos="2835"/>
          <w:tab w:val="center" w:pos="3969"/>
          <w:tab w:val="center" w:pos="5103"/>
          <w:tab w:val="center" w:pos="6237"/>
          <w:tab w:val="center" w:pos="7371"/>
        </w:tabs>
        <w:ind w:firstLine="284"/>
        <w:rPr>
          <w:rFonts w:ascii="Arial" w:hAnsi="Arial"/>
          <w:b/>
          <w:color w:val="000000" w:themeColor="text1"/>
          <w:kern w:val="28"/>
          <w:sz w:val="25"/>
          <w:szCs w:val="26"/>
        </w:rPr>
      </w:pPr>
      <w:r>
        <w:rPr>
          <w:color w:val="000000" w:themeColor="text1"/>
          <w:sz w:val="26"/>
        </w:rPr>
        <w:t>d) Merkataritza-zorraren jasangarritasunaren araua indarrean zegoen 2020an, baina txostenak ez du hari buruzko informaziorik ematen. Hiru hilean behin Ogasun Ministerioak gai horretaz argitaratzen duen informazioan Nafarroako zenbait toki entitateri buruzko datuak bakarrik azaltzen dira (53-58 entitate bitarte, hiruhilekoaren arabera); alegia, Nafarroako toki entitateen ehuneko zortzik baino ez dute igortzen informazio hori. Informazioa eman duten toki entitateak multzoan harturik, ordaintzeko batez besteko epealdia, argi eta garbi, legez ezarritako 30 eguneko gehieneko epea baino laburragoa izan zen urteko lau hiruhilekoetan, eta, zehazki, laugarren hiruhilekoan 12,47 egunekoa izan zen.</w:t>
      </w:r>
      <w:bookmarkStart w:id="93" w:name="_Toc24100147"/>
      <w:bookmarkStart w:id="94" w:name="_Toc52348295"/>
      <w:r>
        <w:br w:type="page"/>
      </w:r>
    </w:p>
    <w:p w14:paraId="7704C036" w14:textId="77777777" w:rsidR="00345C6C" w:rsidRPr="004248BF" w:rsidRDefault="00345C6C" w:rsidP="004248BF">
      <w:pPr>
        <w:pStyle w:val="Ttulo1"/>
        <w:ind w:firstLine="0"/>
        <w:rPr>
          <w:szCs w:val="25"/>
        </w:rPr>
      </w:pPr>
      <w:bookmarkStart w:id="95" w:name="_Toc88727720"/>
      <w:bookmarkStart w:id="96" w:name="_Toc126061979"/>
      <w:r>
        <w:lastRenderedPageBreak/>
        <w:t>VII. Kontratazio administratiboa</w:t>
      </w:r>
      <w:bookmarkEnd w:id="93"/>
      <w:bookmarkEnd w:id="94"/>
      <w:bookmarkEnd w:id="95"/>
      <w:bookmarkEnd w:id="96"/>
    </w:p>
    <w:p w14:paraId="0C4ECB29" w14:textId="55F8FC42" w:rsidR="00345C6C" w:rsidRPr="00B81E61" w:rsidRDefault="00345C6C" w:rsidP="00442CCA">
      <w:pPr>
        <w:pStyle w:val="texto"/>
        <w:spacing w:after="240"/>
        <w:rPr>
          <w:color w:val="000000" w:themeColor="text1"/>
        </w:rPr>
      </w:pPr>
      <w:r>
        <w:rPr>
          <w:color w:val="000000" w:themeColor="text1"/>
        </w:rPr>
        <w:t>Atal honetan, toki entitateek eta beren menpeko erakundeek 2020. urtean adjudikatutako kontratuak aztertzen dira, Kontratazio Publikorako Batzordeak kudeatutako kontratuen erregistroko informazioaren arabera.</w:t>
      </w:r>
    </w:p>
    <w:p w14:paraId="45D49AF8" w14:textId="3F83D87B" w:rsidR="00345C6C" w:rsidRDefault="00345C6C" w:rsidP="00442CCA">
      <w:pPr>
        <w:pStyle w:val="texto"/>
        <w:spacing w:after="240"/>
        <w:rPr>
          <w:color w:val="000000" w:themeColor="text1"/>
        </w:rPr>
      </w:pPr>
      <w:r>
        <w:rPr>
          <w:color w:val="000000" w:themeColor="text1"/>
        </w:rPr>
        <w:t>Hona toki entitateek adjudikatutako kontratuen oinarrizko datuak:</w:t>
      </w:r>
    </w:p>
    <w:p w14:paraId="1CFB953E" w14:textId="2C2662CA" w:rsidR="00440397" w:rsidRPr="0003647B" w:rsidRDefault="009E536C" w:rsidP="00440397">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(Milakoak)</w:t>
      </w:r>
    </w:p>
    <w:tbl>
      <w:tblPr>
        <w:tblW w:w="5077" w:type="pct"/>
        <w:jc w:val="center"/>
        <w:tblLayout w:type="fixed"/>
        <w:tblCellMar>
          <w:left w:w="70" w:type="dxa"/>
          <w:right w:w="70" w:type="dxa"/>
        </w:tblCellMar>
        <w:tblLook w:val="04A0" w:firstRow="1" w:lastRow="0" w:firstColumn="1" w:lastColumn="0" w:noHBand="0" w:noVBand="1"/>
      </w:tblPr>
      <w:tblGrid>
        <w:gridCol w:w="1843"/>
        <w:gridCol w:w="494"/>
        <w:gridCol w:w="917"/>
        <w:gridCol w:w="427"/>
        <w:gridCol w:w="775"/>
        <w:gridCol w:w="7"/>
        <w:gridCol w:w="477"/>
        <w:gridCol w:w="869"/>
        <w:gridCol w:w="703"/>
        <w:gridCol w:w="855"/>
        <w:gridCol w:w="493"/>
        <w:gridCol w:w="1064"/>
      </w:tblGrid>
      <w:tr w:rsidR="004A12BD" w:rsidRPr="009E536C" w14:paraId="3F580CCB" w14:textId="77777777" w:rsidTr="009E536C">
        <w:trPr>
          <w:trHeight w:val="255"/>
          <w:jc w:val="center"/>
        </w:trPr>
        <w:tc>
          <w:tcPr>
            <w:tcW w:w="1033" w:type="pct"/>
            <w:vMerge w:val="restart"/>
            <w:tcBorders>
              <w:top w:val="single" w:sz="4" w:space="0" w:color="auto"/>
              <w:left w:val="nil"/>
              <w:right w:val="nil"/>
            </w:tcBorders>
            <w:shd w:val="clear" w:color="auto" w:fill="FABF8F" w:themeFill="accent6" w:themeFillTint="99"/>
            <w:noWrap/>
            <w:vAlign w:val="center"/>
          </w:tcPr>
          <w:p w14:paraId="755D13F2" w14:textId="688DBF6B" w:rsidR="00474131" w:rsidRPr="009E536C" w:rsidRDefault="00474131" w:rsidP="009E536C">
            <w:pPr>
              <w:pStyle w:val="cuadroCabe"/>
              <w:spacing w:line="240" w:lineRule="auto"/>
              <w:rPr>
                <w:sz w:val="16"/>
                <w:szCs w:val="16"/>
              </w:rPr>
            </w:pPr>
            <w:r>
              <w:rPr>
                <w:sz w:val="16"/>
              </w:rPr>
              <w:t>Kontratu mota</w:t>
            </w:r>
          </w:p>
        </w:tc>
        <w:tc>
          <w:tcPr>
            <w:tcW w:w="791" w:type="pct"/>
            <w:gridSpan w:val="2"/>
            <w:tcBorders>
              <w:top w:val="single" w:sz="4" w:space="0" w:color="auto"/>
              <w:left w:val="nil"/>
              <w:bottom w:val="single" w:sz="2" w:space="0" w:color="auto"/>
              <w:right w:val="nil"/>
            </w:tcBorders>
            <w:shd w:val="clear" w:color="auto" w:fill="FABF8F" w:themeFill="accent6" w:themeFillTint="99"/>
            <w:vAlign w:val="center"/>
          </w:tcPr>
          <w:p w14:paraId="528C594A" w14:textId="5E760772" w:rsidR="00474131" w:rsidRPr="009E536C" w:rsidRDefault="00474131" w:rsidP="009E536C">
            <w:pPr>
              <w:pStyle w:val="cuadroCabe"/>
              <w:spacing w:line="240" w:lineRule="auto"/>
              <w:jc w:val="right"/>
              <w:rPr>
                <w:color w:val="000000"/>
                <w:sz w:val="16"/>
                <w:szCs w:val="16"/>
              </w:rPr>
            </w:pPr>
            <w:r>
              <w:rPr>
                <w:color w:val="000000"/>
                <w:sz w:val="16"/>
              </w:rPr>
              <w:t>Udalak</w:t>
            </w:r>
          </w:p>
        </w:tc>
        <w:tc>
          <w:tcPr>
            <w:tcW w:w="677" w:type="pct"/>
            <w:gridSpan w:val="3"/>
            <w:tcBorders>
              <w:top w:val="single" w:sz="4" w:space="0" w:color="auto"/>
              <w:left w:val="nil"/>
              <w:bottom w:val="single" w:sz="2" w:space="0" w:color="auto"/>
              <w:right w:val="nil"/>
            </w:tcBorders>
            <w:shd w:val="clear" w:color="auto" w:fill="FABF8F" w:themeFill="accent6" w:themeFillTint="99"/>
            <w:vAlign w:val="center"/>
          </w:tcPr>
          <w:p w14:paraId="54000BC9" w14:textId="28F00353" w:rsidR="00474131" w:rsidRPr="009E536C" w:rsidRDefault="00474131" w:rsidP="009E536C">
            <w:pPr>
              <w:pStyle w:val="cuadroCabe"/>
              <w:spacing w:line="240" w:lineRule="auto"/>
              <w:jc w:val="right"/>
              <w:rPr>
                <w:color w:val="000000"/>
                <w:sz w:val="16"/>
                <w:szCs w:val="16"/>
              </w:rPr>
            </w:pPr>
            <w:r>
              <w:rPr>
                <w:color w:val="000000"/>
                <w:sz w:val="16"/>
              </w:rPr>
              <w:t>Kontzejuak</w:t>
            </w:r>
          </w:p>
        </w:tc>
        <w:tc>
          <w:tcPr>
            <w:tcW w:w="754" w:type="pct"/>
            <w:gridSpan w:val="2"/>
            <w:tcBorders>
              <w:top w:val="single" w:sz="4" w:space="0" w:color="auto"/>
              <w:left w:val="nil"/>
              <w:bottom w:val="single" w:sz="2" w:space="0" w:color="auto"/>
              <w:right w:val="nil"/>
            </w:tcBorders>
            <w:shd w:val="clear" w:color="auto" w:fill="FABF8F" w:themeFill="accent6" w:themeFillTint="99"/>
            <w:noWrap/>
            <w:vAlign w:val="center"/>
          </w:tcPr>
          <w:p w14:paraId="0CEC7726" w14:textId="3EB41B6E" w:rsidR="00474131" w:rsidRPr="009E536C" w:rsidRDefault="00474131" w:rsidP="009E536C">
            <w:pPr>
              <w:pStyle w:val="cuadroCabe"/>
              <w:spacing w:line="240" w:lineRule="auto"/>
              <w:jc w:val="right"/>
              <w:rPr>
                <w:color w:val="000000"/>
                <w:sz w:val="16"/>
                <w:szCs w:val="16"/>
              </w:rPr>
            </w:pPr>
            <w:r>
              <w:rPr>
                <w:color w:val="000000"/>
                <w:sz w:val="16"/>
              </w:rPr>
              <w:t>Batasunak</w:t>
            </w:r>
          </w:p>
        </w:tc>
        <w:tc>
          <w:tcPr>
            <w:tcW w:w="873" w:type="pct"/>
            <w:gridSpan w:val="2"/>
            <w:tcBorders>
              <w:top w:val="single" w:sz="4" w:space="0" w:color="auto"/>
              <w:left w:val="nil"/>
              <w:bottom w:val="single" w:sz="2" w:space="0" w:color="auto"/>
              <w:right w:val="nil"/>
            </w:tcBorders>
            <w:shd w:val="clear" w:color="auto" w:fill="FABF8F" w:themeFill="accent6" w:themeFillTint="99"/>
            <w:noWrap/>
            <w:vAlign w:val="center"/>
          </w:tcPr>
          <w:p w14:paraId="2D3A87FC" w14:textId="345E75BC" w:rsidR="00474131" w:rsidRPr="009E536C" w:rsidRDefault="00474131" w:rsidP="009E536C">
            <w:pPr>
              <w:pStyle w:val="cuadroCabe"/>
              <w:spacing w:line="240" w:lineRule="auto"/>
              <w:jc w:val="right"/>
              <w:rPr>
                <w:color w:val="000000"/>
                <w:sz w:val="16"/>
                <w:szCs w:val="16"/>
              </w:rPr>
            </w:pPr>
            <w:r>
              <w:rPr>
                <w:color w:val="000000"/>
                <w:sz w:val="16"/>
              </w:rPr>
              <w:t>Mankomunitateak</w:t>
            </w:r>
          </w:p>
        </w:tc>
        <w:tc>
          <w:tcPr>
            <w:tcW w:w="872" w:type="pct"/>
            <w:gridSpan w:val="2"/>
            <w:tcBorders>
              <w:top w:val="single" w:sz="4" w:space="0" w:color="auto"/>
              <w:left w:val="nil"/>
              <w:bottom w:val="single" w:sz="2" w:space="0" w:color="auto"/>
              <w:right w:val="nil"/>
            </w:tcBorders>
            <w:shd w:val="clear" w:color="auto" w:fill="FABF8F" w:themeFill="accent6" w:themeFillTint="99"/>
            <w:noWrap/>
            <w:vAlign w:val="center"/>
          </w:tcPr>
          <w:p w14:paraId="1739A520" w14:textId="77777777" w:rsidR="00474131" w:rsidRPr="009E536C" w:rsidRDefault="00474131" w:rsidP="009E536C">
            <w:pPr>
              <w:pStyle w:val="cuadroCabe"/>
              <w:spacing w:line="240" w:lineRule="auto"/>
              <w:jc w:val="right"/>
              <w:rPr>
                <w:color w:val="000000"/>
                <w:sz w:val="16"/>
                <w:szCs w:val="16"/>
              </w:rPr>
            </w:pPr>
            <w:r>
              <w:rPr>
                <w:color w:val="000000"/>
                <w:sz w:val="16"/>
              </w:rPr>
              <w:t>Toki entitateak</w:t>
            </w:r>
          </w:p>
          <w:p w14:paraId="71EA29F2" w14:textId="19808768" w:rsidR="00474131" w:rsidRPr="009E536C" w:rsidRDefault="00474131" w:rsidP="009E536C">
            <w:pPr>
              <w:pStyle w:val="cuadroCabe"/>
              <w:spacing w:line="240" w:lineRule="auto"/>
              <w:jc w:val="right"/>
              <w:rPr>
                <w:color w:val="000000"/>
                <w:sz w:val="16"/>
                <w:szCs w:val="16"/>
              </w:rPr>
            </w:pPr>
            <w:r>
              <w:rPr>
                <w:color w:val="000000"/>
                <w:sz w:val="16"/>
              </w:rPr>
              <w:t>guztira</w:t>
            </w:r>
          </w:p>
        </w:tc>
      </w:tr>
      <w:tr w:rsidR="004A12BD" w:rsidRPr="009E536C" w14:paraId="01A427E1" w14:textId="77777777" w:rsidTr="009E536C">
        <w:trPr>
          <w:trHeight w:val="255"/>
          <w:jc w:val="center"/>
        </w:trPr>
        <w:tc>
          <w:tcPr>
            <w:tcW w:w="1033" w:type="pct"/>
            <w:vMerge/>
            <w:tcBorders>
              <w:left w:val="nil"/>
              <w:bottom w:val="single" w:sz="2" w:space="0" w:color="auto"/>
              <w:right w:val="nil"/>
            </w:tcBorders>
            <w:shd w:val="clear" w:color="auto" w:fill="FABF8F" w:themeFill="accent6" w:themeFillTint="99"/>
            <w:noWrap/>
            <w:vAlign w:val="center"/>
          </w:tcPr>
          <w:p w14:paraId="6E230C29" w14:textId="77777777" w:rsidR="00474131" w:rsidRPr="009E536C" w:rsidRDefault="00474131" w:rsidP="009E536C">
            <w:pPr>
              <w:pStyle w:val="cuadroCabe"/>
              <w:spacing w:line="240" w:lineRule="auto"/>
              <w:rPr>
                <w:sz w:val="16"/>
                <w:szCs w:val="16"/>
                <w:lang w:val="es-ES" w:eastAsia="es-ES"/>
              </w:rPr>
            </w:pPr>
          </w:p>
        </w:tc>
        <w:tc>
          <w:tcPr>
            <w:tcW w:w="277" w:type="pct"/>
            <w:tcBorders>
              <w:top w:val="nil"/>
              <w:left w:val="nil"/>
              <w:bottom w:val="single" w:sz="2" w:space="0" w:color="auto"/>
              <w:right w:val="nil"/>
            </w:tcBorders>
            <w:shd w:val="clear" w:color="auto" w:fill="FABF8F" w:themeFill="accent6" w:themeFillTint="99"/>
            <w:vAlign w:val="center"/>
          </w:tcPr>
          <w:p w14:paraId="519684D8" w14:textId="708152BE" w:rsidR="00474131" w:rsidRPr="009E536C" w:rsidRDefault="00474131" w:rsidP="009E536C">
            <w:pPr>
              <w:pStyle w:val="cuadroCabe"/>
              <w:spacing w:line="240" w:lineRule="auto"/>
              <w:jc w:val="right"/>
              <w:rPr>
                <w:color w:val="000000"/>
                <w:sz w:val="16"/>
                <w:szCs w:val="16"/>
              </w:rPr>
            </w:pPr>
            <w:r>
              <w:rPr>
                <w:color w:val="000000"/>
                <w:sz w:val="16"/>
              </w:rPr>
              <w:t>Kop.</w:t>
            </w:r>
          </w:p>
        </w:tc>
        <w:tc>
          <w:tcPr>
            <w:tcW w:w="513" w:type="pct"/>
            <w:tcBorders>
              <w:top w:val="nil"/>
              <w:left w:val="nil"/>
              <w:bottom w:val="single" w:sz="2" w:space="0" w:color="auto"/>
              <w:right w:val="nil"/>
            </w:tcBorders>
            <w:shd w:val="clear" w:color="auto" w:fill="FABF8F" w:themeFill="accent6" w:themeFillTint="99"/>
            <w:vAlign w:val="center"/>
          </w:tcPr>
          <w:p w14:paraId="1673275E" w14:textId="2C503524" w:rsidR="00474131" w:rsidRPr="009E536C" w:rsidRDefault="00474131" w:rsidP="009E536C">
            <w:pPr>
              <w:pStyle w:val="cuadroCabe"/>
              <w:spacing w:line="240" w:lineRule="auto"/>
              <w:jc w:val="right"/>
              <w:rPr>
                <w:color w:val="000000"/>
                <w:sz w:val="16"/>
                <w:szCs w:val="16"/>
              </w:rPr>
            </w:pPr>
            <w:r>
              <w:rPr>
                <w:color w:val="000000"/>
                <w:sz w:val="16"/>
              </w:rPr>
              <w:t xml:space="preserve">Zenbatekoa </w:t>
            </w:r>
          </w:p>
        </w:tc>
        <w:tc>
          <w:tcPr>
            <w:tcW w:w="239" w:type="pct"/>
            <w:tcBorders>
              <w:top w:val="nil"/>
              <w:left w:val="nil"/>
              <w:bottom w:val="single" w:sz="2" w:space="0" w:color="auto"/>
              <w:right w:val="nil"/>
            </w:tcBorders>
            <w:shd w:val="clear" w:color="auto" w:fill="FABF8F" w:themeFill="accent6" w:themeFillTint="99"/>
            <w:vAlign w:val="center"/>
          </w:tcPr>
          <w:p w14:paraId="5AB9ECE8" w14:textId="39DFE05C" w:rsidR="00474131" w:rsidRPr="009E536C" w:rsidRDefault="00474131" w:rsidP="009E536C">
            <w:pPr>
              <w:pStyle w:val="cuadroCabe"/>
              <w:spacing w:line="240" w:lineRule="auto"/>
              <w:jc w:val="right"/>
              <w:rPr>
                <w:color w:val="000000"/>
                <w:sz w:val="16"/>
                <w:szCs w:val="16"/>
              </w:rPr>
            </w:pPr>
            <w:r>
              <w:rPr>
                <w:color w:val="000000"/>
                <w:sz w:val="16"/>
              </w:rPr>
              <w:t>Kop.</w:t>
            </w:r>
          </w:p>
        </w:tc>
        <w:tc>
          <w:tcPr>
            <w:tcW w:w="434" w:type="pct"/>
            <w:tcBorders>
              <w:top w:val="nil"/>
              <w:left w:val="nil"/>
              <w:bottom w:val="single" w:sz="2" w:space="0" w:color="auto"/>
              <w:right w:val="nil"/>
            </w:tcBorders>
            <w:shd w:val="clear" w:color="auto" w:fill="FABF8F" w:themeFill="accent6" w:themeFillTint="99"/>
            <w:vAlign w:val="center"/>
          </w:tcPr>
          <w:p w14:paraId="29C25D1E" w14:textId="5CAEEDD4" w:rsidR="00474131" w:rsidRPr="009E536C" w:rsidRDefault="00474131" w:rsidP="009E536C">
            <w:pPr>
              <w:pStyle w:val="cuadroCabe"/>
              <w:spacing w:line="240" w:lineRule="auto"/>
              <w:jc w:val="right"/>
              <w:rPr>
                <w:color w:val="000000"/>
                <w:sz w:val="16"/>
                <w:szCs w:val="16"/>
              </w:rPr>
            </w:pPr>
            <w:r>
              <w:rPr>
                <w:color w:val="000000"/>
                <w:sz w:val="16"/>
              </w:rPr>
              <w:t xml:space="preserve">Zenbatekoa </w:t>
            </w:r>
          </w:p>
        </w:tc>
        <w:tc>
          <w:tcPr>
            <w:tcW w:w="271" w:type="pct"/>
            <w:gridSpan w:val="2"/>
            <w:tcBorders>
              <w:top w:val="nil"/>
              <w:left w:val="nil"/>
              <w:bottom w:val="single" w:sz="2" w:space="0" w:color="auto"/>
              <w:right w:val="nil"/>
            </w:tcBorders>
            <w:shd w:val="clear" w:color="auto" w:fill="FABF8F" w:themeFill="accent6" w:themeFillTint="99"/>
            <w:noWrap/>
            <w:vAlign w:val="center"/>
          </w:tcPr>
          <w:p w14:paraId="207B23C3" w14:textId="392C0ECE" w:rsidR="00474131" w:rsidRPr="009E536C" w:rsidRDefault="00474131" w:rsidP="009E536C">
            <w:pPr>
              <w:pStyle w:val="cuadroCabe"/>
              <w:spacing w:line="240" w:lineRule="auto"/>
              <w:jc w:val="right"/>
              <w:rPr>
                <w:color w:val="000000"/>
                <w:sz w:val="16"/>
                <w:szCs w:val="16"/>
              </w:rPr>
            </w:pPr>
            <w:r>
              <w:rPr>
                <w:color w:val="000000"/>
                <w:sz w:val="16"/>
              </w:rPr>
              <w:t>Kop.</w:t>
            </w:r>
          </w:p>
        </w:tc>
        <w:tc>
          <w:tcPr>
            <w:tcW w:w="487" w:type="pct"/>
            <w:tcBorders>
              <w:top w:val="nil"/>
              <w:left w:val="nil"/>
              <w:bottom w:val="single" w:sz="2" w:space="0" w:color="auto"/>
              <w:right w:val="nil"/>
            </w:tcBorders>
            <w:shd w:val="clear" w:color="auto" w:fill="FABF8F" w:themeFill="accent6" w:themeFillTint="99"/>
            <w:vAlign w:val="center"/>
          </w:tcPr>
          <w:p w14:paraId="2F17BDD7" w14:textId="6A40C681" w:rsidR="00474131" w:rsidRPr="009E536C" w:rsidRDefault="00474131" w:rsidP="009E536C">
            <w:pPr>
              <w:pStyle w:val="cuadroCabe"/>
              <w:spacing w:line="240" w:lineRule="auto"/>
              <w:jc w:val="right"/>
              <w:rPr>
                <w:color w:val="000000"/>
                <w:sz w:val="16"/>
                <w:szCs w:val="16"/>
              </w:rPr>
            </w:pPr>
            <w:r>
              <w:rPr>
                <w:color w:val="000000"/>
                <w:sz w:val="16"/>
              </w:rPr>
              <w:t xml:space="preserve">Zenbatekoa </w:t>
            </w:r>
          </w:p>
        </w:tc>
        <w:tc>
          <w:tcPr>
            <w:tcW w:w="394" w:type="pct"/>
            <w:tcBorders>
              <w:top w:val="nil"/>
              <w:left w:val="nil"/>
              <w:bottom w:val="single" w:sz="2" w:space="0" w:color="auto"/>
              <w:right w:val="nil"/>
            </w:tcBorders>
            <w:shd w:val="clear" w:color="auto" w:fill="FABF8F" w:themeFill="accent6" w:themeFillTint="99"/>
            <w:noWrap/>
            <w:vAlign w:val="center"/>
          </w:tcPr>
          <w:p w14:paraId="3CDABE51" w14:textId="50A2C88E" w:rsidR="00474131" w:rsidRPr="009E536C" w:rsidRDefault="00474131" w:rsidP="009E536C">
            <w:pPr>
              <w:pStyle w:val="cuadroCabe"/>
              <w:spacing w:line="240" w:lineRule="auto"/>
              <w:jc w:val="right"/>
              <w:rPr>
                <w:color w:val="000000"/>
                <w:sz w:val="16"/>
                <w:szCs w:val="16"/>
              </w:rPr>
            </w:pPr>
            <w:r>
              <w:rPr>
                <w:color w:val="000000"/>
                <w:sz w:val="16"/>
              </w:rPr>
              <w:t>Kop.</w:t>
            </w:r>
          </w:p>
        </w:tc>
        <w:tc>
          <w:tcPr>
            <w:tcW w:w="479" w:type="pct"/>
            <w:tcBorders>
              <w:top w:val="nil"/>
              <w:left w:val="nil"/>
              <w:bottom w:val="single" w:sz="2" w:space="0" w:color="auto"/>
              <w:right w:val="nil"/>
            </w:tcBorders>
            <w:shd w:val="clear" w:color="auto" w:fill="FABF8F" w:themeFill="accent6" w:themeFillTint="99"/>
            <w:noWrap/>
            <w:vAlign w:val="center"/>
          </w:tcPr>
          <w:p w14:paraId="2EC401C5" w14:textId="0FF4C29C" w:rsidR="00474131" w:rsidRPr="009E536C" w:rsidRDefault="00474131" w:rsidP="009E536C">
            <w:pPr>
              <w:pStyle w:val="cuadroCabe"/>
              <w:spacing w:line="240" w:lineRule="auto"/>
              <w:jc w:val="right"/>
              <w:rPr>
                <w:color w:val="000000"/>
                <w:sz w:val="16"/>
                <w:szCs w:val="16"/>
              </w:rPr>
            </w:pPr>
            <w:r>
              <w:rPr>
                <w:color w:val="000000"/>
                <w:sz w:val="16"/>
              </w:rPr>
              <w:t xml:space="preserve">Zenbatekoa </w:t>
            </w:r>
          </w:p>
        </w:tc>
        <w:tc>
          <w:tcPr>
            <w:tcW w:w="276" w:type="pct"/>
            <w:tcBorders>
              <w:top w:val="nil"/>
              <w:left w:val="nil"/>
              <w:bottom w:val="single" w:sz="2" w:space="0" w:color="auto"/>
              <w:right w:val="nil"/>
            </w:tcBorders>
            <w:shd w:val="clear" w:color="auto" w:fill="FABF8F" w:themeFill="accent6" w:themeFillTint="99"/>
            <w:noWrap/>
            <w:vAlign w:val="center"/>
          </w:tcPr>
          <w:p w14:paraId="30849BF6" w14:textId="4E0A035B" w:rsidR="00474131" w:rsidRPr="009E536C" w:rsidRDefault="00474131" w:rsidP="009E536C">
            <w:pPr>
              <w:pStyle w:val="cuadroCabe"/>
              <w:spacing w:line="240" w:lineRule="auto"/>
              <w:jc w:val="right"/>
              <w:rPr>
                <w:color w:val="000000"/>
                <w:sz w:val="16"/>
                <w:szCs w:val="16"/>
              </w:rPr>
            </w:pPr>
            <w:r>
              <w:rPr>
                <w:color w:val="000000"/>
                <w:sz w:val="16"/>
              </w:rPr>
              <w:t>Kop.</w:t>
            </w:r>
          </w:p>
        </w:tc>
        <w:tc>
          <w:tcPr>
            <w:tcW w:w="597" w:type="pct"/>
            <w:tcBorders>
              <w:top w:val="nil"/>
              <w:left w:val="nil"/>
              <w:bottom w:val="single" w:sz="2" w:space="0" w:color="auto"/>
              <w:right w:val="nil"/>
            </w:tcBorders>
            <w:shd w:val="clear" w:color="auto" w:fill="FABF8F" w:themeFill="accent6" w:themeFillTint="99"/>
            <w:noWrap/>
            <w:vAlign w:val="center"/>
          </w:tcPr>
          <w:p w14:paraId="6A600B73" w14:textId="712F98D7" w:rsidR="00474131" w:rsidRPr="009E536C" w:rsidRDefault="00474131" w:rsidP="009E536C">
            <w:pPr>
              <w:pStyle w:val="cuadroCabe"/>
              <w:spacing w:line="240" w:lineRule="auto"/>
              <w:jc w:val="right"/>
              <w:rPr>
                <w:color w:val="000000"/>
                <w:sz w:val="16"/>
                <w:szCs w:val="16"/>
              </w:rPr>
            </w:pPr>
            <w:r>
              <w:rPr>
                <w:color w:val="000000"/>
                <w:sz w:val="16"/>
              </w:rPr>
              <w:t xml:space="preserve">Zenbatekoa </w:t>
            </w:r>
          </w:p>
        </w:tc>
      </w:tr>
      <w:tr w:rsidR="004A12BD" w:rsidRPr="00474131" w14:paraId="0B9D3E6C" w14:textId="77777777" w:rsidTr="009E536C">
        <w:trPr>
          <w:trHeight w:val="255"/>
          <w:jc w:val="center"/>
        </w:trPr>
        <w:tc>
          <w:tcPr>
            <w:tcW w:w="1033" w:type="pct"/>
            <w:tcBorders>
              <w:top w:val="nil"/>
              <w:left w:val="nil"/>
              <w:bottom w:val="single" w:sz="2" w:space="0" w:color="auto"/>
              <w:right w:val="nil"/>
            </w:tcBorders>
            <w:shd w:val="clear" w:color="auto" w:fill="auto"/>
            <w:noWrap/>
            <w:vAlign w:val="center"/>
            <w:hideMark/>
          </w:tcPr>
          <w:p w14:paraId="23BDB4AD" w14:textId="77777777" w:rsidR="00474131" w:rsidRPr="00474131" w:rsidRDefault="00474131" w:rsidP="009E536C">
            <w:pPr>
              <w:pStyle w:val="cuatexto"/>
              <w:spacing w:line="240" w:lineRule="auto"/>
              <w:rPr>
                <w:color w:val="000000"/>
                <w:szCs w:val="20"/>
              </w:rPr>
            </w:pPr>
            <w:r>
              <w:t>Obrak</w:t>
            </w:r>
          </w:p>
        </w:tc>
        <w:tc>
          <w:tcPr>
            <w:tcW w:w="277" w:type="pct"/>
            <w:tcBorders>
              <w:top w:val="nil"/>
              <w:left w:val="nil"/>
              <w:bottom w:val="single" w:sz="2" w:space="0" w:color="auto"/>
              <w:right w:val="nil"/>
            </w:tcBorders>
            <w:shd w:val="clear" w:color="auto" w:fill="auto"/>
            <w:vAlign w:val="center"/>
            <w:hideMark/>
          </w:tcPr>
          <w:p w14:paraId="3FC92119" w14:textId="77777777" w:rsidR="00474131" w:rsidRPr="00474131" w:rsidRDefault="00474131" w:rsidP="009E536C">
            <w:pPr>
              <w:pStyle w:val="cuatexto"/>
              <w:spacing w:line="240" w:lineRule="auto"/>
              <w:jc w:val="right"/>
              <w:rPr>
                <w:color w:val="000000"/>
                <w:szCs w:val="20"/>
              </w:rPr>
            </w:pPr>
            <w:r>
              <w:rPr>
                <w:color w:val="000000"/>
              </w:rPr>
              <w:t>148</w:t>
            </w:r>
          </w:p>
        </w:tc>
        <w:tc>
          <w:tcPr>
            <w:tcW w:w="513" w:type="pct"/>
            <w:tcBorders>
              <w:top w:val="nil"/>
              <w:left w:val="nil"/>
              <w:bottom w:val="single" w:sz="2" w:space="0" w:color="auto"/>
              <w:right w:val="nil"/>
            </w:tcBorders>
            <w:shd w:val="clear" w:color="auto" w:fill="auto"/>
            <w:vAlign w:val="center"/>
            <w:hideMark/>
          </w:tcPr>
          <w:p w14:paraId="2207842A" w14:textId="3A3CC5FF" w:rsidR="00474131" w:rsidRPr="00474131" w:rsidRDefault="00474131" w:rsidP="009E536C">
            <w:pPr>
              <w:pStyle w:val="cuatexto"/>
              <w:spacing w:line="240" w:lineRule="auto"/>
              <w:jc w:val="right"/>
              <w:rPr>
                <w:color w:val="000000"/>
                <w:szCs w:val="20"/>
              </w:rPr>
            </w:pPr>
            <w:r>
              <w:rPr>
                <w:color w:val="000000"/>
              </w:rPr>
              <w:t>38.690</w:t>
            </w:r>
          </w:p>
        </w:tc>
        <w:tc>
          <w:tcPr>
            <w:tcW w:w="239" w:type="pct"/>
            <w:tcBorders>
              <w:top w:val="nil"/>
              <w:left w:val="nil"/>
              <w:bottom w:val="single" w:sz="2" w:space="0" w:color="auto"/>
              <w:right w:val="nil"/>
            </w:tcBorders>
            <w:shd w:val="clear" w:color="auto" w:fill="auto"/>
            <w:vAlign w:val="center"/>
            <w:hideMark/>
          </w:tcPr>
          <w:p w14:paraId="15660F0F" w14:textId="77777777" w:rsidR="00474131" w:rsidRPr="00474131" w:rsidRDefault="00474131" w:rsidP="009E536C">
            <w:pPr>
              <w:pStyle w:val="cuatexto"/>
              <w:spacing w:line="240" w:lineRule="auto"/>
              <w:jc w:val="right"/>
              <w:rPr>
                <w:color w:val="000000"/>
                <w:szCs w:val="20"/>
              </w:rPr>
            </w:pPr>
            <w:r>
              <w:rPr>
                <w:color w:val="000000"/>
              </w:rPr>
              <w:t>5</w:t>
            </w:r>
          </w:p>
        </w:tc>
        <w:tc>
          <w:tcPr>
            <w:tcW w:w="434" w:type="pct"/>
            <w:tcBorders>
              <w:top w:val="nil"/>
              <w:left w:val="nil"/>
              <w:bottom w:val="single" w:sz="2" w:space="0" w:color="auto"/>
              <w:right w:val="nil"/>
            </w:tcBorders>
            <w:shd w:val="clear" w:color="auto" w:fill="auto"/>
            <w:vAlign w:val="center"/>
            <w:hideMark/>
          </w:tcPr>
          <w:p w14:paraId="075C7716" w14:textId="488487ED" w:rsidR="00474131" w:rsidRPr="00474131" w:rsidRDefault="00474131" w:rsidP="009E536C">
            <w:pPr>
              <w:pStyle w:val="cuatexto"/>
              <w:spacing w:line="240" w:lineRule="auto"/>
              <w:jc w:val="right"/>
              <w:rPr>
                <w:color w:val="000000"/>
                <w:szCs w:val="20"/>
              </w:rPr>
            </w:pPr>
            <w:r>
              <w:rPr>
                <w:color w:val="000000"/>
              </w:rPr>
              <w:t>273</w:t>
            </w:r>
          </w:p>
        </w:tc>
        <w:tc>
          <w:tcPr>
            <w:tcW w:w="271" w:type="pct"/>
            <w:gridSpan w:val="2"/>
            <w:tcBorders>
              <w:top w:val="nil"/>
              <w:left w:val="nil"/>
              <w:bottom w:val="single" w:sz="2" w:space="0" w:color="auto"/>
              <w:right w:val="nil"/>
            </w:tcBorders>
            <w:shd w:val="clear" w:color="auto" w:fill="auto"/>
            <w:noWrap/>
            <w:vAlign w:val="center"/>
            <w:hideMark/>
          </w:tcPr>
          <w:p w14:paraId="01514928" w14:textId="77777777" w:rsidR="00474131" w:rsidRPr="00474131" w:rsidRDefault="00474131" w:rsidP="009E536C">
            <w:pPr>
              <w:pStyle w:val="cuatexto"/>
              <w:spacing w:line="240" w:lineRule="auto"/>
              <w:jc w:val="right"/>
              <w:rPr>
                <w:color w:val="000000"/>
                <w:szCs w:val="20"/>
              </w:rPr>
            </w:pPr>
            <w:r>
              <w:rPr>
                <w:color w:val="000000"/>
              </w:rPr>
              <w:t>6</w:t>
            </w:r>
          </w:p>
        </w:tc>
        <w:tc>
          <w:tcPr>
            <w:tcW w:w="487" w:type="pct"/>
            <w:tcBorders>
              <w:top w:val="nil"/>
              <w:left w:val="nil"/>
              <w:bottom w:val="single" w:sz="2" w:space="0" w:color="auto"/>
              <w:right w:val="nil"/>
            </w:tcBorders>
            <w:shd w:val="clear" w:color="auto" w:fill="auto"/>
            <w:vAlign w:val="center"/>
            <w:hideMark/>
          </w:tcPr>
          <w:p w14:paraId="267045EB" w14:textId="29695AF3" w:rsidR="00474131" w:rsidRPr="00474131" w:rsidRDefault="00474131" w:rsidP="009E536C">
            <w:pPr>
              <w:pStyle w:val="cuatexto"/>
              <w:spacing w:line="240" w:lineRule="auto"/>
              <w:jc w:val="right"/>
              <w:rPr>
                <w:color w:val="000000"/>
                <w:szCs w:val="20"/>
              </w:rPr>
            </w:pPr>
            <w:r>
              <w:rPr>
                <w:color w:val="000000"/>
              </w:rPr>
              <w:t>434</w:t>
            </w:r>
          </w:p>
        </w:tc>
        <w:tc>
          <w:tcPr>
            <w:tcW w:w="394" w:type="pct"/>
            <w:tcBorders>
              <w:top w:val="nil"/>
              <w:left w:val="nil"/>
              <w:bottom w:val="single" w:sz="2" w:space="0" w:color="auto"/>
              <w:right w:val="nil"/>
            </w:tcBorders>
            <w:shd w:val="clear" w:color="auto" w:fill="auto"/>
            <w:noWrap/>
            <w:vAlign w:val="center"/>
            <w:hideMark/>
          </w:tcPr>
          <w:p w14:paraId="3C371FAA" w14:textId="77777777" w:rsidR="00474131" w:rsidRPr="00474131" w:rsidRDefault="00474131" w:rsidP="009E536C">
            <w:pPr>
              <w:pStyle w:val="cuatexto"/>
              <w:spacing w:line="240" w:lineRule="auto"/>
              <w:jc w:val="right"/>
              <w:rPr>
                <w:color w:val="000000"/>
                <w:szCs w:val="20"/>
              </w:rPr>
            </w:pPr>
            <w:r>
              <w:rPr>
                <w:color w:val="000000"/>
              </w:rPr>
              <w:t>3</w:t>
            </w:r>
          </w:p>
        </w:tc>
        <w:tc>
          <w:tcPr>
            <w:tcW w:w="479" w:type="pct"/>
            <w:tcBorders>
              <w:top w:val="nil"/>
              <w:left w:val="nil"/>
              <w:bottom w:val="single" w:sz="2" w:space="0" w:color="auto"/>
              <w:right w:val="nil"/>
            </w:tcBorders>
            <w:shd w:val="clear" w:color="auto" w:fill="auto"/>
            <w:noWrap/>
            <w:vAlign w:val="center"/>
            <w:hideMark/>
          </w:tcPr>
          <w:p w14:paraId="29C69330" w14:textId="39955879" w:rsidR="00474131" w:rsidRPr="00474131" w:rsidRDefault="00474131" w:rsidP="009E536C">
            <w:pPr>
              <w:pStyle w:val="cuatexto"/>
              <w:spacing w:line="240" w:lineRule="auto"/>
              <w:jc w:val="right"/>
              <w:rPr>
                <w:color w:val="000000"/>
                <w:szCs w:val="20"/>
              </w:rPr>
            </w:pPr>
            <w:r>
              <w:rPr>
                <w:color w:val="000000"/>
              </w:rPr>
              <w:t>576</w:t>
            </w:r>
          </w:p>
        </w:tc>
        <w:tc>
          <w:tcPr>
            <w:tcW w:w="276" w:type="pct"/>
            <w:tcBorders>
              <w:top w:val="nil"/>
              <w:left w:val="nil"/>
              <w:bottom w:val="single" w:sz="2" w:space="0" w:color="auto"/>
              <w:right w:val="nil"/>
            </w:tcBorders>
            <w:shd w:val="clear" w:color="auto" w:fill="auto"/>
            <w:noWrap/>
            <w:vAlign w:val="center"/>
            <w:hideMark/>
          </w:tcPr>
          <w:p w14:paraId="4209731A" w14:textId="77777777" w:rsidR="00474131" w:rsidRPr="00474131" w:rsidRDefault="00474131" w:rsidP="009E536C">
            <w:pPr>
              <w:pStyle w:val="cuatexto"/>
              <w:spacing w:line="240" w:lineRule="auto"/>
              <w:jc w:val="right"/>
              <w:rPr>
                <w:color w:val="000000"/>
                <w:szCs w:val="20"/>
              </w:rPr>
            </w:pPr>
            <w:r>
              <w:rPr>
                <w:color w:val="000000"/>
              </w:rPr>
              <w:t>162</w:t>
            </w:r>
          </w:p>
        </w:tc>
        <w:tc>
          <w:tcPr>
            <w:tcW w:w="597" w:type="pct"/>
            <w:tcBorders>
              <w:top w:val="nil"/>
              <w:left w:val="nil"/>
              <w:bottom w:val="single" w:sz="2" w:space="0" w:color="auto"/>
              <w:right w:val="nil"/>
            </w:tcBorders>
            <w:shd w:val="clear" w:color="auto" w:fill="auto"/>
            <w:noWrap/>
            <w:vAlign w:val="center"/>
          </w:tcPr>
          <w:p w14:paraId="7F917E0A" w14:textId="2DB7F87E" w:rsidR="00474131" w:rsidRPr="00474131" w:rsidRDefault="00474131" w:rsidP="009E536C">
            <w:pPr>
              <w:pStyle w:val="cuatexto"/>
              <w:spacing w:line="240" w:lineRule="auto"/>
              <w:jc w:val="right"/>
              <w:rPr>
                <w:color w:val="000000"/>
                <w:szCs w:val="20"/>
              </w:rPr>
            </w:pPr>
            <w:r>
              <w:rPr>
                <w:color w:val="000000"/>
              </w:rPr>
              <w:t>39.974</w:t>
            </w:r>
          </w:p>
        </w:tc>
      </w:tr>
      <w:tr w:rsidR="004A12BD" w:rsidRPr="00474131" w14:paraId="448F44C0" w14:textId="77777777" w:rsidTr="009E536C">
        <w:trPr>
          <w:trHeight w:val="255"/>
          <w:jc w:val="center"/>
        </w:trPr>
        <w:tc>
          <w:tcPr>
            <w:tcW w:w="1033" w:type="pct"/>
            <w:tcBorders>
              <w:top w:val="single" w:sz="2" w:space="0" w:color="auto"/>
              <w:left w:val="nil"/>
              <w:bottom w:val="single" w:sz="2" w:space="0" w:color="auto"/>
              <w:right w:val="nil"/>
            </w:tcBorders>
            <w:shd w:val="clear" w:color="auto" w:fill="auto"/>
            <w:noWrap/>
            <w:vAlign w:val="center"/>
            <w:hideMark/>
          </w:tcPr>
          <w:p w14:paraId="2A706138" w14:textId="77777777" w:rsidR="00474131" w:rsidRPr="00474131" w:rsidRDefault="00474131" w:rsidP="009E536C">
            <w:pPr>
              <w:pStyle w:val="cuatexto"/>
              <w:spacing w:line="240" w:lineRule="auto"/>
              <w:rPr>
                <w:szCs w:val="20"/>
              </w:rPr>
            </w:pPr>
            <w:r>
              <w:t>Zerbitzuak</w:t>
            </w:r>
          </w:p>
        </w:tc>
        <w:tc>
          <w:tcPr>
            <w:tcW w:w="277" w:type="pct"/>
            <w:tcBorders>
              <w:top w:val="single" w:sz="2" w:space="0" w:color="auto"/>
              <w:left w:val="nil"/>
              <w:bottom w:val="single" w:sz="2" w:space="0" w:color="auto"/>
              <w:right w:val="nil"/>
            </w:tcBorders>
            <w:shd w:val="clear" w:color="auto" w:fill="auto"/>
            <w:vAlign w:val="center"/>
            <w:hideMark/>
          </w:tcPr>
          <w:p w14:paraId="344E6CB9" w14:textId="77777777" w:rsidR="00474131" w:rsidRPr="00474131" w:rsidRDefault="00474131" w:rsidP="009E536C">
            <w:pPr>
              <w:pStyle w:val="cuatexto"/>
              <w:spacing w:line="240" w:lineRule="auto"/>
              <w:jc w:val="right"/>
              <w:rPr>
                <w:szCs w:val="20"/>
              </w:rPr>
            </w:pPr>
            <w:r>
              <w:t>83</w:t>
            </w:r>
          </w:p>
        </w:tc>
        <w:tc>
          <w:tcPr>
            <w:tcW w:w="513" w:type="pct"/>
            <w:tcBorders>
              <w:top w:val="single" w:sz="2" w:space="0" w:color="auto"/>
              <w:left w:val="nil"/>
              <w:bottom w:val="single" w:sz="2" w:space="0" w:color="auto"/>
              <w:right w:val="nil"/>
            </w:tcBorders>
            <w:shd w:val="clear" w:color="auto" w:fill="auto"/>
            <w:vAlign w:val="center"/>
            <w:hideMark/>
          </w:tcPr>
          <w:p w14:paraId="3FADC4B5" w14:textId="05C4BBA4" w:rsidR="00474131" w:rsidRPr="00474131" w:rsidRDefault="00474131" w:rsidP="009E536C">
            <w:pPr>
              <w:pStyle w:val="cuatexto"/>
              <w:spacing w:line="240" w:lineRule="auto"/>
              <w:jc w:val="right"/>
              <w:rPr>
                <w:szCs w:val="20"/>
              </w:rPr>
            </w:pPr>
            <w:r>
              <w:t>18.468</w:t>
            </w:r>
          </w:p>
        </w:tc>
        <w:tc>
          <w:tcPr>
            <w:tcW w:w="239" w:type="pct"/>
            <w:tcBorders>
              <w:top w:val="single" w:sz="2" w:space="0" w:color="auto"/>
              <w:left w:val="nil"/>
              <w:bottom w:val="single" w:sz="2" w:space="0" w:color="auto"/>
              <w:right w:val="nil"/>
            </w:tcBorders>
            <w:shd w:val="clear" w:color="auto" w:fill="auto"/>
            <w:vAlign w:val="center"/>
            <w:hideMark/>
          </w:tcPr>
          <w:p w14:paraId="086022E2" w14:textId="675F2917" w:rsidR="00474131" w:rsidRPr="00474131" w:rsidRDefault="00474131" w:rsidP="009E536C">
            <w:pPr>
              <w:pStyle w:val="cuatexto"/>
              <w:spacing w:line="240" w:lineRule="auto"/>
              <w:jc w:val="right"/>
              <w:rPr>
                <w:szCs w:val="20"/>
                <w:lang w:val="es-ES" w:eastAsia="es-ES"/>
              </w:rPr>
            </w:pPr>
          </w:p>
        </w:tc>
        <w:tc>
          <w:tcPr>
            <w:tcW w:w="434" w:type="pct"/>
            <w:tcBorders>
              <w:top w:val="single" w:sz="2" w:space="0" w:color="auto"/>
              <w:left w:val="nil"/>
              <w:bottom w:val="single" w:sz="2" w:space="0" w:color="auto"/>
              <w:right w:val="nil"/>
            </w:tcBorders>
            <w:shd w:val="clear" w:color="auto" w:fill="auto"/>
            <w:vAlign w:val="center"/>
            <w:hideMark/>
          </w:tcPr>
          <w:p w14:paraId="6B26E462" w14:textId="5F5AC4C8" w:rsidR="00474131" w:rsidRPr="00474131" w:rsidRDefault="00474131" w:rsidP="009E536C">
            <w:pPr>
              <w:pStyle w:val="cuatexto"/>
              <w:spacing w:line="240" w:lineRule="auto"/>
              <w:jc w:val="right"/>
              <w:rPr>
                <w:szCs w:val="20"/>
              </w:rPr>
            </w:pPr>
            <w:r>
              <w:t>-</w:t>
            </w:r>
          </w:p>
        </w:tc>
        <w:tc>
          <w:tcPr>
            <w:tcW w:w="271" w:type="pct"/>
            <w:gridSpan w:val="2"/>
            <w:tcBorders>
              <w:top w:val="single" w:sz="2" w:space="0" w:color="auto"/>
              <w:left w:val="nil"/>
              <w:bottom w:val="single" w:sz="2" w:space="0" w:color="auto"/>
              <w:right w:val="nil"/>
            </w:tcBorders>
            <w:shd w:val="clear" w:color="auto" w:fill="auto"/>
            <w:noWrap/>
            <w:vAlign w:val="center"/>
            <w:hideMark/>
          </w:tcPr>
          <w:p w14:paraId="4E146ADA" w14:textId="383C06CC" w:rsidR="00474131" w:rsidRPr="00474131" w:rsidRDefault="00474131" w:rsidP="009E536C">
            <w:pPr>
              <w:pStyle w:val="cuatexto"/>
              <w:spacing w:line="240" w:lineRule="auto"/>
              <w:jc w:val="right"/>
              <w:rPr>
                <w:szCs w:val="20"/>
                <w:lang w:val="es-ES" w:eastAsia="es-ES"/>
              </w:rPr>
            </w:pPr>
          </w:p>
        </w:tc>
        <w:tc>
          <w:tcPr>
            <w:tcW w:w="487" w:type="pct"/>
            <w:tcBorders>
              <w:top w:val="single" w:sz="2" w:space="0" w:color="auto"/>
              <w:left w:val="nil"/>
              <w:bottom w:val="single" w:sz="2" w:space="0" w:color="auto"/>
              <w:right w:val="nil"/>
            </w:tcBorders>
            <w:shd w:val="clear" w:color="auto" w:fill="auto"/>
            <w:vAlign w:val="center"/>
            <w:hideMark/>
          </w:tcPr>
          <w:p w14:paraId="005412BA" w14:textId="5A9C1126" w:rsidR="00474131" w:rsidRPr="00474131" w:rsidRDefault="00474131" w:rsidP="009E536C">
            <w:pPr>
              <w:pStyle w:val="cuatexto"/>
              <w:spacing w:line="240" w:lineRule="auto"/>
              <w:jc w:val="right"/>
              <w:rPr>
                <w:szCs w:val="20"/>
              </w:rPr>
            </w:pPr>
            <w:r>
              <w:t>-</w:t>
            </w:r>
          </w:p>
        </w:tc>
        <w:tc>
          <w:tcPr>
            <w:tcW w:w="394" w:type="pct"/>
            <w:tcBorders>
              <w:top w:val="single" w:sz="2" w:space="0" w:color="auto"/>
              <w:left w:val="nil"/>
              <w:bottom w:val="single" w:sz="2" w:space="0" w:color="auto"/>
              <w:right w:val="nil"/>
            </w:tcBorders>
            <w:shd w:val="clear" w:color="auto" w:fill="auto"/>
            <w:noWrap/>
            <w:vAlign w:val="center"/>
            <w:hideMark/>
          </w:tcPr>
          <w:p w14:paraId="345F21C4" w14:textId="77777777" w:rsidR="00474131" w:rsidRPr="00474131" w:rsidRDefault="00474131" w:rsidP="009E536C">
            <w:pPr>
              <w:pStyle w:val="cuatexto"/>
              <w:spacing w:line="240" w:lineRule="auto"/>
              <w:jc w:val="right"/>
              <w:rPr>
                <w:szCs w:val="20"/>
              </w:rPr>
            </w:pPr>
            <w:r>
              <w:t>15</w:t>
            </w:r>
          </w:p>
        </w:tc>
        <w:tc>
          <w:tcPr>
            <w:tcW w:w="479" w:type="pct"/>
            <w:tcBorders>
              <w:top w:val="single" w:sz="2" w:space="0" w:color="auto"/>
              <w:left w:val="nil"/>
              <w:bottom w:val="single" w:sz="2" w:space="0" w:color="auto"/>
              <w:right w:val="nil"/>
            </w:tcBorders>
            <w:shd w:val="clear" w:color="auto" w:fill="auto"/>
            <w:noWrap/>
            <w:vAlign w:val="center"/>
            <w:hideMark/>
          </w:tcPr>
          <w:p w14:paraId="409F3EE3" w14:textId="41D8F2BA" w:rsidR="00474131" w:rsidRPr="00474131" w:rsidRDefault="00474131" w:rsidP="009E536C">
            <w:pPr>
              <w:pStyle w:val="cuatexto"/>
              <w:spacing w:line="240" w:lineRule="auto"/>
              <w:jc w:val="right"/>
              <w:rPr>
                <w:szCs w:val="20"/>
              </w:rPr>
            </w:pPr>
            <w:r>
              <w:t>25.453</w:t>
            </w:r>
          </w:p>
        </w:tc>
        <w:tc>
          <w:tcPr>
            <w:tcW w:w="276" w:type="pct"/>
            <w:tcBorders>
              <w:top w:val="single" w:sz="2" w:space="0" w:color="auto"/>
              <w:left w:val="nil"/>
              <w:bottom w:val="single" w:sz="2" w:space="0" w:color="auto"/>
              <w:right w:val="nil"/>
            </w:tcBorders>
            <w:shd w:val="clear" w:color="auto" w:fill="auto"/>
            <w:noWrap/>
            <w:vAlign w:val="center"/>
            <w:hideMark/>
          </w:tcPr>
          <w:p w14:paraId="383C54CB" w14:textId="77777777" w:rsidR="00474131" w:rsidRPr="00474131" w:rsidRDefault="00474131" w:rsidP="009E536C">
            <w:pPr>
              <w:pStyle w:val="cuatexto"/>
              <w:spacing w:line="240" w:lineRule="auto"/>
              <w:jc w:val="right"/>
              <w:rPr>
                <w:szCs w:val="20"/>
              </w:rPr>
            </w:pPr>
            <w:r>
              <w:t>98</w:t>
            </w:r>
          </w:p>
        </w:tc>
        <w:tc>
          <w:tcPr>
            <w:tcW w:w="597" w:type="pct"/>
            <w:tcBorders>
              <w:top w:val="single" w:sz="2" w:space="0" w:color="auto"/>
              <w:left w:val="nil"/>
              <w:bottom w:val="single" w:sz="2" w:space="0" w:color="auto"/>
              <w:right w:val="nil"/>
            </w:tcBorders>
            <w:shd w:val="clear" w:color="auto" w:fill="auto"/>
            <w:noWrap/>
            <w:vAlign w:val="center"/>
          </w:tcPr>
          <w:p w14:paraId="7D8DD0C6" w14:textId="72912B77" w:rsidR="00474131" w:rsidRPr="00474131" w:rsidRDefault="00474131" w:rsidP="009E536C">
            <w:pPr>
              <w:pStyle w:val="cuatexto"/>
              <w:spacing w:line="240" w:lineRule="auto"/>
              <w:jc w:val="right"/>
              <w:rPr>
                <w:szCs w:val="20"/>
              </w:rPr>
            </w:pPr>
            <w:r>
              <w:t>43.921</w:t>
            </w:r>
          </w:p>
        </w:tc>
      </w:tr>
      <w:tr w:rsidR="004A12BD" w:rsidRPr="00474131" w14:paraId="6D539748" w14:textId="77777777" w:rsidTr="009E536C">
        <w:trPr>
          <w:trHeight w:val="255"/>
          <w:jc w:val="center"/>
        </w:trPr>
        <w:tc>
          <w:tcPr>
            <w:tcW w:w="1033" w:type="pct"/>
            <w:tcBorders>
              <w:top w:val="single" w:sz="2" w:space="0" w:color="auto"/>
              <w:left w:val="nil"/>
              <w:bottom w:val="single" w:sz="2" w:space="0" w:color="auto"/>
              <w:right w:val="nil"/>
            </w:tcBorders>
            <w:shd w:val="clear" w:color="auto" w:fill="auto"/>
            <w:noWrap/>
            <w:vAlign w:val="center"/>
            <w:hideMark/>
          </w:tcPr>
          <w:p w14:paraId="474D474D" w14:textId="77777777" w:rsidR="00474131" w:rsidRPr="00474131" w:rsidRDefault="00474131" w:rsidP="009E536C">
            <w:pPr>
              <w:pStyle w:val="cuatexto"/>
              <w:spacing w:line="240" w:lineRule="auto"/>
              <w:rPr>
                <w:szCs w:val="20"/>
              </w:rPr>
            </w:pPr>
            <w:r>
              <w:t>Hornidurak</w:t>
            </w:r>
          </w:p>
        </w:tc>
        <w:tc>
          <w:tcPr>
            <w:tcW w:w="277" w:type="pct"/>
            <w:tcBorders>
              <w:top w:val="single" w:sz="2" w:space="0" w:color="auto"/>
              <w:left w:val="nil"/>
              <w:bottom w:val="single" w:sz="2" w:space="0" w:color="auto"/>
              <w:right w:val="nil"/>
            </w:tcBorders>
            <w:shd w:val="clear" w:color="auto" w:fill="auto"/>
            <w:vAlign w:val="center"/>
            <w:hideMark/>
          </w:tcPr>
          <w:p w14:paraId="7AB52EBC" w14:textId="77777777" w:rsidR="00474131" w:rsidRPr="00474131" w:rsidRDefault="00474131" w:rsidP="009E536C">
            <w:pPr>
              <w:pStyle w:val="cuatexto"/>
              <w:spacing w:line="240" w:lineRule="auto"/>
              <w:jc w:val="right"/>
              <w:rPr>
                <w:szCs w:val="20"/>
              </w:rPr>
            </w:pPr>
            <w:r>
              <w:t>46</w:t>
            </w:r>
          </w:p>
        </w:tc>
        <w:tc>
          <w:tcPr>
            <w:tcW w:w="513" w:type="pct"/>
            <w:tcBorders>
              <w:top w:val="single" w:sz="2" w:space="0" w:color="auto"/>
              <w:left w:val="nil"/>
              <w:bottom w:val="single" w:sz="2" w:space="0" w:color="auto"/>
              <w:right w:val="nil"/>
            </w:tcBorders>
            <w:shd w:val="clear" w:color="auto" w:fill="auto"/>
            <w:vAlign w:val="center"/>
            <w:hideMark/>
          </w:tcPr>
          <w:p w14:paraId="13CED35E" w14:textId="463D71E3" w:rsidR="00474131" w:rsidRPr="00474131" w:rsidRDefault="00474131" w:rsidP="009E536C">
            <w:pPr>
              <w:pStyle w:val="cuatexto"/>
              <w:spacing w:line="240" w:lineRule="auto"/>
              <w:jc w:val="right"/>
              <w:rPr>
                <w:szCs w:val="20"/>
              </w:rPr>
            </w:pPr>
            <w:r>
              <w:t>3.156</w:t>
            </w:r>
          </w:p>
        </w:tc>
        <w:tc>
          <w:tcPr>
            <w:tcW w:w="239" w:type="pct"/>
            <w:tcBorders>
              <w:top w:val="single" w:sz="2" w:space="0" w:color="auto"/>
              <w:left w:val="nil"/>
              <w:bottom w:val="single" w:sz="2" w:space="0" w:color="auto"/>
              <w:right w:val="nil"/>
            </w:tcBorders>
            <w:shd w:val="clear" w:color="auto" w:fill="auto"/>
            <w:vAlign w:val="center"/>
            <w:hideMark/>
          </w:tcPr>
          <w:p w14:paraId="008F7460" w14:textId="3E46DC78" w:rsidR="00474131" w:rsidRPr="00474131" w:rsidRDefault="00474131" w:rsidP="009E536C">
            <w:pPr>
              <w:pStyle w:val="cuatexto"/>
              <w:spacing w:line="240" w:lineRule="auto"/>
              <w:jc w:val="right"/>
              <w:rPr>
                <w:szCs w:val="20"/>
                <w:lang w:val="es-ES" w:eastAsia="es-ES"/>
              </w:rPr>
            </w:pPr>
          </w:p>
        </w:tc>
        <w:tc>
          <w:tcPr>
            <w:tcW w:w="434" w:type="pct"/>
            <w:tcBorders>
              <w:top w:val="single" w:sz="2" w:space="0" w:color="auto"/>
              <w:left w:val="nil"/>
              <w:bottom w:val="single" w:sz="2" w:space="0" w:color="auto"/>
              <w:right w:val="nil"/>
            </w:tcBorders>
            <w:shd w:val="clear" w:color="auto" w:fill="auto"/>
            <w:vAlign w:val="center"/>
            <w:hideMark/>
          </w:tcPr>
          <w:p w14:paraId="1A703555" w14:textId="61F7FCC3" w:rsidR="00474131" w:rsidRPr="00474131" w:rsidRDefault="00474131" w:rsidP="009E536C">
            <w:pPr>
              <w:pStyle w:val="cuatexto"/>
              <w:spacing w:line="240" w:lineRule="auto"/>
              <w:jc w:val="right"/>
              <w:rPr>
                <w:szCs w:val="20"/>
              </w:rPr>
            </w:pPr>
            <w:r>
              <w:t>-</w:t>
            </w:r>
          </w:p>
        </w:tc>
        <w:tc>
          <w:tcPr>
            <w:tcW w:w="271" w:type="pct"/>
            <w:gridSpan w:val="2"/>
            <w:tcBorders>
              <w:top w:val="single" w:sz="2" w:space="0" w:color="auto"/>
              <w:left w:val="nil"/>
              <w:bottom w:val="single" w:sz="2" w:space="0" w:color="auto"/>
              <w:right w:val="nil"/>
            </w:tcBorders>
            <w:shd w:val="clear" w:color="auto" w:fill="auto"/>
            <w:noWrap/>
            <w:vAlign w:val="center"/>
            <w:hideMark/>
          </w:tcPr>
          <w:p w14:paraId="5DBAC908" w14:textId="77777777" w:rsidR="00474131" w:rsidRPr="00474131" w:rsidRDefault="00474131" w:rsidP="009E536C">
            <w:pPr>
              <w:pStyle w:val="cuatexto"/>
              <w:spacing w:line="240" w:lineRule="auto"/>
              <w:jc w:val="right"/>
              <w:rPr>
                <w:szCs w:val="20"/>
              </w:rPr>
            </w:pPr>
            <w:r>
              <w:t>1</w:t>
            </w:r>
          </w:p>
        </w:tc>
        <w:tc>
          <w:tcPr>
            <w:tcW w:w="487" w:type="pct"/>
            <w:tcBorders>
              <w:top w:val="single" w:sz="2" w:space="0" w:color="auto"/>
              <w:left w:val="nil"/>
              <w:bottom w:val="single" w:sz="2" w:space="0" w:color="auto"/>
              <w:right w:val="nil"/>
            </w:tcBorders>
            <w:shd w:val="clear" w:color="auto" w:fill="auto"/>
            <w:vAlign w:val="center"/>
            <w:hideMark/>
          </w:tcPr>
          <w:p w14:paraId="61BF245D" w14:textId="41403851" w:rsidR="00474131" w:rsidRPr="00474131" w:rsidRDefault="00474131" w:rsidP="009E536C">
            <w:pPr>
              <w:pStyle w:val="cuatexto"/>
              <w:spacing w:line="240" w:lineRule="auto"/>
              <w:jc w:val="right"/>
              <w:rPr>
                <w:szCs w:val="20"/>
              </w:rPr>
            </w:pPr>
            <w:r>
              <w:t>43</w:t>
            </w:r>
          </w:p>
        </w:tc>
        <w:tc>
          <w:tcPr>
            <w:tcW w:w="394" w:type="pct"/>
            <w:tcBorders>
              <w:top w:val="single" w:sz="2" w:space="0" w:color="auto"/>
              <w:left w:val="nil"/>
              <w:bottom w:val="single" w:sz="2" w:space="0" w:color="auto"/>
              <w:right w:val="nil"/>
            </w:tcBorders>
            <w:shd w:val="clear" w:color="auto" w:fill="auto"/>
            <w:noWrap/>
            <w:vAlign w:val="center"/>
            <w:hideMark/>
          </w:tcPr>
          <w:p w14:paraId="7CE2EDE1" w14:textId="77777777" w:rsidR="00474131" w:rsidRPr="00474131" w:rsidRDefault="00474131" w:rsidP="009E536C">
            <w:pPr>
              <w:pStyle w:val="cuatexto"/>
              <w:spacing w:line="240" w:lineRule="auto"/>
              <w:jc w:val="right"/>
              <w:rPr>
                <w:szCs w:val="20"/>
              </w:rPr>
            </w:pPr>
            <w:r>
              <w:t>3</w:t>
            </w:r>
          </w:p>
        </w:tc>
        <w:tc>
          <w:tcPr>
            <w:tcW w:w="479" w:type="pct"/>
            <w:tcBorders>
              <w:top w:val="single" w:sz="2" w:space="0" w:color="auto"/>
              <w:left w:val="nil"/>
              <w:bottom w:val="single" w:sz="2" w:space="0" w:color="auto"/>
              <w:right w:val="nil"/>
            </w:tcBorders>
            <w:shd w:val="clear" w:color="auto" w:fill="auto"/>
            <w:noWrap/>
            <w:vAlign w:val="center"/>
            <w:hideMark/>
          </w:tcPr>
          <w:p w14:paraId="28CCD8BC" w14:textId="1568CFBF" w:rsidR="00474131" w:rsidRPr="00474131" w:rsidRDefault="00474131" w:rsidP="009E536C">
            <w:pPr>
              <w:pStyle w:val="cuatexto"/>
              <w:spacing w:line="240" w:lineRule="auto"/>
              <w:jc w:val="right"/>
              <w:rPr>
                <w:szCs w:val="20"/>
              </w:rPr>
            </w:pPr>
            <w:r>
              <w:t>355</w:t>
            </w:r>
          </w:p>
        </w:tc>
        <w:tc>
          <w:tcPr>
            <w:tcW w:w="276" w:type="pct"/>
            <w:tcBorders>
              <w:top w:val="single" w:sz="2" w:space="0" w:color="auto"/>
              <w:left w:val="nil"/>
              <w:bottom w:val="single" w:sz="2" w:space="0" w:color="auto"/>
              <w:right w:val="nil"/>
            </w:tcBorders>
            <w:shd w:val="clear" w:color="auto" w:fill="auto"/>
            <w:noWrap/>
            <w:vAlign w:val="center"/>
            <w:hideMark/>
          </w:tcPr>
          <w:p w14:paraId="55A371D9" w14:textId="77777777" w:rsidR="00474131" w:rsidRPr="00474131" w:rsidRDefault="00474131" w:rsidP="009E536C">
            <w:pPr>
              <w:pStyle w:val="cuatexto"/>
              <w:spacing w:line="240" w:lineRule="auto"/>
              <w:jc w:val="right"/>
              <w:rPr>
                <w:szCs w:val="20"/>
              </w:rPr>
            </w:pPr>
            <w:r>
              <w:t>50</w:t>
            </w:r>
          </w:p>
        </w:tc>
        <w:tc>
          <w:tcPr>
            <w:tcW w:w="597" w:type="pct"/>
            <w:tcBorders>
              <w:top w:val="single" w:sz="2" w:space="0" w:color="auto"/>
              <w:left w:val="nil"/>
              <w:bottom w:val="single" w:sz="2" w:space="0" w:color="auto"/>
              <w:right w:val="nil"/>
            </w:tcBorders>
            <w:shd w:val="clear" w:color="auto" w:fill="auto"/>
            <w:noWrap/>
            <w:vAlign w:val="center"/>
          </w:tcPr>
          <w:p w14:paraId="7A536B98" w14:textId="3F881DC8" w:rsidR="00474131" w:rsidRPr="00474131" w:rsidRDefault="00474131" w:rsidP="009E536C">
            <w:pPr>
              <w:pStyle w:val="cuatexto"/>
              <w:spacing w:line="240" w:lineRule="auto"/>
              <w:jc w:val="right"/>
              <w:rPr>
                <w:szCs w:val="20"/>
              </w:rPr>
            </w:pPr>
            <w:r>
              <w:t>3.554</w:t>
            </w:r>
          </w:p>
        </w:tc>
      </w:tr>
      <w:tr w:rsidR="004A12BD" w:rsidRPr="00474131" w14:paraId="5595CB7F" w14:textId="77777777" w:rsidTr="009E536C">
        <w:trPr>
          <w:trHeight w:val="255"/>
          <w:jc w:val="center"/>
        </w:trPr>
        <w:tc>
          <w:tcPr>
            <w:tcW w:w="1033" w:type="pct"/>
            <w:tcBorders>
              <w:top w:val="single" w:sz="2" w:space="0" w:color="auto"/>
              <w:left w:val="nil"/>
              <w:bottom w:val="single" w:sz="4" w:space="0" w:color="auto"/>
              <w:right w:val="nil"/>
            </w:tcBorders>
            <w:shd w:val="clear" w:color="auto" w:fill="auto"/>
            <w:noWrap/>
            <w:vAlign w:val="center"/>
            <w:hideMark/>
          </w:tcPr>
          <w:p w14:paraId="3ADFA91B" w14:textId="4C8E3923" w:rsidR="00474131" w:rsidRPr="00474131" w:rsidRDefault="00474131" w:rsidP="009E536C">
            <w:pPr>
              <w:pStyle w:val="cuatexto"/>
              <w:spacing w:line="240" w:lineRule="auto"/>
              <w:rPr>
                <w:szCs w:val="20"/>
              </w:rPr>
            </w:pPr>
            <w:r>
              <w:t>Zerbitzu-emakidak</w:t>
            </w:r>
          </w:p>
        </w:tc>
        <w:tc>
          <w:tcPr>
            <w:tcW w:w="277" w:type="pct"/>
            <w:tcBorders>
              <w:top w:val="single" w:sz="2" w:space="0" w:color="auto"/>
              <w:left w:val="nil"/>
              <w:bottom w:val="single" w:sz="4" w:space="0" w:color="auto"/>
              <w:right w:val="nil"/>
            </w:tcBorders>
            <w:shd w:val="clear" w:color="auto" w:fill="auto"/>
            <w:vAlign w:val="center"/>
            <w:hideMark/>
          </w:tcPr>
          <w:p w14:paraId="316745B4" w14:textId="77777777" w:rsidR="00474131" w:rsidRPr="00474131" w:rsidRDefault="00474131" w:rsidP="009E536C">
            <w:pPr>
              <w:pStyle w:val="cuatexto"/>
              <w:spacing w:line="240" w:lineRule="auto"/>
              <w:jc w:val="right"/>
              <w:rPr>
                <w:szCs w:val="20"/>
              </w:rPr>
            </w:pPr>
            <w:r>
              <w:t>11</w:t>
            </w:r>
          </w:p>
        </w:tc>
        <w:tc>
          <w:tcPr>
            <w:tcW w:w="513" w:type="pct"/>
            <w:tcBorders>
              <w:top w:val="single" w:sz="2" w:space="0" w:color="auto"/>
              <w:left w:val="nil"/>
              <w:bottom w:val="single" w:sz="4" w:space="0" w:color="auto"/>
              <w:right w:val="nil"/>
            </w:tcBorders>
            <w:shd w:val="clear" w:color="auto" w:fill="auto"/>
            <w:vAlign w:val="center"/>
            <w:hideMark/>
          </w:tcPr>
          <w:p w14:paraId="61E9DC83" w14:textId="63EB52CD" w:rsidR="00474131" w:rsidRPr="00474131" w:rsidRDefault="00474131" w:rsidP="009E536C">
            <w:pPr>
              <w:pStyle w:val="cuatexto"/>
              <w:spacing w:line="240" w:lineRule="auto"/>
              <w:jc w:val="right"/>
              <w:rPr>
                <w:szCs w:val="20"/>
              </w:rPr>
            </w:pPr>
            <w:r>
              <w:t>1.103</w:t>
            </w:r>
          </w:p>
        </w:tc>
        <w:tc>
          <w:tcPr>
            <w:tcW w:w="239" w:type="pct"/>
            <w:tcBorders>
              <w:top w:val="single" w:sz="2" w:space="0" w:color="auto"/>
              <w:left w:val="nil"/>
              <w:bottom w:val="single" w:sz="4" w:space="0" w:color="auto"/>
              <w:right w:val="nil"/>
            </w:tcBorders>
            <w:shd w:val="clear" w:color="auto" w:fill="auto"/>
            <w:vAlign w:val="center"/>
            <w:hideMark/>
          </w:tcPr>
          <w:p w14:paraId="63BD6A6D" w14:textId="55D477CF" w:rsidR="00474131" w:rsidRPr="00474131" w:rsidRDefault="00474131" w:rsidP="009E536C">
            <w:pPr>
              <w:pStyle w:val="cuatexto"/>
              <w:spacing w:line="240" w:lineRule="auto"/>
              <w:jc w:val="right"/>
              <w:rPr>
                <w:szCs w:val="20"/>
                <w:lang w:val="es-ES" w:eastAsia="es-ES"/>
              </w:rPr>
            </w:pPr>
          </w:p>
        </w:tc>
        <w:tc>
          <w:tcPr>
            <w:tcW w:w="434" w:type="pct"/>
            <w:tcBorders>
              <w:top w:val="single" w:sz="2" w:space="0" w:color="auto"/>
              <w:left w:val="nil"/>
              <w:bottom w:val="single" w:sz="4" w:space="0" w:color="auto"/>
              <w:right w:val="nil"/>
            </w:tcBorders>
            <w:shd w:val="clear" w:color="auto" w:fill="auto"/>
            <w:vAlign w:val="center"/>
            <w:hideMark/>
          </w:tcPr>
          <w:p w14:paraId="74A8B375" w14:textId="0859E590" w:rsidR="00474131" w:rsidRPr="00474131" w:rsidRDefault="00474131" w:rsidP="009E536C">
            <w:pPr>
              <w:pStyle w:val="cuatexto"/>
              <w:spacing w:line="240" w:lineRule="auto"/>
              <w:jc w:val="right"/>
              <w:rPr>
                <w:szCs w:val="20"/>
              </w:rPr>
            </w:pPr>
            <w:r>
              <w:t>-</w:t>
            </w:r>
          </w:p>
        </w:tc>
        <w:tc>
          <w:tcPr>
            <w:tcW w:w="271" w:type="pct"/>
            <w:gridSpan w:val="2"/>
            <w:tcBorders>
              <w:top w:val="single" w:sz="2" w:space="0" w:color="auto"/>
              <w:left w:val="nil"/>
              <w:bottom w:val="single" w:sz="4" w:space="0" w:color="auto"/>
              <w:right w:val="nil"/>
            </w:tcBorders>
            <w:shd w:val="clear" w:color="auto" w:fill="auto"/>
            <w:noWrap/>
            <w:vAlign w:val="center"/>
            <w:hideMark/>
          </w:tcPr>
          <w:p w14:paraId="06F983DF" w14:textId="7BC88393" w:rsidR="00474131" w:rsidRPr="00474131" w:rsidRDefault="00474131" w:rsidP="009E536C">
            <w:pPr>
              <w:pStyle w:val="cuatexto"/>
              <w:spacing w:line="240" w:lineRule="auto"/>
              <w:jc w:val="right"/>
              <w:rPr>
                <w:szCs w:val="20"/>
                <w:lang w:val="es-ES" w:eastAsia="es-ES"/>
              </w:rPr>
            </w:pPr>
          </w:p>
        </w:tc>
        <w:tc>
          <w:tcPr>
            <w:tcW w:w="487" w:type="pct"/>
            <w:tcBorders>
              <w:top w:val="single" w:sz="2" w:space="0" w:color="auto"/>
              <w:left w:val="nil"/>
              <w:bottom w:val="single" w:sz="4" w:space="0" w:color="auto"/>
              <w:right w:val="nil"/>
            </w:tcBorders>
            <w:shd w:val="clear" w:color="auto" w:fill="auto"/>
            <w:vAlign w:val="center"/>
            <w:hideMark/>
          </w:tcPr>
          <w:p w14:paraId="2D44B8F0" w14:textId="1FBA15E2" w:rsidR="00474131" w:rsidRPr="00474131" w:rsidRDefault="00474131" w:rsidP="009E536C">
            <w:pPr>
              <w:pStyle w:val="cuatexto"/>
              <w:spacing w:line="240" w:lineRule="auto"/>
              <w:jc w:val="right"/>
              <w:rPr>
                <w:szCs w:val="20"/>
              </w:rPr>
            </w:pPr>
            <w:r>
              <w:t>-</w:t>
            </w:r>
          </w:p>
        </w:tc>
        <w:tc>
          <w:tcPr>
            <w:tcW w:w="394" w:type="pct"/>
            <w:tcBorders>
              <w:top w:val="single" w:sz="2" w:space="0" w:color="auto"/>
              <w:left w:val="nil"/>
              <w:bottom w:val="single" w:sz="4" w:space="0" w:color="auto"/>
              <w:right w:val="nil"/>
            </w:tcBorders>
            <w:shd w:val="clear" w:color="auto" w:fill="auto"/>
            <w:noWrap/>
            <w:vAlign w:val="center"/>
          </w:tcPr>
          <w:p w14:paraId="40778822" w14:textId="40E6447C" w:rsidR="00474131" w:rsidRPr="00474131" w:rsidRDefault="00474131" w:rsidP="009E536C">
            <w:pPr>
              <w:pStyle w:val="cuatexto"/>
              <w:spacing w:line="240" w:lineRule="auto"/>
              <w:jc w:val="right"/>
              <w:rPr>
                <w:szCs w:val="20"/>
                <w:lang w:val="es-ES" w:eastAsia="es-ES"/>
              </w:rPr>
            </w:pPr>
          </w:p>
        </w:tc>
        <w:tc>
          <w:tcPr>
            <w:tcW w:w="479" w:type="pct"/>
            <w:tcBorders>
              <w:top w:val="single" w:sz="2" w:space="0" w:color="auto"/>
              <w:left w:val="nil"/>
              <w:bottom w:val="single" w:sz="4" w:space="0" w:color="auto"/>
              <w:right w:val="nil"/>
            </w:tcBorders>
            <w:shd w:val="clear" w:color="000000" w:fill="FFFFFF" w:themeFill="background1"/>
            <w:noWrap/>
            <w:vAlign w:val="center"/>
          </w:tcPr>
          <w:p w14:paraId="44AE5BFD" w14:textId="521262F2" w:rsidR="00474131" w:rsidRPr="00474131" w:rsidRDefault="00474131" w:rsidP="009E536C">
            <w:pPr>
              <w:pStyle w:val="cuatexto"/>
              <w:spacing w:line="240" w:lineRule="auto"/>
              <w:jc w:val="right"/>
              <w:rPr>
                <w:szCs w:val="20"/>
              </w:rPr>
            </w:pPr>
            <w:r>
              <w:t>-</w:t>
            </w:r>
          </w:p>
        </w:tc>
        <w:tc>
          <w:tcPr>
            <w:tcW w:w="276" w:type="pct"/>
            <w:tcBorders>
              <w:top w:val="single" w:sz="2" w:space="0" w:color="auto"/>
              <w:left w:val="nil"/>
              <w:bottom w:val="single" w:sz="4" w:space="0" w:color="auto"/>
              <w:right w:val="nil"/>
            </w:tcBorders>
            <w:shd w:val="clear" w:color="auto" w:fill="auto"/>
            <w:noWrap/>
            <w:vAlign w:val="center"/>
            <w:hideMark/>
          </w:tcPr>
          <w:p w14:paraId="700BD85E" w14:textId="77777777" w:rsidR="00474131" w:rsidRPr="00474131" w:rsidRDefault="00474131" w:rsidP="009E536C">
            <w:pPr>
              <w:pStyle w:val="cuatexto"/>
              <w:spacing w:line="240" w:lineRule="auto"/>
              <w:jc w:val="right"/>
              <w:rPr>
                <w:szCs w:val="20"/>
              </w:rPr>
            </w:pPr>
            <w:r>
              <w:t>11</w:t>
            </w:r>
          </w:p>
        </w:tc>
        <w:tc>
          <w:tcPr>
            <w:tcW w:w="597" w:type="pct"/>
            <w:tcBorders>
              <w:top w:val="single" w:sz="2" w:space="0" w:color="auto"/>
              <w:left w:val="nil"/>
              <w:bottom w:val="single" w:sz="4" w:space="0" w:color="auto"/>
              <w:right w:val="nil"/>
            </w:tcBorders>
            <w:shd w:val="clear" w:color="auto" w:fill="auto"/>
            <w:noWrap/>
            <w:vAlign w:val="center"/>
          </w:tcPr>
          <w:p w14:paraId="117877BA" w14:textId="674636B7" w:rsidR="00474131" w:rsidRPr="00474131" w:rsidRDefault="00474131" w:rsidP="009E536C">
            <w:pPr>
              <w:pStyle w:val="cuatexto"/>
              <w:spacing w:line="240" w:lineRule="auto"/>
              <w:jc w:val="right"/>
              <w:rPr>
                <w:szCs w:val="20"/>
              </w:rPr>
            </w:pPr>
            <w:r>
              <w:t>1.103</w:t>
            </w:r>
          </w:p>
        </w:tc>
      </w:tr>
      <w:tr w:rsidR="004A12BD" w:rsidRPr="00CE2ACA" w14:paraId="26F4F3D2" w14:textId="77777777" w:rsidTr="009E536C">
        <w:trPr>
          <w:trHeight w:val="255"/>
          <w:jc w:val="center"/>
        </w:trPr>
        <w:tc>
          <w:tcPr>
            <w:tcW w:w="1033" w:type="pct"/>
            <w:tcBorders>
              <w:top w:val="nil"/>
              <w:left w:val="nil"/>
              <w:bottom w:val="single" w:sz="4" w:space="0" w:color="auto"/>
              <w:right w:val="nil"/>
            </w:tcBorders>
            <w:shd w:val="clear" w:color="auto" w:fill="FABF8F" w:themeFill="accent6" w:themeFillTint="99"/>
            <w:noWrap/>
            <w:vAlign w:val="center"/>
            <w:hideMark/>
          </w:tcPr>
          <w:p w14:paraId="6EACB86D" w14:textId="77777777" w:rsidR="00474131" w:rsidRPr="00CE2ACA" w:rsidRDefault="00474131" w:rsidP="009E536C">
            <w:pPr>
              <w:pStyle w:val="cuadroCabe"/>
              <w:spacing w:line="240" w:lineRule="auto"/>
              <w:rPr>
                <w:rFonts w:cs="Arial"/>
                <w:color w:val="000000"/>
                <w:szCs w:val="18"/>
              </w:rPr>
            </w:pPr>
            <w:r>
              <w:t>Guztira, oro har</w:t>
            </w:r>
          </w:p>
        </w:tc>
        <w:tc>
          <w:tcPr>
            <w:tcW w:w="277" w:type="pct"/>
            <w:tcBorders>
              <w:top w:val="nil"/>
              <w:left w:val="nil"/>
              <w:bottom w:val="single" w:sz="4" w:space="0" w:color="auto"/>
              <w:right w:val="nil"/>
            </w:tcBorders>
            <w:shd w:val="clear" w:color="auto" w:fill="FABF8F" w:themeFill="accent6" w:themeFillTint="99"/>
            <w:vAlign w:val="center"/>
          </w:tcPr>
          <w:p w14:paraId="732C2003" w14:textId="04989758" w:rsidR="00474131" w:rsidRPr="00CE2ACA" w:rsidRDefault="00576A54" w:rsidP="009E536C">
            <w:pPr>
              <w:pStyle w:val="cuadroCabe"/>
              <w:spacing w:line="240" w:lineRule="auto"/>
              <w:jc w:val="right"/>
              <w:rPr>
                <w:rFonts w:cs="Arial"/>
                <w:color w:val="000000"/>
                <w:szCs w:val="18"/>
              </w:rPr>
            </w:pPr>
            <w:r>
              <w:rPr>
                <w:color w:val="000000"/>
              </w:rPr>
              <w:t>288</w:t>
            </w:r>
          </w:p>
        </w:tc>
        <w:tc>
          <w:tcPr>
            <w:tcW w:w="513" w:type="pct"/>
            <w:tcBorders>
              <w:top w:val="nil"/>
              <w:left w:val="nil"/>
              <w:bottom w:val="single" w:sz="4" w:space="0" w:color="auto"/>
              <w:right w:val="nil"/>
            </w:tcBorders>
            <w:shd w:val="clear" w:color="auto" w:fill="FABF8F" w:themeFill="accent6" w:themeFillTint="99"/>
            <w:vAlign w:val="center"/>
          </w:tcPr>
          <w:p w14:paraId="7ED4FB03" w14:textId="2AA99D9E" w:rsidR="00474131" w:rsidRPr="00CE2ACA" w:rsidRDefault="00474131" w:rsidP="009E536C">
            <w:pPr>
              <w:pStyle w:val="cuadroCabe"/>
              <w:spacing w:line="240" w:lineRule="auto"/>
              <w:jc w:val="right"/>
              <w:rPr>
                <w:rFonts w:cs="Arial"/>
                <w:color w:val="000000"/>
                <w:szCs w:val="18"/>
              </w:rPr>
            </w:pPr>
            <w:r>
              <w:rPr>
                <w:color w:val="000000"/>
              </w:rPr>
              <w:t>61.416</w:t>
            </w:r>
          </w:p>
        </w:tc>
        <w:tc>
          <w:tcPr>
            <w:tcW w:w="239" w:type="pct"/>
            <w:tcBorders>
              <w:top w:val="nil"/>
              <w:left w:val="nil"/>
              <w:bottom w:val="single" w:sz="4" w:space="0" w:color="auto"/>
              <w:right w:val="nil"/>
            </w:tcBorders>
            <w:shd w:val="clear" w:color="auto" w:fill="FABF8F" w:themeFill="accent6" w:themeFillTint="99"/>
            <w:vAlign w:val="center"/>
          </w:tcPr>
          <w:p w14:paraId="4BAE9FE5" w14:textId="39ABFD2F" w:rsidR="00474131" w:rsidRPr="00CE2ACA" w:rsidRDefault="00474131" w:rsidP="009E536C">
            <w:pPr>
              <w:pStyle w:val="cuadroCabe"/>
              <w:spacing w:line="240" w:lineRule="auto"/>
              <w:jc w:val="right"/>
              <w:rPr>
                <w:rFonts w:cs="Arial"/>
                <w:color w:val="000000"/>
                <w:szCs w:val="18"/>
              </w:rPr>
            </w:pPr>
            <w:r>
              <w:rPr>
                <w:color w:val="000000"/>
              </w:rPr>
              <w:t>5</w:t>
            </w:r>
          </w:p>
        </w:tc>
        <w:tc>
          <w:tcPr>
            <w:tcW w:w="434" w:type="pct"/>
            <w:tcBorders>
              <w:top w:val="nil"/>
              <w:left w:val="nil"/>
              <w:bottom w:val="single" w:sz="4" w:space="0" w:color="auto"/>
              <w:right w:val="nil"/>
            </w:tcBorders>
            <w:shd w:val="clear" w:color="auto" w:fill="FABF8F" w:themeFill="accent6" w:themeFillTint="99"/>
            <w:vAlign w:val="center"/>
          </w:tcPr>
          <w:p w14:paraId="0538ED23" w14:textId="69E09E01" w:rsidR="00474131" w:rsidRPr="00CE2ACA" w:rsidRDefault="00474131" w:rsidP="009E536C">
            <w:pPr>
              <w:pStyle w:val="cuadroCabe"/>
              <w:spacing w:line="240" w:lineRule="auto"/>
              <w:jc w:val="right"/>
              <w:rPr>
                <w:rFonts w:cs="Arial"/>
                <w:color w:val="000000"/>
                <w:szCs w:val="18"/>
              </w:rPr>
            </w:pPr>
            <w:r>
              <w:rPr>
                <w:color w:val="000000"/>
              </w:rPr>
              <w:t>273</w:t>
            </w:r>
          </w:p>
        </w:tc>
        <w:tc>
          <w:tcPr>
            <w:tcW w:w="271" w:type="pct"/>
            <w:gridSpan w:val="2"/>
            <w:tcBorders>
              <w:top w:val="nil"/>
              <w:left w:val="nil"/>
              <w:bottom w:val="single" w:sz="4" w:space="0" w:color="auto"/>
              <w:right w:val="nil"/>
            </w:tcBorders>
            <w:shd w:val="clear" w:color="auto" w:fill="FABF8F" w:themeFill="accent6" w:themeFillTint="99"/>
            <w:noWrap/>
            <w:vAlign w:val="center"/>
          </w:tcPr>
          <w:p w14:paraId="73EDFC21" w14:textId="3A1C6D85" w:rsidR="00474131" w:rsidRPr="00CE2ACA" w:rsidRDefault="00474131" w:rsidP="009E536C">
            <w:pPr>
              <w:pStyle w:val="cuadroCabe"/>
              <w:spacing w:line="240" w:lineRule="auto"/>
              <w:jc w:val="right"/>
              <w:rPr>
                <w:rFonts w:cs="Arial"/>
                <w:color w:val="000000"/>
                <w:szCs w:val="18"/>
              </w:rPr>
            </w:pPr>
            <w:r>
              <w:rPr>
                <w:color w:val="000000"/>
              </w:rPr>
              <w:t>7</w:t>
            </w:r>
          </w:p>
        </w:tc>
        <w:tc>
          <w:tcPr>
            <w:tcW w:w="487" w:type="pct"/>
            <w:tcBorders>
              <w:top w:val="nil"/>
              <w:left w:val="nil"/>
              <w:bottom w:val="single" w:sz="4" w:space="0" w:color="auto"/>
              <w:right w:val="nil"/>
            </w:tcBorders>
            <w:shd w:val="clear" w:color="auto" w:fill="FABF8F" w:themeFill="accent6" w:themeFillTint="99"/>
            <w:noWrap/>
            <w:vAlign w:val="center"/>
          </w:tcPr>
          <w:p w14:paraId="0BEE6278" w14:textId="4519BA52" w:rsidR="00474131" w:rsidRPr="00CE2ACA" w:rsidRDefault="00474131" w:rsidP="009E536C">
            <w:pPr>
              <w:pStyle w:val="cuadroCabe"/>
              <w:spacing w:line="240" w:lineRule="auto"/>
              <w:jc w:val="right"/>
              <w:rPr>
                <w:rFonts w:cs="Arial"/>
                <w:color w:val="000000"/>
                <w:szCs w:val="18"/>
              </w:rPr>
            </w:pPr>
            <w:r>
              <w:rPr>
                <w:color w:val="000000"/>
              </w:rPr>
              <w:t>477</w:t>
            </w:r>
          </w:p>
        </w:tc>
        <w:tc>
          <w:tcPr>
            <w:tcW w:w="394" w:type="pct"/>
            <w:tcBorders>
              <w:top w:val="nil"/>
              <w:left w:val="nil"/>
              <w:bottom w:val="single" w:sz="4" w:space="0" w:color="auto"/>
              <w:right w:val="nil"/>
            </w:tcBorders>
            <w:shd w:val="clear" w:color="auto" w:fill="FABF8F" w:themeFill="accent6" w:themeFillTint="99"/>
            <w:noWrap/>
            <w:vAlign w:val="center"/>
          </w:tcPr>
          <w:p w14:paraId="53445F66" w14:textId="35BE1EFC" w:rsidR="00474131" w:rsidRPr="00CE2ACA" w:rsidRDefault="00474131" w:rsidP="009E536C">
            <w:pPr>
              <w:pStyle w:val="cuadroCabe"/>
              <w:spacing w:line="240" w:lineRule="auto"/>
              <w:jc w:val="right"/>
              <w:rPr>
                <w:rFonts w:cs="Arial"/>
                <w:color w:val="000000"/>
                <w:szCs w:val="18"/>
              </w:rPr>
            </w:pPr>
            <w:r>
              <w:rPr>
                <w:color w:val="000000"/>
              </w:rPr>
              <w:t>21</w:t>
            </w:r>
          </w:p>
        </w:tc>
        <w:tc>
          <w:tcPr>
            <w:tcW w:w="479" w:type="pct"/>
            <w:tcBorders>
              <w:top w:val="nil"/>
              <w:left w:val="nil"/>
              <w:bottom w:val="single" w:sz="4" w:space="0" w:color="auto"/>
              <w:right w:val="nil"/>
            </w:tcBorders>
            <w:shd w:val="clear" w:color="auto" w:fill="FABF8F" w:themeFill="accent6" w:themeFillTint="99"/>
            <w:noWrap/>
            <w:vAlign w:val="center"/>
          </w:tcPr>
          <w:p w14:paraId="010CA2AD" w14:textId="718B6F60" w:rsidR="00474131" w:rsidRPr="00CE2ACA" w:rsidRDefault="00474131" w:rsidP="009E536C">
            <w:pPr>
              <w:pStyle w:val="cuadroCabe"/>
              <w:spacing w:line="240" w:lineRule="auto"/>
              <w:jc w:val="right"/>
              <w:rPr>
                <w:rFonts w:cs="Arial"/>
                <w:color w:val="000000"/>
                <w:szCs w:val="18"/>
              </w:rPr>
            </w:pPr>
            <w:r>
              <w:rPr>
                <w:color w:val="000000"/>
              </w:rPr>
              <w:t>26.384</w:t>
            </w:r>
          </w:p>
        </w:tc>
        <w:tc>
          <w:tcPr>
            <w:tcW w:w="276" w:type="pct"/>
            <w:tcBorders>
              <w:top w:val="nil"/>
              <w:left w:val="nil"/>
              <w:bottom w:val="single" w:sz="4" w:space="0" w:color="auto"/>
              <w:right w:val="nil"/>
            </w:tcBorders>
            <w:shd w:val="clear" w:color="auto" w:fill="FABF8F" w:themeFill="accent6" w:themeFillTint="99"/>
            <w:noWrap/>
            <w:vAlign w:val="center"/>
          </w:tcPr>
          <w:p w14:paraId="5CC9796C" w14:textId="692E1C88" w:rsidR="00474131" w:rsidRPr="00CE2ACA" w:rsidRDefault="00474131" w:rsidP="009E536C">
            <w:pPr>
              <w:pStyle w:val="cuadroCabe"/>
              <w:spacing w:line="240" w:lineRule="auto"/>
              <w:jc w:val="right"/>
              <w:rPr>
                <w:rFonts w:cs="Arial"/>
                <w:color w:val="000000"/>
                <w:szCs w:val="18"/>
              </w:rPr>
            </w:pPr>
            <w:r>
              <w:rPr>
                <w:color w:val="000000"/>
              </w:rPr>
              <w:t>321</w:t>
            </w:r>
          </w:p>
        </w:tc>
        <w:tc>
          <w:tcPr>
            <w:tcW w:w="597" w:type="pct"/>
            <w:tcBorders>
              <w:top w:val="nil"/>
              <w:left w:val="nil"/>
              <w:bottom w:val="single" w:sz="4" w:space="0" w:color="auto"/>
              <w:right w:val="nil"/>
            </w:tcBorders>
            <w:shd w:val="clear" w:color="auto" w:fill="FABF8F" w:themeFill="accent6" w:themeFillTint="99"/>
            <w:noWrap/>
            <w:vAlign w:val="center"/>
          </w:tcPr>
          <w:p w14:paraId="38441561" w14:textId="6E708C81" w:rsidR="00474131" w:rsidRPr="00CE2ACA" w:rsidRDefault="00474131" w:rsidP="009E536C">
            <w:pPr>
              <w:pStyle w:val="cuadroCabe"/>
              <w:spacing w:line="240" w:lineRule="auto"/>
              <w:jc w:val="right"/>
              <w:rPr>
                <w:rFonts w:cs="Arial"/>
                <w:color w:val="000000"/>
                <w:szCs w:val="18"/>
              </w:rPr>
            </w:pPr>
            <w:r>
              <w:rPr>
                <w:color w:val="000000"/>
              </w:rPr>
              <w:t>88.551</w:t>
            </w:r>
          </w:p>
        </w:tc>
      </w:tr>
    </w:tbl>
    <w:p w14:paraId="4573C24E" w14:textId="1D92944E" w:rsidR="00921E56" w:rsidRDefault="00921E56" w:rsidP="00440397">
      <w:pPr>
        <w:pStyle w:val="texto"/>
        <w:spacing w:before="240" w:after="120"/>
        <w:rPr>
          <w:color w:val="000000" w:themeColor="text1"/>
        </w:rPr>
      </w:pPr>
      <w:r>
        <w:rPr>
          <w:color w:val="000000" w:themeColor="text1"/>
        </w:rPr>
        <w:t>Bestalde, toki entitateen menpeko entitateek honako kontratu hauek adjudikatu zituzten:</w:t>
      </w:r>
    </w:p>
    <w:p w14:paraId="3D66714F" w14:textId="79AB85A3" w:rsidR="00440397" w:rsidRPr="0003647B" w:rsidRDefault="009E536C" w:rsidP="00440397">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(Milakoak)</w:t>
      </w:r>
    </w:p>
    <w:tbl>
      <w:tblPr>
        <w:tblW w:w="5000" w:type="pct"/>
        <w:jc w:val="center"/>
        <w:tblCellMar>
          <w:left w:w="70" w:type="dxa"/>
          <w:right w:w="70" w:type="dxa"/>
        </w:tblCellMar>
        <w:tblLook w:val="04A0" w:firstRow="1" w:lastRow="0" w:firstColumn="1" w:lastColumn="0" w:noHBand="0" w:noVBand="1"/>
      </w:tblPr>
      <w:tblGrid>
        <w:gridCol w:w="1417"/>
        <w:gridCol w:w="911"/>
        <w:gridCol w:w="868"/>
        <w:gridCol w:w="504"/>
        <w:gridCol w:w="965"/>
        <w:gridCol w:w="107"/>
        <w:gridCol w:w="498"/>
        <w:gridCol w:w="618"/>
        <w:gridCol w:w="301"/>
        <w:gridCol w:w="848"/>
        <w:gridCol w:w="1752"/>
      </w:tblGrid>
      <w:tr w:rsidR="00440397" w:rsidRPr="009E536C" w14:paraId="78B8DF46" w14:textId="77777777" w:rsidTr="009E536C">
        <w:trPr>
          <w:trHeight w:val="227"/>
          <w:jc w:val="center"/>
        </w:trPr>
        <w:tc>
          <w:tcPr>
            <w:tcW w:w="1039" w:type="pct"/>
            <w:vMerge w:val="restart"/>
            <w:tcBorders>
              <w:top w:val="single" w:sz="4" w:space="0" w:color="auto"/>
              <w:left w:val="nil"/>
              <w:bottom w:val="single" w:sz="4" w:space="0" w:color="auto"/>
              <w:right w:val="nil"/>
            </w:tcBorders>
            <w:shd w:val="clear" w:color="auto" w:fill="FABF8F" w:themeFill="accent6" w:themeFillTint="99"/>
            <w:vAlign w:val="center"/>
            <w:hideMark/>
          </w:tcPr>
          <w:p w14:paraId="04F1F3FF" w14:textId="6D20265C" w:rsidR="00440397" w:rsidRPr="009E536C" w:rsidRDefault="00440397" w:rsidP="009E536C">
            <w:pPr>
              <w:pStyle w:val="cuadroCabe"/>
              <w:spacing w:line="240" w:lineRule="auto"/>
              <w:rPr>
                <w:color w:val="000000"/>
                <w:sz w:val="16"/>
                <w:szCs w:val="16"/>
              </w:rPr>
            </w:pPr>
            <w:r>
              <w:rPr>
                <w:sz w:val="16"/>
              </w:rPr>
              <w:t>Kontratu mota</w:t>
            </w:r>
          </w:p>
        </w:tc>
        <w:tc>
          <w:tcPr>
            <w:tcW w:w="1114"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14:paraId="512A1FF4" w14:textId="77777777" w:rsidR="00440397" w:rsidRPr="009E536C" w:rsidRDefault="00440397" w:rsidP="009E536C">
            <w:pPr>
              <w:pStyle w:val="cuadroCabe"/>
              <w:spacing w:line="240" w:lineRule="auto"/>
              <w:jc w:val="right"/>
              <w:rPr>
                <w:color w:val="000000"/>
                <w:sz w:val="16"/>
                <w:szCs w:val="16"/>
              </w:rPr>
            </w:pPr>
            <w:r>
              <w:rPr>
                <w:sz w:val="16"/>
              </w:rPr>
              <w:t>Erakunde autonomoak</w:t>
            </w:r>
          </w:p>
        </w:tc>
        <w:tc>
          <w:tcPr>
            <w:tcW w:w="980" w:type="pct"/>
            <w:gridSpan w:val="3"/>
            <w:tcBorders>
              <w:top w:val="single" w:sz="4" w:space="0" w:color="auto"/>
              <w:left w:val="nil"/>
              <w:bottom w:val="single" w:sz="4" w:space="0" w:color="auto"/>
              <w:right w:val="nil"/>
            </w:tcBorders>
            <w:shd w:val="clear" w:color="auto" w:fill="FABF8F" w:themeFill="accent6" w:themeFillTint="99"/>
            <w:noWrap/>
            <w:vAlign w:val="center"/>
            <w:hideMark/>
          </w:tcPr>
          <w:p w14:paraId="5818B4D2" w14:textId="77777777" w:rsidR="00440397" w:rsidRPr="009E536C" w:rsidRDefault="00440397" w:rsidP="009E536C">
            <w:pPr>
              <w:pStyle w:val="cuadroCabe"/>
              <w:spacing w:line="240" w:lineRule="auto"/>
              <w:jc w:val="right"/>
              <w:rPr>
                <w:color w:val="000000"/>
                <w:sz w:val="16"/>
                <w:szCs w:val="16"/>
              </w:rPr>
            </w:pPr>
            <w:r>
              <w:rPr>
                <w:sz w:val="16"/>
              </w:rPr>
              <w:t>Sozietate publikoak</w:t>
            </w:r>
          </w:p>
        </w:tc>
        <w:tc>
          <w:tcPr>
            <w:tcW w:w="570"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14:paraId="46DDCCAE" w14:textId="77777777" w:rsidR="00440397" w:rsidRPr="009E536C" w:rsidRDefault="00440397" w:rsidP="009E536C">
            <w:pPr>
              <w:pStyle w:val="cuadroCabe"/>
              <w:spacing w:line="240" w:lineRule="auto"/>
              <w:jc w:val="right"/>
              <w:rPr>
                <w:color w:val="000000"/>
                <w:sz w:val="16"/>
                <w:szCs w:val="16"/>
              </w:rPr>
            </w:pPr>
            <w:r>
              <w:rPr>
                <w:sz w:val="16"/>
              </w:rPr>
              <w:t>Partzuergoak</w:t>
            </w:r>
          </w:p>
        </w:tc>
        <w:tc>
          <w:tcPr>
            <w:tcW w:w="1297" w:type="pct"/>
            <w:gridSpan w:val="3"/>
            <w:tcBorders>
              <w:top w:val="single" w:sz="4" w:space="0" w:color="auto"/>
              <w:left w:val="nil"/>
              <w:bottom w:val="single" w:sz="4" w:space="0" w:color="auto"/>
            </w:tcBorders>
            <w:shd w:val="clear" w:color="auto" w:fill="FABF8F" w:themeFill="accent6" w:themeFillTint="99"/>
            <w:noWrap/>
            <w:vAlign w:val="center"/>
            <w:hideMark/>
          </w:tcPr>
          <w:p w14:paraId="46021ABC" w14:textId="77777777" w:rsidR="00440397" w:rsidRPr="009E536C" w:rsidRDefault="00440397" w:rsidP="009E536C">
            <w:pPr>
              <w:pStyle w:val="cuadroCabe"/>
              <w:spacing w:line="240" w:lineRule="auto"/>
              <w:jc w:val="right"/>
              <w:rPr>
                <w:sz w:val="16"/>
                <w:szCs w:val="16"/>
              </w:rPr>
            </w:pPr>
            <w:r>
              <w:rPr>
                <w:sz w:val="16"/>
              </w:rPr>
              <w:t xml:space="preserve">Menpeko entitateak eta partzuergoak, </w:t>
            </w:r>
          </w:p>
          <w:p w14:paraId="59C86ADF" w14:textId="77777777" w:rsidR="00440397" w:rsidRPr="009E536C" w:rsidRDefault="00440397" w:rsidP="009E536C">
            <w:pPr>
              <w:pStyle w:val="cuadroCabe"/>
              <w:spacing w:line="240" w:lineRule="auto"/>
              <w:jc w:val="right"/>
              <w:rPr>
                <w:color w:val="000000"/>
                <w:sz w:val="16"/>
                <w:szCs w:val="16"/>
              </w:rPr>
            </w:pPr>
            <w:r>
              <w:rPr>
                <w:sz w:val="16"/>
              </w:rPr>
              <w:t>guztira</w:t>
            </w:r>
          </w:p>
        </w:tc>
      </w:tr>
      <w:tr w:rsidR="00440397" w:rsidRPr="009E536C" w14:paraId="18012041" w14:textId="77777777" w:rsidTr="009E536C">
        <w:trPr>
          <w:trHeight w:val="227"/>
          <w:jc w:val="center"/>
        </w:trPr>
        <w:tc>
          <w:tcPr>
            <w:tcW w:w="1039" w:type="pct"/>
            <w:vMerge/>
            <w:tcBorders>
              <w:top w:val="single" w:sz="4" w:space="0" w:color="auto"/>
              <w:left w:val="nil"/>
              <w:bottom w:val="single" w:sz="4" w:space="0" w:color="auto"/>
              <w:right w:val="nil"/>
            </w:tcBorders>
            <w:shd w:val="clear" w:color="auto" w:fill="FABF8F" w:themeFill="accent6" w:themeFillTint="99"/>
            <w:vAlign w:val="center"/>
            <w:hideMark/>
          </w:tcPr>
          <w:p w14:paraId="675A80B4" w14:textId="77777777" w:rsidR="00921E56" w:rsidRPr="009E536C" w:rsidRDefault="00921E56" w:rsidP="009E536C">
            <w:pPr>
              <w:pStyle w:val="cuadroCabe"/>
              <w:spacing w:line="240" w:lineRule="auto"/>
              <w:rPr>
                <w:color w:val="000000"/>
                <w:sz w:val="16"/>
                <w:szCs w:val="16"/>
                <w:lang w:val="es-ES" w:eastAsia="es-ES"/>
              </w:rPr>
            </w:pPr>
          </w:p>
        </w:tc>
        <w:tc>
          <w:tcPr>
            <w:tcW w:w="570" w:type="pct"/>
            <w:tcBorders>
              <w:top w:val="nil"/>
              <w:left w:val="nil"/>
              <w:bottom w:val="single" w:sz="4" w:space="0" w:color="auto"/>
              <w:right w:val="nil"/>
            </w:tcBorders>
            <w:shd w:val="clear" w:color="auto" w:fill="FABF8F" w:themeFill="accent6" w:themeFillTint="99"/>
            <w:noWrap/>
            <w:vAlign w:val="center"/>
            <w:hideMark/>
          </w:tcPr>
          <w:p w14:paraId="16087866" w14:textId="77777777" w:rsidR="00921E56" w:rsidRPr="009E536C" w:rsidRDefault="00921E56" w:rsidP="009E536C">
            <w:pPr>
              <w:pStyle w:val="cuadroCabe"/>
              <w:spacing w:line="240" w:lineRule="auto"/>
              <w:jc w:val="right"/>
              <w:rPr>
                <w:color w:val="000000"/>
                <w:sz w:val="16"/>
                <w:szCs w:val="16"/>
              </w:rPr>
            </w:pPr>
            <w:r>
              <w:rPr>
                <w:sz w:val="16"/>
              </w:rPr>
              <w:t>Kop.</w:t>
            </w:r>
          </w:p>
        </w:tc>
        <w:tc>
          <w:tcPr>
            <w:tcW w:w="544" w:type="pct"/>
            <w:tcBorders>
              <w:top w:val="nil"/>
              <w:left w:val="nil"/>
              <w:bottom w:val="single" w:sz="4" w:space="0" w:color="auto"/>
              <w:right w:val="nil"/>
            </w:tcBorders>
            <w:shd w:val="clear" w:color="auto" w:fill="FABF8F" w:themeFill="accent6" w:themeFillTint="99"/>
            <w:vAlign w:val="center"/>
            <w:hideMark/>
          </w:tcPr>
          <w:p w14:paraId="5DFF8FF5" w14:textId="77777777" w:rsidR="00921E56" w:rsidRPr="009E536C" w:rsidRDefault="00921E56" w:rsidP="009E536C">
            <w:pPr>
              <w:pStyle w:val="cuadroCabe"/>
              <w:spacing w:line="240" w:lineRule="auto"/>
              <w:jc w:val="right"/>
              <w:rPr>
                <w:color w:val="000000"/>
                <w:sz w:val="16"/>
                <w:szCs w:val="16"/>
              </w:rPr>
            </w:pPr>
            <w:r>
              <w:rPr>
                <w:sz w:val="16"/>
              </w:rPr>
              <w:t xml:space="preserve">Zenbatekoa </w:t>
            </w:r>
          </w:p>
        </w:tc>
        <w:tc>
          <w:tcPr>
            <w:tcW w:w="313" w:type="pct"/>
            <w:tcBorders>
              <w:top w:val="nil"/>
              <w:left w:val="nil"/>
              <w:bottom w:val="single" w:sz="4" w:space="0" w:color="auto"/>
              <w:right w:val="nil"/>
            </w:tcBorders>
            <w:shd w:val="clear" w:color="auto" w:fill="FABF8F" w:themeFill="accent6" w:themeFillTint="99"/>
            <w:noWrap/>
            <w:vAlign w:val="center"/>
            <w:hideMark/>
          </w:tcPr>
          <w:p w14:paraId="30429EF8" w14:textId="77777777" w:rsidR="00921E56" w:rsidRPr="009E536C" w:rsidRDefault="00921E56" w:rsidP="009E536C">
            <w:pPr>
              <w:pStyle w:val="cuadroCabe"/>
              <w:spacing w:line="240" w:lineRule="auto"/>
              <w:jc w:val="right"/>
              <w:rPr>
                <w:color w:val="000000"/>
                <w:sz w:val="16"/>
                <w:szCs w:val="16"/>
              </w:rPr>
            </w:pPr>
            <w:r>
              <w:rPr>
                <w:sz w:val="16"/>
              </w:rPr>
              <w:t>Kop.</w:t>
            </w:r>
          </w:p>
        </w:tc>
        <w:tc>
          <w:tcPr>
            <w:tcW w:w="604" w:type="pct"/>
            <w:tcBorders>
              <w:top w:val="nil"/>
              <w:left w:val="nil"/>
              <w:bottom w:val="single" w:sz="4" w:space="0" w:color="auto"/>
              <w:right w:val="nil"/>
            </w:tcBorders>
            <w:shd w:val="clear" w:color="auto" w:fill="FABF8F" w:themeFill="accent6" w:themeFillTint="99"/>
            <w:vAlign w:val="center"/>
            <w:hideMark/>
          </w:tcPr>
          <w:p w14:paraId="06D95854" w14:textId="77777777" w:rsidR="00921E56" w:rsidRPr="009E536C" w:rsidRDefault="00921E56" w:rsidP="009E536C">
            <w:pPr>
              <w:pStyle w:val="cuadroCabe"/>
              <w:spacing w:line="240" w:lineRule="auto"/>
              <w:jc w:val="right"/>
              <w:rPr>
                <w:color w:val="000000"/>
                <w:sz w:val="16"/>
                <w:szCs w:val="16"/>
              </w:rPr>
            </w:pPr>
            <w:r>
              <w:rPr>
                <w:sz w:val="16"/>
              </w:rPr>
              <w:t xml:space="preserve">Zenbatekoa </w:t>
            </w:r>
          </w:p>
        </w:tc>
        <w:tc>
          <w:tcPr>
            <w:tcW w:w="317" w:type="pct"/>
            <w:gridSpan w:val="2"/>
            <w:tcBorders>
              <w:top w:val="nil"/>
              <w:left w:val="nil"/>
              <w:bottom w:val="single" w:sz="4" w:space="0" w:color="auto"/>
              <w:right w:val="nil"/>
            </w:tcBorders>
            <w:shd w:val="clear" w:color="auto" w:fill="FABF8F" w:themeFill="accent6" w:themeFillTint="99"/>
            <w:noWrap/>
            <w:vAlign w:val="center"/>
            <w:hideMark/>
          </w:tcPr>
          <w:p w14:paraId="5B1E45E3" w14:textId="77777777" w:rsidR="00921E56" w:rsidRPr="009E536C" w:rsidRDefault="00921E56" w:rsidP="009E536C">
            <w:pPr>
              <w:pStyle w:val="cuadroCabe"/>
              <w:spacing w:line="240" w:lineRule="auto"/>
              <w:jc w:val="right"/>
              <w:rPr>
                <w:color w:val="000000"/>
                <w:sz w:val="16"/>
                <w:szCs w:val="16"/>
              </w:rPr>
            </w:pPr>
            <w:r>
              <w:rPr>
                <w:sz w:val="16"/>
              </w:rPr>
              <w:t>Kop.</w:t>
            </w:r>
          </w:p>
        </w:tc>
        <w:tc>
          <w:tcPr>
            <w:tcW w:w="448" w:type="pct"/>
            <w:gridSpan w:val="2"/>
            <w:tcBorders>
              <w:top w:val="nil"/>
              <w:left w:val="nil"/>
              <w:bottom w:val="single" w:sz="4" w:space="0" w:color="auto"/>
              <w:right w:val="nil"/>
            </w:tcBorders>
            <w:shd w:val="clear" w:color="auto" w:fill="FABF8F" w:themeFill="accent6" w:themeFillTint="99"/>
            <w:vAlign w:val="center"/>
            <w:hideMark/>
          </w:tcPr>
          <w:p w14:paraId="336BF839" w14:textId="28EC0517" w:rsidR="00921E56" w:rsidRPr="009E536C" w:rsidRDefault="00921E56" w:rsidP="009E536C">
            <w:pPr>
              <w:pStyle w:val="cuadroCabe"/>
              <w:spacing w:line="240" w:lineRule="auto"/>
              <w:jc w:val="right"/>
              <w:rPr>
                <w:color w:val="000000"/>
                <w:sz w:val="16"/>
                <w:szCs w:val="16"/>
              </w:rPr>
            </w:pPr>
            <w:r>
              <w:rPr>
                <w:sz w:val="16"/>
              </w:rPr>
              <w:t>Zenbatekoa</w:t>
            </w:r>
          </w:p>
        </w:tc>
        <w:tc>
          <w:tcPr>
            <w:tcW w:w="379" w:type="pct"/>
            <w:tcBorders>
              <w:top w:val="nil"/>
              <w:left w:val="nil"/>
              <w:bottom w:val="single" w:sz="4" w:space="0" w:color="auto"/>
              <w:right w:val="nil"/>
            </w:tcBorders>
            <w:shd w:val="clear" w:color="auto" w:fill="FABF8F" w:themeFill="accent6" w:themeFillTint="99"/>
            <w:vAlign w:val="center"/>
            <w:hideMark/>
          </w:tcPr>
          <w:p w14:paraId="501E659E" w14:textId="77777777" w:rsidR="00921E56" w:rsidRPr="009E536C" w:rsidRDefault="00921E56" w:rsidP="009E536C">
            <w:pPr>
              <w:pStyle w:val="cuadroCabe"/>
              <w:spacing w:line="240" w:lineRule="auto"/>
              <w:jc w:val="right"/>
              <w:rPr>
                <w:color w:val="000000"/>
                <w:sz w:val="16"/>
                <w:szCs w:val="16"/>
              </w:rPr>
            </w:pPr>
            <w:r>
              <w:rPr>
                <w:sz w:val="16"/>
              </w:rPr>
              <w:t>Kop.</w:t>
            </w:r>
          </w:p>
        </w:tc>
        <w:tc>
          <w:tcPr>
            <w:tcW w:w="785" w:type="pct"/>
            <w:tcBorders>
              <w:top w:val="nil"/>
              <w:left w:val="nil"/>
              <w:bottom w:val="single" w:sz="4" w:space="0" w:color="auto"/>
              <w:right w:val="nil"/>
            </w:tcBorders>
            <w:shd w:val="clear" w:color="auto" w:fill="FABF8F" w:themeFill="accent6" w:themeFillTint="99"/>
            <w:vAlign w:val="center"/>
            <w:hideMark/>
          </w:tcPr>
          <w:p w14:paraId="392D401B" w14:textId="77777777" w:rsidR="00921E56" w:rsidRPr="009E536C" w:rsidRDefault="00921E56" w:rsidP="009E536C">
            <w:pPr>
              <w:pStyle w:val="cuadroCabe"/>
              <w:spacing w:line="240" w:lineRule="auto"/>
              <w:jc w:val="right"/>
              <w:rPr>
                <w:color w:val="000000"/>
                <w:sz w:val="16"/>
                <w:szCs w:val="16"/>
              </w:rPr>
            </w:pPr>
            <w:r>
              <w:rPr>
                <w:sz w:val="16"/>
              </w:rPr>
              <w:t xml:space="preserve">Zenbatekoa </w:t>
            </w:r>
          </w:p>
        </w:tc>
      </w:tr>
      <w:tr w:rsidR="00440397" w:rsidRPr="00474131" w14:paraId="1506F268" w14:textId="77777777" w:rsidTr="009E536C">
        <w:trPr>
          <w:trHeight w:val="227"/>
          <w:jc w:val="center"/>
        </w:trPr>
        <w:tc>
          <w:tcPr>
            <w:tcW w:w="1039" w:type="pct"/>
            <w:tcBorders>
              <w:top w:val="nil"/>
              <w:left w:val="nil"/>
              <w:bottom w:val="single" w:sz="4" w:space="0" w:color="auto"/>
              <w:right w:val="nil"/>
            </w:tcBorders>
            <w:shd w:val="clear" w:color="auto" w:fill="auto"/>
            <w:noWrap/>
            <w:vAlign w:val="center"/>
            <w:hideMark/>
          </w:tcPr>
          <w:p w14:paraId="7E3F2C49" w14:textId="77777777" w:rsidR="004C5885" w:rsidRPr="00474131" w:rsidRDefault="004C5885" w:rsidP="009E536C">
            <w:pPr>
              <w:spacing w:after="0"/>
              <w:ind w:firstLine="0"/>
              <w:rPr>
                <w:rFonts w:ascii="Arial Narrow" w:hAnsi="Arial Narrow" w:cs="Calibri"/>
                <w:color w:val="000000" w:themeColor="text1"/>
              </w:rPr>
            </w:pPr>
            <w:r>
              <w:rPr>
                <w:rFonts w:ascii="Arial Narrow" w:hAnsi="Arial Narrow"/>
                <w:color w:val="000000" w:themeColor="text1"/>
              </w:rPr>
              <w:t>Obrak</w:t>
            </w:r>
          </w:p>
        </w:tc>
        <w:tc>
          <w:tcPr>
            <w:tcW w:w="570" w:type="pct"/>
            <w:tcBorders>
              <w:top w:val="nil"/>
              <w:left w:val="nil"/>
              <w:bottom w:val="single" w:sz="4" w:space="0" w:color="auto"/>
              <w:right w:val="nil"/>
            </w:tcBorders>
            <w:shd w:val="clear" w:color="auto" w:fill="auto"/>
            <w:vAlign w:val="center"/>
          </w:tcPr>
          <w:p w14:paraId="5892E215" w14:textId="77777777"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 </w:t>
            </w:r>
          </w:p>
        </w:tc>
        <w:tc>
          <w:tcPr>
            <w:tcW w:w="544" w:type="pct"/>
            <w:tcBorders>
              <w:top w:val="nil"/>
              <w:left w:val="nil"/>
              <w:bottom w:val="single" w:sz="4" w:space="0" w:color="auto"/>
              <w:right w:val="nil"/>
            </w:tcBorders>
            <w:shd w:val="clear" w:color="auto" w:fill="auto"/>
            <w:vAlign w:val="center"/>
          </w:tcPr>
          <w:p w14:paraId="15F81952" w14:textId="7F8F5475" w:rsidR="004C5885" w:rsidRPr="00474131" w:rsidRDefault="00AC06A5" w:rsidP="009E536C">
            <w:pPr>
              <w:spacing w:after="0"/>
              <w:ind w:firstLine="0"/>
              <w:jc w:val="right"/>
              <w:rPr>
                <w:rFonts w:ascii="Arial Narrow" w:hAnsi="Arial Narrow" w:cs="Calibri"/>
                <w:color w:val="000000" w:themeColor="text1"/>
              </w:rPr>
            </w:pPr>
            <w:r>
              <w:rPr>
                <w:rFonts w:ascii="Arial Narrow" w:hAnsi="Arial Narrow"/>
                <w:color w:val="000000" w:themeColor="text1"/>
              </w:rPr>
              <w:t xml:space="preserve"> - </w:t>
            </w:r>
          </w:p>
        </w:tc>
        <w:tc>
          <w:tcPr>
            <w:tcW w:w="313" w:type="pct"/>
            <w:tcBorders>
              <w:top w:val="nil"/>
              <w:left w:val="nil"/>
              <w:bottom w:val="single" w:sz="4" w:space="0" w:color="auto"/>
              <w:right w:val="nil"/>
            </w:tcBorders>
            <w:shd w:val="clear" w:color="auto" w:fill="auto"/>
            <w:vAlign w:val="center"/>
            <w:hideMark/>
          </w:tcPr>
          <w:p w14:paraId="69F02286" w14:textId="77777777"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16</w:t>
            </w:r>
          </w:p>
        </w:tc>
        <w:tc>
          <w:tcPr>
            <w:tcW w:w="604" w:type="pct"/>
            <w:tcBorders>
              <w:top w:val="nil"/>
              <w:left w:val="nil"/>
              <w:bottom w:val="single" w:sz="4" w:space="0" w:color="auto"/>
              <w:right w:val="nil"/>
            </w:tcBorders>
            <w:shd w:val="clear" w:color="auto" w:fill="auto"/>
            <w:vAlign w:val="center"/>
            <w:hideMark/>
          </w:tcPr>
          <w:p w14:paraId="3C695050" w14:textId="48C035ED" w:rsidR="004C5885" w:rsidRPr="00474131" w:rsidRDefault="00AC06A5" w:rsidP="009E536C">
            <w:pPr>
              <w:spacing w:after="0"/>
              <w:ind w:firstLine="0"/>
              <w:jc w:val="right"/>
              <w:rPr>
                <w:rFonts w:ascii="Arial Narrow" w:hAnsi="Arial Narrow" w:cs="Calibri"/>
                <w:color w:val="000000" w:themeColor="text1"/>
              </w:rPr>
            </w:pPr>
            <w:r>
              <w:rPr>
                <w:rFonts w:ascii="Arial Narrow" w:hAnsi="Arial Narrow"/>
                <w:color w:val="000000" w:themeColor="text1"/>
              </w:rPr>
              <w:t xml:space="preserve"> 9.765 </w:t>
            </w:r>
          </w:p>
        </w:tc>
        <w:tc>
          <w:tcPr>
            <w:tcW w:w="317" w:type="pct"/>
            <w:gridSpan w:val="2"/>
            <w:tcBorders>
              <w:top w:val="nil"/>
              <w:left w:val="nil"/>
              <w:bottom w:val="single" w:sz="4" w:space="0" w:color="auto"/>
              <w:right w:val="nil"/>
            </w:tcBorders>
            <w:shd w:val="clear" w:color="auto" w:fill="auto"/>
            <w:vAlign w:val="center"/>
            <w:hideMark/>
          </w:tcPr>
          <w:p w14:paraId="2F3ADA8A" w14:textId="77777777"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 </w:t>
            </w:r>
          </w:p>
        </w:tc>
        <w:tc>
          <w:tcPr>
            <w:tcW w:w="448" w:type="pct"/>
            <w:gridSpan w:val="2"/>
            <w:tcBorders>
              <w:top w:val="nil"/>
              <w:left w:val="nil"/>
              <w:bottom w:val="single" w:sz="4" w:space="0" w:color="auto"/>
              <w:right w:val="nil"/>
            </w:tcBorders>
            <w:shd w:val="clear" w:color="auto" w:fill="auto"/>
            <w:vAlign w:val="center"/>
            <w:hideMark/>
          </w:tcPr>
          <w:p w14:paraId="7FDEB2ED" w14:textId="756BAE4D"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w:t>
            </w:r>
          </w:p>
        </w:tc>
        <w:tc>
          <w:tcPr>
            <w:tcW w:w="379" w:type="pct"/>
            <w:tcBorders>
              <w:top w:val="nil"/>
              <w:left w:val="nil"/>
              <w:bottom w:val="single" w:sz="4" w:space="0" w:color="auto"/>
              <w:right w:val="nil"/>
            </w:tcBorders>
            <w:shd w:val="clear" w:color="auto" w:fill="auto"/>
            <w:noWrap/>
            <w:vAlign w:val="center"/>
            <w:hideMark/>
          </w:tcPr>
          <w:p w14:paraId="1D83234A" w14:textId="77777777"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16</w:t>
            </w:r>
          </w:p>
        </w:tc>
        <w:tc>
          <w:tcPr>
            <w:tcW w:w="785" w:type="pct"/>
            <w:tcBorders>
              <w:top w:val="nil"/>
              <w:left w:val="nil"/>
              <w:bottom w:val="single" w:sz="4" w:space="0" w:color="auto"/>
              <w:right w:val="nil"/>
            </w:tcBorders>
            <w:shd w:val="clear" w:color="auto" w:fill="auto"/>
            <w:noWrap/>
            <w:vAlign w:val="center"/>
            <w:hideMark/>
          </w:tcPr>
          <w:p w14:paraId="4AED84A8" w14:textId="568BD935" w:rsidR="004C5885" w:rsidRPr="00474131" w:rsidRDefault="00AC06A5" w:rsidP="009E536C">
            <w:pPr>
              <w:spacing w:after="0"/>
              <w:ind w:firstLine="0"/>
              <w:jc w:val="right"/>
              <w:rPr>
                <w:rFonts w:ascii="Arial Narrow" w:hAnsi="Arial Narrow" w:cs="Calibri"/>
                <w:color w:val="000000" w:themeColor="text1"/>
              </w:rPr>
            </w:pPr>
            <w:r>
              <w:rPr>
                <w:rFonts w:ascii="Arial Narrow" w:hAnsi="Arial Narrow"/>
                <w:color w:val="000000" w:themeColor="text1"/>
              </w:rPr>
              <w:t xml:space="preserve"> 9.765 </w:t>
            </w:r>
          </w:p>
        </w:tc>
      </w:tr>
      <w:tr w:rsidR="00440397" w:rsidRPr="00474131" w14:paraId="3D2C196C" w14:textId="77777777" w:rsidTr="009E536C">
        <w:trPr>
          <w:trHeight w:val="227"/>
          <w:jc w:val="center"/>
        </w:trPr>
        <w:tc>
          <w:tcPr>
            <w:tcW w:w="1039" w:type="pct"/>
            <w:tcBorders>
              <w:top w:val="nil"/>
              <w:left w:val="nil"/>
              <w:bottom w:val="single" w:sz="4" w:space="0" w:color="auto"/>
              <w:right w:val="nil"/>
            </w:tcBorders>
            <w:shd w:val="clear" w:color="auto" w:fill="auto"/>
            <w:noWrap/>
            <w:vAlign w:val="center"/>
            <w:hideMark/>
          </w:tcPr>
          <w:p w14:paraId="468E3D4C" w14:textId="77777777" w:rsidR="004C5885" w:rsidRPr="00474131" w:rsidRDefault="004C5885" w:rsidP="009E536C">
            <w:pPr>
              <w:spacing w:after="0"/>
              <w:ind w:firstLine="0"/>
              <w:rPr>
                <w:rFonts w:ascii="Arial Narrow" w:hAnsi="Arial Narrow" w:cs="Calibri"/>
                <w:color w:val="000000" w:themeColor="text1"/>
              </w:rPr>
            </w:pPr>
            <w:r>
              <w:rPr>
                <w:rFonts w:ascii="Arial Narrow" w:hAnsi="Arial Narrow"/>
                <w:color w:val="000000" w:themeColor="text1"/>
              </w:rPr>
              <w:t>Zerbitzuak</w:t>
            </w:r>
          </w:p>
        </w:tc>
        <w:tc>
          <w:tcPr>
            <w:tcW w:w="570" w:type="pct"/>
            <w:tcBorders>
              <w:top w:val="nil"/>
              <w:left w:val="nil"/>
              <w:bottom w:val="single" w:sz="4" w:space="0" w:color="auto"/>
              <w:right w:val="nil"/>
            </w:tcBorders>
            <w:shd w:val="clear" w:color="auto" w:fill="auto"/>
            <w:vAlign w:val="center"/>
          </w:tcPr>
          <w:p w14:paraId="59D26B51" w14:textId="77777777"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 </w:t>
            </w:r>
          </w:p>
        </w:tc>
        <w:tc>
          <w:tcPr>
            <w:tcW w:w="544" w:type="pct"/>
            <w:tcBorders>
              <w:top w:val="nil"/>
              <w:left w:val="nil"/>
              <w:bottom w:val="single" w:sz="4" w:space="0" w:color="auto"/>
              <w:right w:val="nil"/>
            </w:tcBorders>
            <w:shd w:val="clear" w:color="auto" w:fill="auto"/>
            <w:vAlign w:val="center"/>
          </w:tcPr>
          <w:p w14:paraId="786BF30A" w14:textId="5A5CBE9E" w:rsidR="004C5885" w:rsidRPr="00474131" w:rsidRDefault="00AC06A5" w:rsidP="009E536C">
            <w:pPr>
              <w:spacing w:after="0"/>
              <w:ind w:firstLine="0"/>
              <w:jc w:val="right"/>
              <w:rPr>
                <w:rFonts w:ascii="Arial Narrow" w:hAnsi="Arial Narrow" w:cs="Calibri"/>
                <w:color w:val="000000" w:themeColor="text1"/>
              </w:rPr>
            </w:pPr>
            <w:r>
              <w:rPr>
                <w:rFonts w:ascii="Arial Narrow" w:hAnsi="Arial Narrow"/>
                <w:color w:val="000000" w:themeColor="text1"/>
              </w:rPr>
              <w:t xml:space="preserve"> - </w:t>
            </w:r>
          </w:p>
        </w:tc>
        <w:tc>
          <w:tcPr>
            <w:tcW w:w="313" w:type="pct"/>
            <w:tcBorders>
              <w:top w:val="nil"/>
              <w:left w:val="nil"/>
              <w:bottom w:val="single" w:sz="4" w:space="0" w:color="auto"/>
              <w:right w:val="nil"/>
            </w:tcBorders>
            <w:shd w:val="clear" w:color="auto" w:fill="auto"/>
            <w:vAlign w:val="center"/>
            <w:hideMark/>
          </w:tcPr>
          <w:p w14:paraId="6057C70F" w14:textId="77777777"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38</w:t>
            </w:r>
          </w:p>
        </w:tc>
        <w:tc>
          <w:tcPr>
            <w:tcW w:w="604" w:type="pct"/>
            <w:tcBorders>
              <w:top w:val="nil"/>
              <w:left w:val="nil"/>
              <w:bottom w:val="single" w:sz="4" w:space="0" w:color="auto"/>
              <w:right w:val="nil"/>
            </w:tcBorders>
            <w:shd w:val="clear" w:color="auto" w:fill="auto"/>
            <w:vAlign w:val="center"/>
            <w:hideMark/>
          </w:tcPr>
          <w:p w14:paraId="227C712E" w14:textId="0DD89303" w:rsidR="004C5885" w:rsidRPr="00474131" w:rsidRDefault="00AC06A5" w:rsidP="009E536C">
            <w:pPr>
              <w:spacing w:after="0"/>
              <w:ind w:firstLine="0"/>
              <w:jc w:val="right"/>
              <w:rPr>
                <w:rFonts w:ascii="Arial Narrow" w:hAnsi="Arial Narrow" w:cs="Calibri"/>
                <w:color w:val="000000" w:themeColor="text1"/>
              </w:rPr>
            </w:pPr>
            <w:r>
              <w:rPr>
                <w:rFonts w:ascii="Arial Narrow" w:hAnsi="Arial Narrow"/>
                <w:color w:val="000000" w:themeColor="text1"/>
              </w:rPr>
              <w:t xml:space="preserve"> 5.660 </w:t>
            </w:r>
          </w:p>
        </w:tc>
        <w:tc>
          <w:tcPr>
            <w:tcW w:w="317" w:type="pct"/>
            <w:gridSpan w:val="2"/>
            <w:tcBorders>
              <w:top w:val="nil"/>
              <w:left w:val="nil"/>
              <w:bottom w:val="single" w:sz="4" w:space="0" w:color="auto"/>
              <w:right w:val="nil"/>
            </w:tcBorders>
            <w:shd w:val="clear" w:color="auto" w:fill="auto"/>
            <w:vAlign w:val="center"/>
            <w:hideMark/>
          </w:tcPr>
          <w:p w14:paraId="1B0EA650" w14:textId="77777777"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1</w:t>
            </w:r>
          </w:p>
        </w:tc>
        <w:tc>
          <w:tcPr>
            <w:tcW w:w="448" w:type="pct"/>
            <w:gridSpan w:val="2"/>
            <w:tcBorders>
              <w:top w:val="nil"/>
              <w:left w:val="nil"/>
              <w:bottom w:val="single" w:sz="4" w:space="0" w:color="auto"/>
              <w:right w:val="nil"/>
            </w:tcBorders>
            <w:shd w:val="clear" w:color="auto" w:fill="auto"/>
            <w:vAlign w:val="center"/>
            <w:hideMark/>
          </w:tcPr>
          <w:p w14:paraId="1C0F122C" w14:textId="1972E789"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1.923</w:t>
            </w:r>
          </w:p>
        </w:tc>
        <w:tc>
          <w:tcPr>
            <w:tcW w:w="379" w:type="pct"/>
            <w:tcBorders>
              <w:top w:val="nil"/>
              <w:left w:val="nil"/>
              <w:bottom w:val="single" w:sz="4" w:space="0" w:color="auto"/>
              <w:right w:val="nil"/>
            </w:tcBorders>
            <w:shd w:val="clear" w:color="auto" w:fill="auto"/>
            <w:noWrap/>
            <w:vAlign w:val="center"/>
            <w:hideMark/>
          </w:tcPr>
          <w:p w14:paraId="0938E3ED" w14:textId="77777777"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39</w:t>
            </w:r>
          </w:p>
        </w:tc>
        <w:tc>
          <w:tcPr>
            <w:tcW w:w="785" w:type="pct"/>
            <w:tcBorders>
              <w:top w:val="nil"/>
              <w:left w:val="nil"/>
              <w:bottom w:val="single" w:sz="4" w:space="0" w:color="auto"/>
              <w:right w:val="nil"/>
            </w:tcBorders>
            <w:shd w:val="clear" w:color="auto" w:fill="auto"/>
            <w:noWrap/>
            <w:vAlign w:val="center"/>
            <w:hideMark/>
          </w:tcPr>
          <w:p w14:paraId="668CA894" w14:textId="74074D2A" w:rsidR="004C5885" w:rsidRPr="00474131" w:rsidRDefault="00AC06A5" w:rsidP="009E536C">
            <w:pPr>
              <w:spacing w:after="0"/>
              <w:ind w:firstLine="0"/>
              <w:jc w:val="right"/>
              <w:rPr>
                <w:rFonts w:ascii="Arial Narrow" w:hAnsi="Arial Narrow" w:cs="Calibri"/>
                <w:color w:val="000000" w:themeColor="text1"/>
              </w:rPr>
            </w:pPr>
            <w:r>
              <w:rPr>
                <w:rFonts w:ascii="Arial Narrow" w:hAnsi="Arial Narrow"/>
                <w:color w:val="000000" w:themeColor="text1"/>
              </w:rPr>
              <w:t xml:space="preserve"> 7.583 </w:t>
            </w:r>
          </w:p>
        </w:tc>
      </w:tr>
      <w:tr w:rsidR="00440397" w:rsidRPr="00474131" w14:paraId="4BB7A0E4" w14:textId="77777777" w:rsidTr="009E536C">
        <w:trPr>
          <w:trHeight w:val="227"/>
          <w:jc w:val="center"/>
        </w:trPr>
        <w:tc>
          <w:tcPr>
            <w:tcW w:w="1039" w:type="pct"/>
            <w:tcBorders>
              <w:top w:val="nil"/>
              <w:left w:val="nil"/>
              <w:bottom w:val="single" w:sz="4" w:space="0" w:color="auto"/>
              <w:right w:val="nil"/>
            </w:tcBorders>
            <w:shd w:val="clear" w:color="auto" w:fill="auto"/>
            <w:noWrap/>
            <w:vAlign w:val="center"/>
            <w:hideMark/>
          </w:tcPr>
          <w:p w14:paraId="5FD80E0A" w14:textId="77777777" w:rsidR="004C5885" w:rsidRPr="00474131" w:rsidRDefault="004C5885" w:rsidP="009E536C">
            <w:pPr>
              <w:spacing w:after="0"/>
              <w:ind w:firstLine="0"/>
              <w:rPr>
                <w:rFonts w:ascii="Arial Narrow" w:hAnsi="Arial Narrow" w:cs="Calibri"/>
                <w:color w:val="000000" w:themeColor="text1"/>
              </w:rPr>
            </w:pPr>
            <w:r>
              <w:rPr>
                <w:rFonts w:ascii="Arial Narrow" w:hAnsi="Arial Narrow"/>
                <w:color w:val="000000" w:themeColor="text1"/>
              </w:rPr>
              <w:t>Hornidurak</w:t>
            </w:r>
          </w:p>
        </w:tc>
        <w:tc>
          <w:tcPr>
            <w:tcW w:w="570" w:type="pct"/>
            <w:tcBorders>
              <w:top w:val="nil"/>
              <w:left w:val="nil"/>
              <w:bottom w:val="single" w:sz="4" w:space="0" w:color="auto"/>
              <w:right w:val="nil"/>
            </w:tcBorders>
            <w:shd w:val="clear" w:color="auto" w:fill="auto"/>
            <w:vAlign w:val="center"/>
          </w:tcPr>
          <w:p w14:paraId="7E9F6C3F" w14:textId="77777777"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 </w:t>
            </w:r>
          </w:p>
        </w:tc>
        <w:tc>
          <w:tcPr>
            <w:tcW w:w="544" w:type="pct"/>
            <w:tcBorders>
              <w:top w:val="nil"/>
              <w:left w:val="nil"/>
              <w:bottom w:val="single" w:sz="4" w:space="0" w:color="auto"/>
              <w:right w:val="nil"/>
            </w:tcBorders>
            <w:shd w:val="clear" w:color="auto" w:fill="auto"/>
            <w:vAlign w:val="center"/>
          </w:tcPr>
          <w:p w14:paraId="4508AC31" w14:textId="12D4F3CE" w:rsidR="004C5885" w:rsidRPr="00474131" w:rsidRDefault="00AC06A5" w:rsidP="009E536C">
            <w:pPr>
              <w:spacing w:after="0"/>
              <w:ind w:firstLine="0"/>
              <w:jc w:val="right"/>
              <w:rPr>
                <w:rFonts w:ascii="Arial Narrow" w:hAnsi="Arial Narrow" w:cs="Calibri"/>
                <w:color w:val="000000" w:themeColor="text1"/>
              </w:rPr>
            </w:pPr>
            <w:r>
              <w:rPr>
                <w:rFonts w:ascii="Arial Narrow" w:hAnsi="Arial Narrow"/>
                <w:color w:val="000000" w:themeColor="text1"/>
              </w:rPr>
              <w:t xml:space="preserve"> - </w:t>
            </w:r>
          </w:p>
        </w:tc>
        <w:tc>
          <w:tcPr>
            <w:tcW w:w="313" w:type="pct"/>
            <w:tcBorders>
              <w:top w:val="nil"/>
              <w:left w:val="nil"/>
              <w:bottom w:val="single" w:sz="4" w:space="0" w:color="auto"/>
              <w:right w:val="nil"/>
            </w:tcBorders>
            <w:shd w:val="clear" w:color="auto" w:fill="auto"/>
            <w:vAlign w:val="center"/>
            <w:hideMark/>
          </w:tcPr>
          <w:p w14:paraId="78C29EA7" w14:textId="77777777"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15</w:t>
            </w:r>
          </w:p>
        </w:tc>
        <w:tc>
          <w:tcPr>
            <w:tcW w:w="604" w:type="pct"/>
            <w:tcBorders>
              <w:top w:val="nil"/>
              <w:left w:val="nil"/>
              <w:bottom w:val="single" w:sz="4" w:space="0" w:color="auto"/>
              <w:right w:val="nil"/>
            </w:tcBorders>
            <w:shd w:val="clear" w:color="auto" w:fill="auto"/>
            <w:vAlign w:val="center"/>
            <w:hideMark/>
          </w:tcPr>
          <w:p w14:paraId="5D4D581D" w14:textId="38521655" w:rsidR="004C5885" w:rsidRPr="00474131" w:rsidRDefault="00AC06A5" w:rsidP="009E536C">
            <w:pPr>
              <w:spacing w:after="0"/>
              <w:ind w:firstLine="0"/>
              <w:jc w:val="right"/>
              <w:rPr>
                <w:rFonts w:ascii="Arial Narrow" w:hAnsi="Arial Narrow" w:cs="Calibri"/>
                <w:color w:val="000000" w:themeColor="text1"/>
              </w:rPr>
            </w:pPr>
            <w:r>
              <w:rPr>
                <w:rFonts w:ascii="Arial Narrow" w:hAnsi="Arial Narrow"/>
                <w:color w:val="000000" w:themeColor="text1"/>
              </w:rPr>
              <w:t xml:space="preserve"> 8.709 </w:t>
            </w:r>
          </w:p>
        </w:tc>
        <w:tc>
          <w:tcPr>
            <w:tcW w:w="317" w:type="pct"/>
            <w:gridSpan w:val="2"/>
            <w:tcBorders>
              <w:top w:val="nil"/>
              <w:left w:val="nil"/>
              <w:bottom w:val="single" w:sz="4" w:space="0" w:color="auto"/>
              <w:right w:val="nil"/>
            </w:tcBorders>
            <w:shd w:val="clear" w:color="auto" w:fill="auto"/>
            <w:vAlign w:val="center"/>
          </w:tcPr>
          <w:p w14:paraId="7B3A3CA7" w14:textId="77777777"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 </w:t>
            </w:r>
          </w:p>
        </w:tc>
        <w:tc>
          <w:tcPr>
            <w:tcW w:w="448" w:type="pct"/>
            <w:gridSpan w:val="2"/>
            <w:tcBorders>
              <w:top w:val="nil"/>
              <w:left w:val="nil"/>
              <w:bottom w:val="single" w:sz="4" w:space="0" w:color="auto"/>
              <w:right w:val="nil"/>
            </w:tcBorders>
            <w:shd w:val="clear" w:color="auto" w:fill="auto"/>
            <w:vAlign w:val="center"/>
          </w:tcPr>
          <w:p w14:paraId="0435D6FF" w14:textId="0DD26EE1"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w:t>
            </w:r>
          </w:p>
        </w:tc>
        <w:tc>
          <w:tcPr>
            <w:tcW w:w="379" w:type="pct"/>
            <w:tcBorders>
              <w:top w:val="nil"/>
              <w:left w:val="nil"/>
              <w:bottom w:val="single" w:sz="4" w:space="0" w:color="auto"/>
              <w:right w:val="nil"/>
            </w:tcBorders>
            <w:shd w:val="clear" w:color="auto" w:fill="auto"/>
            <w:noWrap/>
            <w:vAlign w:val="center"/>
            <w:hideMark/>
          </w:tcPr>
          <w:p w14:paraId="20859FB9" w14:textId="77777777"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15</w:t>
            </w:r>
          </w:p>
        </w:tc>
        <w:tc>
          <w:tcPr>
            <w:tcW w:w="785" w:type="pct"/>
            <w:tcBorders>
              <w:top w:val="nil"/>
              <w:left w:val="nil"/>
              <w:bottom w:val="single" w:sz="4" w:space="0" w:color="auto"/>
              <w:right w:val="nil"/>
            </w:tcBorders>
            <w:shd w:val="clear" w:color="auto" w:fill="auto"/>
            <w:noWrap/>
            <w:vAlign w:val="center"/>
            <w:hideMark/>
          </w:tcPr>
          <w:p w14:paraId="414D40B1" w14:textId="43998881" w:rsidR="004C5885" w:rsidRPr="00474131" w:rsidRDefault="00AC06A5" w:rsidP="009E536C">
            <w:pPr>
              <w:spacing w:after="0"/>
              <w:ind w:firstLine="0"/>
              <w:jc w:val="right"/>
              <w:rPr>
                <w:rFonts w:ascii="Arial Narrow" w:hAnsi="Arial Narrow" w:cs="Calibri"/>
                <w:color w:val="000000" w:themeColor="text1"/>
              </w:rPr>
            </w:pPr>
            <w:r>
              <w:rPr>
                <w:rFonts w:ascii="Arial Narrow" w:hAnsi="Arial Narrow"/>
                <w:color w:val="000000" w:themeColor="text1"/>
              </w:rPr>
              <w:t xml:space="preserve"> 8.709 </w:t>
            </w:r>
          </w:p>
        </w:tc>
      </w:tr>
      <w:tr w:rsidR="00440397" w:rsidRPr="00474131" w14:paraId="6DE75363" w14:textId="77777777" w:rsidTr="009E536C">
        <w:trPr>
          <w:trHeight w:val="227"/>
          <w:jc w:val="center"/>
        </w:trPr>
        <w:tc>
          <w:tcPr>
            <w:tcW w:w="1039" w:type="pct"/>
            <w:tcBorders>
              <w:top w:val="nil"/>
              <w:left w:val="nil"/>
              <w:bottom w:val="single" w:sz="4" w:space="0" w:color="auto"/>
              <w:right w:val="nil"/>
            </w:tcBorders>
            <w:shd w:val="clear" w:color="auto" w:fill="auto"/>
            <w:noWrap/>
            <w:vAlign w:val="center"/>
            <w:hideMark/>
          </w:tcPr>
          <w:p w14:paraId="5EA41575" w14:textId="77777777" w:rsidR="004C5885" w:rsidRPr="00474131" w:rsidRDefault="004C5885" w:rsidP="009E536C">
            <w:pPr>
              <w:spacing w:after="0"/>
              <w:ind w:firstLine="0"/>
              <w:rPr>
                <w:rFonts w:ascii="Arial Narrow" w:hAnsi="Arial Narrow" w:cs="Calibri"/>
                <w:color w:val="000000" w:themeColor="text1"/>
              </w:rPr>
            </w:pPr>
            <w:r>
              <w:rPr>
                <w:rFonts w:ascii="Arial Narrow" w:hAnsi="Arial Narrow"/>
                <w:color w:val="000000" w:themeColor="text1"/>
              </w:rPr>
              <w:t>Zerbitzu-emakidak</w:t>
            </w:r>
          </w:p>
        </w:tc>
        <w:tc>
          <w:tcPr>
            <w:tcW w:w="570" w:type="pct"/>
            <w:tcBorders>
              <w:top w:val="nil"/>
              <w:left w:val="nil"/>
              <w:bottom w:val="single" w:sz="4" w:space="0" w:color="auto"/>
              <w:right w:val="nil"/>
            </w:tcBorders>
            <w:shd w:val="clear" w:color="auto" w:fill="auto"/>
            <w:vAlign w:val="center"/>
          </w:tcPr>
          <w:p w14:paraId="57D8000C" w14:textId="77777777"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1</w:t>
            </w:r>
          </w:p>
        </w:tc>
        <w:tc>
          <w:tcPr>
            <w:tcW w:w="544" w:type="pct"/>
            <w:tcBorders>
              <w:top w:val="nil"/>
              <w:left w:val="nil"/>
              <w:bottom w:val="single" w:sz="4" w:space="0" w:color="auto"/>
              <w:right w:val="nil"/>
            </w:tcBorders>
            <w:shd w:val="clear" w:color="auto" w:fill="auto"/>
            <w:vAlign w:val="center"/>
          </w:tcPr>
          <w:p w14:paraId="14869E55" w14:textId="38DF21ED" w:rsidR="004C5885" w:rsidRPr="00474131" w:rsidRDefault="00AC06A5" w:rsidP="009E536C">
            <w:pPr>
              <w:spacing w:after="0"/>
              <w:ind w:firstLine="0"/>
              <w:jc w:val="right"/>
              <w:rPr>
                <w:rFonts w:ascii="Arial Narrow" w:hAnsi="Arial Narrow" w:cs="Calibri"/>
                <w:color w:val="000000" w:themeColor="text1"/>
              </w:rPr>
            </w:pPr>
            <w:r>
              <w:rPr>
                <w:rFonts w:ascii="Arial Narrow" w:hAnsi="Arial Narrow"/>
                <w:color w:val="000000" w:themeColor="text1"/>
              </w:rPr>
              <w:t xml:space="preserve"> 4 </w:t>
            </w:r>
          </w:p>
        </w:tc>
        <w:tc>
          <w:tcPr>
            <w:tcW w:w="313" w:type="pct"/>
            <w:tcBorders>
              <w:top w:val="nil"/>
              <w:left w:val="nil"/>
              <w:bottom w:val="single" w:sz="4" w:space="0" w:color="auto"/>
              <w:right w:val="nil"/>
            </w:tcBorders>
            <w:shd w:val="clear" w:color="auto" w:fill="auto"/>
            <w:vAlign w:val="center"/>
            <w:hideMark/>
          </w:tcPr>
          <w:p w14:paraId="0B74F1C8" w14:textId="77777777"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 </w:t>
            </w:r>
          </w:p>
        </w:tc>
        <w:tc>
          <w:tcPr>
            <w:tcW w:w="604" w:type="pct"/>
            <w:tcBorders>
              <w:top w:val="nil"/>
              <w:left w:val="nil"/>
              <w:bottom w:val="single" w:sz="4" w:space="0" w:color="auto"/>
              <w:right w:val="nil"/>
            </w:tcBorders>
            <w:shd w:val="clear" w:color="auto" w:fill="auto"/>
            <w:vAlign w:val="center"/>
            <w:hideMark/>
          </w:tcPr>
          <w:p w14:paraId="206C4366" w14:textId="279AC357" w:rsidR="004C5885" w:rsidRPr="00474131" w:rsidRDefault="00AC06A5" w:rsidP="009E536C">
            <w:pPr>
              <w:spacing w:after="0"/>
              <w:ind w:firstLine="0"/>
              <w:jc w:val="right"/>
              <w:rPr>
                <w:rFonts w:ascii="Arial Narrow" w:hAnsi="Arial Narrow" w:cs="Calibri"/>
                <w:color w:val="000000" w:themeColor="text1"/>
              </w:rPr>
            </w:pPr>
            <w:r>
              <w:rPr>
                <w:rFonts w:ascii="Arial Narrow" w:hAnsi="Arial Narrow"/>
                <w:color w:val="000000" w:themeColor="text1"/>
              </w:rPr>
              <w:t xml:space="preserve"> - </w:t>
            </w:r>
          </w:p>
        </w:tc>
        <w:tc>
          <w:tcPr>
            <w:tcW w:w="317" w:type="pct"/>
            <w:gridSpan w:val="2"/>
            <w:tcBorders>
              <w:top w:val="nil"/>
              <w:left w:val="nil"/>
              <w:bottom w:val="single" w:sz="4" w:space="0" w:color="auto"/>
              <w:right w:val="nil"/>
            </w:tcBorders>
            <w:shd w:val="clear" w:color="auto" w:fill="auto"/>
            <w:vAlign w:val="center"/>
            <w:hideMark/>
          </w:tcPr>
          <w:p w14:paraId="74626D4E" w14:textId="77777777"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 </w:t>
            </w:r>
          </w:p>
        </w:tc>
        <w:tc>
          <w:tcPr>
            <w:tcW w:w="448" w:type="pct"/>
            <w:gridSpan w:val="2"/>
            <w:tcBorders>
              <w:top w:val="nil"/>
              <w:left w:val="nil"/>
              <w:bottom w:val="single" w:sz="4" w:space="0" w:color="auto"/>
              <w:right w:val="nil"/>
            </w:tcBorders>
            <w:shd w:val="clear" w:color="auto" w:fill="auto"/>
            <w:vAlign w:val="center"/>
            <w:hideMark/>
          </w:tcPr>
          <w:p w14:paraId="7F082D96" w14:textId="29A94578"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w:t>
            </w:r>
          </w:p>
        </w:tc>
        <w:tc>
          <w:tcPr>
            <w:tcW w:w="379" w:type="pct"/>
            <w:tcBorders>
              <w:top w:val="nil"/>
              <w:left w:val="nil"/>
              <w:bottom w:val="single" w:sz="4" w:space="0" w:color="auto"/>
              <w:right w:val="nil"/>
            </w:tcBorders>
            <w:shd w:val="clear" w:color="auto" w:fill="auto"/>
            <w:noWrap/>
            <w:vAlign w:val="center"/>
            <w:hideMark/>
          </w:tcPr>
          <w:p w14:paraId="77C9D531" w14:textId="77777777" w:rsidR="004C5885" w:rsidRPr="00474131" w:rsidRDefault="004C5885" w:rsidP="009E536C">
            <w:pPr>
              <w:spacing w:after="0"/>
              <w:ind w:firstLine="0"/>
              <w:jc w:val="right"/>
              <w:rPr>
                <w:rFonts w:ascii="Arial Narrow" w:hAnsi="Arial Narrow" w:cs="Calibri"/>
                <w:color w:val="000000" w:themeColor="text1"/>
              </w:rPr>
            </w:pPr>
            <w:r>
              <w:rPr>
                <w:rFonts w:ascii="Arial Narrow" w:hAnsi="Arial Narrow"/>
                <w:color w:val="000000" w:themeColor="text1"/>
              </w:rPr>
              <w:t>1</w:t>
            </w:r>
          </w:p>
        </w:tc>
        <w:tc>
          <w:tcPr>
            <w:tcW w:w="785" w:type="pct"/>
            <w:tcBorders>
              <w:top w:val="nil"/>
              <w:left w:val="nil"/>
              <w:bottom w:val="single" w:sz="4" w:space="0" w:color="auto"/>
              <w:right w:val="nil"/>
            </w:tcBorders>
            <w:shd w:val="clear" w:color="auto" w:fill="auto"/>
            <w:noWrap/>
            <w:vAlign w:val="center"/>
            <w:hideMark/>
          </w:tcPr>
          <w:p w14:paraId="1504A2D4" w14:textId="4FD47759" w:rsidR="004C5885" w:rsidRPr="00474131" w:rsidRDefault="00AC06A5" w:rsidP="009E536C">
            <w:pPr>
              <w:spacing w:after="0"/>
              <w:ind w:firstLine="0"/>
              <w:jc w:val="right"/>
              <w:rPr>
                <w:rFonts w:ascii="Arial Narrow" w:hAnsi="Arial Narrow" w:cs="Calibri"/>
                <w:color w:val="000000" w:themeColor="text1"/>
              </w:rPr>
            </w:pPr>
            <w:r>
              <w:rPr>
                <w:rFonts w:ascii="Arial Narrow" w:hAnsi="Arial Narrow"/>
                <w:color w:val="000000" w:themeColor="text1"/>
              </w:rPr>
              <w:t xml:space="preserve"> 4 </w:t>
            </w:r>
          </w:p>
        </w:tc>
      </w:tr>
      <w:tr w:rsidR="00440397" w:rsidRPr="009E536C" w14:paraId="09566C48" w14:textId="77777777" w:rsidTr="009E536C">
        <w:trPr>
          <w:trHeight w:val="227"/>
          <w:jc w:val="center"/>
        </w:trPr>
        <w:tc>
          <w:tcPr>
            <w:tcW w:w="1039" w:type="pct"/>
            <w:tcBorders>
              <w:top w:val="single" w:sz="4" w:space="0" w:color="auto"/>
              <w:left w:val="nil"/>
              <w:bottom w:val="single" w:sz="4" w:space="0" w:color="auto"/>
              <w:right w:val="nil"/>
            </w:tcBorders>
            <w:shd w:val="clear" w:color="auto" w:fill="FABF8F" w:themeFill="accent6" w:themeFillTint="99"/>
            <w:noWrap/>
            <w:vAlign w:val="center"/>
          </w:tcPr>
          <w:p w14:paraId="5E76FBE4" w14:textId="77777777" w:rsidR="004C5885" w:rsidRPr="009E536C" w:rsidRDefault="004C5885" w:rsidP="009E536C">
            <w:pPr>
              <w:pStyle w:val="cuadroCabe"/>
              <w:spacing w:line="240" w:lineRule="auto"/>
              <w:rPr>
                <w:sz w:val="16"/>
                <w:szCs w:val="16"/>
              </w:rPr>
            </w:pPr>
            <w:r>
              <w:rPr>
                <w:sz w:val="16"/>
              </w:rPr>
              <w:t>Guztira, oro har</w:t>
            </w:r>
          </w:p>
        </w:tc>
        <w:tc>
          <w:tcPr>
            <w:tcW w:w="570" w:type="pct"/>
            <w:tcBorders>
              <w:top w:val="single" w:sz="4" w:space="0" w:color="auto"/>
              <w:left w:val="nil"/>
              <w:bottom w:val="single" w:sz="4" w:space="0" w:color="auto"/>
              <w:right w:val="nil"/>
            </w:tcBorders>
            <w:shd w:val="clear" w:color="auto" w:fill="FABF8F" w:themeFill="accent6" w:themeFillTint="99"/>
            <w:vAlign w:val="center"/>
          </w:tcPr>
          <w:p w14:paraId="15AA4EA5" w14:textId="77777777" w:rsidR="004C5885" w:rsidRPr="009E536C" w:rsidRDefault="004C5885" w:rsidP="009E536C">
            <w:pPr>
              <w:pStyle w:val="cuadroCabe"/>
              <w:spacing w:line="240" w:lineRule="auto"/>
              <w:jc w:val="right"/>
              <w:rPr>
                <w:sz w:val="16"/>
                <w:szCs w:val="16"/>
              </w:rPr>
            </w:pPr>
            <w:r>
              <w:rPr>
                <w:sz w:val="16"/>
              </w:rPr>
              <w:t>1</w:t>
            </w:r>
          </w:p>
        </w:tc>
        <w:tc>
          <w:tcPr>
            <w:tcW w:w="544" w:type="pct"/>
            <w:tcBorders>
              <w:top w:val="single" w:sz="4" w:space="0" w:color="auto"/>
              <w:left w:val="nil"/>
              <w:bottom w:val="single" w:sz="4" w:space="0" w:color="auto"/>
              <w:right w:val="nil"/>
            </w:tcBorders>
            <w:shd w:val="clear" w:color="auto" w:fill="FABF8F" w:themeFill="accent6" w:themeFillTint="99"/>
            <w:vAlign w:val="center"/>
          </w:tcPr>
          <w:p w14:paraId="4197CA3C" w14:textId="2832965E" w:rsidR="004C5885" w:rsidRPr="009E536C" w:rsidRDefault="00AC06A5" w:rsidP="009E536C">
            <w:pPr>
              <w:pStyle w:val="cuadroCabe"/>
              <w:spacing w:line="240" w:lineRule="auto"/>
              <w:jc w:val="right"/>
              <w:rPr>
                <w:sz w:val="16"/>
                <w:szCs w:val="16"/>
              </w:rPr>
            </w:pPr>
            <w:r>
              <w:rPr>
                <w:sz w:val="16"/>
              </w:rPr>
              <w:t xml:space="preserve"> 4 </w:t>
            </w:r>
          </w:p>
        </w:tc>
        <w:tc>
          <w:tcPr>
            <w:tcW w:w="313" w:type="pct"/>
            <w:tcBorders>
              <w:top w:val="single" w:sz="4" w:space="0" w:color="auto"/>
              <w:left w:val="nil"/>
              <w:bottom w:val="single" w:sz="4" w:space="0" w:color="auto"/>
              <w:right w:val="nil"/>
            </w:tcBorders>
            <w:shd w:val="clear" w:color="auto" w:fill="FABF8F" w:themeFill="accent6" w:themeFillTint="99"/>
            <w:vAlign w:val="center"/>
          </w:tcPr>
          <w:p w14:paraId="773645C5" w14:textId="77777777" w:rsidR="004C5885" w:rsidRPr="009E536C" w:rsidRDefault="004C5885" w:rsidP="009E536C">
            <w:pPr>
              <w:pStyle w:val="cuadroCabe"/>
              <w:spacing w:line="240" w:lineRule="auto"/>
              <w:jc w:val="right"/>
              <w:rPr>
                <w:sz w:val="16"/>
                <w:szCs w:val="16"/>
              </w:rPr>
            </w:pPr>
            <w:r>
              <w:rPr>
                <w:sz w:val="16"/>
              </w:rPr>
              <w:t>69</w:t>
            </w:r>
          </w:p>
        </w:tc>
        <w:tc>
          <w:tcPr>
            <w:tcW w:w="604" w:type="pct"/>
            <w:tcBorders>
              <w:top w:val="single" w:sz="4" w:space="0" w:color="auto"/>
              <w:left w:val="nil"/>
              <w:bottom w:val="single" w:sz="4" w:space="0" w:color="auto"/>
              <w:right w:val="nil"/>
            </w:tcBorders>
            <w:shd w:val="clear" w:color="auto" w:fill="FABF8F" w:themeFill="accent6" w:themeFillTint="99"/>
            <w:vAlign w:val="center"/>
          </w:tcPr>
          <w:p w14:paraId="781F9EEF" w14:textId="11212EDF" w:rsidR="004C5885" w:rsidRPr="009E536C" w:rsidRDefault="00AC06A5" w:rsidP="009E536C">
            <w:pPr>
              <w:pStyle w:val="cuadroCabe"/>
              <w:spacing w:line="240" w:lineRule="auto"/>
              <w:jc w:val="right"/>
              <w:rPr>
                <w:sz w:val="16"/>
                <w:szCs w:val="16"/>
              </w:rPr>
            </w:pPr>
            <w:r>
              <w:rPr>
                <w:sz w:val="16"/>
              </w:rPr>
              <w:t xml:space="preserve"> 24.135 </w:t>
            </w:r>
          </w:p>
        </w:tc>
        <w:tc>
          <w:tcPr>
            <w:tcW w:w="317" w:type="pct"/>
            <w:gridSpan w:val="2"/>
            <w:tcBorders>
              <w:top w:val="single" w:sz="4" w:space="0" w:color="auto"/>
              <w:left w:val="nil"/>
              <w:bottom w:val="single" w:sz="4" w:space="0" w:color="auto"/>
              <w:right w:val="nil"/>
            </w:tcBorders>
            <w:shd w:val="clear" w:color="auto" w:fill="FABF8F" w:themeFill="accent6" w:themeFillTint="99"/>
            <w:vAlign w:val="center"/>
          </w:tcPr>
          <w:p w14:paraId="70212724" w14:textId="77777777" w:rsidR="004C5885" w:rsidRPr="009E536C" w:rsidRDefault="004C5885" w:rsidP="009E536C">
            <w:pPr>
              <w:pStyle w:val="cuadroCabe"/>
              <w:spacing w:line="240" w:lineRule="auto"/>
              <w:jc w:val="right"/>
              <w:rPr>
                <w:sz w:val="16"/>
                <w:szCs w:val="16"/>
              </w:rPr>
            </w:pPr>
            <w:r>
              <w:rPr>
                <w:sz w:val="16"/>
              </w:rPr>
              <w:t>1</w:t>
            </w:r>
          </w:p>
        </w:tc>
        <w:tc>
          <w:tcPr>
            <w:tcW w:w="448" w:type="pct"/>
            <w:gridSpan w:val="2"/>
            <w:tcBorders>
              <w:top w:val="single" w:sz="4" w:space="0" w:color="auto"/>
              <w:left w:val="nil"/>
              <w:bottom w:val="single" w:sz="4" w:space="0" w:color="auto"/>
              <w:right w:val="nil"/>
            </w:tcBorders>
            <w:shd w:val="clear" w:color="auto" w:fill="FABF8F" w:themeFill="accent6" w:themeFillTint="99"/>
            <w:vAlign w:val="center"/>
          </w:tcPr>
          <w:p w14:paraId="42E774B5" w14:textId="2E8E071D" w:rsidR="004C5885" w:rsidRPr="009E536C" w:rsidRDefault="004C5885" w:rsidP="009E536C">
            <w:pPr>
              <w:pStyle w:val="cuadroCabe"/>
              <w:spacing w:line="240" w:lineRule="auto"/>
              <w:jc w:val="right"/>
              <w:rPr>
                <w:sz w:val="16"/>
                <w:szCs w:val="16"/>
              </w:rPr>
            </w:pPr>
            <w:r>
              <w:rPr>
                <w:sz w:val="16"/>
              </w:rPr>
              <w:t>1.923</w:t>
            </w:r>
          </w:p>
        </w:tc>
        <w:tc>
          <w:tcPr>
            <w:tcW w:w="379" w:type="pct"/>
            <w:tcBorders>
              <w:top w:val="single" w:sz="4" w:space="0" w:color="auto"/>
              <w:left w:val="nil"/>
              <w:bottom w:val="single" w:sz="4" w:space="0" w:color="auto"/>
              <w:right w:val="nil"/>
            </w:tcBorders>
            <w:shd w:val="clear" w:color="auto" w:fill="FABF8F" w:themeFill="accent6" w:themeFillTint="99"/>
            <w:noWrap/>
            <w:vAlign w:val="center"/>
          </w:tcPr>
          <w:p w14:paraId="44751B7F" w14:textId="77777777" w:rsidR="004C5885" w:rsidRPr="009E536C" w:rsidRDefault="004C5885" w:rsidP="009E536C">
            <w:pPr>
              <w:pStyle w:val="cuadroCabe"/>
              <w:spacing w:line="240" w:lineRule="auto"/>
              <w:jc w:val="right"/>
              <w:rPr>
                <w:sz w:val="16"/>
                <w:szCs w:val="16"/>
              </w:rPr>
            </w:pPr>
            <w:r>
              <w:rPr>
                <w:sz w:val="16"/>
              </w:rPr>
              <w:t>71</w:t>
            </w:r>
          </w:p>
        </w:tc>
        <w:tc>
          <w:tcPr>
            <w:tcW w:w="785" w:type="pct"/>
            <w:tcBorders>
              <w:top w:val="single" w:sz="4" w:space="0" w:color="auto"/>
              <w:left w:val="nil"/>
              <w:bottom w:val="single" w:sz="4" w:space="0" w:color="auto"/>
              <w:right w:val="nil"/>
            </w:tcBorders>
            <w:shd w:val="clear" w:color="auto" w:fill="FABF8F" w:themeFill="accent6" w:themeFillTint="99"/>
            <w:noWrap/>
            <w:vAlign w:val="center"/>
          </w:tcPr>
          <w:p w14:paraId="5BACA583" w14:textId="01298AD7" w:rsidR="004C5885" w:rsidRPr="009E536C" w:rsidRDefault="00AC06A5" w:rsidP="009E536C">
            <w:pPr>
              <w:pStyle w:val="cuadroCabe"/>
              <w:spacing w:line="240" w:lineRule="auto"/>
              <w:jc w:val="right"/>
              <w:rPr>
                <w:sz w:val="16"/>
                <w:szCs w:val="16"/>
              </w:rPr>
            </w:pPr>
            <w:r>
              <w:rPr>
                <w:sz w:val="16"/>
              </w:rPr>
              <w:t xml:space="preserve"> 26.062 </w:t>
            </w:r>
          </w:p>
        </w:tc>
      </w:tr>
    </w:tbl>
    <w:p w14:paraId="5384C9E4" w14:textId="77777777" w:rsidR="00921E56" w:rsidRDefault="00921E56" w:rsidP="00440397">
      <w:pPr>
        <w:pStyle w:val="texto"/>
        <w:tabs>
          <w:tab w:val="left" w:pos="2977"/>
        </w:tabs>
        <w:spacing w:after="0"/>
        <w:rPr>
          <w:color w:val="000000" w:themeColor="text1"/>
          <w:w w:val="103"/>
        </w:rPr>
      </w:pPr>
    </w:p>
    <w:p w14:paraId="28421176" w14:textId="77777777" w:rsidR="00921E56" w:rsidRDefault="00442CCA" w:rsidP="00921E56">
      <w:pPr>
        <w:pStyle w:val="texto"/>
        <w:tabs>
          <w:tab w:val="left" w:pos="2977"/>
        </w:tabs>
        <w:rPr>
          <w:color w:val="000000" w:themeColor="text1"/>
          <w:w w:val="103"/>
        </w:rPr>
      </w:pPr>
      <w:r>
        <w:rPr>
          <w:color w:val="000000" w:themeColor="text1"/>
        </w:rPr>
        <w:t xml:space="preserve">2020an toki entitateek, haien menpeko entitateek eta partzuergoek, guztira, 392 kontratu adjudikatu zituzten, eta horien zenbatekoa 114,61 milioi izan zen, guztira. </w:t>
      </w:r>
    </w:p>
    <w:p w14:paraId="09A4A959" w14:textId="7C07DBCD" w:rsidR="00921E56" w:rsidRDefault="00921E56" w:rsidP="00921E56">
      <w:pPr>
        <w:pStyle w:val="texto"/>
        <w:tabs>
          <w:tab w:val="left" w:pos="2977"/>
        </w:tabs>
        <w:rPr>
          <w:color w:val="000000" w:themeColor="text1"/>
          <w:w w:val="103"/>
        </w:rPr>
      </w:pPr>
      <w:r>
        <w:rPr>
          <w:color w:val="000000" w:themeColor="text1"/>
        </w:rPr>
        <w:t>Udalek izan dute kontratazio jarduera biziena, kontratuen ehuneko 73 adjudikatu baitituzte, eta zenbatekoaren ehuneko 54. Atzetik mankomunitateak datoz, kontratuen ehuneko bostarekin eta zenbatekoaren ehuneko 23arekin, nahiz eta portzentaje horietan oso pisu handia izan duen Erriberako Mankomunitateak 24,5 milioitan adjudikatutako zerbitzu kontratu batek, kaleak garbitu eta erraztatzeko zerbitzuenak. Menpeko entitateetan izandako kontratazio jarduera ia osorik sozietate publikoei dagokie.</w:t>
      </w:r>
    </w:p>
    <w:p w14:paraId="21BC08F1" w14:textId="77777777" w:rsidR="009E536C" w:rsidRDefault="009E536C">
      <w:pPr>
        <w:spacing w:after="0"/>
        <w:ind w:firstLine="0"/>
        <w:jc w:val="left"/>
        <w:rPr>
          <w:color w:val="000000" w:themeColor="text1"/>
          <w:spacing w:val="6"/>
          <w:w w:val="103"/>
          <w:sz w:val="26"/>
          <w:szCs w:val="24"/>
        </w:rPr>
      </w:pPr>
      <w:r>
        <w:br w:type="page"/>
      </w:r>
    </w:p>
    <w:p w14:paraId="0D0167C5" w14:textId="4C4F855C" w:rsidR="00176B58" w:rsidRDefault="00176B58" w:rsidP="00BE511E">
      <w:pPr>
        <w:pStyle w:val="texto"/>
        <w:tabs>
          <w:tab w:val="left" w:pos="2977"/>
        </w:tabs>
        <w:spacing w:after="120"/>
        <w:rPr>
          <w:color w:val="000000" w:themeColor="text1"/>
          <w:w w:val="103"/>
        </w:rPr>
      </w:pPr>
      <w:r>
        <w:rPr>
          <w:color w:val="000000" w:themeColor="text1"/>
        </w:rPr>
        <w:lastRenderedPageBreak/>
        <w:t>Beheko taulan kontratazio jarduera laburbildu da kontratu kopurua eta adjudikazioko zenbatekoa adieraziz, kontratu motaren eta adjudikazio prozeduraren arabera.</w:t>
      </w:r>
    </w:p>
    <w:p w14:paraId="3B863BA2" w14:textId="5C143BC2" w:rsidR="00545944" w:rsidRPr="0003647B" w:rsidRDefault="009E536C" w:rsidP="00545944">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 xml:space="preserve">(Milakoak) </w:t>
      </w:r>
    </w:p>
    <w:tbl>
      <w:tblPr>
        <w:tblW w:w="9060" w:type="dxa"/>
        <w:tblBorders>
          <w:top w:val="single" w:sz="2" w:space="0" w:color="auto"/>
          <w:bottom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990"/>
        <w:gridCol w:w="498"/>
        <w:gridCol w:w="705"/>
        <w:gridCol w:w="308"/>
        <w:gridCol w:w="476"/>
        <w:gridCol w:w="425"/>
        <w:gridCol w:w="564"/>
        <w:gridCol w:w="401"/>
        <w:gridCol w:w="588"/>
        <w:gridCol w:w="405"/>
        <w:gridCol w:w="591"/>
        <w:gridCol w:w="424"/>
        <w:gridCol w:w="568"/>
        <w:gridCol w:w="425"/>
        <w:gridCol w:w="558"/>
        <w:gridCol w:w="425"/>
        <w:gridCol w:w="709"/>
      </w:tblGrid>
      <w:tr w:rsidR="00176B58" w:rsidRPr="009E536C" w14:paraId="4A026018" w14:textId="77777777" w:rsidTr="004E2CFD">
        <w:trPr>
          <w:trHeight w:val="284"/>
        </w:trPr>
        <w:tc>
          <w:tcPr>
            <w:tcW w:w="990" w:type="dxa"/>
            <w:vMerge w:val="restart"/>
            <w:tcBorders>
              <w:top w:val="single" w:sz="4" w:space="0" w:color="auto"/>
            </w:tcBorders>
            <w:shd w:val="clear" w:color="auto" w:fill="FABF8F" w:themeFill="accent6" w:themeFillTint="99"/>
            <w:noWrap/>
            <w:vAlign w:val="center"/>
            <w:hideMark/>
          </w:tcPr>
          <w:p w14:paraId="09F69908" w14:textId="7CF8CE17" w:rsidR="00176B58" w:rsidRPr="009E536C" w:rsidRDefault="00176B58" w:rsidP="00FE675C">
            <w:pPr>
              <w:pStyle w:val="cuadroCabe"/>
              <w:spacing w:line="240" w:lineRule="auto"/>
              <w:rPr>
                <w:sz w:val="14"/>
                <w:szCs w:val="14"/>
              </w:rPr>
            </w:pPr>
          </w:p>
        </w:tc>
        <w:tc>
          <w:tcPr>
            <w:tcW w:w="1203" w:type="dxa"/>
            <w:gridSpan w:val="2"/>
            <w:tcBorders>
              <w:top w:val="single" w:sz="4" w:space="0" w:color="auto"/>
            </w:tcBorders>
            <w:shd w:val="clear" w:color="auto" w:fill="FABF8F" w:themeFill="accent6" w:themeFillTint="99"/>
            <w:vAlign w:val="center"/>
            <w:hideMark/>
          </w:tcPr>
          <w:p w14:paraId="54597EAE" w14:textId="77777777" w:rsidR="00176B58" w:rsidRPr="009E536C" w:rsidRDefault="00176B58" w:rsidP="00FE675C">
            <w:pPr>
              <w:pStyle w:val="cuadroCabe"/>
              <w:spacing w:line="240" w:lineRule="auto"/>
              <w:jc w:val="right"/>
              <w:rPr>
                <w:sz w:val="14"/>
                <w:szCs w:val="14"/>
              </w:rPr>
            </w:pPr>
            <w:r>
              <w:rPr>
                <w:sz w:val="14"/>
              </w:rPr>
              <w:t>Irekia</w:t>
            </w:r>
          </w:p>
        </w:tc>
        <w:tc>
          <w:tcPr>
            <w:tcW w:w="784" w:type="dxa"/>
            <w:gridSpan w:val="2"/>
            <w:tcBorders>
              <w:top w:val="single" w:sz="4" w:space="0" w:color="auto"/>
            </w:tcBorders>
            <w:shd w:val="clear" w:color="auto" w:fill="FABF8F" w:themeFill="accent6" w:themeFillTint="99"/>
            <w:vAlign w:val="center"/>
            <w:hideMark/>
          </w:tcPr>
          <w:p w14:paraId="085DAA96" w14:textId="77777777" w:rsidR="00176B58" w:rsidRPr="009E536C" w:rsidRDefault="00176B58" w:rsidP="00FE675C">
            <w:pPr>
              <w:pStyle w:val="cuadroCabe"/>
              <w:spacing w:line="240" w:lineRule="auto"/>
              <w:jc w:val="right"/>
              <w:rPr>
                <w:sz w:val="14"/>
                <w:szCs w:val="14"/>
              </w:rPr>
            </w:pPr>
            <w:r>
              <w:rPr>
                <w:sz w:val="14"/>
              </w:rPr>
              <w:t>Mugatua</w:t>
            </w:r>
          </w:p>
        </w:tc>
        <w:tc>
          <w:tcPr>
            <w:tcW w:w="989" w:type="dxa"/>
            <w:gridSpan w:val="2"/>
            <w:tcBorders>
              <w:top w:val="single" w:sz="4" w:space="0" w:color="auto"/>
            </w:tcBorders>
            <w:shd w:val="clear" w:color="auto" w:fill="FABF8F" w:themeFill="accent6" w:themeFillTint="99"/>
            <w:vAlign w:val="center"/>
            <w:hideMark/>
          </w:tcPr>
          <w:p w14:paraId="0C65FA03" w14:textId="77777777" w:rsidR="00176B58" w:rsidRPr="009E536C" w:rsidRDefault="00176B58" w:rsidP="00FE675C">
            <w:pPr>
              <w:pStyle w:val="cuadroCabe"/>
              <w:spacing w:line="240" w:lineRule="auto"/>
              <w:rPr>
                <w:sz w:val="14"/>
                <w:szCs w:val="14"/>
              </w:rPr>
            </w:pPr>
            <w:r>
              <w:rPr>
                <w:sz w:val="14"/>
              </w:rPr>
              <w:t>Negoziatua</w:t>
            </w:r>
          </w:p>
        </w:tc>
        <w:tc>
          <w:tcPr>
            <w:tcW w:w="989" w:type="dxa"/>
            <w:gridSpan w:val="2"/>
            <w:tcBorders>
              <w:top w:val="single" w:sz="4" w:space="0" w:color="auto"/>
            </w:tcBorders>
            <w:shd w:val="clear" w:color="auto" w:fill="FABF8F" w:themeFill="accent6" w:themeFillTint="99"/>
            <w:vAlign w:val="center"/>
            <w:hideMark/>
          </w:tcPr>
          <w:p w14:paraId="3F34FD70" w14:textId="77777777" w:rsidR="00176B58" w:rsidRPr="009E536C" w:rsidRDefault="00176B58" w:rsidP="00FE675C">
            <w:pPr>
              <w:pStyle w:val="cuadroCabe"/>
              <w:spacing w:line="240" w:lineRule="auto"/>
              <w:jc w:val="right"/>
              <w:rPr>
                <w:sz w:val="14"/>
                <w:szCs w:val="14"/>
              </w:rPr>
            </w:pPr>
            <w:r>
              <w:rPr>
                <w:sz w:val="14"/>
              </w:rPr>
              <w:t>Sinplifikatua</w:t>
            </w:r>
          </w:p>
        </w:tc>
        <w:tc>
          <w:tcPr>
            <w:tcW w:w="996" w:type="dxa"/>
            <w:gridSpan w:val="2"/>
            <w:tcBorders>
              <w:top w:val="single" w:sz="4" w:space="0" w:color="auto"/>
            </w:tcBorders>
            <w:shd w:val="clear" w:color="auto" w:fill="FABF8F" w:themeFill="accent6" w:themeFillTint="99"/>
            <w:vAlign w:val="center"/>
            <w:hideMark/>
          </w:tcPr>
          <w:p w14:paraId="6EEB7BF0" w14:textId="39BA5E5E" w:rsidR="00176B58" w:rsidRPr="009E536C" w:rsidRDefault="00A42B4F" w:rsidP="00FE675C">
            <w:pPr>
              <w:pStyle w:val="cuadroCabe"/>
              <w:spacing w:line="240" w:lineRule="auto"/>
              <w:jc w:val="right"/>
              <w:rPr>
                <w:sz w:val="14"/>
                <w:szCs w:val="14"/>
              </w:rPr>
            </w:pPr>
            <w:r>
              <w:rPr>
                <w:sz w:val="14"/>
              </w:rPr>
              <w:t>Esparru-akordioan oinarritua</w:t>
            </w:r>
          </w:p>
        </w:tc>
        <w:tc>
          <w:tcPr>
            <w:tcW w:w="992" w:type="dxa"/>
            <w:gridSpan w:val="2"/>
            <w:tcBorders>
              <w:top w:val="single" w:sz="4" w:space="0" w:color="auto"/>
            </w:tcBorders>
            <w:shd w:val="clear" w:color="auto" w:fill="FABF8F" w:themeFill="accent6" w:themeFillTint="99"/>
            <w:vAlign w:val="center"/>
            <w:hideMark/>
          </w:tcPr>
          <w:p w14:paraId="5AFEA69D" w14:textId="55BC1B0E" w:rsidR="00176B58" w:rsidRPr="009E536C" w:rsidRDefault="00176B58" w:rsidP="00FE675C">
            <w:pPr>
              <w:pStyle w:val="cuadroCabe"/>
              <w:spacing w:line="240" w:lineRule="auto"/>
              <w:jc w:val="right"/>
              <w:rPr>
                <w:sz w:val="14"/>
                <w:szCs w:val="14"/>
              </w:rPr>
            </w:pPr>
            <w:proofErr w:type="spellStart"/>
            <w:r>
              <w:rPr>
                <w:sz w:val="14"/>
              </w:rPr>
              <w:t>Lizit</w:t>
            </w:r>
            <w:proofErr w:type="spellEnd"/>
            <w:r>
              <w:rPr>
                <w:sz w:val="14"/>
              </w:rPr>
              <w:t>. deialdirik gabe negoziatua</w:t>
            </w:r>
          </w:p>
        </w:tc>
        <w:tc>
          <w:tcPr>
            <w:tcW w:w="983" w:type="dxa"/>
            <w:gridSpan w:val="2"/>
            <w:tcBorders>
              <w:top w:val="single" w:sz="4" w:space="0" w:color="auto"/>
            </w:tcBorders>
            <w:shd w:val="clear" w:color="auto" w:fill="FABF8F" w:themeFill="accent6" w:themeFillTint="99"/>
            <w:vAlign w:val="center"/>
            <w:hideMark/>
          </w:tcPr>
          <w:p w14:paraId="764ABBC2" w14:textId="7998C7A8" w:rsidR="00176B58" w:rsidRPr="009E536C" w:rsidRDefault="00AC06A5" w:rsidP="00FE675C">
            <w:pPr>
              <w:pStyle w:val="cuadroCabe"/>
              <w:spacing w:line="240" w:lineRule="auto"/>
              <w:jc w:val="right"/>
              <w:rPr>
                <w:sz w:val="14"/>
                <w:szCs w:val="14"/>
              </w:rPr>
            </w:pPr>
            <w:r>
              <w:rPr>
                <w:sz w:val="14"/>
              </w:rPr>
              <w:t>Ez dago jasota*</w:t>
            </w:r>
          </w:p>
        </w:tc>
        <w:tc>
          <w:tcPr>
            <w:tcW w:w="1134" w:type="dxa"/>
            <w:gridSpan w:val="2"/>
            <w:tcBorders>
              <w:top w:val="single" w:sz="4" w:space="0" w:color="auto"/>
            </w:tcBorders>
            <w:shd w:val="clear" w:color="auto" w:fill="FABF8F" w:themeFill="accent6" w:themeFillTint="99"/>
            <w:vAlign w:val="center"/>
            <w:hideMark/>
          </w:tcPr>
          <w:p w14:paraId="2C1202CE" w14:textId="77777777" w:rsidR="00176B58" w:rsidRPr="009E536C" w:rsidRDefault="00176B58" w:rsidP="00FE675C">
            <w:pPr>
              <w:pStyle w:val="cuadroCabe"/>
              <w:spacing w:line="240" w:lineRule="auto"/>
              <w:jc w:val="right"/>
              <w:rPr>
                <w:sz w:val="14"/>
                <w:szCs w:val="14"/>
              </w:rPr>
            </w:pPr>
            <w:r>
              <w:rPr>
                <w:sz w:val="14"/>
              </w:rPr>
              <w:t>Guztira</w:t>
            </w:r>
          </w:p>
        </w:tc>
      </w:tr>
      <w:tr w:rsidR="00176B58" w:rsidRPr="00CE2ACA" w14:paraId="7530DDA7" w14:textId="77777777" w:rsidTr="004E2CFD">
        <w:trPr>
          <w:trHeight w:val="284"/>
        </w:trPr>
        <w:tc>
          <w:tcPr>
            <w:tcW w:w="990" w:type="dxa"/>
            <w:vMerge/>
            <w:shd w:val="clear" w:color="auto" w:fill="FABF8F" w:themeFill="accent6" w:themeFillTint="99"/>
            <w:vAlign w:val="center"/>
            <w:hideMark/>
          </w:tcPr>
          <w:p w14:paraId="582D4897" w14:textId="77777777" w:rsidR="00176B58" w:rsidRPr="00CE2ACA" w:rsidRDefault="00176B58" w:rsidP="00FE675C">
            <w:pPr>
              <w:pStyle w:val="cuadroCabe"/>
              <w:spacing w:line="240" w:lineRule="auto"/>
              <w:rPr>
                <w:rFonts w:cs="Arial"/>
                <w:sz w:val="14"/>
                <w:szCs w:val="14"/>
                <w:lang w:val="es-ES" w:eastAsia="es-ES"/>
              </w:rPr>
            </w:pPr>
          </w:p>
        </w:tc>
        <w:tc>
          <w:tcPr>
            <w:tcW w:w="498" w:type="dxa"/>
            <w:shd w:val="clear" w:color="auto" w:fill="FABF8F" w:themeFill="accent6" w:themeFillTint="99"/>
            <w:vAlign w:val="center"/>
            <w:hideMark/>
          </w:tcPr>
          <w:p w14:paraId="5C46BAD2" w14:textId="77777777" w:rsidR="00176B58" w:rsidRPr="00CE2ACA" w:rsidRDefault="00176B58" w:rsidP="00FE675C">
            <w:pPr>
              <w:pStyle w:val="cuadroCabe"/>
              <w:spacing w:line="240" w:lineRule="auto"/>
              <w:jc w:val="right"/>
              <w:rPr>
                <w:rFonts w:cs="Arial"/>
                <w:sz w:val="14"/>
                <w:szCs w:val="14"/>
              </w:rPr>
            </w:pPr>
            <w:r>
              <w:rPr>
                <w:sz w:val="14"/>
              </w:rPr>
              <w:t>Kop.</w:t>
            </w:r>
          </w:p>
        </w:tc>
        <w:tc>
          <w:tcPr>
            <w:tcW w:w="705" w:type="dxa"/>
            <w:shd w:val="clear" w:color="auto" w:fill="FABF8F" w:themeFill="accent6" w:themeFillTint="99"/>
            <w:vAlign w:val="center"/>
            <w:hideMark/>
          </w:tcPr>
          <w:p w14:paraId="2079EEB2" w14:textId="77777777" w:rsidR="00176B58" w:rsidRPr="00CE2ACA" w:rsidRDefault="00176B58" w:rsidP="00FE675C">
            <w:pPr>
              <w:pStyle w:val="cuadroCabe"/>
              <w:spacing w:line="240" w:lineRule="auto"/>
              <w:jc w:val="right"/>
              <w:rPr>
                <w:rFonts w:cs="Arial"/>
                <w:sz w:val="14"/>
                <w:szCs w:val="14"/>
              </w:rPr>
            </w:pPr>
            <w:r>
              <w:rPr>
                <w:sz w:val="14"/>
              </w:rPr>
              <w:t>Zenb.</w:t>
            </w:r>
          </w:p>
        </w:tc>
        <w:tc>
          <w:tcPr>
            <w:tcW w:w="308" w:type="dxa"/>
            <w:shd w:val="clear" w:color="auto" w:fill="FABF8F" w:themeFill="accent6" w:themeFillTint="99"/>
            <w:vAlign w:val="center"/>
            <w:hideMark/>
          </w:tcPr>
          <w:p w14:paraId="00C6E56E" w14:textId="02FB3B3B" w:rsidR="00176B58" w:rsidRPr="00CE2ACA" w:rsidRDefault="00176B58" w:rsidP="00FE675C">
            <w:pPr>
              <w:pStyle w:val="cuadroCabe"/>
              <w:spacing w:line="240" w:lineRule="auto"/>
              <w:jc w:val="right"/>
              <w:rPr>
                <w:rFonts w:cs="Arial"/>
                <w:sz w:val="14"/>
                <w:szCs w:val="14"/>
              </w:rPr>
            </w:pPr>
            <w:r>
              <w:rPr>
                <w:sz w:val="14"/>
              </w:rPr>
              <w:t>Kop.</w:t>
            </w:r>
          </w:p>
        </w:tc>
        <w:tc>
          <w:tcPr>
            <w:tcW w:w="476" w:type="dxa"/>
            <w:shd w:val="clear" w:color="auto" w:fill="FABF8F" w:themeFill="accent6" w:themeFillTint="99"/>
            <w:vAlign w:val="center"/>
            <w:hideMark/>
          </w:tcPr>
          <w:p w14:paraId="695C5A5E" w14:textId="77777777" w:rsidR="00176B58" w:rsidRPr="00CE2ACA" w:rsidRDefault="00176B58" w:rsidP="00FE675C">
            <w:pPr>
              <w:pStyle w:val="cuadroCabe"/>
              <w:spacing w:line="240" w:lineRule="auto"/>
              <w:jc w:val="right"/>
              <w:rPr>
                <w:rFonts w:cs="Arial"/>
                <w:sz w:val="14"/>
                <w:szCs w:val="14"/>
              </w:rPr>
            </w:pPr>
            <w:r>
              <w:rPr>
                <w:sz w:val="14"/>
              </w:rPr>
              <w:t>Zenb.</w:t>
            </w:r>
          </w:p>
        </w:tc>
        <w:tc>
          <w:tcPr>
            <w:tcW w:w="425" w:type="dxa"/>
            <w:shd w:val="clear" w:color="auto" w:fill="FABF8F" w:themeFill="accent6" w:themeFillTint="99"/>
            <w:vAlign w:val="center"/>
            <w:hideMark/>
          </w:tcPr>
          <w:p w14:paraId="1703A4D7" w14:textId="1374C4EA" w:rsidR="00176B58" w:rsidRPr="00CE2ACA" w:rsidRDefault="00176B58" w:rsidP="00FE675C">
            <w:pPr>
              <w:pStyle w:val="cuadroCabe"/>
              <w:spacing w:line="240" w:lineRule="auto"/>
              <w:jc w:val="right"/>
              <w:rPr>
                <w:rFonts w:cs="Arial"/>
                <w:sz w:val="14"/>
                <w:szCs w:val="14"/>
              </w:rPr>
            </w:pPr>
            <w:r>
              <w:rPr>
                <w:sz w:val="14"/>
              </w:rPr>
              <w:t>Kop.</w:t>
            </w:r>
          </w:p>
        </w:tc>
        <w:tc>
          <w:tcPr>
            <w:tcW w:w="564" w:type="dxa"/>
            <w:shd w:val="clear" w:color="auto" w:fill="FABF8F" w:themeFill="accent6" w:themeFillTint="99"/>
            <w:vAlign w:val="center"/>
            <w:hideMark/>
          </w:tcPr>
          <w:p w14:paraId="01D77F23" w14:textId="77777777" w:rsidR="00176B58" w:rsidRPr="00CE2ACA" w:rsidRDefault="00176B58" w:rsidP="00FE675C">
            <w:pPr>
              <w:pStyle w:val="cuadroCabe"/>
              <w:spacing w:line="240" w:lineRule="auto"/>
              <w:jc w:val="right"/>
              <w:rPr>
                <w:rFonts w:cs="Arial"/>
                <w:sz w:val="14"/>
                <w:szCs w:val="14"/>
              </w:rPr>
            </w:pPr>
            <w:r>
              <w:rPr>
                <w:sz w:val="14"/>
              </w:rPr>
              <w:t>Zenb.</w:t>
            </w:r>
          </w:p>
        </w:tc>
        <w:tc>
          <w:tcPr>
            <w:tcW w:w="401" w:type="dxa"/>
            <w:shd w:val="clear" w:color="auto" w:fill="FABF8F" w:themeFill="accent6" w:themeFillTint="99"/>
            <w:vAlign w:val="center"/>
            <w:hideMark/>
          </w:tcPr>
          <w:p w14:paraId="43350994" w14:textId="77777777" w:rsidR="00176B58" w:rsidRPr="00CE2ACA" w:rsidRDefault="00176B58" w:rsidP="00FE675C">
            <w:pPr>
              <w:pStyle w:val="cuadroCabe"/>
              <w:spacing w:line="240" w:lineRule="auto"/>
              <w:jc w:val="right"/>
              <w:rPr>
                <w:rFonts w:cs="Arial"/>
                <w:sz w:val="14"/>
                <w:szCs w:val="14"/>
              </w:rPr>
            </w:pPr>
            <w:r>
              <w:rPr>
                <w:sz w:val="14"/>
              </w:rPr>
              <w:t>Kop.</w:t>
            </w:r>
          </w:p>
        </w:tc>
        <w:tc>
          <w:tcPr>
            <w:tcW w:w="588" w:type="dxa"/>
            <w:shd w:val="clear" w:color="auto" w:fill="FABF8F" w:themeFill="accent6" w:themeFillTint="99"/>
            <w:vAlign w:val="center"/>
            <w:hideMark/>
          </w:tcPr>
          <w:p w14:paraId="64BD3E85" w14:textId="77777777" w:rsidR="00176B58" w:rsidRPr="00CE2ACA" w:rsidRDefault="00176B58" w:rsidP="00FE675C">
            <w:pPr>
              <w:pStyle w:val="cuadroCabe"/>
              <w:spacing w:line="240" w:lineRule="auto"/>
              <w:jc w:val="right"/>
              <w:rPr>
                <w:rFonts w:cs="Arial"/>
                <w:sz w:val="14"/>
                <w:szCs w:val="14"/>
              </w:rPr>
            </w:pPr>
            <w:r>
              <w:rPr>
                <w:sz w:val="14"/>
              </w:rPr>
              <w:t>Zenb.</w:t>
            </w:r>
          </w:p>
        </w:tc>
        <w:tc>
          <w:tcPr>
            <w:tcW w:w="405" w:type="dxa"/>
            <w:shd w:val="clear" w:color="auto" w:fill="FABF8F" w:themeFill="accent6" w:themeFillTint="99"/>
            <w:vAlign w:val="center"/>
            <w:hideMark/>
          </w:tcPr>
          <w:p w14:paraId="4B14574C" w14:textId="77777777" w:rsidR="00176B58" w:rsidRPr="00CE2ACA" w:rsidRDefault="00176B58" w:rsidP="00FE675C">
            <w:pPr>
              <w:pStyle w:val="cuadroCabe"/>
              <w:spacing w:line="240" w:lineRule="auto"/>
              <w:jc w:val="right"/>
              <w:rPr>
                <w:rFonts w:cs="Arial"/>
                <w:sz w:val="14"/>
                <w:szCs w:val="14"/>
              </w:rPr>
            </w:pPr>
            <w:r>
              <w:rPr>
                <w:sz w:val="14"/>
              </w:rPr>
              <w:t>Kop.</w:t>
            </w:r>
          </w:p>
        </w:tc>
        <w:tc>
          <w:tcPr>
            <w:tcW w:w="591" w:type="dxa"/>
            <w:shd w:val="clear" w:color="auto" w:fill="FABF8F" w:themeFill="accent6" w:themeFillTint="99"/>
            <w:vAlign w:val="center"/>
            <w:hideMark/>
          </w:tcPr>
          <w:p w14:paraId="6665D66C" w14:textId="77777777" w:rsidR="00176B58" w:rsidRPr="00CE2ACA" w:rsidRDefault="00176B58" w:rsidP="00FE675C">
            <w:pPr>
              <w:pStyle w:val="cuadroCabe"/>
              <w:spacing w:line="240" w:lineRule="auto"/>
              <w:jc w:val="right"/>
              <w:rPr>
                <w:rFonts w:cs="Arial"/>
                <w:sz w:val="14"/>
                <w:szCs w:val="14"/>
              </w:rPr>
            </w:pPr>
            <w:r>
              <w:rPr>
                <w:sz w:val="14"/>
              </w:rPr>
              <w:t>Zenb.</w:t>
            </w:r>
          </w:p>
        </w:tc>
        <w:tc>
          <w:tcPr>
            <w:tcW w:w="424" w:type="dxa"/>
            <w:shd w:val="clear" w:color="auto" w:fill="FABF8F" w:themeFill="accent6" w:themeFillTint="99"/>
            <w:vAlign w:val="center"/>
            <w:hideMark/>
          </w:tcPr>
          <w:p w14:paraId="6BDFE8F0" w14:textId="77777777" w:rsidR="00176B58" w:rsidRPr="00CE2ACA" w:rsidRDefault="00176B58" w:rsidP="00FE675C">
            <w:pPr>
              <w:pStyle w:val="cuadroCabe"/>
              <w:spacing w:line="240" w:lineRule="auto"/>
              <w:jc w:val="right"/>
              <w:rPr>
                <w:rFonts w:cs="Arial"/>
                <w:sz w:val="14"/>
                <w:szCs w:val="14"/>
              </w:rPr>
            </w:pPr>
            <w:r>
              <w:rPr>
                <w:sz w:val="14"/>
              </w:rPr>
              <w:t>Kop.</w:t>
            </w:r>
          </w:p>
        </w:tc>
        <w:tc>
          <w:tcPr>
            <w:tcW w:w="568" w:type="dxa"/>
            <w:shd w:val="clear" w:color="auto" w:fill="FABF8F" w:themeFill="accent6" w:themeFillTint="99"/>
            <w:vAlign w:val="center"/>
            <w:hideMark/>
          </w:tcPr>
          <w:p w14:paraId="07F83B1F" w14:textId="77777777" w:rsidR="00176B58" w:rsidRPr="00CE2ACA" w:rsidRDefault="00176B58" w:rsidP="00FE675C">
            <w:pPr>
              <w:pStyle w:val="cuadroCabe"/>
              <w:spacing w:line="240" w:lineRule="auto"/>
              <w:jc w:val="right"/>
              <w:rPr>
                <w:rFonts w:cs="Arial"/>
                <w:sz w:val="14"/>
                <w:szCs w:val="14"/>
              </w:rPr>
            </w:pPr>
            <w:r>
              <w:rPr>
                <w:sz w:val="14"/>
              </w:rPr>
              <w:t>Zenb.</w:t>
            </w:r>
          </w:p>
        </w:tc>
        <w:tc>
          <w:tcPr>
            <w:tcW w:w="425" w:type="dxa"/>
            <w:shd w:val="clear" w:color="auto" w:fill="FABF8F" w:themeFill="accent6" w:themeFillTint="99"/>
            <w:vAlign w:val="center"/>
            <w:hideMark/>
          </w:tcPr>
          <w:p w14:paraId="5900D885" w14:textId="77777777" w:rsidR="00176B58" w:rsidRPr="00CE2ACA" w:rsidRDefault="00176B58" w:rsidP="00FE675C">
            <w:pPr>
              <w:pStyle w:val="cuadroCabe"/>
              <w:spacing w:line="240" w:lineRule="auto"/>
              <w:jc w:val="right"/>
              <w:rPr>
                <w:rFonts w:cs="Arial"/>
                <w:sz w:val="14"/>
                <w:szCs w:val="14"/>
              </w:rPr>
            </w:pPr>
            <w:r>
              <w:rPr>
                <w:sz w:val="14"/>
              </w:rPr>
              <w:t>Kop.</w:t>
            </w:r>
          </w:p>
        </w:tc>
        <w:tc>
          <w:tcPr>
            <w:tcW w:w="558" w:type="dxa"/>
            <w:shd w:val="clear" w:color="auto" w:fill="FABF8F" w:themeFill="accent6" w:themeFillTint="99"/>
            <w:vAlign w:val="center"/>
            <w:hideMark/>
          </w:tcPr>
          <w:p w14:paraId="107F525E" w14:textId="77777777" w:rsidR="00176B58" w:rsidRPr="00CE2ACA" w:rsidRDefault="00176B58" w:rsidP="00FE675C">
            <w:pPr>
              <w:pStyle w:val="cuadroCabe"/>
              <w:spacing w:line="240" w:lineRule="auto"/>
              <w:jc w:val="right"/>
              <w:rPr>
                <w:rFonts w:cs="Arial"/>
                <w:sz w:val="14"/>
                <w:szCs w:val="14"/>
              </w:rPr>
            </w:pPr>
            <w:r>
              <w:rPr>
                <w:sz w:val="14"/>
              </w:rPr>
              <w:t>Zenb.</w:t>
            </w:r>
          </w:p>
        </w:tc>
        <w:tc>
          <w:tcPr>
            <w:tcW w:w="425" w:type="dxa"/>
            <w:shd w:val="clear" w:color="auto" w:fill="FABF8F" w:themeFill="accent6" w:themeFillTint="99"/>
            <w:vAlign w:val="center"/>
            <w:hideMark/>
          </w:tcPr>
          <w:p w14:paraId="7F8790C6" w14:textId="77777777" w:rsidR="00176B58" w:rsidRPr="00CE2ACA" w:rsidRDefault="00176B58" w:rsidP="00FE675C">
            <w:pPr>
              <w:pStyle w:val="cuadroCabe"/>
              <w:spacing w:line="240" w:lineRule="auto"/>
              <w:jc w:val="right"/>
              <w:rPr>
                <w:rFonts w:cs="Arial"/>
                <w:sz w:val="14"/>
                <w:szCs w:val="14"/>
              </w:rPr>
            </w:pPr>
            <w:r>
              <w:rPr>
                <w:sz w:val="14"/>
              </w:rPr>
              <w:t>Kop.</w:t>
            </w:r>
          </w:p>
        </w:tc>
        <w:tc>
          <w:tcPr>
            <w:tcW w:w="709" w:type="dxa"/>
            <w:shd w:val="clear" w:color="auto" w:fill="FABF8F" w:themeFill="accent6" w:themeFillTint="99"/>
            <w:vAlign w:val="center"/>
            <w:hideMark/>
          </w:tcPr>
          <w:p w14:paraId="0EC9F7B7" w14:textId="77777777" w:rsidR="00176B58" w:rsidRPr="00CE2ACA" w:rsidRDefault="00176B58" w:rsidP="00FE675C">
            <w:pPr>
              <w:pStyle w:val="cuadroCabe"/>
              <w:spacing w:line="240" w:lineRule="auto"/>
              <w:jc w:val="right"/>
              <w:rPr>
                <w:rFonts w:cs="Arial"/>
                <w:sz w:val="14"/>
                <w:szCs w:val="14"/>
              </w:rPr>
            </w:pPr>
            <w:r>
              <w:rPr>
                <w:sz w:val="14"/>
              </w:rPr>
              <w:t>Zenb.</w:t>
            </w:r>
          </w:p>
        </w:tc>
      </w:tr>
      <w:tr w:rsidR="004C5885" w:rsidRPr="00474131" w14:paraId="098A4A93" w14:textId="77777777" w:rsidTr="004E2CFD">
        <w:trPr>
          <w:trHeight w:val="284"/>
        </w:trPr>
        <w:tc>
          <w:tcPr>
            <w:tcW w:w="990" w:type="dxa"/>
            <w:shd w:val="clear" w:color="auto" w:fill="auto"/>
            <w:noWrap/>
            <w:vAlign w:val="center"/>
            <w:hideMark/>
          </w:tcPr>
          <w:p w14:paraId="6EB43604" w14:textId="77777777" w:rsidR="004C5885" w:rsidRPr="00474131" w:rsidRDefault="004C5885" w:rsidP="00FE675C">
            <w:pPr>
              <w:pStyle w:val="cuatexto"/>
              <w:spacing w:line="240" w:lineRule="auto"/>
              <w:rPr>
                <w:sz w:val="18"/>
                <w:szCs w:val="18"/>
              </w:rPr>
            </w:pPr>
            <w:r>
              <w:rPr>
                <w:sz w:val="18"/>
              </w:rPr>
              <w:t>Obrak</w:t>
            </w:r>
          </w:p>
        </w:tc>
        <w:tc>
          <w:tcPr>
            <w:tcW w:w="498" w:type="dxa"/>
            <w:shd w:val="clear" w:color="auto" w:fill="auto"/>
            <w:noWrap/>
            <w:vAlign w:val="center"/>
            <w:hideMark/>
          </w:tcPr>
          <w:p w14:paraId="12893C74" w14:textId="28B7F1B7" w:rsidR="004C5885" w:rsidRPr="00474131" w:rsidRDefault="00AC06A5" w:rsidP="00FE675C">
            <w:pPr>
              <w:pStyle w:val="cuatexto"/>
              <w:spacing w:line="240" w:lineRule="auto"/>
              <w:jc w:val="right"/>
              <w:rPr>
                <w:sz w:val="16"/>
                <w:szCs w:val="16"/>
              </w:rPr>
            </w:pPr>
            <w:r>
              <w:rPr>
                <w:sz w:val="16"/>
              </w:rPr>
              <w:t xml:space="preserve"> 111 </w:t>
            </w:r>
          </w:p>
        </w:tc>
        <w:tc>
          <w:tcPr>
            <w:tcW w:w="705" w:type="dxa"/>
            <w:shd w:val="clear" w:color="auto" w:fill="auto"/>
            <w:noWrap/>
            <w:vAlign w:val="center"/>
            <w:hideMark/>
          </w:tcPr>
          <w:p w14:paraId="35E0F181" w14:textId="04A3630E" w:rsidR="004C5885" w:rsidRPr="00474131" w:rsidRDefault="00AC06A5" w:rsidP="00FE675C">
            <w:pPr>
              <w:pStyle w:val="cuatexto"/>
              <w:spacing w:line="240" w:lineRule="auto"/>
              <w:jc w:val="right"/>
              <w:rPr>
                <w:sz w:val="16"/>
                <w:szCs w:val="16"/>
              </w:rPr>
            </w:pPr>
            <w:r>
              <w:rPr>
                <w:sz w:val="16"/>
              </w:rPr>
              <w:t xml:space="preserve"> 44.515 </w:t>
            </w:r>
          </w:p>
        </w:tc>
        <w:tc>
          <w:tcPr>
            <w:tcW w:w="308" w:type="dxa"/>
            <w:shd w:val="clear" w:color="auto" w:fill="auto"/>
            <w:noWrap/>
            <w:vAlign w:val="center"/>
            <w:hideMark/>
          </w:tcPr>
          <w:p w14:paraId="119DA0A8" w14:textId="4380791B" w:rsidR="004C5885" w:rsidRPr="00474131" w:rsidRDefault="00AC06A5" w:rsidP="00FE675C">
            <w:pPr>
              <w:pStyle w:val="cuatexto"/>
              <w:spacing w:line="240" w:lineRule="auto"/>
              <w:jc w:val="right"/>
              <w:rPr>
                <w:sz w:val="16"/>
                <w:szCs w:val="16"/>
              </w:rPr>
            </w:pPr>
            <w:r>
              <w:rPr>
                <w:sz w:val="16"/>
              </w:rPr>
              <w:t xml:space="preserve"> - </w:t>
            </w:r>
          </w:p>
        </w:tc>
        <w:tc>
          <w:tcPr>
            <w:tcW w:w="476" w:type="dxa"/>
            <w:shd w:val="clear" w:color="auto" w:fill="auto"/>
            <w:noWrap/>
            <w:vAlign w:val="center"/>
            <w:hideMark/>
          </w:tcPr>
          <w:p w14:paraId="672908BF" w14:textId="1121F380" w:rsidR="004C5885" w:rsidRPr="00474131" w:rsidRDefault="00AC06A5" w:rsidP="00FE675C">
            <w:pPr>
              <w:pStyle w:val="cuatexto"/>
              <w:spacing w:line="240" w:lineRule="auto"/>
              <w:jc w:val="right"/>
              <w:rPr>
                <w:sz w:val="16"/>
                <w:szCs w:val="16"/>
              </w:rPr>
            </w:pPr>
            <w:r>
              <w:rPr>
                <w:sz w:val="16"/>
              </w:rPr>
              <w:t xml:space="preserve"> - </w:t>
            </w:r>
          </w:p>
        </w:tc>
        <w:tc>
          <w:tcPr>
            <w:tcW w:w="425" w:type="dxa"/>
            <w:shd w:val="clear" w:color="auto" w:fill="auto"/>
            <w:noWrap/>
            <w:vAlign w:val="center"/>
            <w:hideMark/>
          </w:tcPr>
          <w:p w14:paraId="2C417EAD" w14:textId="01899884" w:rsidR="004C5885" w:rsidRPr="00474131" w:rsidRDefault="00AC06A5" w:rsidP="00FE675C">
            <w:pPr>
              <w:pStyle w:val="cuatexto"/>
              <w:spacing w:line="240" w:lineRule="auto"/>
              <w:jc w:val="right"/>
              <w:rPr>
                <w:sz w:val="16"/>
                <w:szCs w:val="16"/>
              </w:rPr>
            </w:pPr>
            <w:r>
              <w:rPr>
                <w:sz w:val="16"/>
              </w:rPr>
              <w:t xml:space="preserve"> - </w:t>
            </w:r>
          </w:p>
        </w:tc>
        <w:tc>
          <w:tcPr>
            <w:tcW w:w="564" w:type="dxa"/>
            <w:shd w:val="clear" w:color="auto" w:fill="auto"/>
            <w:noWrap/>
            <w:vAlign w:val="center"/>
            <w:hideMark/>
          </w:tcPr>
          <w:p w14:paraId="67A56CEA" w14:textId="7866EBE9" w:rsidR="004C5885" w:rsidRPr="00474131" w:rsidRDefault="00AC06A5" w:rsidP="00FE675C">
            <w:pPr>
              <w:pStyle w:val="cuatexto"/>
              <w:spacing w:line="240" w:lineRule="auto"/>
              <w:jc w:val="right"/>
              <w:rPr>
                <w:sz w:val="16"/>
                <w:szCs w:val="16"/>
              </w:rPr>
            </w:pPr>
            <w:r>
              <w:rPr>
                <w:sz w:val="16"/>
              </w:rPr>
              <w:t xml:space="preserve"> - </w:t>
            </w:r>
          </w:p>
        </w:tc>
        <w:tc>
          <w:tcPr>
            <w:tcW w:w="401" w:type="dxa"/>
            <w:shd w:val="clear" w:color="auto" w:fill="auto"/>
            <w:noWrap/>
            <w:vAlign w:val="center"/>
            <w:hideMark/>
          </w:tcPr>
          <w:p w14:paraId="50504471" w14:textId="6F758482" w:rsidR="004C5885" w:rsidRPr="00474131" w:rsidRDefault="00AC06A5" w:rsidP="00FE675C">
            <w:pPr>
              <w:pStyle w:val="cuatexto"/>
              <w:spacing w:line="240" w:lineRule="auto"/>
              <w:jc w:val="right"/>
              <w:rPr>
                <w:sz w:val="16"/>
                <w:szCs w:val="16"/>
              </w:rPr>
            </w:pPr>
            <w:r>
              <w:rPr>
                <w:sz w:val="16"/>
              </w:rPr>
              <w:t xml:space="preserve"> 62 </w:t>
            </w:r>
          </w:p>
        </w:tc>
        <w:tc>
          <w:tcPr>
            <w:tcW w:w="588" w:type="dxa"/>
            <w:shd w:val="clear" w:color="auto" w:fill="auto"/>
            <w:noWrap/>
            <w:vAlign w:val="center"/>
            <w:hideMark/>
          </w:tcPr>
          <w:p w14:paraId="325E916C" w14:textId="77777777" w:rsidR="004C5885" w:rsidRPr="00474131" w:rsidRDefault="004C5885" w:rsidP="00FE675C">
            <w:pPr>
              <w:pStyle w:val="cuatexto"/>
              <w:spacing w:line="240" w:lineRule="auto"/>
              <w:jc w:val="right"/>
              <w:rPr>
                <w:sz w:val="16"/>
                <w:szCs w:val="16"/>
              </w:rPr>
            </w:pPr>
            <w:r>
              <w:rPr>
                <w:sz w:val="16"/>
              </w:rPr>
              <w:t>4.405</w:t>
            </w:r>
          </w:p>
        </w:tc>
        <w:tc>
          <w:tcPr>
            <w:tcW w:w="405" w:type="dxa"/>
            <w:shd w:val="clear" w:color="auto" w:fill="auto"/>
            <w:noWrap/>
            <w:vAlign w:val="center"/>
            <w:hideMark/>
          </w:tcPr>
          <w:p w14:paraId="70FDA510" w14:textId="098B84A5" w:rsidR="004C5885" w:rsidRPr="00474131" w:rsidRDefault="00AC06A5" w:rsidP="00FE675C">
            <w:pPr>
              <w:pStyle w:val="cuatexto"/>
              <w:spacing w:line="240" w:lineRule="auto"/>
              <w:jc w:val="right"/>
              <w:rPr>
                <w:sz w:val="16"/>
                <w:szCs w:val="16"/>
              </w:rPr>
            </w:pPr>
            <w:r>
              <w:rPr>
                <w:sz w:val="16"/>
              </w:rPr>
              <w:t xml:space="preserve"> 1 </w:t>
            </w:r>
          </w:p>
        </w:tc>
        <w:tc>
          <w:tcPr>
            <w:tcW w:w="591" w:type="dxa"/>
            <w:shd w:val="clear" w:color="auto" w:fill="auto"/>
            <w:noWrap/>
            <w:vAlign w:val="center"/>
            <w:hideMark/>
          </w:tcPr>
          <w:p w14:paraId="4DB245EE" w14:textId="77777777" w:rsidR="004C5885" w:rsidRPr="00474131" w:rsidRDefault="004C5885" w:rsidP="00FE675C">
            <w:pPr>
              <w:pStyle w:val="cuatexto"/>
              <w:spacing w:line="240" w:lineRule="auto"/>
              <w:jc w:val="right"/>
              <w:rPr>
                <w:sz w:val="16"/>
                <w:szCs w:val="16"/>
              </w:rPr>
            </w:pPr>
            <w:r>
              <w:rPr>
                <w:sz w:val="16"/>
              </w:rPr>
              <w:t>41</w:t>
            </w:r>
          </w:p>
        </w:tc>
        <w:tc>
          <w:tcPr>
            <w:tcW w:w="424" w:type="dxa"/>
            <w:shd w:val="clear" w:color="auto" w:fill="auto"/>
            <w:noWrap/>
            <w:vAlign w:val="center"/>
            <w:hideMark/>
          </w:tcPr>
          <w:p w14:paraId="4B31A3B0" w14:textId="02B6A278" w:rsidR="004C5885" w:rsidRPr="00474131" w:rsidRDefault="00AC06A5" w:rsidP="00FE675C">
            <w:pPr>
              <w:pStyle w:val="cuatexto"/>
              <w:spacing w:line="240" w:lineRule="auto"/>
              <w:jc w:val="right"/>
              <w:rPr>
                <w:sz w:val="16"/>
                <w:szCs w:val="16"/>
              </w:rPr>
            </w:pPr>
            <w:r>
              <w:rPr>
                <w:sz w:val="16"/>
              </w:rPr>
              <w:t xml:space="preserve"> 2 </w:t>
            </w:r>
          </w:p>
        </w:tc>
        <w:tc>
          <w:tcPr>
            <w:tcW w:w="568" w:type="dxa"/>
            <w:shd w:val="clear" w:color="auto" w:fill="auto"/>
            <w:noWrap/>
            <w:vAlign w:val="center"/>
            <w:hideMark/>
          </w:tcPr>
          <w:p w14:paraId="4A6163D0" w14:textId="77777777" w:rsidR="004C5885" w:rsidRPr="00474131" w:rsidRDefault="004C5885" w:rsidP="00FE675C">
            <w:pPr>
              <w:pStyle w:val="cuatexto"/>
              <w:spacing w:line="240" w:lineRule="auto"/>
              <w:jc w:val="right"/>
              <w:rPr>
                <w:sz w:val="16"/>
                <w:szCs w:val="16"/>
              </w:rPr>
            </w:pPr>
            <w:r>
              <w:rPr>
                <w:sz w:val="16"/>
              </w:rPr>
              <w:t>676</w:t>
            </w:r>
          </w:p>
        </w:tc>
        <w:tc>
          <w:tcPr>
            <w:tcW w:w="425" w:type="dxa"/>
            <w:shd w:val="clear" w:color="auto" w:fill="auto"/>
            <w:noWrap/>
            <w:vAlign w:val="center"/>
            <w:hideMark/>
          </w:tcPr>
          <w:p w14:paraId="153F0A57" w14:textId="552ECBBE" w:rsidR="004C5885" w:rsidRPr="00474131" w:rsidRDefault="00AC06A5" w:rsidP="00FE675C">
            <w:pPr>
              <w:pStyle w:val="cuatexto"/>
              <w:spacing w:line="240" w:lineRule="auto"/>
              <w:jc w:val="right"/>
              <w:rPr>
                <w:sz w:val="16"/>
                <w:szCs w:val="16"/>
              </w:rPr>
            </w:pPr>
            <w:r>
              <w:rPr>
                <w:sz w:val="16"/>
              </w:rPr>
              <w:t xml:space="preserve"> 2 </w:t>
            </w:r>
          </w:p>
        </w:tc>
        <w:tc>
          <w:tcPr>
            <w:tcW w:w="558" w:type="dxa"/>
            <w:shd w:val="clear" w:color="auto" w:fill="auto"/>
            <w:noWrap/>
            <w:vAlign w:val="center"/>
            <w:hideMark/>
          </w:tcPr>
          <w:p w14:paraId="2E7C7509" w14:textId="77777777" w:rsidR="004C5885" w:rsidRPr="00474131" w:rsidRDefault="004C5885" w:rsidP="00FE675C">
            <w:pPr>
              <w:pStyle w:val="cuatexto"/>
              <w:spacing w:line="240" w:lineRule="auto"/>
              <w:jc w:val="right"/>
              <w:rPr>
                <w:sz w:val="16"/>
                <w:szCs w:val="16"/>
              </w:rPr>
            </w:pPr>
            <w:r>
              <w:rPr>
                <w:sz w:val="16"/>
              </w:rPr>
              <w:t>103</w:t>
            </w:r>
          </w:p>
        </w:tc>
        <w:tc>
          <w:tcPr>
            <w:tcW w:w="425" w:type="dxa"/>
            <w:shd w:val="clear" w:color="auto" w:fill="auto"/>
            <w:noWrap/>
            <w:vAlign w:val="center"/>
            <w:hideMark/>
          </w:tcPr>
          <w:p w14:paraId="77A2B468" w14:textId="7F85CB1B" w:rsidR="004C5885" w:rsidRPr="00474131" w:rsidRDefault="00AC06A5" w:rsidP="00FE675C">
            <w:pPr>
              <w:pStyle w:val="cuatexto"/>
              <w:spacing w:line="240" w:lineRule="auto"/>
              <w:jc w:val="right"/>
              <w:rPr>
                <w:sz w:val="16"/>
                <w:szCs w:val="16"/>
              </w:rPr>
            </w:pPr>
            <w:r>
              <w:rPr>
                <w:sz w:val="16"/>
              </w:rPr>
              <w:t xml:space="preserve"> 178 </w:t>
            </w:r>
          </w:p>
        </w:tc>
        <w:tc>
          <w:tcPr>
            <w:tcW w:w="709" w:type="dxa"/>
            <w:shd w:val="clear" w:color="auto" w:fill="auto"/>
            <w:noWrap/>
            <w:vAlign w:val="center"/>
            <w:hideMark/>
          </w:tcPr>
          <w:p w14:paraId="37EFE754" w14:textId="77777777" w:rsidR="004C5885" w:rsidRPr="00474131" w:rsidRDefault="004C5885" w:rsidP="00FE675C">
            <w:pPr>
              <w:pStyle w:val="cuatexto"/>
              <w:spacing w:line="240" w:lineRule="auto"/>
              <w:jc w:val="right"/>
              <w:rPr>
                <w:sz w:val="16"/>
                <w:szCs w:val="16"/>
              </w:rPr>
            </w:pPr>
            <w:r>
              <w:rPr>
                <w:sz w:val="16"/>
              </w:rPr>
              <w:t>49.739</w:t>
            </w:r>
          </w:p>
        </w:tc>
      </w:tr>
      <w:tr w:rsidR="004C5885" w:rsidRPr="00474131" w14:paraId="3C74AA6F" w14:textId="77777777" w:rsidTr="004E2CFD">
        <w:trPr>
          <w:trHeight w:val="284"/>
        </w:trPr>
        <w:tc>
          <w:tcPr>
            <w:tcW w:w="990" w:type="dxa"/>
            <w:shd w:val="clear" w:color="auto" w:fill="auto"/>
            <w:noWrap/>
            <w:vAlign w:val="center"/>
            <w:hideMark/>
          </w:tcPr>
          <w:p w14:paraId="195BA0B4" w14:textId="77777777" w:rsidR="004C5885" w:rsidRPr="00474131" w:rsidRDefault="004C5885" w:rsidP="00FE675C">
            <w:pPr>
              <w:pStyle w:val="cuatexto"/>
              <w:spacing w:line="240" w:lineRule="auto"/>
              <w:rPr>
                <w:sz w:val="18"/>
                <w:szCs w:val="18"/>
              </w:rPr>
            </w:pPr>
            <w:r>
              <w:rPr>
                <w:sz w:val="18"/>
              </w:rPr>
              <w:t>Zerbitzuak</w:t>
            </w:r>
          </w:p>
        </w:tc>
        <w:tc>
          <w:tcPr>
            <w:tcW w:w="498" w:type="dxa"/>
            <w:shd w:val="clear" w:color="auto" w:fill="auto"/>
            <w:noWrap/>
            <w:vAlign w:val="center"/>
            <w:hideMark/>
          </w:tcPr>
          <w:p w14:paraId="6B30CED0" w14:textId="54E378F9" w:rsidR="004C5885" w:rsidRPr="00474131" w:rsidRDefault="00AC06A5" w:rsidP="00FE675C">
            <w:pPr>
              <w:pStyle w:val="cuatexto"/>
              <w:spacing w:line="240" w:lineRule="auto"/>
              <w:jc w:val="right"/>
              <w:rPr>
                <w:sz w:val="16"/>
                <w:szCs w:val="16"/>
              </w:rPr>
            </w:pPr>
            <w:r>
              <w:rPr>
                <w:sz w:val="16"/>
              </w:rPr>
              <w:t xml:space="preserve"> 114 </w:t>
            </w:r>
          </w:p>
        </w:tc>
        <w:tc>
          <w:tcPr>
            <w:tcW w:w="705" w:type="dxa"/>
            <w:shd w:val="clear" w:color="auto" w:fill="auto"/>
            <w:noWrap/>
            <w:vAlign w:val="center"/>
            <w:hideMark/>
          </w:tcPr>
          <w:p w14:paraId="4A7AEEF5" w14:textId="0D964596" w:rsidR="004C5885" w:rsidRPr="00474131" w:rsidRDefault="00AC06A5" w:rsidP="00FE675C">
            <w:pPr>
              <w:pStyle w:val="cuatexto"/>
              <w:spacing w:line="240" w:lineRule="auto"/>
              <w:jc w:val="right"/>
              <w:rPr>
                <w:sz w:val="16"/>
                <w:szCs w:val="16"/>
              </w:rPr>
            </w:pPr>
            <w:r>
              <w:rPr>
                <w:sz w:val="16"/>
              </w:rPr>
              <w:t xml:space="preserve"> 50.231 </w:t>
            </w:r>
          </w:p>
        </w:tc>
        <w:tc>
          <w:tcPr>
            <w:tcW w:w="308" w:type="dxa"/>
            <w:shd w:val="clear" w:color="auto" w:fill="auto"/>
            <w:noWrap/>
            <w:vAlign w:val="center"/>
            <w:hideMark/>
          </w:tcPr>
          <w:p w14:paraId="692E0E55" w14:textId="462FE64B" w:rsidR="004C5885" w:rsidRPr="00474131" w:rsidRDefault="00AC06A5" w:rsidP="00FE675C">
            <w:pPr>
              <w:pStyle w:val="cuatexto"/>
              <w:spacing w:line="240" w:lineRule="auto"/>
              <w:jc w:val="right"/>
              <w:rPr>
                <w:sz w:val="16"/>
                <w:szCs w:val="16"/>
              </w:rPr>
            </w:pPr>
            <w:r>
              <w:rPr>
                <w:sz w:val="16"/>
              </w:rPr>
              <w:t xml:space="preserve"> 1 </w:t>
            </w:r>
          </w:p>
        </w:tc>
        <w:tc>
          <w:tcPr>
            <w:tcW w:w="476" w:type="dxa"/>
            <w:shd w:val="clear" w:color="auto" w:fill="auto"/>
            <w:noWrap/>
            <w:vAlign w:val="center"/>
            <w:hideMark/>
          </w:tcPr>
          <w:p w14:paraId="26E8D136" w14:textId="17313F5A" w:rsidR="004C5885" w:rsidRPr="00474131" w:rsidRDefault="00AC06A5" w:rsidP="00FE675C">
            <w:pPr>
              <w:pStyle w:val="cuatexto"/>
              <w:spacing w:line="240" w:lineRule="auto"/>
              <w:jc w:val="right"/>
              <w:rPr>
                <w:sz w:val="16"/>
                <w:szCs w:val="16"/>
              </w:rPr>
            </w:pPr>
            <w:r>
              <w:rPr>
                <w:sz w:val="16"/>
              </w:rPr>
              <w:t xml:space="preserve"> 10 </w:t>
            </w:r>
          </w:p>
        </w:tc>
        <w:tc>
          <w:tcPr>
            <w:tcW w:w="425" w:type="dxa"/>
            <w:shd w:val="clear" w:color="auto" w:fill="auto"/>
            <w:noWrap/>
            <w:vAlign w:val="center"/>
            <w:hideMark/>
          </w:tcPr>
          <w:p w14:paraId="4CAEC189" w14:textId="68013ADF" w:rsidR="004C5885" w:rsidRPr="00474131" w:rsidRDefault="00AC06A5" w:rsidP="00FE675C">
            <w:pPr>
              <w:pStyle w:val="cuatexto"/>
              <w:spacing w:line="240" w:lineRule="auto"/>
              <w:jc w:val="right"/>
              <w:rPr>
                <w:sz w:val="16"/>
                <w:szCs w:val="16"/>
              </w:rPr>
            </w:pPr>
            <w:r>
              <w:rPr>
                <w:sz w:val="16"/>
              </w:rPr>
              <w:t xml:space="preserve"> - </w:t>
            </w:r>
          </w:p>
        </w:tc>
        <w:tc>
          <w:tcPr>
            <w:tcW w:w="564" w:type="dxa"/>
            <w:shd w:val="clear" w:color="auto" w:fill="auto"/>
            <w:noWrap/>
            <w:vAlign w:val="center"/>
            <w:hideMark/>
          </w:tcPr>
          <w:p w14:paraId="67437218" w14:textId="32973B71" w:rsidR="004C5885" w:rsidRPr="00474131" w:rsidRDefault="00AC06A5" w:rsidP="00FE675C">
            <w:pPr>
              <w:pStyle w:val="cuatexto"/>
              <w:spacing w:line="240" w:lineRule="auto"/>
              <w:jc w:val="right"/>
              <w:rPr>
                <w:sz w:val="16"/>
                <w:szCs w:val="16"/>
              </w:rPr>
            </w:pPr>
            <w:r>
              <w:rPr>
                <w:sz w:val="16"/>
              </w:rPr>
              <w:t xml:space="preserve"> - </w:t>
            </w:r>
          </w:p>
        </w:tc>
        <w:tc>
          <w:tcPr>
            <w:tcW w:w="401" w:type="dxa"/>
            <w:shd w:val="clear" w:color="auto" w:fill="auto"/>
            <w:noWrap/>
            <w:vAlign w:val="center"/>
            <w:hideMark/>
          </w:tcPr>
          <w:p w14:paraId="217CEDF1" w14:textId="44535F21" w:rsidR="004C5885" w:rsidRPr="00474131" w:rsidRDefault="00AC06A5" w:rsidP="00FE675C">
            <w:pPr>
              <w:pStyle w:val="cuatexto"/>
              <w:spacing w:line="240" w:lineRule="auto"/>
              <w:jc w:val="right"/>
              <w:rPr>
                <w:sz w:val="16"/>
                <w:szCs w:val="16"/>
              </w:rPr>
            </w:pPr>
            <w:r>
              <w:rPr>
                <w:sz w:val="16"/>
              </w:rPr>
              <w:t xml:space="preserve"> 10 </w:t>
            </w:r>
          </w:p>
        </w:tc>
        <w:tc>
          <w:tcPr>
            <w:tcW w:w="588" w:type="dxa"/>
            <w:shd w:val="clear" w:color="auto" w:fill="auto"/>
            <w:noWrap/>
            <w:vAlign w:val="center"/>
            <w:hideMark/>
          </w:tcPr>
          <w:p w14:paraId="50C10D9E" w14:textId="77777777" w:rsidR="004C5885" w:rsidRPr="00474131" w:rsidRDefault="004C5885" w:rsidP="00FE675C">
            <w:pPr>
              <w:pStyle w:val="cuatexto"/>
              <w:spacing w:line="240" w:lineRule="auto"/>
              <w:jc w:val="right"/>
              <w:rPr>
                <w:sz w:val="16"/>
                <w:szCs w:val="16"/>
              </w:rPr>
            </w:pPr>
            <w:r>
              <w:rPr>
                <w:sz w:val="16"/>
              </w:rPr>
              <w:t>296</w:t>
            </w:r>
          </w:p>
        </w:tc>
        <w:tc>
          <w:tcPr>
            <w:tcW w:w="405" w:type="dxa"/>
            <w:shd w:val="clear" w:color="auto" w:fill="auto"/>
            <w:noWrap/>
            <w:vAlign w:val="center"/>
            <w:hideMark/>
          </w:tcPr>
          <w:p w14:paraId="193442CA" w14:textId="2A40D6F6" w:rsidR="004C5885" w:rsidRPr="00474131" w:rsidRDefault="00AC06A5" w:rsidP="00FE675C">
            <w:pPr>
              <w:pStyle w:val="cuatexto"/>
              <w:spacing w:line="240" w:lineRule="auto"/>
              <w:jc w:val="right"/>
              <w:rPr>
                <w:sz w:val="16"/>
                <w:szCs w:val="16"/>
              </w:rPr>
            </w:pPr>
            <w:r>
              <w:rPr>
                <w:sz w:val="16"/>
              </w:rPr>
              <w:t xml:space="preserve"> 2 </w:t>
            </w:r>
          </w:p>
        </w:tc>
        <w:tc>
          <w:tcPr>
            <w:tcW w:w="591" w:type="dxa"/>
            <w:shd w:val="clear" w:color="auto" w:fill="auto"/>
            <w:noWrap/>
            <w:vAlign w:val="center"/>
            <w:hideMark/>
          </w:tcPr>
          <w:p w14:paraId="04F2F170" w14:textId="77777777" w:rsidR="004C5885" w:rsidRPr="00474131" w:rsidRDefault="004C5885" w:rsidP="00FE675C">
            <w:pPr>
              <w:pStyle w:val="cuatexto"/>
              <w:spacing w:line="240" w:lineRule="auto"/>
              <w:jc w:val="right"/>
              <w:rPr>
                <w:sz w:val="16"/>
                <w:szCs w:val="16"/>
              </w:rPr>
            </w:pPr>
            <w:r>
              <w:rPr>
                <w:sz w:val="16"/>
              </w:rPr>
              <w:t>808</w:t>
            </w:r>
          </w:p>
        </w:tc>
        <w:tc>
          <w:tcPr>
            <w:tcW w:w="424" w:type="dxa"/>
            <w:shd w:val="clear" w:color="auto" w:fill="auto"/>
            <w:noWrap/>
            <w:vAlign w:val="center"/>
            <w:hideMark/>
          </w:tcPr>
          <w:p w14:paraId="7725160C" w14:textId="11DE07CF" w:rsidR="004C5885" w:rsidRPr="00474131" w:rsidRDefault="00AC06A5" w:rsidP="00FE675C">
            <w:pPr>
              <w:pStyle w:val="cuatexto"/>
              <w:spacing w:line="240" w:lineRule="auto"/>
              <w:jc w:val="right"/>
              <w:rPr>
                <w:sz w:val="16"/>
                <w:szCs w:val="16"/>
              </w:rPr>
            </w:pPr>
            <w:r>
              <w:rPr>
                <w:sz w:val="16"/>
              </w:rPr>
              <w:t xml:space="preserve"> 8 </w:t>
            </w:r>
          </w:p>
        </w:tc>
        <w:tc>
          <w:tcPr>
            <w:tcW w:w="568" w:type="dxa"/>
            <w:shd w:val="clear" w:color="auto" w:fill="auto"/>
            <w:noWrap/>
            <w:vAlign w:val="center"/>
            <w:hideMark/>
          </w:tcPr>
          <w:p w14:paraId="64CBCBAF" w14:textId="77777777" w:rsidR="004C5885" w:rsidRPr="00474131" w:rsidRDefault="004C5885" w:rsidP="00FE675C">
            <w:pPr>
              <w:pStyle w:val="cuatexto"/>
              <w:spacing w:line="240" w:lineRule="auto"/>
              <w:jc w:val="right"/>
              <w:rPr>
                <w:sz w:val="16"/>
                <w:szCs w:val="16"/>
              </w:rPr>
            </w:pPr>
            <w:r>
              <w:rPr>
                <w:sz w:val="16"/>
              </w:rPr>
              <w:t>105</w:t>
            </w:r>
          </w:p>
        </w:tc>
        <w:tc>
          <w:tcPr>
            <w:tcW w:w="425" w:type="dxa"/>
            <w:shd w:val="clear" w:color="auto" w:fill="auto"/>
            <w:noWrap/>
            <w:vAlign w:val="center"/>
            <w:hideMark/>
          </w:tcPr>
          <w:p w14:paraId="7951E631" w14:textId="240D878E" w:rsidR="004C5885" w:rsidRPr="00474131" w:rsidRDefault="00AC06A5" w:rsidP="00FE675C">
            <w:pPr>
              <w:pStyle w:val="cuatexto"/>
              <w:spacing w:line="240" w:lineRule="auto"/>
              <w:jc w:val="right"/>
              <w:rPr>
                <w:sz w:val="16"/>
                <w:szCs w:val="16"/>
              </w:rPr>
            </w:pPr>
            <w:r>
              <w:rPr>
                <w:sz w:val="16"/>
              </w:rPr>
              <w:t xml:space="preserve"> 2 </w:t>
            </w:r>
          </w:p>
        </w:tc>
        <w:tc>
          <w:tcPr>
            <w:tcW w:w="558" w:type="dxa"/>
            <w:shd w:val="clear" w:color="auto" w:fill="auto"/>
            <w:noWrap/>
            <w:vAlign w:val="center"/>
            <w:hideMark/>
          </w:tcPr>
          <w:p w14:paraId="55F8DC09" w14:textId="77777777" w:rsidR="004C5885" w:rsidRPr="00474131" w:rsidRDefault="004C5885" w:rsidP="00FE675C">
            <w:pPr>
              <w:pStyle w:val="cuatexto"/>
              <w:spacing w:line="240" w:lineRule="auto"/>
              <w:jc w:val="right"/>
              <w:rPr>
                <w:sz w:val="16"/>
                <w:szCs w:val="16"/>
              </w:rPr>
            </w:pPr>
            <w:r>
              <w:rPr>
                <w:sz w:val="16"/>
              </w:rPr>
              <w:t>54</w:t>
            </w:r>
          </w:p>
        </w:tc>
        <w:tc>
          <w:tcPr>
            <w:tcW w:w="425" w:type="dxa"/>
            <w:shd w:val="clear" w:color="auto" w:fill="auto"/>
            <w:noWrap/>
            <w:vAlign w:val="center"/>
            <w:hideMark/>
          </w:tcPr>
          <w:p w14:paraId="471E3763" w14:textId="082C8BE2" w:rsidR="004C5885" w:rsidRPr="00474131" w:rsidRDefault="00AC06A5" w:rsidP="00FE675C">
            <w:pPr>
              <w:pStyle w:val="cuatexto"/>
              <w:spacing w:line="240" w:lineRule="auto"/>
              <w:jc w:val="right"/>
              <w:rPr>
                <w:sz w:val="16"/>
                <w:szCs w:val="16"/>
              </w:rPr>
            </w:pPr>
            <w:r>
              <w:rPr>
                <w:sz w:val="16"/>
              </w:rPr>
              <w:t xml:space="preserve"> 137 </w:t>
            </w:r>
          </w:p>
        </w:tc>
        <w:tc>
          <w:tcPr>
            <w:tcW w:w="709" w:type="dxa"/>
            <w:shd w:val="clear" w:color="auto" w:fill="auto"/>
            <w:noWrap/>
            <w:vAlign w:val="center"/>
            <w:hideMark/>
          </w:tcPr>
          <w:p w14:paraId="6D3F9CF1" w14:textId="77777777" w:rsidR="004C5885" w:rsidRPr="00474131" w:rsidRDefault="004C5885" w:rsidP="00FE675C">
            <w:pPr>
              <w:pStyle w:val="cuatexto"/>
              <w:spacing w:line="240" w:lineRule="auto"/>
              <w:jc w:val="right"/>
              <w:rPr>
                <w:sz w:val="16"/>
                <w:szCs w:val="16"/>
              </w:rPr>
            </w:pPr>
            <w:r>
              <w:rPr>
                <w:sz w:val="16"/>
              </w:rPr>
              <w:t>51.504</w:t>
            </w:r>
          </w:p>
        </w:tc>
      </w:tr>
      <w:tr w:rsidR="004C5885" w:rsidRPr="00474131" w14:paraId="7CF5B587" w14:textId="77777777" w:rsidTr="004E2CFD">
        <w:trPr>
          <w:trHeight w:val="284"/>
        </w:trPr>
        <w:tc>
          <w:tcPr>
            <w:tcW w:w="990" w:type="dxa"/>
            <w:shd w:val="clear" w:color="auto" w:fill="auto"/>
            <w:noWrap/>
            <w:vAlign w:val="center"/>
            <w:hideMark/>
          </w:tcPr>
          <w:p w14:paraId="62BB38EB" w14:textId="77777777" w:rsidR="004C5885" w:rsidRPr="00474131" w:rsidRDefault="004C5885" w:rsidP="00FE675C">
            <w:pPr>
              <w:pStyle w:val="cuatexto"/>
              <w:spacing w:line="240" w:lineRule="auto"/>
              <w:rPr>
                <w:sz w:val="18"/>
                <w:szCs w:val="18"/>
              </w:rPr>
            </w:pPr>
            <w:r>
              <w:rPr>
                <w:sz w:val="18"/>
              </w:rPr>
              <w:t>Hornidurak</w:t>
            </w:r>
          </w:p>
        </w:tc>
        <w:tc>
          <w:tcPr>
            <w:tcW w:w="498" w:type="dxa"/>
            <w:shd w:val="clear" w:color="auto" w:fill="auto"/>
            <w:noWrap/>
            <w:vAlign w:val="center"/>
            <w:hideMark/>
          </w:tcPr>
          <w:p w14:paraId="43836BFC" w14:textId="658DE20F" w:rsidR="004C5885" w:rsidRPr="00474131" w:rsidRDefault="00AC06A5" w:rsidP="00FE675C">
            <w:pPr>
              <w:pStyle w:val="cuatexto"/>
              <w:spacing w:line="240" w:lineRule="auto"/>
              <w:jc w:val="right"/>
              <w:rPr>
                <w:sz w:val="16"/>
                <w:szCs w:val="16"/>
              </w:rPr>
            </w:pPr>
            <w:r>
              <w:rPr>
                <w:sz w:val="16"/>
              </w:rPr>
              <w:t xml:space="preserve"> 45 </w:t>
            </w:r>
          </w:p>
        </w:tc>
        <w:tc>
          <w:tcPr>
            <w:tcW w:w="705" w:type="dxa"/>
            <w:shd w:val="clear" w:color="auto" w:fill="auto"/>
            <w:noWrap/>
            <w:vAlign w:val="center"/>
            <w:hideMark/>
          </w:tcPr>
          <w:p w14:paraId="23D26982" w14:textId="4A2B114B" w:rsidR="004C5885" w:rsidRPr="00474131" w:rsidRDefault="00AC06A5" w:rsidP="00FE675C">
            <w:pPr>
              <w:pStyle w:val="cuatexto"/>
              <w:spacing w:line="240" w:lineRule="auto"/>
              <w:jc w:val="right"/>
              <w:rPr>
                <w:sz w:val="16"/>
                <w:szCs w:val="16"/>
              </w:rPr>
            </w:pPr>
            <w:r>
              <w:rPr>
                <w:sz w:val="16"/>
              </w:rPr>
              <w:t xml:space="preserve"> 11.560 </w:t>
            </w:r>
          </w:p>
        </w:tc>
        <w:tc>
          <w:tcPr>
            <w:tcW w:w="308" w:type="dxa"/>
            <w:shd w:val="clear" w:color="auto" w:fill="auto"/>
            <w:noWrap/>
            <w:vAlign w:val="center"/>
            <w:hideMark/>
          </w:tcPr>
          <w:p w14:paraId="5A26543A" w14:textId="3BBD5B7E" w:rsidR="004C5885" w:rsidRPr="00474131" w:rsidRDefault="00AC06A5" w:rsidP="00FE675C">
            <w:pPr>
              <w:pStyle w:val="cuatexto"/>
              <w:spacing w:line="240" w:lineRule="auto"/>
              <w:jc w:val="right"/>
              <w:rPr>
                <w:sz w:val="16"/>
                <w:szCs w:val="16"/>
              </w:rPr>
            </w:pPr>
            <w:r>
              <w:rPr>
                <w:sz w:val="16"/>
              </w:rPr>
              <w:t xml:space="preserve"> - </w:t>
            </w:r>
          </w:p>
        </w:tc>
        <w:tc>
          <w:tcPr>
            <w:tcW w:w="476" w:type="dxa"/>
            <w:shd w:val="clear" w:color="auto" w:fill="auto"/>
            <w:noWrap/>
            <w:vAlign w:val="center"/>
            <w:hideMark/>
          </w:tcPr>
          <w:p w14:paraId="0B7A1129" w14:textId="452EB05C" w:rsidR="004C5885" w:rsidRPr="00474131" w:rsidRDefault="00AC06A5" w:rsidP="00FE675C">
            <w:pPr>
              <w:pStyle w:val="cuatexto"/>
              <w:spacing w:line="240" w:lineRule="auto"/>
              <w:jc w:val="right"/>
              <w:rPr>
                <w:sz w:val="16"/>
                <w:szCs w:val="16"/>
              </w:rPr>
            </w:pPr>
            <w:r>
              <w:rPr>
                <w:sz w:val="16"/>
              </w:rPr>
              <w:t xml:space="preserve"> - </w:t>
            </w:r>
          </w:p>
        </w:tc>
        <w:tc>
          <w:tcPr>
            <w:tcW w:w="425" w:type="dxa"/>
            <w:shd w:val="clear" w:color="auto" w:fill="auto"/>
            <w:noWrap/>
            <w:vAlign w:val="center"/>
            <w:hideMark/>
          </w:tcPr>
          <w:p w14:paraId="64F10E6F" w14:textId="03D2E8E4" w:rsidR="004C5885" w:rsidRPr="00474131" w:rsidRDefault="00AC06A5" w:rsidP="00FE675C">
            <w:pPr>
              <w:pStyle w:val="cuatexto"/>
              <w:spacing w:line="240" w:lineRule="auto"/>
              <w:jc w:val="right"/>
              <w:rPr>
                <w:sz w:val="16"/>
                <w:szCs w:val="16"/>
              </w:rPr>
            </w:pPr>
            <w:r>
              <w:rPr>
                <w:sz w:val="16"/>
              </w:rPr>
              <w:t xml:space="preserve"> 1 </w:t>
            </w:r>
          </w:p>
        </w:tc>
        <w:tc>
          <w:tcPr>
            <w:tcW w:w="564" w:type="dxa"/>
            <w:shd w:val="clear" w:color="auto" w:fill="auto"/>
            <w:noWrap/>
            <w:vAlign w:val="center"/>
            <w:hideMark/>
          </w:tcPr>
          <w:p w14:paraId="0EC3AF8A" w14:textId="3F9CBCDE" w:rsidR="004C5885" w:rsidRPr="00474131" w:rsidRDefault="00AC06A5" w:rsidP="00FE675C">
            <w:pPr>
              <w:pStyle w:val="cuatexto"/>
              <w:spacing w:line="240" w:lineRule="auto"/>
              <w:jc w:val="right"/>
              <w:rPr>
                <w:sz w:val="16"/>
                <w:szCs w:val="16"/>
              </w:rPr>
            </w:pPr>
            <w:r>
              <w:rPr>
                <w:sz w:val="16"/>
              </w:rPr>
              <w:t xml:space="preserve"> 37 </w:t>
            </w:r>
          </w:p>
        </w:tc>
        <w:tc>
          <w:tcPr>
            <w:tcW w:w="401" w:type="dxa"/>
            <w:shd w:val="clear" w:color="auto" w:fill="auto"/>
            <w:noWrap/>
            <w:vAlign w:val="center"/>
            <w:hideMark/>
          </w:tcPr>
          <w:p w14:paraId="0431F43D" w14:textId="40B44922" w:rsidR="004C5885" w:rsidRPr="00474131" w:rsidRDefault="00AC06A5" w:rsidP="00FE675C">
            <w:pPr>
              <w:pStyle w:val="cuatexto"/>
              <w:spacing w:line="240" w:lineRule="auto"/>
              <w:jc w:val="right"/>
              <w:rPr>
                <w:sz w:val="16"/>
                <w:szCs w:val="16"/>
              </w:rPr>
            </w:pPr>
            <w:r>
              <w:rPr>
                <w:sz w:val="16"/>
              </w:rPr>
              <w:t xml:space="preserve"> 16 </w:t>
            </w:r>
          </w:p>
        </w:tc>
        <w:tc>
          <w:tcPr>
            <w:tcW w:w="588" w:type="dxa"/>
            <w:shd w:val="clear" w:color="auto" w:fill="auto"/>
            <w:noWrap/>
            <w:vAlign w:val="center"/>
            <w:hideMark/>
          </w:tcPr>
          <w:p w14:paraId="0B7376FE" w14:textId="77777777" w:rsidR="004C5885" w:rsidRPr="00474131" w:rsidRDefault="004C5885" w:rsidP="00FE675C">
            <w:pPr>
              <w:pStyle w:val="cuatexto"/>
              <w:spacing w:line="240" w:lineRule="auto"/>
              <w:jc w:val="right"/>
              <w:rPr>
                <w:sz w:val="16"/>
                <w:szCs w:val="16"/>
              </w:rPr>
            </w:pPr>
            <w:r>
              <w:rPr>
                <w:sz w:val="16"/>
              </w:rPr>
              <w:t>431</w:t>
            </w:r>
          </w:p>
        </w:tc>
        <w:tc>
          <w:tcPr>
            <w:tcW w:w="405" w:type="dxa"/>
            <w:shd w:val="clear" w:color="auto" w:fill="auto"/>
            <w:noWrap/>
            <w:vAlign w:val="center"/>
            <w:hideMark/>
          </w:tcPr>
          <w:p w14:paraId="67A8B5E7" w14:textId="793C615E" w:rsidR="004C5885" w:rsidRPr="00474131" w:rsidRDefault="00AC06A5" w:rsidP="00FE675C">
            <w:pPr>
              <w:pStyle w:val="cuatexto"/>
              <w:spacing w:line="240" w:lineRule="auto"/>
              <w:jc w:val="right"/>
              <w:rPr>
                <w:sz w:val="16"/>
                <w:szCs w:val="16"/>
              </w:rPr>
            </w:pPr>
            <w:r>
              <w:rPr>
                <w:sz w:val="16"/>
              </w:rPr>
              <w:t xml:space="preserve"> 1 </w:t>
            </w:r>
          </w:p>
        </w:tc>
        <w:tc>
          <w:tcPr>
            <w:tcW w:w="591" w:type="dxa"/>
            <w:shd w:val="clear" w:color="auto" w:fill="auto"/>
            <w:noWrap/>
            <w:vAlign w:val="center"/>
            <w:hideMark/>
          </w:tcPr>
          <w:p w14:paraId="4E5751A2" w14:textId="77777777" w:rsidR="004C5885" w:rsidRPr="00474131" w:rsidRDefault="004C5885" w:rsidP="00FE675C">
            <w:pPr>
              <w:pStyle w:val="cuatexto"/>
              <w:spacing w:line="240" w:lineRule="auto"/>
              <w:jc w:val="right"/>
              <w:rPr>
                <w:sz w:val="16"/>
                <w:szCs w:val="16"/>
              </w:rPr>
            </w:pPr>
            <w:r>
              <w:rPr>
                <w:sz w:val="16"/>
              </w:rPr>
              <w:t>185</w:t>
            </w:r>
          </w:p>
        </w:tc>
        <w:tc>
          <w:tcPr>
            <w:tcW w:w="424" w:type="dxa"/>
            <w:shd w:val="clear" w:color="auto" w:fill="auto"/>
            <w:noWrap/>
            <w:vAlign w:val="center"/>
            <w:hideMark/>
          </w:tcPr>
          <w:p w14:paraId="06E39137" w14:textId="18D65C80" w:rsidR="004C5885" w:rsidRPr="00474131" w:rsidRDefault="00AC06A5" w:rsidP="00FE675C">
            <w:pPr>
              <w:pStyle w:val="cuatexto"/>
              <w:spacing w:line="240" w:lineRule="auto"/>
              <w:jc w:val="right"/>
              <w:rPr>
                <w:sz w:val="16"/>
                <w:szCs w:val="16"/>
              </w:rPr>
            </w:pPr>
            <w:r>
              <w:rPr>
                <w:sz w:val="16"/>
              </w:rPr>
              <w:t xml:space="preserve"> 2 </w:t>
            </w:r>
          </w:p>
        </w:tc>
        <w:tc>
          <w:tcPr>
            <w:tcW w:w="568" w:type="dxa"/>
            <w:shd w:val="clear" w:color="auto" w:fill="auto"/>
            <w:noWrap/>
            <w:vAlign w:val="center"/>
            <w:hideMark/>
          </w:tcPr>
          <w:p w14:paraId="6346AAE4" w14:textId="77777777" w:rsidR="004C5885" w:rsidRPr="00474131" w:rsidRDefault="004C5885" w:rsidP="00FE675C">
            <w:pPr>
              <w:pStyle w:val="cuatexto"/>
              <w:spacing w:line="240" w:lineRule="auto"/>
              <w:jc w:val="right"/>
              <w:rPr>
                <w:sz w:val="16"/>
                <w:szCs w:val="16"/>
              </w:rPr>
            </w:pPr>
            <w:r>
              <w:rPr>
                <w:sz w:val="16"/>
              </w:rPr>
              <w:t>50</w:t>
            </w:r>
          </w:p>
        </w:tc>
        <w:tc>
          <w:tcPr>
            <w:tcW w:w="425" w:type="dxa"/>
            <w:shd w:val="clear" w:color="auto" w:fill="auto"/>
            <w:noWrap/>
            <w:vAlign w:val="center"/>
            <w:hideMark/>
          </w:tcPr>
          <w:p w14:paraId="2916EAB6" w14:textId="1AEAF904" w:rsidR="004C5885" w:rsidRPr="00474131" w:rsidRDefault="00AC06A5" w:rsidP="00FE675C">
            <w:pPr>
              <w:pStyle w:val="cuatexto"/>
              <w:spacing w:line="240" w:lineRule="auto"/>
              <w:jc w:val="right"/>
              <w:rPr>
                <w:sz w:val="16"/>
                <w:szCs w:val="16"/>
              </w:rPr>
            </w:pPr>
            <w:r>
              <w:rPr>
                <w:sz w:val="16"/>
              </w:rPr>
              <w:t xml:space="preserve"> - </w:t>
            </w:r>
          </w:p>
        </w:tc>
        <w:tc>
          <w:tcPr>
            <w:tcW w:w="558" w:type="dxa"/>
            <w:shd w:val="clear" w:color="auto" w:fill="auto"/>
            <w:noWrap/>
            <w:vAlign w:val="center"/>
            <w:hideMark/>
          </w:tcPr>
          <w:p w14:paraId="6F370196" w14:textId="77777777" w:rsidR="004C5885" w:rsidRPr="00474131" w:rsidRDefault="004C5885" w:rsidP="00FE675C">
            <w:pPr>
              <w:pStyle w:val="cuatexto"/>
              <w:spacing w:line="240" w:lineRule="auto"/>
              <w:jc w:val="right"/>
              <w:rPr>
                <w:sz w:val="16"/>
                <w:szCs w:val="16"/>
              </w:rPr>
            </w:pPr>
            <w:r>
              <w:rPr>
                <w:sz w:val="16"/>
              </w:rPr>
              <w:t>0</w:t>
            </w:r>
          </w:p>
        </w:tc>
        <w:tc>
          <w:tcPr>
            <w:tcW w:w="425" w:type="dxa"/>
            <w:shd w:val="clear" w:color="auto" w:fill="auto"/>
            <w:noWrap/>
            <w:vAlign w:val="center"/>
            <w:hideMark/>
          </w:tcPr>
          <w:p w14:paraId="2C44BD8C" w14:textId="4DBC00D2" w:rsidR="004C5885" w:rsidRPr="00474131" w:rsidRDefault="00AC06A5" w:rsidP="00FE675C">
            <w:pPr>
              <w:pStyle w:val="cuatexto"/>
              <w:spacing w:line="240" w:lineRule="auto"/>
              <w:jc w:val="right"/>
              <w:rPr>
                <w:sz w:val="16"/>
                <w:szCs w:val="16"/>
              </w:rPr>
            </w:pPr>
            <w:r>
              <w:rPr>
                <w:sz w:val="16"/>
              </w:rPr>
              <w:t xml:space="preserve"> 65 </w:t>
            </w:r>
          </w:p>
        </w:tc>
        <w:tc>
          <w:tcPr>
            <w:tcW w:w="709" w:type="dxa"/>
            <w:shd w:val="clear" w:color="auto" w:fill="auto"/>
            <w:noWrap/>
            <w:vAlign w:val="center"/>
            <w:hideMark/>
          </w:tcPr>
          <w:p w14:paraId="6428669E" w14:textId="77777777" w:rsidR="004C5885" w:rsidRPr="00474131" w:rsidRDefault="004C5885" w:rsidP="00FE675C">
            <w:pPr>
              <w:pStyle w:val="cuatexto"/>
              <w:spacing w:line="240" w:lineRule="auto"/>
              <w:jc w:val="right"/>
              <w:rPr>
                <w:sz w:val="16"/>
                <w:szCs w:val="16"/>
              </w:rPr>
            </w:pPr>
            <w:r>
              <w:rPr>
                <w:sz w:val="16"/>
              </w:rPr>
              <w:t>12.263</w:t>
            </w:r>
          </w:p>
        </w:tc>
      </w:tr>
      <w:tr w:rsidR="004C5885" w:rsidRPr="00474131" w14:paraId="54AF651E" w14:textId="77777777" w:rsidTr="004E2CFD">
        <w:trPr>
          <w:trHeight w:val="284"/>
        </w:trPr>
        <w:tc>
          <w:tcPr>
            <w:tcW w:w="990" w:type="dxa"/>
            <w:tcBorders>
              <w:bottom w:val="single" w:sz="4" w:space="0" w:color="auto"/>
            </w:tcBorders>
            <w:shd w:val="clear" w:color="auto" w:fill="auto"/>
            <w:noWrap/>
            <w:vAlign w:val="center"/>
            <w:hideMark/>
          </w:tcPr>
          <w:p w14:paraId="7941FF17" w14:textId="2BD643B9" w:rsidR="004C5885" w:rsidRPr="00474131" w:rsidRDefault="004C5885" w:rsidP="00FE675C">
            <w:pPr>
              <w:pStyle w:val="cuatexto"/>
              <w:spacing w:line="240" w:lineRule="auto"/>
              <w:rPr>
                <w:sz w:val="18"/>
                <w:szCs w:val="18"/>
              </w:rPr>
            </w:pPr>
            <w:r>
              <w:rPr>
                <w:sz w:val="18"/>
              </w:rPr>
              <w:t>Zerbitzu-emakidak</w:t>
            </w:r>
          </w:p>
        </w:tc>
        <w:tc>
          <w:tcPr>
            <w:tcW w:w="498" w:type="dxa"/>
            <w:tcBorders>
              <w:bottom w:val="single" w:sz="4" w:space="0" w:color="auto"/>
            </w:tcBorders>
            <w:shd w:val="clear" w:color="auto" w:fill="auto"/>
            <w:noWrap/>
            <w:vAlign w:val="center"/>
            <w:hideMark/>
          </w:tcPr>
          <w:p w14:paraId="73E409B7" w14:textId="61C2DB5E" w:rsidR="004C5885" w:rsidRPr="00474131" w:rsidRDefault="00AC06A5" w:rsidP="00FE675C">
            <w:pPr>
              <w:pStyle w:val="cuatexto"/>
              <w:spacing w:line="240" w:lineRule="auto"/>
              <w:jc w:val="right"/>
              <w:rPr>
                <w:sz w:val="16"/>
                <w:szCs w:val="16"/>
              </w:rPr>
            </w:pPr>
            <w:r>
              <w:rPr>
                <w:sz w:val="16"/>
              </w:rPr>
              <w:t xml:space="preserve"> 11 </w:t>
            </w:r>
          </w:p>
        </w:tc>
        <w:tc>
          <w:tcPr>
            <w:tcW w:w="705" w:type="dxa"/>
            <w:tcBorders>
              <w:bottom w:val="single" w:sz="4" w:space="0" w:color="auto"/>
            </w:tcBorders>
            <w:shd w:val="clear" w:color="auto" w:fill="auto"/>
            <w:noWrap/>
            <w:vAlign w:val="center"/>
            <w:hideMark/>
          </w:tcPr>
          <w:p w14:paraId="0E55B522" w14:textId="784A68C0" w:rsidR="004C5885" w:rsidRPr="00474131" w:rsidRDefault="00AC06A5" w:rsidP="00FE675C">
            <w:pPr>
              <w:pStyle w:val="cuatexto"/>
              <w:spacing w:line="240" w:lineRule="auto"/>
              <w:jc w:val="right"/>
              <w:rPr>
                <w:sz w:val="16"/>
                <w:szCs w:val="16"/>
              </w:rPr>
            </w:pPr>
            <w:r>
              <w:rPr>
                <w:sz w:val="16"/>
              </w:rPr>
              <w:t xml:space="preserve"> 1.087 </w:t>
            </w:r>
          </w:p>
        </w:tc>
        <w:tc>
          <w:tcPr>
            <w:tcW w:w="308" w:type="dxa"/>
            <w:tcBorders>
              <w:bottom w:val="single" w:sz="4" w:space="0" w:color="auto"/>
            </w:tcBorders>
            <w:shd w:val="clear" w:color="auto" w:fill="auto"/>
            <w:noWrap/>
            <w:vAlign w:val="center"/>
            <w:hideMark/>
          </w:tcPr>
          <w:p w14:paraId="09129260" w14:textId="2226858D" w:rsidR="004C5885" w:rsidRPr="00474131" w:rsidRDefault="00AC06A5" w:rsidP="00FE675C">
            <w:pPr>
              <w:pStyle w:val="cuatexto"/>
              <w:spacing w:line="240" w:lineRule="auto"/>
              <w:jc w:val="right"/>
              <w:rPr>
                <w:sz w:val="16"/>
                <w:szCs w:val="16"/>
              </w:rPr>
            </w:pPr>
            <w:r>
              <w:rPr>
                <w:sz w:val="16"/>
              </w:rPr>
              <w:t xml:space="preserve"> - </w:t>
            </w:r>
          </w:p>
        </w:tc>
        <w:tc>
          <w:tcPr>
            <w:tcW w:w="476" w:type="dxa"/>
            <w:tcBorders>
              <w:bottom w:val="single" w:sz="4" w:space="0" w:color="auto"/>
            </w:tcBorders>
            <w:shd w:val="clear" w:color="auto" w:fill="auto"/>
            <w:noWrap/>
            <w:vAlign w:val="center"/>
            <w:hideMark/>
          </w:tcPr>
          <w:p w14:paraId="2886291E" w14:textId="786FE927" w:rsidR="004C5885" w:rsidRPr="00474131" w:rsidRDefault="00AC06A5" w:rsidP="00FE675C">
            <w:pPr>
              <w:pStyle w:val="cuatexto"/>
              <w:spacing w:line="240" w:lineRule="auto"/>
              <w:jc w:val="right"/>
              <w:rPr>
                <w:sz w:val="16"/>
                <w:szCs w:val="16"/>
              </w:rPr>
            </w:pPr>
            <w:r>
              <w:rPr>
                <w:sz w:val="16"/>
              </w:rPr>
              <w:t xml:space="preserve"> - </w:t>
            </w:r>
          </w:p>
        </w:tc>
        <w:tc>
          <w:tcPr>
            <w:tcW w:w="425" w:type="dxa"/>
            <w:tcBorders>
              <w:bottom w:val="single" w:sz="4" w:space="0" w:color="auto"/>
            </w:tcBorders>
            <w:shd w:val="clear" w:color="auto" w:fill="auto"/>
            <w:noWrap/>
            <w:vAlign w:val="center"/>
            <w:hideMark/>
          </w:tcPr>
          <w:p w14:paraId="3DE43F3D" w14:textId="406B33EA" w:rsidR="004C5885" w:rsidRPr="00474131" w:rsidRDefault="00AC06A5" w:rsidP="00FE675C">
            <w:pPr>
              <w:pStyle w:val="cuatexto"/>
              <w:spacing w:line="240" w:lineRule="auto"/>
              <w:jc w:val="right"/>
              <w:rPr>
                <w:sz w:val="16"/>
                <w:szCs w:val="16"/>
              </w:rPr>
            </w:pPr>
            <w:r>
              <w:rPr>
                <w:sz w:val="16"/>
              </w:rPr>
              <w:t xml:space="preserve"> - </w:t>
            </w:r>
          </w:p>
        </w:tc>
        <w:tc>
          <w:tcPr>
            <w:tcW w:w="564" w:type="dxa"/>
            <w:tcBorders>
              <w:bottom w:val="single" w:sz="4" w:space="0" w:color="auto"/>
            </w:tcBorders>
            <w:shd w:val="clear" w:color="auto" w:fill="auto"/>
            <w:noWrap/>
            <w:vAlign w:val="center"/>
            <w:hideMark/>
          </w:tcPr>
          <w:p w14:paraId="785ACABE" w14:textId="5EAD5D4B" w:rsidR="004C5885" w:rsidRPr="00474131" w:rsidRDefault="00AC06A5" w:rsidP="00FE675C">
            <w:pPr>
              <w:pStyle w:val="cuatexto"/>
              <w:spacing w:line="240" w:lineRule="auto"/>
              <w:jc w:val="right"/>
              <w:rPr>
                <w:sz w:val="16"/>
                <w:szCs w:val="16"/>
              </w:rPr>
            </w:pPr>
            <w:r>
              <w:rPr>
                <w:sz w:val="16"/>
              </w:rPr>
              <w:t xml:space="preserve"> - </w:t>
            </w:r>
          </w:p>
        </w:tc>
        <w:tc>
          <w:tcPr>
            <w:tcW w:w="401" w:type="dxa"/>
            <w:tcBorders>
              <w:bottom w:val="single" w:sz="4" w:space="0" w:color="auto"/>
            </w:tcBorders>
            <w:shd w:val="clear" w:color="auto" w:fill="auto"/>
            <w:noWrap/>
            <w:vAlign w:val="center"/>
            <w:hideMark/>
          </w:tcPr>
          <w:p w14:paraId="4E20D515" w14:textId="41CFC650" w:rsidR="004C5885" w:rsidRPr="00474131" w:rsidRDefault="00AC06A5" w:rsidP="00FE675C">
            <w:pPr>
              <w:pStyle w:val="cuatexto"/>
              <w:spacing w:line="240" w:lineRule="auto"/>
              <w:jc w:val="right"/>
              <w:rPr>
                <w:sz w:val="16"/>
                <w:szCs w:val="16"/>
              </w:rPr>
            </w:pPr>
            <w:r>
              <w:rPr>
                <w:sz w:val="16"/>
              </w:rPr>
              <w:t xml:space="preserve"> - </w:t>
            </w:r>
          </w:p>
        </w:tc>
        <w:tc>
          <w:tcPr>
            <w:tcW w:w="588" w:type="dxa"/>
            <w:tcBorders>
              <w:bottom w:val="single" w:sz="4" w:space="0" w:color="auto"/>
            </w:tcBorders>
            <w:shd w:val="clear" w:color="auto" w:fill="auto"/>
            <w:noWrap/>
            <w:vAlign w:val="center"/>
            <w:hideMark/>
          </w:tcPr>
          <w:p w14:paraId="5C9B5C6C" w14:textId="77777777" w:rsidR="004C5885" w:rsidRPr="00474131" w:rsidRDefault="004C5885" w:rsidP="00FE675C">
            <w:pPr>
              <w:pStyle w:val="cuatexto"/>
              <w:spacing w:line="240" w:lineRule="auto"/>
              <w:jc w:val="right"/>
              <w:rPr>
                <w:sz w:val="16"/>
                <w:szCs w:val="16"/>
              </w:rPr>
            </w:pPr>
            <w:r>
              <w:rPr>
                <w:sz w:val="16"/>
              </w:rPr>
              <w:t>0</w:t>
            </w:r>
          </w:p>
        </w:tc>
        <w:tc>
          <w:tcPr>
            <w:tcW w:w="405" w:type="dxa"/>
            <w:tcBorders>
              <w:bottom w:val="single" w:sz="4" w:space="0" w:color="auto"/>
            </w:tcBorders>
            <w:shd w:val="clear" w:color="auto" w:fill="auto"/>
            <w:noWrap/>
            <w:vAlign w:val="center"/>
            <w:hideMark/>
          </w:tcPr>
          <w:p w14:paraId="4F357440" w14:textId="6E5AE2D0" w:rsidR="004C5885" w:rsidRPr="00474131" w:rsidRDefault="00AC06A5" w:rsidP="00FE675C">
            <w:pPr>
              <w:pStyle w:val="cuatexto"/>
              <w:spacing w:line="240" w:lineRule="auto"/>
              <w:jc w:val="right"/>
              <w:rPr>
                <w:sz w:val="16"/>
                <w:szCs w:val="16"/>
              </w:rPr>
            </w:pPr>
            <w:r>
              <w:rPr>
                <w:sz w:val="16"/>
              </w:rPr>
              <w:t xml:space="preserve"> - </w:t>
            </w:r>
          </w:p>
        </w:tc>
        <w:tc>
          <w:tcPr>
            <w:tcW w:w="591" w:type="dxa"/>
            <w:tcBorders>
              <w:bottom w:val="single" w:sz="4" w:space="0" w:color="auto"/>
            </w:tcBorders>
            <w:shd w:val="clear" w:color="auto" w:fill="auto"/>
            <w:noWrap/>
            <w:vAlign w:val="center"/>
            <w:hideMark/>
          </w:tcPr>
          <w:p w14:paraId="50B98CFF" w14:textId="77777777" w:rsidR="004C5885" w:rsidRPr="00474131" w:rsidRDefault="004C5885" w:rsidP="00FE675C">
            <w:pPr>
              <w:pStyle w:val="cuatexto"/>
              <w:spacing w:line="240" w:lineRule="auto"/>
              <w:jc w:val="right"/>
              <w:rPr>
                <w:sz w:val="16"/>
                <w:szCs w:val="16"/>
              </w:rPr>
            </w:pPr>
            <w:r>
              <w:rPr>
                <w:sz w:val="16"/>
              </w:rPr>
              <w:t>0</w:t>
            </w:r>
          </w:p>
        </w:tc>
        <w:tc>
          <w:tcPr>
            <w:tcW w:w="424" w:type="dxa"/>
            <w:tcBorders>
              <w:bottom w:val="single" w:sz="4" w:space="0" w:color="auto"/>
            </w:tcBorders>
            <w:shd w:val="clear" w:color="auto" w:fill="auto"/>
            <w:noWrap/>
            <w:vAlign w:val="center"/>
            <w:hideMark/>
          </w:tcPr>
          <w:p w14:paraId="7962F2FE" w14:textId="61076D67" w:rsidR="004C5885" w:rsidRPr="00474131" w:rsidRDefault="00AC06A5" w:rsidP="00FE675C">
            <w:pPr>
              <w:pStyle w:val="cuatexto"/>
              <w:spacing w:line="240" w:lineRule="auto"/>
              <w:jc w:val="right"/>
              <w:rPr>
                <w:sz w:val="16"/>
                <w:szCs w:val="16"/>
              </w:rPr>
            </w:pPr>
            <w:r>
              <w:rPr>
                <w:sz w:val="16"/>
              </w:rPr>
              <w:t xml:space="preserve"> - </w:t>
            </w:r>
          </w:p>
        </w:tc>
        <w:tc>
          <w:tcPr>
            <w:tcW w:w="568" w:type="dxa"/>
            <w:tcBorders>
              <w:bottom w:val="single" w:sz="4" w:space="0" w:color="auto"/>
            </w:tcBorders>
            <w:shd w:val="clear" w:color="auto" w:fill="auto"/>
            <w:noWrap/>
            <w:vAlign w:val="center"/>
            <w:hideMark/>
          </w:tcPr>
          <w:p w14:paraId="6410EABD" w14:textId="77777777" w:rsidR="004C5885" w:rsidRPr="00474131" w:rsidRDefault="004C5885" w:rsidP="00FE675C">
            <w:pPr>
              <w:pStyle w:val="cuatexto"/>
              <w:spacing w:line="240" w:lineRule="auto"/>
              <w:jc w:val="right"/>
              <w:rPr>
                <w:sz w:val="16"/>
                <w:szCs w:val="16"/>
              </w:rPr>
            </w:pPr>
            <w:r>
              <w:rPr>
                <w:sz w:val="16"/>
              </w:rPr>
              <w:t>0</w:t>
            </w:r>
          </w:p>
        </w:tc>
        <w:tc>
          <w:tcPr>
            <w:tcW w:w="425" w:type="dxa"/>
            <w:tcBorders>
              <w:bottom w:val="single" w:sz="4" w:space="0" w:color="auto"/>
            </w:tcBorders>
            <w:shd w:val="clear" w:color="auto" w:fill="auto"/>
            <w:noWrap/>
            <w:vAlign w:val="center"/>
            <w:hideMark/>
          </w:tcPr>
          <w:p w14:paraId="780A4739" w14:textId="2604DE31" w:rsidR="004C5885" w:rsidRPr="00474131" w:rsidRDefault="00AC06A5" w:rsidP="00FE675C">
            <w:pPr>
              <w:pStyle w:val="cuatexto"/>
              <w:spacing w:line="240" w:lineRule="auto"/>
              <w:jc w:val="right"/>
              <w:rPr>
                <w:sz w:val="16"/>
                <w:szCs w:val="16"/>
              </w:rPr>
            </w:pPr>
            <w:r>
              <w:rPr>
                <w:sz w:val="16"/>
              </w:rPr>
              <w:t xml:space="preserve"> 1 </w:t>
            </w:r>
          </w:p>
        </w:tc>
        <w:tc>
          <w:tcPr>
            <w:tcW w:w="558" w:type="dxa"/>
            <w:tcBorders>
              <w:bottom w:val="single" w:sz="4" w:space="0" w:color="auto"/>
            </w:tcBorders>
            <w:shd w:val="clear" w:color="auto" w:fill="auto"/>
            <w:noWrap/>
            <w:vAlign w:val="center"/>
            <w:hideMark/>
          </w:tcPr>
          <w:p w14:paraId="3D5B4B7F" w14:textId="77777777" w:rsidR="004C5885" w:rsidRPr="00474131" w:rsidRDefault="004C5885" w:rsidP="00FE675C">
            <w:pPr>
              <w:pStyle w:val="cuatexto"/>
              <w:spacing w:line="240" w:lineRule="auto"/>
              <w:jc w:val="right"/>
              <w:rPr>
                <w:sz w:val="16"/>
                <w:szCs w:val="16"/>
              </w:rPr>
            </w:pPr>
            <w:r>
              <w:rPr>
                <w:sz w:val="16"/>
              </w:rPr>
              <w:t>20</w:t>
            </w:r>
          </w:p>
        </w:tc>
        <w:tc>
          <w:tcPr>
            <w:tcW w:w="425" w:type="dxa"/>
            <w:tcBorders>
              <w:bottom w:val="single" w:sz="4" w:space="0" w:color="auto"/>
            </w:tcBorders>
            <w:shd w:val="clear" w:color="auto" w:fill="auto"/>
            <w:noWrap/>
            <w:vAlign w:val="center"/>
            <w:hideMark/>
          </w:tcPr>
          <w:p w14:paraId="726C0F4A" w14:textId="01886223" w:rsidR="004C5885" w:rsidRPr="00474131" w:rsidRDefault="00AC06A5" w:rsidP="00FE675C">
            <w:pPr>
              <w:pStyle w:val="cuatexto"/>
              <w:spacing w:line="240" w:lineRule="auto"/>
              <w:jc w:val="right"/>
              <w:rPr>
                <w:sz w:val="16"/>
                <w:szCs w:val="16"/>
              </w:rPr>
            </w:pPr>
            <w:r>
              <w:rPr>
                <w:sz w:val="16"/>
              </w:rPr>
              <w:t xml:space="preserve"> 12 </w:t>
            </w:r>
          </w:p>
        </w:tc>
        <w:tc>
          <w:tcPr>
            <w:tcW w:w="709" w:type="dxa"/>
            <w:tcBorders>
              <w:bottom w:val="single" w:sz="4" w:space="0" w:color="auto"/>
            </w:tcBorders>
            <w:shd w:val="clear" w:color="auto" w:fill="auto"/>
            <w:noWrap/>
            <w:vAlign w:val="center"/>
            <w:hideMark/>
          </w:tcPr>
          <w:p w14:paraId="36938704" w14:textId="77777777" w:rsidR="004C5885" w:rsidRPr="00474131" w:rsidRDefault="004C5885" w:rsidP="00FE675C">
            <w:pPr>
              <w:pStyle w:val="cuatexto"/>
              <w:spacing w:line="240" w:lineRule="auto"/>
              <w:jc w:val="right"/>
              <w:rPr>
                <w:sz w:val="16"/>
                <w:szCs w:val="16"/>
              </w:rPr>
            </w:pPr>
            <w:r>
              <w:rPr>
                <w:sz w:val="16"/>
              </w:rPr>
              <w:t>1.107</w:t>
            </w:r>
          </w:p>
        </w:tc>
      </w:tr>
      <w:tr w:rsidR="004C5885" w:rsidRPr="009E536C" w14:paraId="1EF10889" w14:textId="77777777" w:rsidTr="004E2CFD">
        <w:trPr>
          <w:trHeight w:val="284"/>
        </w:trPr>
        <w:tc>
          <w:tcPr>
            <w:tcW w:w="990" w:type="dxa"/>
            <w:tcBorders>
              <w:top w:val="single" w:sz="4" w:space="0" w:color="auto"/>
              <w:bottom w:val="single" w:sz="4" w:space="0" w:color="auto"/>
            </w:tcBorders>
            <w:shd w:val="clear" w:color="auto" w:fill="FABF8F" w:themeFill="accent6" w:themeFillTint="99"/>
            <w:noWrap/>
            <w:vAlign w:val="center"/>
            <w:hideMark/>
          </w:tcPr>
          <w:p w14:paraId="2040E1A5" w14:textId="77777777" w:rsidR="00E57B08" w:rsidRDefault="004C5885" w:rsidP="00FE675C">
            <w:pPr>
              <w:pStyle w:val="cuadroCabe"/>
              <w:spacing w:line="240" w:lineRule="auto"/>
              <w:rPr>
                <w:sz w:val="14"/>
                <w:szCs w:val="14"/>
              </w:rPr>
            </w:pPr>
            <w:r>
              <w:rPr>
                <w:sz w:val="14"/>
              </w:rPr>
              <w:t xml:space="preserve">Guztira, </w:t>
            </w:r>
          </w:p>
          <w:p w14:paraId="67C7005F" w14:textId="1DD8C66C" w:rsidR="004C5885" w:rsidRPr="009E536C" w:rsidRDefault="00474131" w:rsidP="00FE675C">
            <w:pPr>
              <w:pStyle w:val="cuadroCabe"/>
              <w:spacing w:line="240" w:lineRule="auto"/>
              <w:rPr>
                <w:sz w:val="14"/>
                <w:szCs w:val="14"/>
              </w:rPr>
            </w:pPr>
            <w:r>
              <w:rPr>
                <w:sz w:val="14"/>
              </w:rPr>
              <w:t>oro har</w:t>
            </w:r>
          </w:p>
        </w:tc>
        <w:tc>
          <w:tcPr>
            <w:tcW w:w="498" w:type="dxa"/>
            <w:tcBorders>
              <w:top w:val="single" w:sz="4" w:space="0" w:color="auto"/>
              <w:bottom w:val="single" w:sz="4" w:space="0" w:color="auto"/>
            </w:tcBorders>
            <w:shd w:val="clear" w:color="auto" w:fill="FABF8F" w:themeFill="accent6" w:themeFillTint="99"/>
            <w:noWrap/>
            <w:vAlign w:val="center"/>
            <w:hideMark/>
          </w:tcPr>
          <w:p w14:paraId="5866197F" w14:textId="1DB77CAF" w:rsidR="004C5885" w:rsidRPr="009E536C" w:rsidRDefault="00AC06A5" w:rsidP="00FE675C">
            <w:pPr>
              <w:pStyle w:val="cuadroCabe"/>
              <w:spacing w:line="240" w:lineRule="auto"/>
              <w:jc w:val="right"/>
              <w:rPr>
                <w:sz w:val="14"/>
                <w:szCs w:val="14"/>
              </w:rPr>
            </w:pPr>
            <w:r>
              <w:rPr>
                <w:sz w:val="14"/>
              </w:rPr>
              <w:t xml:space="preserve"> 281 </w:t>
            </w:r>
          </w:p>
        </w:tc>
        <w:tc>
          <w:tcPr>
            <w:tcW w:w="705" w:type="dxa"/>
            <w:tcBorders>
              <w:top w:val="single" w:sz="4" w:space="0" w:color="auto"/>
              <w:bottom w:val="single" w:sz="4" w:space="0" w:color="auto"/>
            </w:tcBorders>
            <w:shd w:val="clear" w:color="auto" w:fill="FABF8F" w:themeFill="accent6" w:themeFillTint="99"/>
            <w:noWrap/>
            <w:vAlign w:val="center"/>
            <w:hideMark/>
          </w:tcPr>
          <w:p w14:paraId="5FED06EF" w14:textId="77777777" w:rsidR="004C5885" w:rsidRPr="009E536C" w:rsidRDefault="004C5885" w:rsidP="00FE675C">
            <w:pPr>
              <w:pStyle w:val="cuadroCabe"/>
              <w:spacing w:line="240" w:lineRule="auto"/>
              <w:jc w:val="right"/>
              <w:rPr>
                <w:sz w:val="14"/>
                <w:szCs w:val="14"/>
              </w:rPr>
            </w:pPr>
            <w:r>
              <w:rPr>
                <w:sz w:val="14"/>
              </w:rPr>
              <w:t>107.393</w:t>
            </w:r>
          </w:p>
        </w:tc>
        <w:tc>
          <w:tcPr>
            <w:tcW w:w="308" w:type="dxa"/>
            <w:tcBorders>
              <w:top w:val="single" w:sz="4" w:space="0" w:color="auto"/>
              <w:bottom w:val="single" w:sz="4" w:space="0" w:color="auto"/>
            </w:tcBorders>
            <w:shd w:val="clear" w:color="auto" w:fill="FABF8F" w:themeFill="accent6" w:themeFillTint="99"/>
            <w:noWrap/>
            <w:vAlign w:val="center"/>
            <w:hideMark/>
          </w:tcPr>
          <w:p w14:paraId="232FEAF3" w14:textId="0EE35A90" w:rsidR="004C5885" w:rsidRPr="009E536C" w:rsidRDefault="00AC06A5" w:rsidP="00FE675C">
            <w:pPr>
              <w:pStyle w:val="cuadroCabe"/>
              <w:spacing w:line="240" w:lineRule="auto"/>
              <w:jc w:val="right"/>
              <w:rPr>
                <w:sz w:val="14"/>
                <w:szCs w:val="14"/>
              </w:rPr>
            </w:pPr>
            <w:r>
              <w:rPr>
                <w:sz w:val="14"/>
              </w:rPr>
              <w:t xml:space="preserve"> 1 </w:t>
            </w:r>
          </w:p>
        </w:tc>
        <w:tc>
          <w:tcPr>
            <w:tcW w:w="476" w:type="dxa"/>
            <w:tcBorders>
              <w:top w:val="single" w:sz="4" w:space="0" w:color="auto"/>
              <w:bottom w:val="single" w:sz="4" w:space="0" w:color="auto"/>
            </w:tcBorders>
            <w:shd w:val="clear" w:color="auto" w:fill="FABF8F" w:themeFill="accent6" w:themeFillTint="99"/>
            <w:noWrap/>
            <w:vAlign w:val="center"/>
            <w:hideMark/>
          </w:tcPr>
          <w:p w14:paraId="005523E1" w14:textId="77777777" w:rsidR="004C5885" w:rsidRPr="009E536C" w:rsidRDefault="004C5885" w:rsidP="00FE675C">
            <w:pPr>
              <w:pStyle w:val="cuadroCabe"/>
              <w:spacing w:line="240" w:lineRule="auto"/>
              <w:jc w:val="right"/>
              <w:rPr>
                <w:sz w:val="14"/>
                <w:szCs w:val="14"/>
              </w:rPr>
            </w:pPr>
            <w:r>
              <w:rPr>
                <w:sz w:val="14"/>
              </w:rPr>
              <w:t>10</w:t>
            </w:r>
          </w:p>
        </w:tc>
        <w:tc>
          <w:tcPr>
            <w:tcW w:w="425" w:type="dxa"/>
            <w:tcBorders>
              <w:top w:val="single" w:sz="4" w:space="0" w:color="auto"/>
              <w:bottom w:val="single" w:sz="4" w:space="0" w:color="auto"/>
            </w:tcBorders>
            <w:shd w:val="clear" w:color="auto" w:fill="FABF8F" w:themeFill="accent6" w:themeFillTint="99"/>
            <w:noWrap/>
            <w:vAlign w:val="center"/>
            <w:hideMark/>
          </w:tcPr>
          <w:p w14:paraId="5D4E19AC" w14:textId="3CDA6F08" w:rsidR="004C5885" w:rsidRPr="009E536C" w:rsidRDefault="00AC06A5" w:rsidP="00FE675C">
            <w:pPr>
              <w:pStyle w:val="cuadroCabe"/>
              <w:spacing w:line="240" w:lineRule="auto"/>
              <w:jc w:val="right"/>
              <w:rPr>
                <w:sz w:val="14"/>
                <w:szCs w:val="14"/>
              </w:rPr>
            </w:pPr>
            <w:r>
              <w:rPr>
                <w:sz w:val="14"/>
              </w:rPr>
              <w:t xml:space="preserve"> 1 </w:t>
            </w:r>
          </w:p>
        </w:tc>
        <w:tc>
          <w:tcPr>
            <w:tcW w:w="564" w:type="dxa"/>
            <w:tcBorders>
              <w:top w:val="single" w:sz="4" w:space="0" w:color="auto"/>
              <w:bottom w:val="single" w:sz="4" w:space="0" w:color="auto"/>
            </w:tcBorders>
            <w:shd w:val="clear" w:color="auto" w:fill="FABF8F" w:themeFill="accent6" w:themeFillTint="99"/>
            <w:noWrap/>
            <w:vAlign w:val="center"/>
            <w:hideMark/>
          </w:tcPr>
          <w:p w14:paraId="183BB866" w14:textId="77777777" w:rsidR="004C5885" w:rsidRPr="009E536C" w:rsidRDefault="004C5885" w:rsidP="00FE675C">
            <w:pPr>
              <w:pStyle w:val="cuadroCabe"/>
              <w:spacing w:line="240" w:lineRule="auto"/>
              <w:jc w:val="right"/>
              <w:rPr>
                <w:sz w:val="14"/>
                <w:szCs w:val="14"/>
              </w:rPr>
            </w:pPr>
            <w:r>
              <w:rPr>
                <w:sz w:val="14"/>
              </w:rPr>
              <w:t>37</w:t>
            </w:r>
          </w:p>
        </w:tc>
        <w:tc>
          <w:tcPr>
            <w:tcW w:w="401" w:type="dxa"/>
            <w:tcBorders>
              <w:top w:val="single" w:sz="4" w:space="0" w:color="auto"/>
              <w:bottom w:val="single" w:sz="4" w:space="0" w:color="auto"/>
            </w:tcBorders>
            <w:shd w:val="clear" w:color="auto" w:fill="FABF8F" w:themeFill="accent6" w:themeFillTint="99"/>
            <w:noWrap/>
            <w:vAlign w:val="center"/>
            <w:hideMark/>
          </w:tcPr>
          <w:p w14:paraId="461DEBE8" w14:textId="5E63B7E1" w:rsidR="004C5885" w:rsidRPr="009E536C" w:rsidRDefault="00AC06A5" w:rsidP="00FE675C">
            <w:pPr>
              <w:pStyle w:val="cuadroCabe"/>
              <w:spacing w:line="240" w:lineRule="auto"/>
              <w:jc w:val="right"/>
              <w:rPr>
                <w:sz w:val="14"/>
                <w:szCs w:val="14"/>
              </w:rPr>
            </w:pPr>
            <w:r>
              <w:rPr>
                <w:sz w:val="14"/>
              </w:rPr>
              <w:t xml:space="preserve"> 88 </w:t>
            </w:r>
          </w:p>
        </w:tc>
        <w:tc>
          <w:tcPr>
            <w:tcW w:w="588" w:type="dxa"/>
            <w:tcBorders>
              <w:top w:val="single" w:sz="4" w:space="0" w:color="auto"/>
              <w:bottom w:val="single" w:sz="4" w:space="0" w:color="auto"/>
            </w:tcBorders>
            <w:shd w:val="clear" w:color="auto" w:fill="FABF8F" w:themeFill="accent6" w:themeFillTint="99"/>
            <w:noWrap/>
            <w:vAlign w:val="center"/>
            <w:hideMark/>
          </w:tcPr>
          <w:p w14:paraId="04F00EBB" w14:textId="77777777" w:rsidR="004C5885" w:rsidRPr="009E536C" w:rsidRDefault="004C5885" w:rsidP="00FE675C">
            <w:pPr>
              <w:pStyle w:val="cuadroCabe"/>
              <w:spacing w:line="240" w:lineRule="auto"/>
              <w:jc w:val="right"/>
              <w:rPr>
                <w:sz w:val="14"/>
                <w:szCs w:val="14"/>
              </w:rPr>
            </w:pPr>
            <w:r>
              <w:rPr>
                <w:sz w:val="14"/>
              </w:rPr>
              <w:t>5.133</w:t>
            </w:r>
          </w:p>
        </w:tc>
        <w:tc>
          <w:tcPr>
            <w:tcW w:w="405" w:type="dxa"/>
            <w:tcBorders>
              <w:top w:val="single" w:sz="4" w:space="0" w:color="auto"/>
              <w:bottom w:val="single" w:sz="4" w:space="0" w:color="auto"/>
            </w:tcBorders>
            <w:shd w:val="clear" w:color="auto" w:fill="FABF8F" w:themeFill="accent6" w:themeFillTint="99"/>
            <w:noWrap/>
            <w:vAlign w:val="center"/>
            <w:hideMark/>
          </w:tcPr>
          <w:p w14:paraId="0871E18C" w14:textId="2C408A2A" w:rsidR="004C5885" w:rsidRPr="009E536C" w:rsidRDefault="00AC06A5" w:rsidP="00FE675C">
            <w:pPr>
              <w:pStyle w:val="cuadroCabe"/>
              <w:spacing w:line="240" w:lineRule="auto"/>
              <w:jc w:val="right"/>
              <w:rPr>
                <w:sz w:val="14"/>
                <w:szCs w:val="14"/>
              </w:rPr>
            </w:pPr>
            <w:r>
              <w:rPr>
                <w:sz w:val="14"/>
              </w:rPr>
              <w:t xml:space="preserve"> 4 </w:t>
            </w:r>
          </w:p>
        </w:tc>
        <w:tc>
          <w:tcPr>
            <w:tcW w:w="591" w:type="dxa"/>
            <w:tcBorders>
              <w:top w:val="single" w:sz="4" w:space="0" w:color="auto"/>
              <w:bottom w:val="single" w:sz="4" w:space="0" w:color="auto"/>
            </w:tcBorders>
            <w:shd w:val="clear" w:color="auto" w:fill="FABF8F" w:themeFill="accent6" w:themeFillTint="99"/>
            <w:noWrap/>
            <w:vAlign w:val="center"/>
            <w:hideMark/>
          </w:tcPr>
          <w:p w14:paraId="13E66186" w14:textId="77777777" w:rsidR="004C5885" w:rsidRPr="009E536C" w:rsidRDefault="004C5885" w:rsidP="00FE675C">
            <w:pPr>
              <w:pStyle w:val="cuadroCabe"/>
              <w:spacing w:line="240" w:lineRule="auto"/>
              <w:jc w:val="right"/>
              <w:rPr>
                <w:sz w:val="14"/>
                <w:szCs w:val="14"/>
              </w:rPr>
            </w:pPr>
            <w:r>
              <w:rPr>
                <w:sz w:val="14"/>
              </w:rPr>
              <w:t>1.034</w:t>
            </w:r>
          </w:p>
        </w:tc>
        <w:tc>
          <w:tcPr>
            <w:tcW w:w="424" w:type="dxa"/>
            <w:tcBorders>
              <w:top w:val="single" w:sz="4" w:space="0" w:color="auto"/>
              <w:bottom w:val="single" w:sz="4" w:space="0" w:color="auto"/>
            </w:tcBorders>
            <w:shd w:val="clear" w:color="auto" w:fill="FABF8F" w:themeFill="accent6" w:themeFillTint="99"/>
            <w:noWrap/>
            <w:vAlign w:val="center"/>
            <w:hideMark/>
          </w:tcPr>
          <w:p w14:paraId="083804DC" w14:textId="236A77BF" w:rsidR="004C5885" w:rsidRPr="009E536C" w:rsidRDefault="00AC06A5" w:rsidP="00FE675C">
            <w:pPr>
              <w:pStyle w:val="cuadroCabe"/>
              <w:spacing w:line="240" w:lineRule="auto"/>
              <w:jc w:val="right"/>
              <w:rPr>
                <w:sz w:val="14"/>
                <w:szCs w:val="14"/>
              </w:rPr>
            </w:pPr>
            <w:r>
              <w:rPr>
                <w:sz w:val="14"/>
              </w:rPr>
              <w:t xml:space="preserve"> 12 </w:t>
            </w:r>
          </w:p>
        </w:tc>
        <w:tc>
          <w:tcPr>
            <w:tcW w:w="568" w:type="dxa"/>
            <w:tcBorders>
              <w:top w:val="single" w:sz="4" w:space="0" w:color="auto"/>
              <w:bottom w:val="single" w:sz="4" w:space="0" w:color="auto"/>
            </w:tcBorders>
            <w:shd w:val="clear" w:color="auto" w:fill="FABF8F" w:themeFill="accent6" w:themeFillTint="99"/>
            <w:noWrap/>
            <w:vAlign w:val="center"/>
            <w:hideMark/>
          </w:tcPr>
          <w:p w14:paraId="681F21B8" w14:textId="77777777" w:rsidR="004C5885" w:rsidRPr="009E536C" w:rsidRDefault="004C5885" w:rsidP="00FE675C">
            <w:pPr>
              <w:pStyle w:val="cuadroCabe"/>
              <w:spacing w:line="240" w:lineRule="auto"/>
              <w:jc w:val="right"/>
              <w:rPr>
                <w:sz w:val="14"/>
                <w:szCs w:val="14"/>
              </w:rPr>
            </w:pPr>
            <w:r>
              <w:rPr>
                <w:sz w:val="14"/>
              </w:rPr>
              <w:t>831</w:t>
            </w:r>
          </w:p>
        </w:tc>
        <w:tc>
          <w:tcPr>
            <w:tcW w:w="425" w:type="dxa"/>
            <w:tcBorders>
              <w:top w:val="single" w:sz="4" w:space="0" w:color="auto"/>
              <w:bottom w:val="single" w:sz="4" w:space="0" w:color="auto"/>
            </w:tcBorders>
            <w:shd w:val="clear" w:color="auto" w:fill="FABF8F" w:themeFill="accent6" w:themeFillTint="99"/>
            <w:noWrap/>
            <w:vAlign w:val="center"/>
            <w:hideMark/>
          </w:tcPr>
          <w:p w14:paraId="0D5D79B9" w14:textId="5097DD60" w:rsidR="004C5885" w:rsidRPr="009E536C" w:rsidRDefault="00AC06A5" w:rsidP="00FE675C">
            <w:pPr>
              <w:pStyle w:val="cuadroCabe"/>
              <w:spacing w:line="240" w:lineRule="auto"/>
              <w:jc w:val="right"/>
              <w:rPr>
                <w:sz w:val="14"/>
                <w:szCs w:val="14"/>
              </w:rPr>
            </w:pPr>
            <w:r>
              <w:rPr>
                <w:sz w:val="14"/>
              </w:rPr>
              <w:t xml:space="preserve"> 5 </w:t>
            </w:r>
          </w:p>
        </w:tc>
        <w:tc>
          <w:tcPr>
            <w:tcW w:w="558" w:type="dxa"/>
            <w:tcBorders>
              <w:top w:val="single" w:sz="4" w:space="0" w:color="auto"/>
              <w:bottom w:val="single" w:sz="4" w:space="0" w:color="auto"/>
            </w:tcBorders>
            <w:shd w:val="clear" w:color="auto" w:fill="FABF8F" w:themeFill="accent6" w:themeFillTint="99"/>
            <w:noWrap/>
            <w:vAlign w:val="center"/>
            <w:hideMark/>
          </w:tcPr>
          <w:p w14:paraId="56135492" w14:textId="77777777" w:rsidR="004C5885" w:rsidRPr="009E536C" w:rsidRDefault="004C5885" w:rsidP="00FE675C">
            <w:pPr>
              <w:pStyle w:val="cuadroCabe"/>
              <w:spacing w:line="240" w:lineRule="auto"/>
              <w:jc w:val="right"/>
              <w:rPr>
                <w:sz w:val="14"/>
                <w:szCs w:val="14"/>
              </w:rPr>
            </w:pPr>
            <w:r>
              <w:rPr>
                <w:sz w:val="14"/>
              </w:rPr>
              <w:t>176</w:t>
            </w:r>
          </w:p>
        </w:tc>
        <w:tc>
          <w:tcPr>
            <w:tcW w:w="425" w:type="dxa"/>
            <w:tcBorders>
              <w:top w:val="single" w:sz="4" w:space="0" w:color="auto"/>
              <w:bottom w:val="single" w:sz="4" w:space="0" w:color="auto"/>
            </w:tcBorders>
            <w:shd w:val="clear" w:color="auto" w:fill="FABF8F" w:themeFill="accent6" w:themeFillTint="99"/>
            <w:noWrap/>
            <w:vAlign w:val="center"/>
            <w:hideMark/>
          </w:tcPr>
          <w:p w14:paraId="3EA03EE1" w14:textId="6BF3AB1F" w:rsidR="004C5885" w:rsidRPr="009E536C" w:rsidRDefault="004C5885" w:rsidP="00FE675C">
            <w:pPr>
              <w:pStyle w:val="cuadroCabe"/>
              <w:spacing w:line="240" w:lineRule="auto"/>
              <w:jc w:val="right"/>
              <w:rPr>
                <w:sz w:val="14"/>
                <w:szCs w:val="14"/>
              </w:rPr>
            </w:pPr>
            <w:r>
              <w:rPr>
                <w:sz w:val="14"/>
              </w:rPr>
              <w:t xml:space="preserve">392 </w:t>
            </w:r>
          </w:p>
        </w:tc>
        <w:tc>
          <w:tcPr>
            <w:tcW w:w="709" w:type="dxa"/>
            <w:tcBorders>
              <w:top w:val="single" w:sz="4" w:space="0" w:color="auto"/>
              <w:bottom w:val="single" w:sz="4" w:space="0" w:color="auto"/>
            </w:tcBorders>
            <w:shd w:val="clear" w:color="auto" w:fill="FABF8F" w:themeFill="accent6" w:themeFillTint="99"/>
            <w:noWrap/>
            <w:vAlign w:val="center"/>
            <w:hideMark/>
          </w:tcPr>
          <w:p w14:paraId="24990F6A" w14:textId="77777777" w:rsidR="004C5885" w:rsidRPr="009E536C" w:rsidRDefault="004C5885" w:rsidP="00FE675C">
            <w:pPr>
              <w:pStyle w:val="cuadroCabe"/>
              <w:spacing w:line="240" w:lineRule="auto"/>
              <w:jc w:val="right"/>
              <w:rPr>
                <w:sz w:val="14"/>
                <w:szCs w:val="14"/>
              </w:rPr>
            </w:pPr>
            <w:r>
              <w:rPr>
                <w:sz w:val="14"/>
              </w:rPr>
              <w:t>114.613</w:t>
            </w:r>
          </w:p>
        </w:tc>
      </w:tr>
    </w:tbl>
    <w:p w14:paraId="1FE13DFF" w14:textId="6278C6AD" w:rsidR="00176B58" w:rsidRPr="00BE511E" w:rsidRDefault="00176B58" w:rsidP="00176B58">
      <w:pPr>
        <w:pStyle w:val="Prrafodelista"/>
        <w:spacing w:before="120" w:after="60"/>
        <w:ind w:left="0"/>
        <w:contextualSpacing w:val="0"/>
        <w:jc w:val="both"/>
        <w:rPr>
          <w:rFonts w:ascii="Arial" w:hAnsi="Arial" w:cs="Arial"/>
          <w:color w:val="000000" w:themeColor="text1"/>
          <w:sz w:val="14"/>
          <w:szCs w:val="14"/>
        </w:rPr>
      </w:pPr>
      <w:r>
        <w:rPr>
          <w:rFonts w:ascii="Arial" w:hAnsi="Arial"/>
          <w:color w:val="000000" w:themeColor="text1"/>
          <w:sz w:val="14"/>
        </w:rPr>
        <w:t>(*) Kontratuen Erregistroan ez da ageri zein adjudikazio-prozedura erabili den.</w:t>
      </w:r>
    </w:p>
    <w:p w14:paraId="4E6AB6A2" w14:textId="77777777" w:rsidR="008E43F9" w:rsidRPr="00193D8B" w:rsidRDefault="008E43F9" w:rsidP="00176B58">
      <w:pPr>
        <w:pStyle w:val="Prrafodelista"/>
        <w:spacing w:before="120" w:after="60"/>
        <w:ind w:left="0"/>
        <w:contextualSpacing w:val="0"/>
        <w:jc w:val="both"/>
        <w:rPr>
          <w:i/>
          <w:color w:val="000000" w:themeColor="text1"/>
        </w:rPr>
      </w:pPr>
    </w:p>
    <w:p w14:paraId="1F142B64" w14:textId="77777777" w:rsidR="00176B58" w:rsidRDefault="00176B58" w:rsidP="00BE511E">
      <w:pPr>
        <w:pStyle w:val="texto"/>
        <w:rPr>
          <w:color w:val="000000" w:themeColor="text1"/>
        </w:rPr>
      </w:pPr>
      <w:r>
        <w:rPr>
          <w:color w:val="000000" w:themeColor="text1"/>
        </w:rPr>
        <w:t xml:space="preserve">Obra kontratuak adjudikatutako guztien ehuneko 45 dira, eta zenbatekoaren ehuneko 43 hartzen dute; zerbitzu kontratuei dagozkie adjudikazioen ehuneko 35 eta zenbatekoaren ehuneko 45, baina portzentaje hori erabat baldintzatzen du goian aipatutako 24,5 milioiko kontratuak. </w:t>
      </w:r>
    </w:p>
    <w:p w14:paraId="63D1674E" w14:textId="77777777" w:rsidR="00176B58" w:rsidRDefault="00176B58" w:rsidP="00BE511E">
      <w:pPr>
        <w:pStyle w:val="texto"/>
        <w:rPr>
          <w:color w:val="000000" w:themeColor="text1"/>
        </w:rPr>
      </w:pPr>
      <w:r>
        <w:rPr>
          <w:color w:val="000000" w:themeColor="text1"/>
        </w:rPr>
        <w:t>Kontratazio prozedura erabiliena irekia da, kontratuen ehuneko 72 eta adjudikatutako guztizko zenbatekoaren ehuneko 94 biltzen baitu, eta, ondoren, prozedura sinplifikatua, kontratuen ehuneko 22tan eta zenbatekoaren ehuneko lauan erabilia. Datu horiek 2019koen antzekoak dira.</w:t>
      </w:r>
    </w:p>
    <w:p w14:paraId="7374FC37" w14:textId="4232E26E" w:rsidR="009956B1" w:rsidRDefault="009956B1" w:rsidP="00BE511E">
      <w:pPr>
        <w:pStyle w:val="texto"/>
        <w:rPr>
          <w:color w:val="000000" w:themeColor="text1"/>
        </w:rPr>
      </w:pPr>
      <w:r>
        <w:rPr>
          <w:color w:val="000000" w:themeColor="text1"/>
        </w:rPr>
        <w:t>Bestalde, beheko taulan ikusten ahal da nola kontratazioaren zenbatekoa gehienbat kontratu gutxi batzuen artean banatuta dagoen. Badira 98 kontratu 150.000 eurotik gorako adjudikazio-zenbatekoa dutenak. Kontratu guztien ehuneko 25 izanda, guztizko zenbatekoaren ehuneko 86 hartzen dute. Hain zuzen, 600.000 eurotik gorako adjudikazio-zenbatekoa duten 27 kontratuek, kontratu guztien ehuneko zazpi izanda, adjudikatutako zenbateko osoaren ehuneko 69 hartzen dute.</w:t>
      </w:r>
    </w:p>
    <w:p w14:paraId="44C447E3" w14:textId="585B6ABD" w:rsidR="00BE511E" w:rsidRPr="0003647B" w:rsidRDefault="00E57B08" w:rsidP="00BE511E">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(Milakoak)</w:t>
      </w:r>
    </w:p>
    <w:tbl>
      <w:tblPr>
        <w:tblW w:w="8647" w:type="dxa"/>
        <w:jc w:val="center"/>
        <w:tblBorders>
          <w:top w:val="single" w:sz="2" w:space="0" w:color="auto"/>
          <w:bottom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985"/>
        <w:gridCol w:w="567"/>
        <w:gridCol w:w="850"/>
        <w:gridCol w:w="494"/>
        <w:gridCol w:w="851"/>
        <w:gridCol w:w="567"/>
        <w:gridCol w:w="709"/>
        <w:gridCol w:w="494"/>
        <w:gridCol w:w="849"/>
        <w:gridCol w:w="567"/>
        <w:gridCol w:w="851"/>
      </w:tblGrid>
      <w:tr w:rsidR="009956B1" w:rsidRPr="00E57B08" w14:paraId="1A30D857" w14:textId="77777777" w:rsidTr="004E2CFD">
        <w:trPr>
          <w:trHeight w:val="255"/>
          <w:jc w:val="center"/>
        </w:trPr>
        <w:tc>
          <w:tcPr>
            <w:tcW w:w="1985" w:type="dxa"/>
            <w:vMerge w:val="restart"/>
            <w:tcBorders>
              <w:top w:val="single" w:sz="4" w:space="0" w:color="auto"/>
            </w:tcBorders>
            <w:shd w:val="clear" w:color="auto" w:fill="FABF8F" w:themeFill="accent6" w:themeFillTint="99"/>
            <w:noWrap/>
            <w:vAlign w:val="center"/>
            <w:hideMark/>
          </w:tcPr>
          <w:p w14:paraId="5D1DA08A" w14:textId="77777777" w:rsidR="009956B1" w:rsidRPr="00E57B08" w:rsidRDefault="009956B1" w:rsidP="00E57B08">
            <w:pPr>
              <w:pStyle w:val="cuadroCabe"/>
              <w:spacing w:line="240" w:lineRule="auto"/>
              <w:rPr>
                <w:sz w:val="16"/>
                <w:szCs w:val="16"/>
              </w:rPr>
            </w:pPr>
            <w:r>
              <w:rPr>
                <w:sz w:val="16"/>
              </w:rPr>
              <w:t> </w:t>
            </w:r>
          </w:p>
        </w:tc>
        <w:tc>
          <w:tcPr>
            <w:tcW w:w="1417" w:type="dxa"/>
            <w:gridSpan w:val="2"/>
            <w:tcBorders>
              <w:top w:val="single" w:sz="4" w:space="0" w:color="auto"/>
            </w:tcBorders>
            <w:shd w:val="clear" w:color="auto" w:fill="FABF8F" w:themeFill="accent6" w:themeFillTint="99"/>
            <w:vAlign w:val="center"/>
            <w:hideMark/>
          </w:tcPr>
          <w:p w14:paraId="54A4A81F" w14:textId="77777777" w:rsidR="009956B1" w:rsidRPr="00E57B08" w:rsidRDefault="009956B1" w:rsidP="00E57B08">
            <w:pPr>
              <w:pStyle w:val="cuadroCabe"/>
              <w:spacing w:line="240" w:lineRule="auto"/>
              <w:jc w:val="center"/>
              <w:rPr>
                <w:sz w:val="16"/>
                <w:szCs w:val="16"/>
              </w:rPr>
            </w:pPr>
            <w:r>
              <w:rPr>
                <w:sz w:val="16"/>
              </w:rPr>
              <w:t>Obrak</w:t>
            </w:r>
          </w:p>
        </w:tc>
        <w:tc>
          <w:tcPr>
            <w:tcW w:w="1276" w:type="dxa"/>
            <w:gridSpan w:val="2"/>
            <w:tcBorders>
              <w:top w:val="single" w:sz="4" w:space="0" w:color="auto"/>
            </w:tcBorders>
            <w:shd w:val="clear" w:color="auto" w:fill="FABF8F" w:themeFill="accent6" w:themeFillTint="99"/>
            <w:vAlign w:val="center"/>
            <w:hideMark/>
          </w:tcPr>
          <w:p w14:paraId="4BD28CDF" w14:textId="77777777" w:rsidR="009956B1" w:rsidRPr="00E57B08" w:rsidRDefault="009956B1" w:rsidP="00E57B08">
            <w:pPr>
              <w:pStyle w:val="cuadroCabe"/>
              <w:spacing w:line="240" w:lineRule="auto"/>
              <w:jc w:val="center"/>
              <w:rPr>
                <w:sz w:val="16"/>
                <w:szCs w:val="16"/>
              </w:rPr>
            </w:pPr>
            <w:r>
              <w:rPr>
                <w:sz w:val="16"/>
              </w:rPr>
              <w:t>Zerbitzuak</w:t>
            </w:r>
          </w:p>
        </w:tc>
        <w:tc>
          <w:tcPr>
            <w:tcW w:w="1276" w:type="dxa"/>
            <w:gridSpan w:val="2"/>
            <w:tcBorders>
              <w:top w:val="single" w:sz="4" w:space="0" w:color="auto"/>
            </w:tcBorders>
            <w:shd w:val="clear" w:color="auto" w:fill="FABF8F" w:themeFill="accent6" w:themeFillTint="99"/>
            <w:vAlign w:val="center"/>
            <w:hideMark/>
          </w:tcPr>
          <w:p w14:paraId="67731828" w14:textId="77777777" w:rsidR="009956B1" w:rsidRPr="00E57B08" w:rsidRDefault="009956B1" w:rsidP="00E57B08">
            <w:pPr>
              <w:pStyle w:val="cuadroCabe"/>
              <w:spacing w:line="240" w:lineRule="auto"/>
              <w:jc w:val="center"/>
              <w:rPr>
                <w:sz w:val="16"/>
                <w:szCs w:val="16"/>
              </w:rPr>
            </w:pPr>
            <w:r>
              <w:rPr>
                <w:sz w:val="16"/>
              </w:rPr>
              <w:t>Hornidurak</w:t>
            </w:r>
          </w:p>
        </w:tc>
        <w:tc>
          <w:tcPr>
            <w:tcW w:w="1275" w:type="dxa"/>
            <w:gridSpan w:val="2"/>
            <w:tcBorders>
              <w:top w:val="single" w:sz="4" w:space="0" w:color="auto"/>
            </w:tcBorders>
            <w:shd w:val="clear" w:color="auto" w:fill="FABF8F" w:themeFill="accent6" w:themeFillTint="99"/>
            <w:vAlign w:val="center"/>
            <w:hideMark/>
          </w:tcPr>
          <w:p w14:paraId="6601AB7C" w14:textId="3EE0DAE6" w:rsidR="00BE511E" w:rsidRPr="00E57B08" w:rsidRDefault="009956B1" w:rsidP="00E57B08">
            <w:pPr>
              <w:pStyle w:val="cuadroCabe"/>
              <w:spacing w:line="240" w:lineRule="auto"/>
              <w:jc w:val="center"/>
              <w:rPr>
                <w:sz w:val="16"/>
                <w:szCs w:val="16"/>
              </w:rPr>
            </w:pPr>
            <w:r>
              <w:rPr>
                <w:sz w:val="16"/>
              </w:rPr>
              <w:t>Zerbitzu</w:t>
            </w:r>
          </w:p>
          <w:p w14:paraId="4572ABDE" w14:textId="274A3C8D" w:rsidR="009956B1" w:rsidRPr="00E57B08" w:rsidRDefault="009956B1" w:rsidP="00E57B08">
            <w:pPr>
              <w:pStyle w:val="cuadroCabe"/>
              <w:spacing w:line="240" w:lineRule="auto"/>
              <w:jc w:val="center"/>
              <w:rPr>
                <w:sz w:val="16"/>
                <w:szCs w:val="16"/>
              </w:rPr>
            </w:pPr>
            <w:r>
              <w:rPr>
                <w:sz w:val="16"/>
              </w:rPr>
              <w:t>emakidak</w:t>
            </w:r>
          </w:p>
        </w:tc>
        <w:tc>
          <w:tcPr>
            <w:tcW w:w="1418" w:type="dxa"/>
            <w:gridSpan w:val="2"/>
            <w:tcBorders>
              <w:top w:val="single" w:sz="4" w:space="0" w:color="auto"/>
            </w:tcBorders>
            <w:shd w:val="clear" w:color="auto" w:fill="FABF8F" w:themeFill="accent6" w:themeFillTint="99"/>
            <w:vAlign w:val="center"/>
            <w:hideMark/>
          </w:tcPr>
          <w:p w14:paraId="5B384EB8" w14:textId="77777777" w:rsidR="009956B1" w:rsidRPr="00E57B08" w:rsidRDefault="009956B1" w:rsidP="00E57B08">
            <w:pPr>
              <w:pStyle w:val="cuadroCabe"/>
              <w:spacing w:line="240" w:lineRule="auto"/>
              <w:jc w:val="center"/>
              <w:rPr>
                <w:sz w:val="16"/>
                <w:szCs w:val="16"/>
              </w:rPr>
            </w:pPr>
            <w:r>
              <w:rPr>
                <w:sz w:val="16"/>
              </w:rPr>
              <w:t>Guztira</w:t>
            </w:r>
          </w:p>
        </w:tc>
      </w:tr>
      <w:tr w:rsidR="009956B1" w:rsidRPr="00E57B08" w14:paraId="612BE5F6" w14:textId="77777777" w:rsidTr="004E2CFD">
        <w:trPr>
          <w:trHeight w:val="255"/>
          <w:jc w:val="center"/>
        </w:trPr>
        <w:tc>
          <w:tcPr>
            <w:tcW w:w="1985" w:type="dxa"/>
            <w:vMerge/>
            <w:shd w:val="clear" w:color="auto" w:fill="FABF8F" w:themeFill="accent6" w:themeFillTint="99"/>
            <w:vAlign w:val="center"/>
            <w:hideMark/>
          </w:tcPr>
          <w:p w14:paraId="5EE83FDF" w14:textId="77777777" w:rsidR="009956B1" w:rsidRPr="00E57B08" w:rsidRDefault="009956B1" w:rsidP="00E57B08">
            <w:pPr>
              <w:pStyle w:val="cuadroCabe"/>
              <w:spacing w:line="240" w:lineRule="auto"/>
              <w:rPr>
                <w:sz w:val="16"/>
                <w:szCs w:val="16"/>
              </w:rPr>
            </w:pPr>
          </w:p>
        </w:tc>
        <w:tc>
          <w:tcPr>
            <w:tcW w:w="567" w:type="dxa"/>
            <w:shd w:val="clear" w:color="auto" w:fill="FABF8F" w:themeFill="accent6" w:themeFillTint="99"/>
            <w:vAlign w:val="center"/>
            <w:hideMark/>
          </w:tcPr>
          <w:p w14:paraId="0EE725AE" w14:textId="77777777" w:rsidR="009956B1" w:rsidRPr="00E57B08" w:rsidRDefault="009956B1" w:rsidP="00E57B08">
            <w:pPr>
              <w:pStyle w:val="cuadroCabe"/>
              <w:spacing w:line="240" w:lineRule="auto"/>
              <w:jc w:val="right"/>
              <w:rPr>
                <w:sz w:val="16"/>
                <w:szCs w:val="16"/>
              </w:rPr>
            </w:pPr>
            <w:r>
              <w:rPr>
                <w:sz w:val="16"/>
              </w:rPr>
              <w:t>Kop.</w:t>
            </w:r>
          </w:p>
        </w:tc>
        <w:tc>
          <w:tcPr>
            <w:tcW w:w="850" w:type="dxa"/>
            <w:shd w:val="clear" w:color="auto" w:fill="FABF8F" w:themeFill="accent6" w:themeFillTint="99"/>
            <w:vAlign w:val="center"/>
            <w:hideMark/>
          </w:tcPr>
          <w:p w14:paraId="549D4B9E" w14:textId="77777777" w:rsidR="009956B1" w:rsidRPr="00E57B08" w:rsidRDefault="009956B1" w:rsidP="00E57B08">
            <w:pPr>
              <w:pStyle w:val="cuadroCabe"/>
              <w:spacing w:line="240" w:lineRule="auto"/>
              <w:jc w:val="right"/>
              <w:rPr>
                <w:sz w:val="16"/>
                <w:szCs w:val="16"/>
              </w:rPr>
            </w:pPr>
            <w:r>
              <w:rPr>
                <w:sz w:val="16"/>
              </w:rPr>
              <w:t>Zenb.</w:t>
            </w:r>
          </w:p>
        </w:tc>
        <w:tc>
          <w:tcPr>
            <w:tcW w:w="425" w:type="dxa"/>
            <w:shd w:val="clear" w:color="auto" w:fill="FABF8F" w:themeFill="accent6" w:themeFillTint="99"/>
            <w:vAlign w:val="center"/>
            <w:hideMark/>
          </w:tcPr>
          <w:p w14:paraId="316ACA36" w14:textId="77777777" w:rsidR="009956B1" w:rsidRPr="00E57B08" w:rsidRDefault="009956B1" w:rsidP="00E57B08">
            <w:pPr>
              <w:pStyle w:val="cuadroCabe"/>
              <w:spacing w:line="240" w:lineRule="auto"/>
              <w:jc w:val="right"/>
              <w:rPr>
                <w:sz w:val="16"/>
                <w:szCs w:val="16"/>
              </w:rPr>
            </w:pPr>
            <w:r>
              <w:rPr>
                <w:sz w:val="16"/>
              </w:rPr>
              <w:t>Kop.</w:t>
            </w:r>
          </w:p>
        </w:tc>
        <w:tc>
          <w:tcPr>
            <w:tcW w:w="851" w:type="dxa"/>
            <w:shd w:val="clear" w:color="auto" w:fill="FABF8F" w:themeFill="accent6" w:themeFillTint="99"/>
            <w:vAlign w:val="center"/>
            <w:hideMark/>
          </w:tcPr>
          <w:p w14:paraId="68DC3CFA" w14:textId="77777777" w:rsidR="009956B1" w:rsidRPr="00E57B08" w:rsidRDefault="009956B1" w:rsidP="00E57B08">
            <w:pPr>
              <w:pStyle w:val="cuadroCabe"/>
              <w:spacing w:line="240" w:lineRule="auto"/>
              <w:jc w:val="right"/>
              <w:rPr>
                <w:sz w:val="16"/>
                <w:szCs w:val="16"/>
              </w:rPr>
            </w:pPr>
            <w:r>
              <w:rPr>
                <w:sz w:val="16"/>
              </w:rPr>
              <w:t>Zenb.</w:t>
            </w:r>
          </w:p>
        </w:tc>
        <w:tc>
          <w:tcPr>
            <w:tcW w:w="567" w:type="dxa"/>
            <w:shd w:val="clear" w:color="auto" w:fill="FABF8F" w:themeFill="accent6" w:themeFillTint="99"/>
            <w:vAlign w:val="center"/>
            <w:hideMark/>
          </w:tcPr>
          <w:p w14:paraId="641C27F9" w14:textId="77777777" w:rsidR="009956B1" w:rsidRPr="00E57B08" w:rsidRDefault="009956B1" w:rsidP="00E57B08">
            <w:pPr>
              <w:pStyle w:val="cuadroCabe"/>
              <w:spacing w:line="240" w:lineRule="auto"/>
              <w:jc w:val="right"/>
              <w:rPr>
                <w:sz w:val="16"/>
                <w:szCs w:val="16"/>
              </w:rPr>
            </w:pPr>
            <w:r>
              <w:rPr>
                <w:sz w:val="16"/>
              </w:rPr>
              <w:t>Kop.</w:t>
            </w:r>
          </w:p>
        </w:tc>
        <w:tc>
          <w:tcPr>
            <w:tcW w:w="709" w:type="dxa"/>
            <w:shd w:val="clear" w:color="auto" w:fill="FABF8F" w:themeFill="accent6" w:themeFillTint="99"/>
            <w:vAlign w:val="center"/>
            <w:hideMark/>
          </w:tcPr>
          <w:p w14:paraId="27365D8A" w14:textId="77777777" w:rsidR="009956B1" w:rsidRPr="00E57B08" w:rsidRDefault="009956B1" w:rsidP="00E57B08">
            <w:pPr>
              <w:pStyle w:val="cuadroCabe"/>
              <w:spacing w:line="240" w:lineRule="auto"/>
              <w:jc w:val="right"/>
              <w:rPr>
                <w:sz w:val="16"/>
                <w:szCs w:val="16"/>
              </w:rPr>
            </w:pPr>
            <w:r>
              <w:rPr>
                <w:sz w:val="16"/>
              </w:rPr>
              <w:t>Zenb.</w:t>
            </w:r>
          </w:p>
        </w:tc>
        <w:tc>
          <w:tcPr>
            <w:tcW w:w="426" w:type="dxa"/>
            <w:shd w:val="clear" w:color="auto" w:fill="FABF8F" w:themeFill="accent6" w:themeFillTint="99"/>
            <w:vAlign w:val="center"/>
            <w:hideMark/>
          </w:tcPr>
          <w:p w14:paraId="6BAF480E" w14:textId="77777777" w:rsidR="009956B1" w:rsidRPr="00E57B08" w:rsidRDefault="009956B1" w:rsidP="00E57B08">
            <w:pPr>
              <w:pStyle w:val="cuadroCabe"/>
              <w:spacing w:line="240" w:lineRule="auto"/>
              <w:jc w:val="right"/>
              <w:rPr>
                <w:sz w:val="16"/>
                <w:szCs w:val="16"/>
              </w:rPr>
            </w:pPr>
            <w:r>
              <w:rPr>
                <w:sz w:val="16"/>
              </w:rPr>
              <w:t>Kop.</w:t>
            </w:r>
          </w:p>
        </w:tc>
        <w:tc>
          <w:tcPr>
            <w:tcW w:w="849" w:type="dxa"/>
            <w:shd w:val="clear" w:color="auto" w:fill="FABF8F" w:themeFill="accent6" w:themeFillTint="99"/>
            <w:vAlign w:val="center"/>
            <w:hideMark/>
          </w:tcPr>
          <w:p w14:paraId="3E6C2185" w14:textId="77777777" w:rsidR="009956B1" w:rsidRPr="00E57B08" w:rsidRDefault="009956B1" w:rsidP="00E57B08">
            <w:pPr>
              <w:pStyle w:val="cuadroCabe"/>
              <w:spacing w:line="240" w:lineRule="auto"/>
              <w:jc w:val="right"/>
              <w:rPr>
                <w:sz w:val="16"/>
                <w:szCs w:val="16"/>
              </w:rPr>
            </w:pPr>
            <w:r>
              <w:rPr>
                <w:sz w:val="16"/>
              </w:rPr>
              <w:t>Zenb.</w:t>
            </w:r>
          </w:p>
        </w:tc>
        <w:tc>
          <w:tcPr>
            <w:tcW w:w="567" w:type="dxa"/>
            <w:shd w:val="clear" w:color="auto" w:fill="FABF8F" w:themeFill="accent6" w:themeFillTint="99"/>
            <w:vAlign w:val="center"/>
            <w:hideMark/>
          </w:tcPr>
          <w:p w14:paraId="554EBC76" w14:textId="77777777" w:rsidR="009956B1" w:rsidRPr="00E57B08" w:rsidRDefault="009956B1" w:rsidP="00E57B08">
            <w:pPr>
              <w:pStyle w:val="cuadroCabe"/>
              <w:spacing w:line="240" w:lineRule="auto"/>
              <w:jc w:val="right"/>
              <w:rPr>
                <w:sz w:val="16"/>
                <w:szCs w:val="16"/>
              </w:rPr>
            </w:pPr>
            <w:r>
              <w:rPr>
                <w:sz w:val="16"/>
              </w:rPr>
              <w:t>Kop.</w:t>
            </w:r>
          </w:p>
        </w:tc>
        <w:tc>
          <w:tcPr>
            <w:tcW w:w="851" w:type="dxa"/>
            <w:shd w:val="clear" w:color="auto" w:fill="FABF8F" w:themeFill="accent6" w:themeFillTint="99"/>
            <w:vAlign w:val="center"/>
            <w:hideMark/>
          </w:tcPr>
          <w:p w14:paraId="48A0F034" w14:textId="77777777" w:rsidR="009956B1" w:rsidRPr="00E57B08" w:rsidRDefault="009956B1" w:rsidP="00E57B08">
            <w:pPr>
              <w:pStyle w:val="cuadroCabe"/>
              <w:spacing w:line="240" w:lineRule="auto"/>
              <w:jc w:val="right"/>
              <w:rPr>
                <w:sz w:val="16"/>
                <w:szCs w:val="16"/>
              </w:rPr>
            </w:pPr>
            <w:r>
              <w:rPr>
                <w:sz w:val="16"/>
              </w:rPr>
              <w:t>Zenb.</w:t>
            </w:r>
          </w:p>
        </w:tc>
      </w:tr>
      <w:tr w:rsidR="004C5885" w:rsidRPr="00E57B08" w14:paraId="2B50A0D9" w14:textId="77777777" w:rsidTr="004E2CFD">
        <w:trPr>
          <w:trHeight w:val="255"/>
          <w:jc w:val="center"/>
        </w:trPr>
        <w:tc>
          <w:tcPr>
            <w:tcW w:w="1985" w:type="dxa"/>
            <w:shd w:val="clear" w:color="auto" w:fill="auto"/>
            <w:noWrap/>
            <w:vAlign w:val="center"/>
            <w:hideMark/>
          </w:tcPr>
          <w:p w14:paraId="6C21FDDC" w14:textId="77777777" w:rsidR="004C5885" w:rsidRPr="00E57B08" w:rsidRDefault="004C5885" w:rsidP="00E57B08">
            <w:pPr>
              <w:pStyle w:val="cuatexto"/>
              <w:spacing w:line="240" w:lineRule="auto"/>
            </w:pPr>
            <w:r>
              <w:t>&gt; 600.000</w:t>
            </w:r>
          </w:p>
        </w:tc>
        <w:tc>
          <w:tcPr>
            <w:tcW w:w="567" w:type="dxa"/>
            <w:shd w:val="clear" w:color="auto" w:fill="auto"/>
            <w:noWrap/>
            <w:vAlign w:val="center"/>
            <w:hideMark/>
          </w:tcPr>
          <w:p w14:paraId="6F14C58C" w14:textId="77777777" w:rsidR="004C5885" w:rsidRPr="00E57B08" w:rsidRDefault="004C5885" w:rsidP="00E57B08">
            <w:pPr>
              <w:pStyle w:val="cuatexto"/>
              <w:spacing w:line="240" w:lineRule="auto"/>
              <w:jc w:val="right"/>
            </w:pPr>
            <w:r>
              <w:t>15</w:t>
            </w:r>
          </w:p>
        </w:tc>
        <w:tc>
          <w:tcPr>
            <w:tcW w:w="850" w:type="dxa"/>
            <w:shd w:val="clear" w:color="auto" w:fill="auto"/>
            <w:noWrap/>
            <w:vAlign w:val="center"/>
            <w:hideMark/>
          </w:tcPr>
          <w:p w14:paraId="0AEB89F8" w14:textId="43883057" w:rsidR="004C5885" w:rsidRPr="00E57B08" w:rsidRDefault="00AC06A5" w:rsidP="00E57B08">
            <w:pPr>
              <w:pStyle w:val="cuatexto"/>
              <w:spacing w:line="240" w:lineRule="auto"/>
              <w:jc w:val="right"/>
            </w:pPr>
            <w:r>
              <w:t xml:space="preserve"> 30.298 </w:t>
            </w:r>
          </w:p>
        </w:tc>
        <w:tc>
          <w:tcPr>
            <w:tcW w:w="425" w:type="dxa"/>
            <w:shd w:val="clear" w:color="auto" w:fill="auto"/>
            <w:noWrap/>
            <w:vAlign w:val="center"/>
            <w:hideMark/>
          </w:tcPr>
          <w:p w14:paraId="0918972F" w14:textId="77777777" w:rsidR="004C5885" w:rsidRPr="00E57B08" w:rsidRDefault="004C5885" w:rsidP="00E57B08">
            <w:pPr>
              <w:pStyle w:val="cuatexto"/>
              <w:spacing w:line="240" w:lineRule="auto"/>
              <w:jc w:val="right"/>
            </w:pPr>
            <w:r>
              <w:t>9</w:t>
            </w:r>
          </w:p>
        </w:tc>
        <w:tc>
          <w:tcPr>
            <w:tcW w:w="851" w:type="dxa"/>
            <w:shd w:val="clear" w:color="auto" w:fill="auto"/>
            <w:noWrap/>
            <w:vAlign w:val="center"/>
            <w:hideMark/>
          </w:tcPr>
          <w:p w14:paraId="0F6CA05F" w14:textId="2E893796" w:rsidR="004C5885" w:rsidRPr="00E57B08" w:rsidRDefault="00AC06A5" w:rsidP="00E57B08">
            <w:pPr>
              <w:pStyle w:val="cuatexto"/>
              <w:spacing w:line="240" w:lineRule="auto"/>
              <w:jc w:val="right"/>
            </w:pPr>
            <w:r>
              <w:t xml:space="preserve"> 40.467 </w:t>
            </w:r>
          </w:p>
        </w:tc>
        <w:tc>
          <w:tcPr>
            <w:tcW w:w="567" w:type="dxa"/>
            <w:shd w:val="clear" w:color="auto" w:fill="auto"/>
            <w:noWrap/>
            <w:vAlign w:val="center"/>
            <w:hideMark/>
          </w:tcPr>
          <w:p w14:paraId="55511C20" w14:textId="77777777" w:rsidR="004C5885" w:rsidRPr="00E57B08" w:rsidRDefault="004C5885" w:rsidP="00E57B08">
            <w:pPr>
              <w:pStyle w:val="cuatexto"/>
              <w:spacing w:line="240" w:lineRule="auto"/>
              <w:jc w:val="right"/>
            </w:pPr>
            <w:r>
              <w:t>3</w:t>
            </w:r>
          </w:p>
        </w:tc>
        <w:tc>
          <w:tcPr>
            <w:tcW w:w="709" w:type="dxa"/>
            <w:shd w:val="clear" w:color="auto" w:fill="auto"/>
            <w:noWrap/>
            <w:vAlign w:val="center"/>
            <w:hideMark/>
          </w:tcPr>
          <w:p w14:paraId="23B0D9A2" w14:textId="11B3701C" w:rsidR="004C5885" w:rsidRPr="00E57B08" w:rsidRDefault="00AC06A5" w:rsidP="00E57B08">
            <w:pPr>
              <w:pStyle w:val="cuatexto"/>
              <w:spacing w:line="240" w:lineRule="auto"/>
              <w:jc w:val="right"/>
            </w:pPr>
            <w:r>
              <w:t xml:space="preserve"> 7.754 </w:t>
            </w:r>
          </w:p>
        </w:tc>
        <w:tc>
          <w:tcPr>
            <w:tcW w:w="426" w:type="dxa"/>
            <w:shd w:val="clear" w:color="auto" w:fill="auto"/>
            <w:noWrap/>
            <w:vAlign w:val="center"/>
            <w:hideMark/>
          </w:tcPr>
          <w:p w14:paraId="5299E5CE" w14:textId="77777777" w:rsidR="004C5885" w:rsidRPr="00E57B08" w:rsidRDefault="004C5885" w:rsidP="00E57B08">
            <w:pPr>
              <w:pStyle w:val="cuatexto"/>
              <w:spacing w:line="240" w:lineRule="auto"/>
              <w:jc w:val="right"/>
            </w:pPr>
            <w:r>
              <w:t> </w:t>
            </w:r>
          </w:p>
        </w:tc>
        <w:tc>
          <w:tcPr>
            <w:tcW w:w="849" w:type="dxa"/>
            <w:shd w:val="clear" w:color="auto" w:fill="auto"/>
            <w:noWrap/>
            <w:vAlign w:val="center"/>
            <w:hideMark/>
          </w:tcPr>
          <w:p w14:paraId="7511F463" w14:textId="58FFBD30" w:rsidR="004C5885" w:rsidRPr="00E57B08" w:rsidRDefault="00AC06A5" w:rsidP="00E57B08">
            <w:pPr>
              <w:pStyle w:val="cuatexto"/>
              <w:spacing w:line="240" w:lineRule="auto"/>
              <w:jc w:val="right"/>
            </w:pPr>
            <w:r>
              <w:t xml:space="preserve"> - </w:t>
            </w:r>
          </w:p>
        </w:tc>
        <w:tc>
          <w:tcPr>
            <w:tcW w:w="567" w:type="dxa"/>
            <w:shd w:val="clear" w:color="auto" w:fill="auto"/>
            <w:noWrap/>
            <w:vAlign w:val="center"/>
            <w:hideMark/>
          </w:tcPr>
          <w:p w14:paraId="4CD97107" w14:textId="77777777" w:rsidR="004C5885" w:rsidRPr="00E57B08" w:rsidRDefault="004C5885" w:rsidP="00E57B08">
            <w:pPr>
              <w:pStyle w:val="cuatexto"/>
              <w:spacing w:line="240" w:lineRule="auto"/>
              <w:jc w:val="right"/>
            </w:pPr>
            <w:r>
              <w:t>27</w:t>
            </w:r>
          </w:p>
        </w:tc>
        <w:tc>
          <w:tcPr>
            <w:tcW w:w="851" w:type="dxa"/>
            <w:shd w:val="clear" w:color="auto" w:fill="auto"/>
            <w:noWrap/>
            <w:vAlign w:val="center"/>
            <w:hideMark/>
          </w:tcPr>
          <w:p w14:paraId="4CD1E525" w14:textId="210DBC61" w:rsidR="004C5885" w:rsidRPr="00E57B08" w:rsidRDefault="00AC06A5" w:rsidP="00E57B08">
            <w:pPr>
              <w:pStyle w:val="cuatexto"/>
              <w:spacing w:line="240" w:lineRule="auto"/>
              <w:jc w:val="right"/>
            </w:pPr>
            <w:r>
              <w:t xml:space="preserve"> 78.518 </w:t>
            </w:r>
          </w:p>
        </w:tc>
      </w:tr>
      <w:tr w:rsidR="004C5885" w:rsidRPr="00E57B08" w14:paraId="0ACDD662" w14:textId="77777777" w:rsidTr="004E2CFD">
        <w:trPr>
          <w:trHeight w:val="255"/>
          <w:jc w:val="center"/>
        </w:trPr>
        <w:tc>
          <w:tcPr>
            <w:tcW w:w="1985" w:type="dxa"/>
            <w:shd w:val="clear" w:color="auto" w:fill="auto"/>
            <w:noWrap/>
            <w:vAlign w:val="center"/>
            <w:hideMark/>
          </w:tcPr>
          <w:p w14:paraId="4F376798" w14:textId="77777777" w:rsidR="004C5885" w:rsidRPr="00E57B08" w:rsidRDefault="004C5885" w:rsidP="00E57B08">
            <w:pPr>
              <w:pStyle w:val="cuatexto"/>
              <w:spacing w:line="240" w:lineRule="auto"/>
            </w:pPr>
            <w:r>
              <w:t>&gt; 400.000 eta &lt;=600.000</w:t>
            </w:r>
          </w:p>
        </w:tc>
        <w:tc>
          <w:tcPr>
            <w:tcW w:w="567" w:type="dxa"/>
            <w:shd w:val="clear" w:color="auto" w:fill="auto"/>
            <w:noWrap/>
            <w:vAlign w:val="center"/>
            <w:hideMark/>
          </w:tcPr>
          <w:p w14:paraId="1B8E05FE" w14:textId="77777777" w:rsidR="004C5885" w:rsidRPr="00E57B08" w:rsidRDefault="004C5885" w:rsidP="00E57B08">
            <w:pPr>
              <w:pStyle w:val="cuatexto"/>
              <w:spacing w:line="240" w:lineRule="auto"/>
              <w:jc w:val="right"/>
            </w:pPr>
            <w:r>
              <w:t>5</w:t>
            </w:r>
          </w:p>
        </w:tc>
        <w:tc>
          <w:tcPr>
            <w:tcW w:w="850" w:type="dxa"/>
            <w:shd w:val="clear" w:color="auto" w:fill="auto"/>
            <w:noWrap/>
            <w:vAlign w:val="center"/>
            <w:hideMark/>
          </w:tcPr>
          <w:p w14:paraId="32889799" w14:textId="1F444339" w:rsidR="004C5885" w:rsidRPr="00E57B08" w:rsidRDefault="00AC06A5" w:rsidP="00E57B08">
            <w:pPr>
              <w:pStyle w:val="cuatexto"/>
              <w:spacing w:line="240" w:lineRule="auto"/>
              <w:jc w:val="right"/>
            </w:pPr>
            <w:r>
              <w:t xml:space="preserve"> 2.316 </w:t>
            </w:r>
          </w:p>
        </w:tc>
        <w:tc>
          <w:tcPr>
            <w:tcW w:w="425" w:type="dxa"/>
            <w:shd w:val="clear" w:color="auto" w:fill="auto"/>
            <w:noWrap/>
            <w:vAlign w:val="center"/>
            <w:hideMark/>
          </w:tcPr>
          <w:p w14:paraId="3D2C9682" w14:textId="77777777" w:rsidR="004C5885" w:rsidRPr="00E57B08" w:rsidRDefault="004C5885" w:rsidP="00E57B08">
            <w:pPr>
              <w:pStyle w:val="cuatexto"/>
              <w:spacing w:line="240" w:lineRule="auto"/>
              <w:jc w:val="right"/>
            </w:pPr>
            <w:r>
              <w:t>5</w:t>
            </w:r>
          </w:p>
        </w:tc>
        <w:tc>
          <w:tcPr>
            <w:tcW w:w="851" w:type="dxa"/>
            <w:shd w:val="clear" w:color="auto" w:fill="auto"/>
            <w:noWrap/>
            <w:vAlign w:val="center"/>
            <w:hideMark/>
          </w:tcPr>
          <w:p w14:paraId="7296CF77" w14:textId="453CFE08" w:rsidR="004C5885" w:rsidRPr="00E57B08" w:rsidRDefault="00AC06A5" w:rsidP="00E57B08">
            <w:pPr>
              <w:pStyle w:val="cuatexto"/>
              <w:spacing w:line="240" w:lineRule="auto"/>
              <w:jc w:val="right"/>
            </w:pPr>
            <w:r>
              <w:t xml:space="preserve"> 2.510 </w:t>
            </w:r>
          </w:p>
        </w:tc>
        <w:tc>
          <w:tcPr>
            <w:tcW w:w="567" w:type="dxa"/>
            <w:shd w:val="clear" w:color="auto" w:fill="auto"/>
            <w:noWrap/>
            <w:vAlign w:val="center"/>
            <w:hideMark/>
          </w:tcPr>
          <w:p w14:paraId="1EA20B0F" w14:textId="77777777" w:rsidR="004C5885" w:rsidRPr="00E57B08" w:rsidRDefault="004C5885" w:rsidP="00E57B08">
            <w:pPr>
              <w:pStyle w:val="cuatexto"/>
              <w:spacing w:line="240" w:lineRule="auto"/>
              <w:jc w:val="right"/>
            </w:pPr>
            <w:r>
              <w:t>1</w:t>
            </w:r>
          </w:p>
        </w:tc>
        <w:tc>
          <w:tcPr>
            <w:tcW w:w="709" w:type="dxa"/>
            <w:shd w:val="clear" w:color="auto" w:fill="auto"/>
            <w:noWrap/>
            <w:vAlign w:val="center"/>
            <w:hideMark/>
          </w:tcPr>
          <w:p w14:paraId="498EF79F" w14:textId="0B001BDE" w:rsidR="004C5885" w:rsidRPr="00E57B08" w:rsidRDefault="00AC06A5" w:rsidP="00E57B08">
            <w:pPr>
              <w:pStyle w:val="cuatexto"/>
              <w:spacing w:line="240" w:lineRule="auto"/>
              <w:jc w:val="right"/>
            </w:pPr>
            <w:r>
              <w:t xml:space="preserve"> 508 </w:t>
            </w:r>
          </w:p>
        </w:tc>
        <w:tc>
          <w:tcPr>
            <w:tcW w:w="426" w:type="dxa"/>
            <w:shd w:val="clear" w:color="auto" w:fill="auto"/>
            <w:noWrap/>
            <w:vAlign w:val="center"/>
            <w:hideMark/>
          </w:tcPr>
          <w:p w14:paraId="0CBE58F2" w14:textId="77777777" w:rsidR="004C5885" w:rsidRPr="00E57B08" w:rsidRDefault="004C5885" w:rsidP="00E57B08">
            <w:pPr>
              <w:pStyle w:val="cuatexto"/>
              <w:spacing w:line="240" w:lineRule="auto"/>
              <w:jc w:val="right"/>
            </w:pPr>
            <w:r>
              <w:t>2</w:t>
            </w:r>
          </w:p>
        </w:tc>
        <w:tc>
          <w:tcPr>
            <w:tcW w:w="849" w:type="dxa"/>
            <w:shd w:val="clear" w:color="auto" w:fill="auto"/>
            <w:noWrap/>
            <w:vAlign w:val="center"/>
            <w:hideMark/>
          </w:tcPr>
          <w:p w14:paraId="7D66E8A5" w14:textId="4D3FE40F" w:rsidR="004C5885" w:rsidRPr="00E57B08" w:rsidRDefault="00AC06A5" w:rsidP="00E57B08">
            <w:pPr>
              <w:pStyle w:val="cuatexto"/>
              <w:spacing w:line="240" w:lineRule="auto"/>
              <w:jc w:val="right"/>
            </w:pPr>
            <w:r>
              <w:t xml:space="preserve"> 1.061 </w:t>
            </w:r>
          </w:p>
        </w:tc>
        <w:tc>
          <w:tcPr>
            <w:tcW w:w="567" w:type="dxa"/>
            <w:shd w:val="clear" w:color="auto" w:fill="auto"/>
            <w:noWrap/>
            <w:vAlign w:val="center"/>
            <w:hideMark/>
          </w:tcPr>
          <w:p w14:paraId="6FF7ECA3" w14:textId="77777777" w:rsidR="004C5885" w:rsidRPr="00E57B08" w:rsidRDefault="004C5885" w:rsidP="00E57B08">
            <w:pPr>
              <w:pStyle w:val="cuatexto"/>
              <w:spacing w:line="240" w:lineRule="auto"/>
              <w:jc w:val="right"/>
            </w:pPr>
            <w:r>
              <w:t>13</w:t>
            </w:r>
          </w:p>
        </w:tc>
        <w:tc>
          <w:tcPr>
            <w:tcW w:w="851" w:type="dxa"/>
            <w:shd w:val="clear" w:color="auto" w:fill="auto"/>
            <w:noWrap/>
            <w:vAlign w:val="center"/>
            <w:hideMark/>
          </w:tcPr>
          <w:p w14:paraId="153E1C3C" w14:textId="1DE7491D" w:rsidR="004C5885" w:rsidRPr="00E57B08" w:rsidRDefault="00AC06A5" w:rsidP="00E57B08">
            <w:pPr>
              <w:pStyle w:val="cuatexto"/>
              <w:spacing w:line="240" w:lineRule="auto"/>
              <w:jc w:val="right"/>
            </w:pPr>
            <w:r>
              <w:t xml:space="preserve"> 6.395 </w:t>
            </w:r>
          </w:p>
        </w:tc>
      </w:tr>
      <w:tr w:rsidR="004C5885" w:rsidRPr="00E57B08" w14:paraId="3089FA9E" w14:textId="77777777" w:rsidTr="004E2CFD">
        <w:trPr>
          <w:trHeight w:val="255"/>
          <w:jc w:val="center"/>
        </w:trPr>
        <w:tc>
          <w:tcPr>
            <w:tcW w:w="1985" w:type="dxa"/>
            <w:tcBorders>
              <w:bottom w:val="single" w:sz="4" w:space="0" w:color="auto"/>
            </w:tcBorders>
            <w:shd w:val="clear" w:color="auto" w:fill="auto"/>
            <w:noWrap/>
            <w:vAlign w:val="center"/>
            <w:hideMark/>
          </w:tcPr>
          <w:p w14:paraId="15A62401" w14:textId="77777777" w:rsidR="004C5885" w:rsidRPr="00E57B08" w:rsidRDefault="004C5885" w:rsidP="00E57B08">
            <w:pPr>
              <w:pStyle w:val="cuatexto"/>
              <w:spacing w:line="240" w:lineRule="auto"/>
            </w:pPr>
            <w:r>
              <w:t>&gt;150.000 eta &lt; =400.000</w:t>
            </w:r>
          </w:p>
        </w:tc>
        <w:tc>
          <w:tcPr>
            <w:tcW w:w="567" w:type="dxa"/>
            <w:tcBorders>
              <w:bottom w:val="single" w:sz="4" w:space="0" w:color="auto"/>
            </w:tcBorders>
            <w:shd w:val="clear" w:color="auto" w:fill="auto"/>
            <w:noWrap/>
            <w:vAlign w:val="center"/>
            <w:hideMark/>
          </w:tcPr>
          <w:p w14:paraId="21BFE8E5" w14:textId="77777777" w:rsidR="004C5885" w:rsidRPr="00E57B08" w:rsidRDefault="004C5885" w:rsidP="00E57B08">
            <w:pPr>
              <w:pStyle w:val="cuatexto"/>
              <w:spacing w:line="240" w:lineRule="auto"/>
              <w:jc w:val="right"/>
            </w:pPr>
            <w:r>
              <w:t>34</w:t>
            </w:r>
          </w:p>
        </w:tc>
        <w:tc>
          <w:tcPr>
            <w:tcW w:w="850" w:type="dxa"/>
            <w:tcBorders>
              <w:bottom w:val="single" w:sz="4" w:space="0" w:color="auto"/>
            </w:tcBorders>
            <w:shd w:val="clear" w:color="auto" w:fill="auto"/>
            <w:noWrap/>
            <w:vAlign w:val="center"/>
            <w:hideMark/>
          </w:tcPr>
          <w:p w14:paraId="5A566B50" w14:textId="28B2F2A5" w:rsidR="004C5885" w:rsidRPr="00E57B08" w:rsidRDefault="00AC06A5" w:rsidP="00E57B08">
            <w:pPr>
              <w:pStyle w:val="cuatexto"/>
              <w:spacing w:line="240" w:lineRule="auto"/>
              <w:jc w:val="right"/>
            </w:pPr>
            <w:r>
              <w:t xml:space="preserve"> 8.164 </w:t>
            </w:r>
          </w:p>
        </w:tc>
        <w:tc>
          <w:tcPr>
            <w:tcW w:w="425" w:type="dxa"/>
            <w:tcBorders>
              <w:bottom w:val="single" w:sz="4" w:space="0" w:color="auto"/>
            </w:tcBorders>
            <w:shd w:val="clear" w:color="auto" w:fill="auto"/>
            <w:noWrap/>
            <w:vAlign w:val="center"/>
            <w:hideMark/>
          </w:tcPr>
          <w:p w14:paraId="405FB8E6" w14:textId="77777777" w:rsidR="004C5885" w:rsidRPr="00E57B08" w:rsidRDefault="004C5885" w:rsidP="00E57B08">
            <w:pPr>
              <w:pStyle w:val="cuatexto"/>
              <w:spacing w:line="240" w:lineRule="auto"/>
              <w:jc w:val="right"/>
            </w:pPr>
            <w:r>
              <w:t>18</w:t>
            </w:r>
          </w:p>
        </w:tc>
        <w:tc>
          <w:tcPr>
            <w:tcW w:w="851" w:type="dxa"/>
            <w:tcBorders>
              <w:bottom w:val="single" w:sz="4" w:space="0" w:color="auto"/>
            </w:tcBorders>
            <w:shd w:val="clear" w:color="auto" w:fill="auto"/>
            <w:noWrap/>
            <w:vAlign w:val="center"/>
            <w:hideMark/>
          </w:tcPr>
          <w:p w14:paraId="33452B6B" w14:textId="57315FD4" w:rsidR="004C5885" w:rsidRPr="00E57B08" w:rsidRDefault="00AC06A5" w:rsidP="00E57B08">
            <w:pPr>
              <w:pStyle w:val="cuatexto"/>
              <w:spacing w:line="240" w:lineRule="auto"/>
              <w:jc w:val="right"/>
            </w:pPr>
            <w:r>
              <w:t xml:space="preserve"> 4.283 </w:t>
            </w:r>
          </w:p>
        </w:tc>
        <w:tc>
          <w:tcPr>
            <w:tcW w:w="567" w:type="dxa"/>
            <w:tcBorders>
              <w:bottom w:val="single" w:sz="4" w:space="0" w:color="auto"/>
            </w:tcBorders>
            <w:shd w:val="clear" w:color="auto" w:fill="auto"/>
            <w:noWrap/>
            <w:vAlign w:val="center"/>
            <w:hideMark/>
          </w:tcPr>
          <w:p w14:paraId="7F9F75DE" w14:textId="77777777" w:rsidR="004C5885" w:rsidRPr="00E57B08" w:rsidRDefault="004C5885" w:rsidP="00E57B08">
            <w:pPr>
              <w:pStyle w:val="cuatexto"/>
              <w:spacing w:line="240" w:lineRule="auto"/>
              <w:jc w:val="right"/>
            </w:pPr>
            <w:r>
              <w:t>6</w:t>
            </w:r>
          </w:p>
        </w:tc>
        <w:tc>
          <w:tcPr>
            <w:tcW w:w="709" w:type="dxa"/>
            <w:tcBorders>
              <w:bottom w:val="single" w:sz="4" w:space="0" w:color="auto"/>
            </w:tcBorders>
            <w:shd w:val="clear" w:color="auto" w:fill="auto"/>
            <w:noWrap/>
            <w:vAlign w:val="center"/>
            <w:hideMark/>
          </w:tcPr>
          <w:p w14:paraId="2379C939" w14:textId="661C24F1" w:rsidR="004C5885" w:rsidRPr="00E57B08" w:rsidRDefault="00AC06A5" w:rsidP="00E57B08">
            <w:pPr>
              <w:pStyle w:val="cuatexto"/>
              <w:spacing w:line="240" w:lineRule="auto"/>
              <w:jc w:val="right"/>
            </w:pPr>
            <w:r>
              <w:t xml:space="preserve"> 1.158 </w:t>
            </w:r>
          </w:p>
        </w:tc>
        <w:tc>
          <w:tcPr>
            <w:tcW w:w="426" w:type="dxa"/>
            <w:tcBorders>
              <w:bottom w:val="single" w:sz="4" w:space="0" w:color="auto"/>
            </w:tcBorders>
            <w:shd w:val="clear" w:color="auto" w:fill="auto"/>
            <w:noWrap/>
            <w:vAlign w:val="center"/>
            <w:hideMark/>
          </w:tcPr>
          <w:p w14:paraId="1229680D" w14:textId="77777777" w:rsidR="004C5885" w:rsidRPr="00E57B08" w:rsidRDefault="004C5885" w:rsidP="00E57B08">
            <w:pPr>
              <w:pStyle w:val="cuatexto"/>
              <w:spacing w:line="240" w:lineRule="auto"/>
              <w:jc w:val="right"/>
            </w:pPr>
            <w:r>
              <w:t> </w:t>
            </w:r>
          </w:p>
        </w:tc>
        <w:tc>
          <w:tcPr>
            <w:tcW w:w="849" w:type="dxa"/>
            <w:tcBorders>
              <w:bottom w:val="single" w:sz="4" w:space="0" w:color="auto"/>
            </w:tcBorders>
            <w:shd w:val="clear" w:color="auto" w:fill="auto"/>
            <w:noWrap/>
            <w:vAlign w:val="center"/>
            <w:hideMark/>
          </w:tcPr>
          <w:p w14:paraId="5989741E" w14:textId="28660F01" w:rsidR="004C5885" w:rsidRPr="00E57B08" w:rsidRDefault="00AC06A5" w:rsidP="00E57B08">
            <w:pPr>
              <w:pStyle w:val="cuatexto"/>
              <w:spacing w:line="240" w:lineRule="auto"/>
              <w:jc w:val="right"/>
            </w:pPr>
            <w:r>
              <w:t xml:space="preserve"> - </w:t>
            </w:r>
          </w:p>
        </w:tc>
        <w:tc>
          <w:tcPr>
            <w:tcW w:w="567" w:type="dxa"/>
            <w:tcBorders>
              <w:bottom w:val="single" w:sz="4" w:space="0" w:color="auto"/>
            </w:tcBorders>
            <w:shd w:val="clear" w:color="auto" w:fill="auto"/>
            <w:noWrap/>
            <w:vAlign w:val="center"/>
            <w:hideMark/>
          </w:tcPr>
          <w:p w14:paraId="093881FC" w14:textId="77777777" w:rsidR="004C5885" w:rsidRPr="00E57B08" w:rsidRDefault="004C5885" w:rsidP="00E57B08">
            <w:pPr>
              <w:pStyle w:val="cuatexto"/>
              <w:spacing w:line="240" w:lineRule="auto"/>
              <w:jc w:val="right"/>
            </w:pPr>
            <w:r>
              <w:t>58</w:t>
            </w:r>
          </w:p>
        </w:tc>
        <w:tc>
          <w:tcPr>
            <w:tcW w:w="851" w:type="dxa"/>
            <w:tcBorders>
              <w:bottom w:val="single" w:sz="4" w:space="0" w:color="auto"/>
            </w:tcBorders>
            <w:shd w:val="clear" w:color="auto" w:fill="auto"/>
            <w:noWrap/>
            <w:vAlign w:val="center"/>
            <w:hideMark/>
          </w:tcPr>
          <w:p w14:paraId="57DF6747" w14:textId="06794603" w:rsidR="004C5885" w:rsidRPr="00E57B08" w:rsidRDefault="00AC06A5" w:rsidP="00E57B08">
            <w:pPr>
              <w:pStyle w:val="cuatexto"/>
              <w:spacing w:line="240" w:lineRule="auto"/>
              <w:jc w:val="right"/>
            </w:pPr>
            <w:r>
              <w:t xml:space="preserve"> 13.605 </w:t>
            </w:r>
          </w:p>
        </w:tc>
      </w:tr>
      <w:tr w:rsidR="004C5885" w:rsidRPr="00E57B08" w14:paraId="6D95EB41" w14:textId="77777777" w:rsidTr="004E2CFD">
        <w:trPr>
          <w:trHeight w:val="255"/>
          <w:jc w:val="center"/>
        </w:trPr>
        <w:tc>
          <w:tcPr>
            <w:tcW w:w="1985" w:type="dxa"/>
            <w:tcBorders>
              <w:top w:val="single" w:sz="4" w:space="0" w:color="auto"/>
              <w:bottom w:val="single" w:sz="4" w:space="0" w:color="auto"/>
            </w:tcBorders>
            <w:shd w:val="clear" w:color="auto" w:fill="FABF8F" w:themeFill="accent6" w:themeFillTint="99"/>
            <w:noWrap/>
            <w:vAlign w:val="center"/>
            <w:hideMark/>
          </w:tcPr>
          <w:p w14:paraId="3860417C" w14:textId="77777777" w:rsidR="004C5885" w:rsidRPr="00E57B08" w:rsidRDefault="004C5885" w:rsidP="00E57B08">
            <w:pPr>
              <w:pStyle w:val="cuadroCabe"/>
              <w:spacing w:line="240" w:lineRule="auto"/>
              <w:rPr>
                <w:sz w:val="16"/>
                <w:szCs w:val="16"/>
              </w:rPr>
            </w:pPr>
            <w:r>
              <w:rPr>
                <w:sz w:val="16"/>
              </w:rPr>
              <w:t> </w:t>
            </w:r>
          </w:p>
        </w:tc>
        <w:tc>
          <w:tcPr>
            <w:tcW w:w="567" w:type="dxa"/>
            <w:tcBorders>
              <w:top w:val="single" w:sz="4" w:space="0" w:color="auto"/>
              <w:bottom w:val="single" w:sz="4" w:space="0" w:color="auto"/>
            </w:tcBorders>
            <w:shd w:val="clear" w:color="auto" w:fill="FABF8F" w:themeFill="accent6" w:themeFillTint="99"/>
            <w:noWrap/>
            <w:vAlign w:val="center"/>
            <w:hideMark/>
          </w:tcPr>
          <w:p w14:paraId="5FBD13D4" w14:textId="77777777" w:rsidR="004C5885" w:rsidRPr="00E57B08" w:rsidRDefault="004C5885" w:rsidP="00E57B08">
            <w:pPr>
              <w:pStyle w:val="cuadroCabe"/>
              <w:spacing w:line="240" w:lineRule="auto"/>
              <w:jc w:val="right"/>
              <w:rPr>
                <w:sz w:val="16"/>
                <w:szCs w:val="16"/>
              </w:rPr>
            </w:pPr>
            <w:r>
              <w:rPr>
                <w:sz w:val="16"/>
              </w:rPr>
              <w:t>54</w:t>
            </w:r>
          </w:p>
        </w:tc>
        <w:tc>
          <w:tcPr>
            <w:tcW w:w="850" w:type="dxa"/>
            <w:tcBorders>
              <w:top w:val="single" w:sz="4" w:space="0" w:color="auto"/>
              <w:bottom w:val="single" w:sz="4" w:space="0" w:color="auto"/>
            </w:tcBorders>
            <w:shd w:val="clear" w:color="auto" w:fill="FABF8F" w:themeFill="accent6" w:themeFillTint="99"/>
            <w:noWrap/>
            <w:vAlign w:val="center"/>
            <w:hideMark/>
          </w:tcPr>
          <w:p w14:paraId="73AE876D" w14:textId="3D3F1025" w:rsidR="004C5885" w:rsidRPr="00E57B08" w:rsidRDefault="00AC06A5" w:rsidP="00E57B08">
            <w:pPr>
              <w:pStyle w:val="cuadroCabe"/>
              <w:spacing w:line="240" w:lineRule="auto"/>
              <w:jc w:val="right"/>
              <w:rPr>
                <w:sz w:val="16"/>
                <w:szCs w:val="16"/>
              </w:rPr>
            </w:pPr>
            <w:r>
              <w:rPr>
                <w:sz w:val="16"/>
              </w:rPr>
              <w:t xml:space="preserve"> 40.778 </w:t>
            </w:r>
          </w:p>
        </w:tc>
        <w:tc>
          <w:tcPr>
            <w:tcW w:w="425" w:type="dxa"/>
            <w:tcBorders>
              <w:top w:val="single" w:sz="4" w:space="0" w:color="auto"/>
              <w:bottom w:val="single" w:sz="4" w:space="0" w:color="auto"/>
            </w:tcBorders>
            <w:shd w:val="clear" w:color="auto" w:fill="FABF8F" w:themeFill="accent6" w:themeFillTint="99"/>
            <w:noWrap/>
            <w:vAlign w:val="center"/>
            <w:hideMark/>
          </w:tcPr>
          <w:p w14:paraId="098E5185" w14:textId="77777777" w:rsidR="004C5885" w:rsidRPr="00E57B08" w:rsidRDefault="004C5885" w:rsidP="00E57B08">
            <w:pPr>
              <w:pStyle w:val="cuadroCabe"/>
              <w:spacing w:line="240" w:lineRule="auto"/>
              <w:jc w:val="right"/>
              <w:rPr>
                <w:sz w:val="16"/>
                <w:szCs w:val="16"/>
              </w:rPr>
            </w:pPr>
            <w:r>
              <w:rPr>
                <w:sz w:val="16"/>
              </w:rPr>
              <w:t>32</w:t>
            </w:r>
          </w:p>
        </w:tc>
        <w:tc>
          <w:tcPr>
            <w:tcW w:w="851" w:type="dxa"/>
            <w:tcBorders>
              <w:top w:val="single" w:sz="4" w:space="0" w:color="auto"/>
              <w:bottom w:val="single" w:sz="4" w:space="0" w:color="auto"/>
            </w:tcBorders>
            <w:shd w:val="clear" w:color="auto" w:fill="FABF8F" w:themeFill="accent6" w:themeFillTint="99"/>
            <w:noWrap/>
            <w:vAlign w:val="center"/>
            <w:hideMark/>
          </w:tcPr>
          <w:p w14:paraId="33DA049A" w14:textId="427C4CCB" w:rsidR="004C5885" w:rsidRPr="00E57B08" w:rsidRDefault="00AC06A5" w:rsidP="00E57B08">
            <w:pPr>
              <w:pStyle w:val="cuadroCabe"/>
              <w:spacing w:line="240" w:lineRule="auto"/>
              <w:jc w:val="right"/>
              <w:rPr>
                <w:sz w:val="16"/>
                <w:szCs w:val="16"/>
              </w:rPr>
            </w:pPr>
            <w:r>
              <w:rPr>
                <w:sz w:val="16"/>
              </w:rPr>
              <w:t xml:space="preserve"> 47.260 </w:t>
            </w:r>
          </w:p>
        </w:tc>
        <w:tc>
          <w:tcPr>
            <w:tcW w:w="567" w:type="dxa"/>
            <w:tcBorders>
              <w:top w:val="single" w:sz="4" w:space="0" w:color="auto"/>
              <w:bottom w:val="single" w:sz="4" w:space="0" w:color="auto"/>
            </w:tcBorders>
            <w:shd w:val="clear" w:color="auto" w:fill="FABF8F" w:themeFill="accent6" w:themeFillTint="99"/>
            <w:noWrap/>
            <w:vAlign w:val="center"/>
            <w:hideMark/>
          </w:tcPr>
          <w:p w14:paraId="4DEF6501" w14:textId="77777777" w:rsidR="004C5885" w:rsidRPr="00E57B08" w:rsidRDefault="004C5885" w:rsidP="00E57B08">
            <w:pPr>
              <w:pStyle w:val="cuadroCabe"/>
              <w:spacing w:line="240" w:lineRule="auto"/>
              <w:jc w:val="right"/>
              <w:rPr>
                <w:sz w:val="16"/>
                <w:szCs w:val="16"/>
              </w:rPr>
            </w:pPr>
            <w:r>
              <w:rPr>
                <w:sz w:val="16"/>
              </w:rPr>
              <w:t>10</w:t>
            </w:r>
          </w:p>
        </w:tc>
        <w:tc>
          <w:tcPr>
            <w:tcW w:w="709" w:type="dxa"/>
            <w:tcBorders>
              <w:top w:val="single" w:sz="4" w:space="0" w:color="auto"/>
              <w:bottom w:val="single" w:sz="4" w:space="0" w:color="auto"/>
            </w:tcBorders>
            <w:shd w:val="clear" w:color="auto" w:fill="FABF8F" w:themeFill="accent6" w:themeFillTint="99"/>
            <w:noWrap/>
            <w:vAlign w:val="center"/>
            <w:hideMark/>
          </w:tcPr>
          <w:p w14:paraId="7402C821" w14:textId="0FE45F27" w:rsidR="004C5885" w:rsidRPr="00E57B08" w:rsidRDefault="00AC06A5" w:rsidP="00E57B08">
            <w:pPr>
              <w:pStyle w:val="cuadroCabe"/>
              <w:spacing w:line="240" w:lineRule="auto"/>
              <w:jc w:val="right"/>
              <w:rPr>
                <w:sz w:val="16"/>
                <w:szCs w:val="16"/>
              </w:rPr>
            </w:pPr>
            <w:r>
              <w:rPr>
                <w:sz w:val="16"/>
              </w:rPr>
              <w:t xml:space="preserve"> 9.419 </w:t>
            </w:r>
          </w:p>
        </w:tc>
        <w:tc>
          <w:tcPr>
            <w:tcW w:w="426" w:type="dxa"/>
            <w:tcBorders>
              <w:top w:val="single" w:sz="4" w:space="0" w:color="auto"/>
              <w:bottom w:val="single" w:sz="4" w:space="0" w:color="auto"/>
            </w:tcBorders>
            <w:shd w:val="clear" w:color="auto" w:fill="FABF8F" w:themeFill="accent6" w:themeFillTint="99"/>
            <w:noWrap/>
            <w:vAlign w:val="center"/>
            <w:hideMark/>
          </w:tcPr>
          <w:p w14:paraId="29C481FE" w14:textId="77777777" w:rsidR="004C5885" w:rsidRPr="00E57B08" w:rsidRDefault="004C5885" w:rsidP="00E57B08">
            <w:pPr>
              <w:pStyle w:val="cuadroCabe"/>
              <w:spacing w:line="240" w:lineRule="auto"/>
              <w:jc w:val="right"/>
              <w:rPr>
                <w:sz w:val="16"/>
                <w:szCs w:val="16"/>
              </w:rPr>
            </w:pPr>
            <w:r>
              <w:rPr>
                <w:sz w:val="16"/>
              </w:rPr>
              <w:t>2</w:t>
            </w:r>
          </w:p>
        </w:tc>
        <w:tc>
          <w:tcPr>
            <w:tcW w:w="849" w:type="dxa"/>
            <w:tcBorders>
              <w:top w:val="single" w:sz="4" w:space="0" w:color="auto"/>
              <w:bottom w:val="single" w:sz="4" w:space="0" w:color="auto"/>
            </w:tcBorders>
            <w:shd w:val="clear" w:color="auto" w:fill="FABF8F" w:themeFill="accent6" w:themeFillTint="99"/>
            <w:noWrap/>
            <w:vAlign w:val="center"/>
            <w:hideMark/>
          </w:tcPr>
          <w:p w14:paraId="72BBA53E" w14:textId="28659110" w:rsidR="004C5885" w:rsidRPr="00E57B08" w:rsidRDefault="00AC06A5" w:rsidP="00E57B08">
            <w:pPr>
              <w:pStyle w:val="cuadroCabe"/>
              <w:spacing w:line="240" w:lineRule="auto"/>
              <w:jc w:val="right"/>
              <w:rPr>
                <w:sz w:val="16"/>
                <w:szCs w:val="16"/>
              </w:rPr>
            </w:pPr>
            <w:r>
              <w:rPr>
                <w:sz w:val="16"/>
              </w:rPr>
              <w:t xml:space="preserve"> 1.061 </w:t>
            </w:r>
          </w:p>
        </w:tc>
        <w:tc>
          <w:tcPr>
            <w:tcW w:w="567" w:type="dxa"/>
            <w:tcBorders>
              <w:top w:val="single" w:sz="4" w:space="0" w:color="auto"/>
              <w:bottom w:val="single" w:sz="4" w:space="0" w:color="auto"/>
            </w:tcBorders>
            <w:shd w:val="clear" w:color="auto" w:fill="FABF8F" w:themeFill="accent6" w:themeFillTint="99"/>
            <w:noWrap/>
            <w:vAlign w:val="center"/>
            <w:hideMark/>
          </w:tcPr>
          <w:p w14:paraId="23BF2FAA" w14:textId="77777777" w:rsidR="004C5885" w:rsidRPr="00E57B08" w:rsidRDefault="004C5885" w:rsidP="00E57B08">
            <w:pPr>
              <w:pStyle w:val="cuadroCabe"/>
              <w:spacing w:line="240" w:lineRule="auto"/>
              <w:jc w:val="right"/>
              <w:rPr>
                <w:sz w:val="16"/>
                <w:szCs w:val="16"/>
              </w:rPr>
            </w:pPr>
            <w:r>
              <w:rPr>
                <w:sz w:val="16"/>
              </w:rPr>
              <w:t>98</w:t>
            </w:r>
          </w:p>
        </w:tc>
        <w:tc>
          <w:tcPr>
            <w:tcW w:w="851" w:type="dxa"/>
            <w:tcBorders>
              <w:top w:val="single" w:sz="4" w:space="0" w:color="auto"/>
              <w:bottom w:val="single" w:sz="4" w:space="0" w:color="auto"/>
            </w:tcBorders>
            <w:shd w:val="clear" w:color="auto" w:fill="FABF8F" w:themeFill="accent6" w:themeFillTint="99"/>
            <w:noWrap/>
            <w:vAlign w:val="center"/>
            <w:hideMark/>
          </w:tcPr>
          <w:p w14:paraId="78945536" w14:textId="117486C8" w:rsidR="004C5885" w:rsidRPr="00E57B08" w:rsidRDefault="00AC06A5" w:rsidP="00E57B08">
            <w:pPr>
              <w:pStyle w:val="cuadroCabe"/>
              <w:spacing w:line="240" w:lineRule="auto"/>
              <w:jc w:val="right"/>
              <w:rPr>
                <w:sz w:val="16"/>
                <w:szCs w:val="16"/>
              </w:rPr>
            </w:pPr>
            <w:r>
              <w:rPr>
                <w:sz w:val="16"/>
              </w:rPr>
              <w:t xml:space="preserve"> 98.518 </w:t>
            </w:r>
          </w:p>
        </w:tc>
      </w:tr>
    </w:tbl>
    <w:p w14:paraId="4B3327F1" w14:textId="77777777" w:rsidR="00EE32F4" w:rsidRDefault="00EE32F4" w:rsidP="00442CCA">
      <w:pPr>
        <w:pStyle w:val="texto"/>
        <w:rPr>
          <w:color w:val="000000" w:themeColor="text1"/>
        </w:rPr>
      </w:pPr>
    </w:p>
    <w:p w14:paraId="6032D55C" w14:textId="74A8C875" w:rsidR="00B714B7" w:rsidRDefault="00176B58" w:rsidP="00442CCA">
      <w:pPr>
        <w:pStyle w:val="texto"/>
        <w:rPr>
          <w:color w:val="000000" w:themeColor="text1"/>
        </w:rPr>
      </w:pPr>
      <w:r>
        <w:rPr>
          <w:color w:val="000000" w:themeColor="text1"/>
        </w:rPr>
        <w:lastRenderedPageBreak/>
        <w:t>Aurreko ekitaldiarekin alderatuta, kontratu kopurua ehuneko 22 jaitsi zen pandemiaren eraginez. Izan ere, pandemiaren ondorioz nabarmen murriztu zen martxotik maiatzera bitartean adjudikatutako kontratuen kopurua, eta hori ez zen konpentsatu urtearen gainerakoan, hurrengo grafikoan ikus daitekeenez. Bilakaera hori bat dator adjudikatutako guztizko zenbatekoarenarekin, hor ehuneko 15eko jaitsiera baitago, 20 milioitik gorako kontratuen eragina kanpoan utziz gero.</w:t>
      </w:r>
    </w:p>
    <w:p w14:paraId="193026A8" w14:textId="77777777" w:rsidR="00B714B7" w:rsidRDefault="00B714B7" w:rsidP="00B714B7">
      <w:pPr>
        <w:pStyle w:val="texto"/>
        <w:jc w:val="center"/>
        <w:rPr>
          <w:color w:val="000000" w:themeColor="text1"/>
        </w:rPr>
      </w:pPr>
      <w:r>
        <w:rPr>
          <w:noProof/>
        </w:rPr>
        <w:drawing>
          <wp:inline distT="0" distB="0" distL="0" distR="0" wp14:anchorId="0F734A9A" wp14:editId="4FDAE31D">
            <wp:extent cx="4629150" cy="2695575"/>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47B4A6" w14:textId="5A83287F" w:rsidR="009956B1" w:rsidRDefault="0041740E" w:rsidP="009956B1">
      <w:pPr>
        <w:pStyle w:val="texto"/>
      </w:pPr>
      <w:r>
        <w:t xml:space="preserve">Kontratuen Erregistroan dauden datuen arabera, COVID-19ak toki esparruan ez du larrialdiko tramitazioaren erabileraren areagotze nabarmenik eragin.  Soilik zazpi kontraturen larrialdiko tramitazioa dago jasorik erregistroan, eta horietatik hiru bakarrik lotzen ahal dira pandemiarekin; hiruren artean 78.870 euroko adjudikazio zenbatekoa dute. </w:t>
      </w:r>
    </w:p>
    <w:p w14:paraId="51316F34" w14:textId="27517648" w:rsidR="00EF0883" w:rsidRDefault="00EF0883" w:rsidP="009956B1">
      <w:pPr>
        <w:pStyle w:val="texto"/>
      </w:pPr>
      <w:r>
        <w:br w:type="page"/>
      </w:r>
    </w:p>
    <w:p w14:paraId="44EA384B" w14:textId="77777777" w:rsidR="00683931" w:rsidRPr="004248BF" w:rsidRDefault="00683931" w:rsidP="004248BF">
      <w:pPr>
        <w:pStyle w:val="Ttulo1"/>
        <w:ind w:firstLine="0"/>
        <w:rPr>
          <w:szCs w:val="25"/>
        </w:rPr>
      </w:pPr>
      <w:bookmarkStart w:id="97" w:name="_Toc52348296"/>
      <w:bookmarkStart w:id="98" w:name="_Toc88727721"/>
      <w:bookmarkStart w:id="99" w:name="_Toc126061980"/>
      <w:r>
        <w:lastRenderedPageBreak/>
        <w:t>VIII. Kontu-ematea eta aurrekontuen onespena</w:t>
      </w:r>
      <w:bookmarkEnd w:id="99"/>
    </w:p>
    <w:p w14:paraId="687E75FA" w14:textId="7C56ACE5" w:rsidR="00683931" w:rsidRDefault="00683931" w:rsidP="00683931">
      <w:pPr>
        <w:pStyle w:val="texto"/>
        <w:spacing w:before="120" w:after="120"/>
        <w:rPr>
          <w:rFonts w:cs="Arial"/>
          <w:color w:val="000000" w:themeColor="text1"/>
        </w:rPr>
      </w:pPr>
      <w:r>
        <w:rPr>
          <w:color w:val="000000" w:themeColor="text1"/>
        </w:rPr>
        <w:t xml:space="preserve">Toki Ogasunei buruzko Foru Legeak dioenez –bera aldatzen duen abenduaren 29ko 22/2020 Foru Legeak ezarritako testuaren arabera–, toki entitateko lehendakariak martxoaren 31 baino lehen onetsi behar du toki entitatearen eta haren erakunde autonomoen aurrekontuaren likidazioa. Toki entitatearen kontu orokorra, berriz, udalbatzaren osoko bilkurari aurkeztu behar zaio, hurrengo ekitaldiko irailaren 1a baino lehen onetsi ahal dezan. Toki entitateek bi dokumentu horiek onetsi eta 15 eguneko epean igorri behar dizkiote </w:t>
      </w:r>
      <w:proofErr w:type="spellStart"/>
      <w:r>
        <w:rPr>
          <w:color w:val="000000" w:themeColor="text1"/>
        </w:rPr>
        <w:t>NFKAri</w:t>
      </w:r>
      <w:proofErr w:type="spellEnd"/>
      <w:r>
        <w:rPr>
          <w:color w:val="000000" w:themeColor="text1"/>
        </w:rPr>
        <w:t>.</w:t>
      </w:r>
    </w:p>
    <w:p w14:paraId="5680E4C4" w14:textId="7C5D9184" w:rsidR="00683931" w:rsidRDefault="00683931" w:rsidP="004A12BD">
      <w:pPr>
        <w:pStyle w:val="texto"/>
        <w:spacing w:before="120" w:after="240"/>
        <w:rPr>
          <w:rFonts w:cs="Arial"/>
          <w:color w:val="000000" w:themeColor="text1"/>
        </w:rPr>
      </w:pPr>
      <w:r>
        <w:rPr>
          <w:color w:val="000000" w:themeColor="text1"/>
        </w:rPr>
        <w:t>Beheko taulan xehetasunez azaltzen ditugu 2020ko ekitaldiko onespen eta kontu-emate epeak:</w:t>
      </w:r>
    </w:p>
    <w:p w14:paraId="2CA47335" w14:textId="439E8515" w:rsidR="00EA5D4F" w:rsidRPr="00EA5D4F" w:rsidRDefault="00EA5D4F" w:rsidP="00EA5D4F">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Toki entitateen portzentajea</w:t>
      </w:r>
    </w:p>
    <w:tbl>
      <w:tblPr>
        <w:tblW w:w="5000" w:type="pct"/>
        <w:tblCellMar>
          <w:left w:w="70" w:type="dxa"/>
          <w:right w:w="70" w:type="dxa"/>
        </w:tblCellMar>
        <w:tblLook w:val="04A0" w:firstRow="1" w:lastRow="0" w:firstColumn="1" w:lastColumn="0" w:noHBand="0" w:noVBand="1"/>
      </w:tblPr>
      <w:tblGrid>
        <w:gridCol w:w="2348"/>
        <w:gridCol w:w="1137"/>
        <w:gridCol w:w="858"/>
        <w:gridCol w:w="1267"/>
        <w:gridCol w:w="795"/>
        <w:gridCol w:w="1477"/>
        <w:gridCol w:w="907"/>
      </w:tblGrid>
      <w:tr w:rsidR="00E57B08" w:rsidRPr="00474131" w14:paraId="1453AF7A" w14:textId="77777777" w:rsidTr="00E57B08">
        <w:trPr>
          <w:trHeight w:val="227"/>
        </w:trPr>
        <w:tc>
          <w:tcPr>
            <w:tcW w:w="1336" w:type="pct"/>
            <w:vMerge w:val="restart"/>
            <w:tcBorders>
              <w:top w:val="single" w:sz="4" w:space="0" w:color="auto"/>
              <w:left w:val="nil"/>
              <w:right w:val="nil"/>
            </w:tcBorders>
            <w:shd w:val="clear" w:color="auto" w:fill="FABF8F" w:themeFill="accent6" w:themeFillTint="99"/>
            <w:noWrap/>
            <w:vAlign w:val="center"/>
            <w:hideMark/>
          </w:tcPr>
          <w:p w14:paraId="29D51117" w14:textId="3A21DC10" w:rsidR="00E57B08" w:rsidRPr="00474131" w:rsidRDefault="00E57B08" w:rsidP="00E57B08">
            <w:pPr>
              <w:pStyle w:val="cuadroCabe"/>
              <w:spacing w:line="240" w:lineRule="auto"/>
            </w:pPr>
            <w:r>
              <w:t>Entitate mota </w:t>
            </w:r>
          </w:p>
        </w:tc>
        <w:tc>
          <w:tcPr>
            <w:tcW w:w="1135"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6DFD69AF" w14:textId="77777777" w:rsidR="00E57B08" w:rsidRPr="00474131" w:rsidRDefault="00E57B08" w:rsidP="00E57B08">
            <w:pPr>
              <w:pStyle w:val="cuadroCabe"/>
              <w:spacing w:line="240" w:lineRule="auto"/>
              <w:jc w:val="right"/>
            </w:pPr>
            <w:r>
              <w:t xml:space="preserve">Epean </w:t>
            </w:r>
            <w:proofErr w:type="spellStart"/>
            <w:r>
              <w:t>onetsia</w:t>
            </w:r>
            <w:proofErr w:type="spellEnd"/>
          </w:p>
        </w:tc>
        <w:tc>
          <w:tcPr>
            <w:tcW w:w="1173"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2DCC3F9C" w14:textId="77777777" w:rsidR="00E57B08" w:rsidRPr="00474131" w:rsidRDefault="00E57B08" w:rsidP="00E57B08">
            <w:pPr>
              <w:pStyle w:val="cuadroCabe"/>
              <w:spacing w:line="240" w:lineRule="auto"/>
              <w:jc w:val="right"/>
            </w:pPr>
            <w:r>
              <w:t xml:space="preserve">Epean igorria </w:t>
            </w:r>
          </w:p>
        </w:tc>
        <w:tc>
          <w:tcPr>
            <w:tcW w:w="1356" w:type="pct"/>
            <w:gridSpan w:val="2"/>
            <w:tcBorders>
              <w:top w:val="single" w:sz="4" w:space="0" w:color="auto"/>
              <w:left w:val="nil"/>
              <w:bottom w:val="nil"/>
              <w:right w:val="nil"/>
            </w:tcBorders>
            <w:shd w:val="clear" w:color="auto" w:fill="FABF8F" w:themeFill="accent6" w:themeFillTint="99"/>
            <w:vAlign w:val="center"/>
            <w:hideMark/>
          </w:tcPr>
          <w:p w14:paraId="0FB0FFD8" w14:textId="77777777" w:rsidR="00E57B08" w:rsidRPr="00474131" w:rsidRDefault="00E57B08" w:rsidP="00E57B08">
            <w:pPr>
              <w:pStyle w:val="cuadroCabe"/>
              <w:spacing w:line="240" w:lineRule="auto"/>
              <w:jc w:val="right"/>
            </w:pPr>
            <w:r>
              <w:t>X+1-12-31rako igorria</w:t>
            </w:r>
          </w:p>
        </w:tc>
      </w:tr>
      <w:tr w:rsidR="00E57B08" w:rsidRPr="00474131" w14:paraId="1B003975" w14:textId="77777777" w:rsidTr="00E57B08">
        <w:trPr>
          <w:trHeight w:val="227"/>
        </w:trPr>
        <w:tc>
          <w:tcPr>
            <w:tcW w:w="1336" w:type="pct"/>
            <w:vMerge/>
            <w:tcBorders>
              <w:left w:val="nil"/>
              <w:bottom w:val="single" w:sz="4" w:space="0" w:color="auto"/>
              <w:right w:val="nil"/>
            </w:tcBorders>
            <w:shd w:val="clear" w:color="auto" w:fill="FABF8F" w:themeFill="accent6" w:themeFillTint="99"/>
            <w:noWrap/>
            <w:vAlign w:val="center"/>
            <w:hideMark/>
          </w:tcPr>
          <w:p w14:paraId="697FA306" w14:textId="298808D7" w:rsidR="00E57B08" w:rsidRPr="00474131" w:rsidRDefault="00E57B08" w:rsidP="00E57B08">
            <w:pPr>
              <w:pStyle w:val="cuadroCabe"/>
              <w:spacing w:line="240" w:lineRule="auto"/>
              <w:rPr>
                <w:lang w:val="es-ES" w:eastAsia="es-ES"/>
              </w:rPr>
            </w:pPr>
          </w:p>
        </w:tc>
        <w:tc>
          <w:tcPr>
            <w:tcW w:w="647" w:type="pct"/>
            <w:tcBorders>
              <w:top w:val="nil"/>
              <w:left w:val="nil"/>
              <w:bottom w:val="single" w:sz="4" w:space="0" w:color="auto"/>
              <w:right w:val="nil"/>
            </w:tcBorders>
            <w:shd w:val="clear" w:color="auto" w:fill="FABF8F" w:themeFill="accent6" w:themeFillTint="99"/>
            <w:vAlign w:val="center"/>
          </w:tcPr>
          <w:p w14:paraId="609E16DD" w14:textId="77777777" w:rsidR="00E57B08" w:rsidRPr="00474131" w:rsidRDefault="00E57B08" w:rsidP="00E57B08">
            <w:pPr>
              <w:pStyle w:val="cuadroCabe"/>
              <w:spacing w:line="240" w:lineRule="auto"/>
              <w:jc w:val="right"/>
            </w:pPr>
            <w:r>
              <w:t>2019</w:t>
            </w:r>
          </w:p>
        </w:tc>
        <w:tc>
          <w:tcPr>
            <w:tcW w:w="488" w:type="pct"/>
            <w:tcBorders>
              <w:top w:val="nil"/>
              <w:left w:val="nil"/>
              <w:bottom w:val="single" w:sz="4" w:space="0" w:color="auto"/>
              <w:right w:val="nil"/>
            </w:tcBorders>
            <w:shd w:val="clear" w:color="auto" w:fill="FABF8F" w:themeFill="accent6" w:themeFillTint="99"/>
            <w:vAlign w:val="center"/>
          </w:tcPr>
          <w:p w14:paraId="2BDFF587" w14:textId="77777777" w:rsidR="00E57B08" w:rsidRPr="00474131" w:rsidRDefault="00E57B08" w:rsidP="00E57B08">
            <w:pPr>
              <w:pStyle w:val="cuadroCabe"/>
              <w:spacing w:line="240" w:lineRule="auto"/>
              <w:jc w:val="right"/>
            </w:pPr>
            <w:r>
              <w:t>2020</w:t>
            </w:r>
          </w:p>
        </w:tc>
        <w:tc>
          <w:tcPr>
            <w:tcW w:w="721" w:type="pct"/>
            <w:tcBorders>
              <w:top w:val="nil"/>
              <w:left w:val="nil"/>
              <w:bottom w:val="single" w:sz="4" w:space="0" w:color="auto"/>
              <w:right w:val="nil"/>
            </w:tcBorders>
            <w:shd w:val="clear" w:color="auto" w:fill="FABF8F" w:themeFill="accent6" w:themeFillTint="99"/>
            <w:vAlign w:val="center"/>
          </w:tcPr>
          <w:p w14:paraId="49DAFC55" w14:textId="77777777" w:rsidR="00E57B08" w:rsidRPr="00474131" w:rsidRDefault="00E57B08" w:rsidP="00E57B08">
            <w:pPr>
              <w:pStyle w:val="cuadroCabe"/>
              <w:spacing w:line="240" w:lineRule="auto"/>
              <w:jc w:val="right"/>
            </w:pPr>
            <w:r>
              <w:t>2019</w:t>
            </w:r>
          </w:p>
        </w:tc>
        <w:tc>
          <w:tcPr>
            <w:tcW w:w="452" w:type="pct"/>
            <w:tcBorders>
              <w:top w:val="nil"/>
              <w:left w:val="nil"/>
              <w:bottom w:val="single" w:sz="4" w:space="0" w:color="auto"/>
              <w:right w:val="nil"/>
            </w:tcBorders>
            <w:shd w:val="clear" w:color="auto" w:fill="FABF8F" w:themeFill="accent6" w:themeFillTint="99"/>
            <w:vAlign w:val="center"/>
          </w:tcPr>
          <w:p w14:paraId="710F1CDF" w14:textId="77777777" w:rsidR="00E57B08" w:rsidRPr="00474131" w:rsidRDefault="00E57B08" w:rsidP="00E57B08">
            <w:pPr>
              <w:pStyle w:val="cuadroCabe"/>
              <w:spacing w:line="240" w:lineRule="auto"/>
              <w:jc w:val="right"/>
            </w:pPr>
            <w:r>
              <w:t>2020</w:t>
            </w:r>
          </w:p>
        </w:tc>
        <w:tc>
          <w:tcPr>
            <w:tcW w:w="840" w:type="pct"/>
            <w:tcBorders>
              <w:top w:val="single" w:sz="4" w:space="0" w:color="auto"/>
              <w:left w:val="nil"/>
              <w:bottom w:val="single" w:sz="4" w:space="0" w:color="auto"/>
              <w:right w:val="nil"/>
            </w:tcBorders>
            <w:shd w:val="clear" w:color="auto" w:fill="FABF8F" w:themeFill="accent6" w:themeFillTint="99"/>
            <w:vAlign w:val="center"/>
          </w:tcPr>
          <w:p w14:paraId="6BD3889A" w14:textId="77777777" w:rsidR="00E57B08" w:rsidRPr="00474131" w:rsidRDefault="00E57B08" w:rsidP="00E57B08">
            <w:pPr>
              <w:pStyle w:val="cuadroCabe"/>
              <w:spacing w:line="240" w:lineRule="auto"/>
              <w:jc w:val="right"/>
            </w:pPr>
            <w:r>
              <w:t>2019</w:t>
            </w:r>
          </w:p>
        </w:tc>
        <w:tc>
          <w:tcPr>
            <w:tcW w:w="517" w:type="pct"/>
            <w:tcBorders>
              <w:top w:val="single" w:sz="4" w:space="0" w:color="auto"/>
              <w:left w:val="nil"/>
              <w:bottom w:val="single" w:sz="4" w:space="0" w:color="auto"/>
              <w:right w:val="nil"/>
            </w:tcBorders>
            <w:shd w:val="clear" w:color="auto" w:fill="FABF8F" w:themeFill="accent6" w:themeFillTint="99"/>
            <w:vAlign w:val="center"/>
          </w:tcPr>
          <w:p w14:paraId="2D2C63DF" w14:textId="77777777" w:rsidR="00E57B08" w:rsidRPr="00474131" w:rsidRDefault="00E57B08" w:rsidP="00E57B08">
            <w:pPr>
              <w:pStyle w:val="cuadroCabe"/>
              <w:spacing w:line="240" w:lineRule="auto"/>
              <w:jc w:val="right"/>
            </w:pPr>
            <w:r>
              <w:t>2020</w:t>
            </w:r>
          </w:p>
        </w:tc>
      </w:tr>
      <w:tr w:rsidR="001C793D" w:rsidRPr="00474131" w14:paraId="0D49A1B9" w14:textId="77777777" w:rsidTr="00E57B08">
        <w:trPr>
          <w:trHeight w:val="227"/>
        </w:trPr>
        <w:tc>
          <w:tcPr>
            <w:tcW w:w="1336" w:type="pct"/>
            <w:tcBorders>
              <w:top w:val="nil"/>
              <w:left w:val="nil"/>
              <w:bottom w:val="single" w:sz="2" w:space="0" w:color="auto"/>
              <w:right w:val="nil"/>
            </w:tcBorders>
            <w:shd w:val="clear" w:color="auto" w:fill="auto"/>
            <w:noWrap/>
            <w:vAlign w:val="center"/>
            <w:hideMark/>
          </w:tcPr>
          <w:p w14:paraId="72A8F001" w14:textId="77777777" w:rsidR="00683931" w:rsidRPr="00474131" w:rsidRDefault="00683931" w:rsidP="00E57B08">
            <w:pPr>
              <w:pStyle w:val="cuatexto"/>
              <w:spacing w:line="240" w:lineRule="auto"/>
            </w:pPr>
            <w:r>
              <w:t>Udalak</w:t>
            </w:r>
          </w:p>
        </w:tc>
        <w:tc>
          <w:tcPr>
            <w:tcW w:w="647" w:type="pct"/>
            <w:tcBorders>
              <w:top w:val="nil"/>
              <w:left w:val="nil"/>
              <w:bottom w:val="single" w:sz="2" w:space="0" w:color="auto"/>
              <w:right w:val="nil"/>
            </w:tcBorders>
            <w:shd w:val="clear" w:color="auto" w:fill="auto"/>
            <w:noWrap/>
            <w:vAlign w:val="center"/>
          </w:tcPr>
          <w:p w14:paraId="560C4089" w14:textId="5CF4ADDC" w:rsidR="00683931" w:rsidRPr="00474131" w:rsidRDefault="00683931" w:rsidP="00E57B08">
            <w:pPr>
              <w:pStyle w:val="cuatexto"/>
              <w:spacing w:line="240" w:lineRule="auto"/>
              <w:jc w:val="right"/>
            </w:pPr>
            <w:r>
              <w:t>85</w:t>
            </w:r>
          </w:p>
        </w:tc>
        <w:tc>
          <w:tcPr>
            <w:tcW w:w="488" w:type="pct"/>
            <w:tcBorders>
              <w:top w:val="nil"/>
              <w:left w:val="nil"/>
              <w:bottom w:val="single" w:sz="2" w:space="0" w:color="auto"/>
              <w:right w:val="nil"/>
            </w:tcBorders>
            <w:shd w:val="clear" w:color="auto" w:fill="auto"/>
            <w:noWrap/>
            <w:vAlign w:val="center"/>
          </w:tcPr>
          <w:p w14:paraId="2F14B072" w14:textId="5A7D7AB9" w:rsidR="00683931" w:rsidRPr="00474131" w:rsidRDefault="00683931" w:rsidP="00E57B08">
            <w:pPr>
              <w:pStyle w:val="cuatexto"/>
              <w:spacing w:line="240" w:lineRule="auto"/>
              <w:jc w:val="right"/>
            </w:pPr>
            <w:r>
              <w:t>69</w:t>
            </w:r>
          </w:p>
        </w:tc>
        <w:tc>
          <w:tcPr>
            <w:tcW w:w="721" w:type="pct"/>
            <w:tcBorders>
              <w:top w:val="nil"/>
              <w:left w:val="nil"/>
              <w:bottom w:val="single" w:sz="2" w:space="0" w:color="auto"/>
              <w:right w:val="nil"/>
            </w:tcBorders>
            <w:shd w:val="clear" w:color="auto" w:fill="auto"/>
            <w:noWrap/>
            <w:vAlign w:val="center"/>
          </w:tcPr>
          <w:p w14:paraId="47C1D5BD" w14:textId="71DDC3C6" w:rsidR="00683931" w:rsidRPr="00474131" w:rsidRDefault="00683931" w:rsidP="00E57B08">
            <w:pPr>
              <w:pStyle w:val="cuatexto"/>
              <w:spacing w:line="240" w:lineRule="auto"/>
              <w:jc w:val="right"/>
            </w:pPr>
            <w:r>
              <w:t>71</w:t>
            </w:r>
          </w:p>
        </w:tc>
        <w:tc>
          <w:tcPr>
            <w:tcW w:w="452" w:type="pct"/>
            <w:tcBorders>
              <w:top w:val="nil"/>
              <w:left w:val="nil"/>
              <w:bottom w:val="single" w:sz="2" w:space="0" w:color="auto"/>
              <w:right w:val="nil"/>
            </w:tcBorders>
            <w:shd w:val="clear" w:color="auto" w:fill="auto"/>
            <w:noWrap/>
            <w:vAlign w:val="center"/>
          </w:tcPr>
          <w:p w14:paraId="723182B5" w14:textId="16C39104" w:rsidR="00683931" w:rsidRPr="00474131" w:rsidRDefault="00683931" w:rsidP="00E57B08">
            <w:pPr>
              <w:pStyle w:val="cuatexto"/>
              <w:spacing w:line="240" w:lineRule="auto"/>
              <w:jc w:val="right"/>
            </w:pPr>
            <w:r>
              <w:t>57</w:t>
            </w:r>
          </w:p>
        </w:tc>
        <w:tc>
          <w:tcPr>
            <w:tcW w:w="840" w:type="pct"/>
            <w:tcBorders>
              <w:top w:val="nil"/>
              <w:left w:val="nil"/>
              <w:bottom w:val="single" w:sz="2" w:space="0" w:color="auto"/>
              <w:right w:val="nil"/>
            </w:tcBorders>
            <w:shd w:val="clear" w:color="auto" w:fill="auto"/>
            <w:noWrap/>
            <w:vAlign w:val="center"/>
          </w:tcPr>
          <w:p w14:paraId="70704BCB" w14:textId="69CB7E03" w:rsidR="00683931" w:rsidRPr="00474131" w:rsidRDefault="00FB2CFA" w:rsidP="00E57B08">
            <w:pPr>
              <w:pStyle w:val="cuatexto"/>
              <w:spacing w:line="240" w:lineRule="auto"/>
              <w:jc w:val="right"/>
            </w:pPr>
            <w:r>
              <w:t>72</w:t>
            </w:r>
          </w:p>
        </w:tc>
        <w:tc>
          <w:tcPr>
            <w:tcW w:w="517" w:type="pct"/>
            <w:tcBorders>
              <w:top w:val="nil"/>
              <w:left w:val="nil"/>
              <w:bottom w:val="single" w:sz="2" w:space="0" w:color="auto"/>
              <w:right w:val="nil"/>
            </w:tcBorders>
            <w:shd w:val="clear" w:color="auto" w:fill="auto"/>
            <w:noWrap/>
            <w:vAlign w:val="center"/>
          </w:tcPr>
          <w:p w14:paraId="1F189645" w14:textId="6408AF77" w:rsidR="00683931" w:rsidRPr="00474131" w:rsidRDefault="00FB2CFA" w:rsidP="00E57B08">
            <w:pPr>
              <w:pStyle w:val="cuatexto"/>
              <w:spacing w:line="240" w:lineRule="auto"/>
              <w:jc w:val="right"/>
            </w:pPr>
            <w:r>
              <w:t>71</w:t>
            </w:r>
          </w:p>
        </w:tc>
      </w:tr>
      <w:tr w:rsidR="001C793D" w:rsidRPr="00474131" w14:paraId="1F0BD831" w14:textId="77777777" w:rsidTr="00E57B08">
        <w:trPr>
          <w:trHeight w:val="227"/>
        </w:trPr>
        <w:tc>
          <w:tcPr>
            <w:tcW w:w="1336" w:type="pct"/>
            <w:tcBorders>
              <w:top w:val="single" w:sz="2" w:space="0" w:color="auto"/>
              <w:left w:val="nil"/>
              <w:bottom w:val="single" w:sz="2" w:space="0" w:color="auto"/>
              <w:right w:val="nil"/>
            </w:tcBorders>
            <w:shd w:val="clear" w:color="auto" w:fill="auto"/>
            <w:noWrap/>
            <w:vAlign w:val="center"/>
            <w:hideMark/>
          </w:tcPr>
          <w:p w14:paraId="5CCDE2B7" w14:textId="77777777" w:rsidR="00683931" w:rsidRPr="00474131" w:rsidRDefault="00683931" w:rsidP="00E57B08">
            <w:pPr>
              <w:pStyle w:val="cuatexto"/>
              <w:spacing w:line="240" w:lineRule="auto"/>
            </w:pPr>
            <w:r>
              <w:t>Kontzejuak</w:t>
            </w:r>
          </w:p>
        </w:tc>
        <w:tc>
          <w:tcPr>
            <w:tcW w:w="647" w:type="pct"/>
            <w:tcBorders>
              <w:top w:val="single" w:sz="2" w:space="0" w:color="auto"/>
              <w:left w:val="nil"/>
              <w:bottom w:val="single" w:sz="2" w:space="0" w:color="auto"/>
              <w:right w:val="nil"/>
            </w:tcBorders>
            <w:shd w:val="clear" w:color="auto" w:fill="auto"/>
            <w:noWrap/>
            <w:vAlign w:val="center"/>
          </w:tcPr>
          <w:p w14:paraId="617F5C46" w14:textId="70F3E056" w:rsidR="00683931" w:rsidRPr="00474131" w:rsidRDefault="00683931" w:rsidP="00E57B08">
            <w:pPr>
              <w:pStyle w:val="cuatexto"/>
              <w:spacing w:line="240" w:lineRule="auto"/>
              <w:jc w:val="right"/>
            </w:pPr>
            <w:r>
              <w:t>74</w:t>
            </w:r>
          </w:p>
        </w:tc>
        <w:tc>
          <w:tcPr>
            <w:tcW w:w="488" w:type="pct"/>
            <w:tcBorders>
              <w:top w:val="single" w:sz="2" w:space="0" w:color="auto"/>
              <w:left w:val="nil"/>
              <w:bottom w:val="single" w:sz="2" w:space="0" w:color="auto"/>
              <w:right w:val="nil"/>
            </w:tcBorders>
            <w:shd w:val="clear" w:color="auto" w:fill="auto"/>
            <w:noWrap/>
            <w:vAlign w:val="center"/>
          </w:tcPr>
          <w:p w14:paraId="6E03C271" w14:textId="2EA81844" w:rsidR="00683931" w:rsidRPr="00474131" w:rsidRDefault="00683931" w:rsidP="00E57B08">
            <w:pPr>
              <w:pStyle w:val="cuatexto"/>
              <w:spacing w:line="240" w:lineRule="auto"/>
              <w:jc w:val="right"/>
            </w:pPr>
            <w:r>
              <w:t>68</w:t>
            </w:r>
          </w:p>
        </w:tc>
        <w:tc>
          <w:tcPr>
            <w:tcW w:w="721" w:type="pct"/>
            <w:tcBorders>
              <w:top w:val="single" w:sz="2" w:space="0" w:color="auto"/>
              <w:left w:val="nil"/>
              <w:bottom w:val="single" w:sz="2" w:space="0" w:color="auto"/>
              <w:right w:val="nil"/>
            </w:tcBorders>
            <w:shd w:val="clear" w:color="auto" w:fill="auto"/>
            <w:noWrap/>
            <w:vAlign w:val="center"/>
          </w:tcPr>
          <w:p w14:paraId="2147612A" w14:textId="3EAF687D" w:rsidR="00683931" w:rsidRPr="00474131" w:rsidRDefault="00683931" w:rsidP="00E57B08">
            <w:pPr>
              <w:pStyle w:val="cuatexto"/>
              <w:spacing w:line="240" w:lineRule="auto"/>
              <w:jc w:val="right"/>
            </w:pPr>
            <w:r>
              <w:t>55</w:t>
            </w:r>
          </w:p>
        </w:tc>
        <w:tc>
          <w:tcPr>
            <w:tcW w:w="452" w:type="pct"/>
            <w:tcBorders>
              <w:top w:val="single" w:sz="2" w:space="0" w:color="auto"/>
              <w:left w:val="nil"/>
              <w:bottom w:val="single" w:sz="2" w:space="0" w:color="auto"/>
              <w:right w:val="nil"/>
            </w:tcBorders>
            <w:shd w:val="clear" w:color="auto" w:fill="auto"/>
            <w:noWrap/>
            <w:vAlign w:val="center"/>
          </w:tcPr>
          <w:p w14:paraId="4A674254" w14:textId="656D6457" w:rsidR="00683931" w:rsidRPr="00474131" w:rsidRDefault="00683931" w:rsidP="00E57B08">
            <w:pPr>
              <w:pStyle w:val="cuatexto"/>
              <w:spacing w:line="240" w:lineRule="auto"/>
              <w:jc w:val="right"/>
            </w:pPr>
            <w:r>
              <w:t>52</w:t>
            </w:r>
          </w:p>
        </w:tc>
        <w:tc>
          <w:tcPr>
            <w:tcW w:w="840" w:type="pct"/>
            <w:tcBorders>
              <w:top w:val="single" w:sz="2" w:space="0" w:color="auto"/>
              <w:left w:val="nil"/>
              <w:bottom w:val="single" w:sz="2" w:space="0" w:color="auto"/>
              <w:right w:val="nil"/>
            </w:tcBorders>
            <w:shd w:val="clear" w:color="auto" w:fill="auto"/>
            <w:noWrap/>
            <w:vAlign w:val="center"/>
          </w:tcPr>
          <w:p w14:paraId="76686196" w14:textId="519680A2" w:rsidR="00683931" w:rsidRPr="00474131" w:rsidRDefault="00FB2CFA" w:rsidP="00E57B08">
            <w:pPr>
              <w:pStyle w:val="cuatexto"/>
              <w:spacing w:line="240" w:lineRule="auto"/>
              <w:jc w:val="right"/>
            </w:pPr>
            <w:r>
              <w:t>57</w:t>
            </w:r>
          </w:p>
        </w:tc>
        <w:tc>
          <w:tcPr>
            <w:tcW w:w="517" w:type="pct"/>
            <w:tcBorders>
              <w:top w:val="single" w:sz="2" w:space="0" w:color="auto"/>
              <w:left w:val="nil"/>
              <w:bottom w:val="single" w:sz="2" w:space="0" w:color="auto"/>
              <w:right w:val="nil"/>
            </w:tcBorders>
            <w:shd w:val="clear" w:color="auto" w:fill="auto"/>
            <w:noWrap/>
            <w:vAlign w:val="center"/>
          </w:tcPr>
          <w:p w14:paraId="1D74A5DD" w14:textId="6159246B" w:rsidR="00683931" w:rsidRPr="00474131" w:rsidRDefault="00FB2CFA" w:rsidP="00E57B08">
            <w:pPr>
              <w:pStyle w:val="cuatexto"/>
              <w:spacing w:line="240" w:lineRule="auto"/>
              <w:jc w:val="right"/>
            </w:pPr>
            <w:r>
              <w:t>66</w:t>
            </w:r>
          </w:p>
        </w:tc>
      </w:tr>
      <w:tr w:rsidR="001C793D" w:rsidRPr="00474131" w14:paraId="6EA4D371" w14:textId="77777777" w:rsidTr="00E57B08">
        <w:trPr>
          <w:trHeight w:val="227"/>
        </w:trPr>
        <w:tc>
          <w:tcPr>
            <w:tcW w:w="1336" w:type="pct"/>
            <w:tcBorders>
              <w:top w:val="single" w:sz="2" w:space="0" w:color="auto"/>
              <w:left w:val="nil"/>
              <w:bottom w:val="single" w:sz="2" w:space="0" w:color="auto"/>
              <w:right w:val="nil"/>
            </w:tcBorders>
            <w:shd w:val="clear" w:color="auto" w:fill="auto"/>
            <w:noWrap/>
            <w:vAlign w:val="center"/>
            <w:hideMark/>
          </w:tcPr>
          <w:p w14:paraId="24719F87" w14:textId="77777777" w:rsidR="00683931" w:rsidRPr="00474131" w:rsidRDefault="00683931" w:rsidP="00E57B08">
            <w:pPr>
              <w:pStyle w:val="cuatexto"/>
              <w:spacing w:line="240" w:lineRule="auto"/>
            </w:pPr>
            <w:r>
              <w:t>Mankomunitateak</w:t>
            </w:r>
          </w:p>
        </w:tc>
        <w:tc>
          <w:tcPr>
            <w:tcW w:w="647" w:type="pct"/>
            <w:tcBorders>
              <w:top w:val="single" w:sz="2" w:space="0" w:color="auto"/>
              <w:left w:val="nil"/>
              <w:bottom w:val="single" w:sz="2" w:space="0" w:color="auto"/>
              <w:right w:val="nil"/>
            </w:tcBorders>
            <w:shd w:val="clear" w:color="auto" w:fill="auto"/>
            <w:noWrap/>
            <w:vAlign w:val="center"/>
          </w:tcPr>
          <w:p w14:paraId="3601BBB6" w14:textId="6148241A" w:rsidR="00683931" w:rsidRPr="00474131" w:rsidRDefault="00683931" w:rsidP="00E57B08">
            <w:pPr>
              <w:pStyle w:val="cuatexto"/>
              <w:spacing w:line="240" w:lineRule="auto"/>
              <w:jc w:val="right"/>
            </w:pPr>
            <w:r>
              <w:t>66</w:t>
            </w:r>
          </w:p>
        </w:tc>
        <w:tc>
          <w:tcPr>
            <w:tcW w:w="488" w:type="pct"/>
            <w:tcBorders>
              <w:top w:val="single" w:sz="2" w:space="0" w:color="auto"/>
              <w:left w:val="nil"/>
              <w:bottom w:val="single" w:sz="2" w:space="0" w:color="auto"/>
              <w:right w:val="nil"/>
            </w:tcBorders>
            <w:shd w:val="clear" w:color="auto" w:fill="auto"/>
            <w:noWrap/>
            <w:vAlign w:val="center"/>
          </w:tcPr>
          <w:p w14:paraId="7B8AFB66" w14:textId="44E502F9" w:rsidR="00683931" w:rsidRPr="00474131" w:rsidRDefault="00683931" w:rsidP="00E57B08">
            <w:pPr>
              <w:pStyle w:val="cuatexto"/>
              <w:spacing w:line="240" w:lineRule="auto"/>
              <w:jc w:val="right"/>
            </w:pPr>
            <w:r>
              <w:t>61</w:t>
            </w:r>
          </w:p>
        </w:tc>
        <w:tc>
          <w:tcPr>
            <w:tcW w:w="721" w:type="pct"/>
            <w:tcBorders>
              <w:top w:val="single" w:sz="2" w:space="0" w:color="auto"/>
              <w:left w:val="nil"/>
              <w:bottom w:val="single" w:sz="2" w:space="0" w:color="auto"/>
              <w:right w:val="nil"/>
            </w:tcBorders>
            <w:shd w:val="clear" w:color="auto" w:fill="auto"/>
            <w:noWrap/>
            <w:vAlign w:val="center"/>
          </w:tcPr>
          <w:p w14:paraId="1DDB606F" w14:textId="5E878F62" w:rsidR="00683931" w:rsidRPr="00474131" w:rsidRDefault="00683931" w:rsidP="00E57B08">
            <w:pPr>
              <w:pStyle w:val="cuatexto"/>
              <w:spacing w:line="240" w:lineRule="auto"/>
              <w:jc w:val="right"/>
            </w:pPr>
            <w:r>
              <w:t>53</w:t>
            </w:r>
          </w:p>
        </w:tc>
        <w:tc>
          <w:tcPr>
            <w:tcW w:w="452" w:type="pct"/>
            <w:tcBorders>
              <w:top w:val="single" w:sz="2" w:space="0" w:color="auto"/>
              <w:left w:val="nil"/>
              <w:bottom w:val="single" w:sz="2" w:space="0" w:color="auto"/>
              <w:right w:val="nil"/>
            </w:tcBorders>
            <w:shd w:val="clear" w:color="auto" w:fill="auto"/>
            <w:noWrap/>
            <w:vAlign w:val="center"/>
          </w:tcPr>
          <w:p w14:paraId="040F36DA" w14:textId="6721BBBB" w:rsidR="00683931" w:rsidRPr="00474131" w:rsidRDefault="00683931" w:rsidP="00E57B08">
            <w:pPr>
              <w:pStyle w:val="cuatexto"/>
              <w:spacing w:line="240" w:lineRule="auto"/>
              <w:jc w:val="right"/>
            </w:pPr>
            <w:r>
              <w:t>54</w:t>
            </w:r>
          </w:p>
        </w:tc>
        <w:tc>
          <w:tcPr>
            <w:tcW w:w="840" w:type="pct"/>
            <w:tcBorders>
              <w:top w:val="single" w:sz="2" w:space="0" w:color="auto"/>
              <w:left w:val="nil"/>
              <w:bottom w:val="single" w:sz="2" w:space="0" w:color="auto"/>
              <w:right w:val="nil"/>
            </w:tcBorders>
            <w:shd w:val="clear" w:color="auto" w:fill="auto"/>
            <w:noWrap/>
            <w:vAlign w:val="center"/>
          </w:tcPr>
          <w:p w14:paraId="56B80955" w14:textId="3B5ACE87" w:rsidR="00683931" w:rsidRPr="00474131" w:rsidRDefault="00FB2CFA" w:rsidP="00E57B08">
            <w:pPr>
              <w:pStyle w:val="cuatexto"/>
              <w:spacing w:line="240" w:lineRule="auto"/>
              <w:jc w:val="right"/>
            </w:pPr>
            <w:r>
              <w:t>53</w:t>
            </w:r>
          </w:p>
        </w:tc>
        <w:tc>
          <w:tcPr>
            <w:tcW w:w="517" w:type="pct"/>
            <w:tcBorders>
              <w:top w:val="single" w:sz="2" w:space="0" w:color="auto"/>
              <w:left w:val="nil"/>
              <w:bottom w:val="single" w:sz="2" w:space="0" w:color="auto"/>
              <w:right w:val="nil"/>
            </w:tcBorders>
            <w:shd w:val="clear" w:color="auto" w:fill="auto"/>
            <w:noWrap/>
            <w:vAlign w:val="center"/>
          </w:tcPr>
          <w:p w14:paraId="6D4AEE4C" w14:textId="73CC76FC" w:rsidR="00683931" w:rsidRPr="00474131" w:rsidRDefault="00FB2CFA" w:rsidP="00E57B08">
            <w:pPr>
              <w:pStyle w:val="cuatexto"/>
              <w:spacing w:line="240" w:lineRule="auto"/>
              <w:jc w:val="right"/>
            </w:pPr>
            <w:r>
              <w:t>66</w:t>
            </w:r>
          </w:p>
        </w:tc>
      </w:tr>
      <w:tr w:rsidR="001C793D" w:rsidRPr="00474131" w14:paraId="7F2B0D6B" w14:textId="77777777" w:rsidTr="004E2CFD">
        <w:trPr>
          <w:trHeight w:val="227"/>
        </w:trPr>
        <w:tc>
          <w:tcPr>
            <w:tcW w:w="1336" w:type="pct"/>
            <w:tcBorders>
              <w:top w:val="single" w:sz="2" w:space="0" w:color="auto"/>
              <w:left w:val="nil"/>
              <w:bottom w:val="single" w:sz="4" w:space="0" w:color="auto"/>
              <w:right w:val="nil"/>
            </w:tcBorders>
            <w:shd w:val="clear" w:color="auto" w:fill="auto"/>
            <w:noWrap/>
            <w:vAlign w:val="center"/>
            <w:hideMark/>
          </w:tcPr>
          <w:p w14:paraId="44507D61" w14:textId="77777777" w:rsidR="00683931" w:rsidRPr="00474131" w:rsidRDefault="00683931" w:rsidP="00E57B08">
            <w:pPr>
              <w:pStyle w:val="cuatexto"/>
              <w:spacing w:line="240" w:lineRule="auto"/>
            </w:pPr>
            <w:r>
              <w:t>Udalen batasunak</w:t>
            </w:r>
          </w:p>
        </w:tc>
        <w:tc>
          <w:tcPr>
            <w:tcW w:w="647" w:type="pct"/>
            <w:tcBorders>
              <w:top w:val="single" w:sz="2" w:space="0" w:color="auto"/>
              <w:left w:val="nil"/>
              <w:bottom w:val="single" w:sz="4" w:space="0" w:color="auto"/>
              <w:right w:val="nil"/>
            </w:tcBorders>
            <w:shd w:val="clear" w:color="auto" w:fill="auto"/>
            <w:noWrap/>
            <w:vAlign w:val="center"/>
          </w:tcPr>
          <w:p w14:paraId="5EE6B84B" w14:textId="0853BFFC" w:rsidR="00683931" w:rsidRPr="00474131" w:rsidRDefault="00683931" w:rsidP="00E57B08">
            <w:pPr>
              <w:pStyle w:val="cuatexto"/>
              <w:spacing w:line="240" w:lineRule="auto"/>
              <w:jc w:val="right"/>
            </w:pPr>
            <w:r>
              <w:t>59</w:t>
            </w:r>
          </w:p>
        </w:tc>
        <w:tc>
          <w:tcPr>
            <w:tcW w:w="488" w:type="pct"/>
            <w:tcBorders>
              <w:top w:val="single" w:sz="2" w:space="0" w:color="auto"/>
              <w:left w:val="nil"/>
              <w:bottom w:val="single" w:sz="4" w:space="0" w:color="auto"/>
              <w:right w:val="nil"/>
            </w:tcBorders>
            <w:shd w:val="clear" w:color="auto" w:fill="auto"/>
            <w:noWrap/>
            <w:vAlign w:val="center"/>
          </w:tcPr>
          <w:p w14:paraId="54390F14" w14:textId="4F41FDA5" w:rsidR="00683931" w:rsidRPr="00474131" w:rsidRDefault="00683931" w:rsidP="00E57B08">
            <w:pPr>
              <w:pStyle w:val="cuatexto"/>
              <w:spacing w:line="240" w:lineRule="auto"/>
              <w:jc w:val="right"/>
            </w:pPr>
            <w:r>
              <w:t>64</w:t>
            </w:r>
          </w:p>
        </w:tc>
        <w:tc>
          <w:tcPr>
            <w:tcW w:w="721" w:type="pct"/>
            <w:tcBorders>
              <w:top w:val="single" w:sz="2" w:space="0" w:color="auto"/>
              <w:left w:val="nil"/>
              <w:bottom w:val="single" w:sz="4" w:space="0" w:color="auto"/>
              <w:right w:val="nil"/>
            </w:tcBorders>
            <w:shd w:val="clear" w:color="auto" w:fill="auto"/>
            <w:noWrap/>
            <w:vAlign w:val="center"/>
          </w:tcPr>
          <w:p w14:paraId="2C045972" w14:textId="34DA955E" w:rsidR="00683931" w:rsidRPr="00474131" w:rsidRDefault="00683931" w:rsidP="00E57B08">
            <w:pPr>
              <w:pStyle w:val="cuatexto"/>
              <w:spacing w:line="240" w:lineRule="auto"/>
              <w:jc w:val="right"/>
            </w:pPr>
            <w:r>
              <w:t>41</w:t>
            </w:r>
          </w:p>
        </w:tc>
        <w:tc>
          <w:tcPr>
            <w:tcW w:w="452" w:type="pct"/>
            <w:tcBorders>
              <w:top w:val="single" w:sz="2" w:space="0" w:color="auto"/>
              <w:left w:val="nil"/>
              <w:bottom w:val="single" w:sz="4" w:space="0" w:color="auto"/>
              <w:right w:val="nil"/>
            </w:tcBorders>
            <w:shd w:val="clear" w:color="auto" w:fill="auto"/>
            <w:noWrap/>
            <w:vAlign w:val="center"/>
          </w:tcPr>
          <w:p w14:paraId="3DE82276" w14:textId="2BA42D6D" w:rsidR="00683931" w:rsidRPr="00474131" w:rsidRDefault="00683931" w:rsidP="00E57B08">
            <w:pPr>
              <w:pStyle w:val="cuatexto"/>
              <w:spacing w:line="240" w:lineRule="auto"/>
              <w:jc w:val="right"/>
            </w:pPr>
            <w:r>
              <w:t>41</w:t>
            </w:r>
          </w:p>
        </w:tc>
        <w:tc>
          <w:tcPr>
            <w:tcW w:w="840" w:type="pct"/>
            <w:tcBorders>
              <w:top w:val="single" w:sz="2" w:space="0" w:color="auto"/>
              <w:left w:val="nil"/>
              <w:bottom w:val="single" w:sz="4" w:space="0" w:color="auto"/>
              <w:right w:val="nil"/>
            </w:tcBorders>
            <w:shd w:val="clear" w:color="auto" w:fill="auto"/>
            <w:noWrap/>
            <w:vAlign w:val="center"/>
          </w:tcPr>
          <w:p w14:paraId="0D7EDD9D" w14:textId="0E83D38E" w:rsidR="00683931" w:rsidRPr="00474131" w:rsidRDefault="00FB2CFA" w:rsidP="00E57B08">
            <w:pPr>
              <w:pStyle w:val="cuatexto"/>
              <w:spacing w:line="240" w:lineRule="auto"/>
              <w:jc w:val="right"/>
            </w:pPr>
            <w:r>
              <w:t>55</w:t>
            </w:r>
          </w:p>
        </w:tc>
        <w:tc>
          <w:tcPr>
            <w:tcW w:w="517" w:type="pct"/>
            <w:tcBorders>
              <w:top w:val="single" w:sz="2" w:space="0" w:color="auto"/>
              <w:left w:val="nil"/>
              <w:bottom w:val="single" w:sz="4" w:space="0" w:color="auto"/>
              <w:right w:val="nil"/>
            </w:tcBorders>
            <w:shd w:val="clear" w:color="auto" w:fill="auto"/>
            <w:noWrap/>
            <w:vAlign w:val="center"/>
          </w:tcPr>
          <w:p w14:paraId="57089438" w14:textId="275844F9" w:rsidR="00683931" w:rsidRPr="00474131" w:rsidRDefault="00FB2CFA" w:rsidP="00E57B08">
            <w:pPr>
              <w:pStyle w:val="cuatexto"/>
              <w:spacing w:line="240" w:lineRule="auto"/>
              <w:jc w:val="right"/>
            </w:pPr>
            <w:r>
              <w:t>68</w:t>
            </w:r>
          </w:p>
        </w:tc>
      </w:tr>
      <w:tr w:rsidR="001C793D" w:rsidRPr="00474131" w14:paraId="6BB471A8" w14:textId="77777777" w:rsidTr="00E57B08">
        <w:trPr>
          <w:trHeight w:val="227"/>
        </w:trPr>
        <w:tc>
          <w:tcPr>
            <w:tcW w:w="1336" w:type="pct"/>
            <w:tcBorders>
              <w:top w:val="single" w:sz="4" w:space="0" w:color="auto"/>
              <w:left w:val="nil"/>
              <w:bottom w:val="single" w:sz="4" w:space="0" w:color="auto"/>
              <w:right w:val="nil"/>
            </w:tcBorders>
            <w:shd w:val="clear" w:color="auto" w:fill="FABF8F" w:themeFill="accent6" w:themeFillTint="99"/>
            <w:noWrap/>
            <w:vAlign w:val="center"/>
          </w:tcPr>
          <w:p w14:paraId="31AEC359" w14:textId="77777777" w:rsidR="008E43F9" w:rsidRPr="00474131" w:rsidRDefault="008E43F9" w:rsidP="00E57B08">
            <w:pPr>
              <w:pStyle w:val="cuadroCabe"/>
              <w:spacing w:line="240" w:lineRule="auto"/>
            </w:pPr>
            <w:r>
              <w:t>Guztira</w:t>
            </w:r>
          </w:p>
        </w:tc>
        <w:tc>
          <w:tcPr>
            <w:tcW w:w="647" w:type="pct"/>
            <w:tcBorders>
              <w:top w:val="single" w:sz="4" w:space="0" w:color="auto"/>
              <w:left w:val="nil"/>
              <w:bottom w:val="single" w:sz="4" w:space="0" w:color="auto"/>
              <w:right w:val="nil"/>
            </w:tcBorders>
            <w:shd w:val="clear" w:color="auto" w:fill="FABF8F" w:themeFill="accent6" w:themeFillTint="99"/>
            <w:noWrap/>
            <w:vAlign w:val="center"/>
          </w:tcPr>
          <w:p w14:paraId="18890261" w14:textId="416385BA" w:rsidR="008E43F9" w:rsidRPr="00474131" w:rsidRDefault="008E43F9" w:rsidP="00E57B08">
            <w:pPr>
              <w:pStyle w:val="cuadroCabe"/>
              <w:spacing w:line="240" w:lineRule="auto"/>
              <w:jc w:val="right"/>
            </w:pPr>
            <w:r>
              <w:t>77</w:t>
            </w:r>
          </w:p>
        </w:tc>
        <w:tc>
          <w:tcPr>
            <w:tcW w:w="488" w:type="pct"/>
            <w:tcBorders>
              <w:top w:val="single" w:sz="4" w:space="0" w:color="auto"/>
              <w:left w:val="nil"/>
              <w:bottom w:val="single" w:sz="4" w:space="0" w:color="auto"/>
              <w:right w:val="nil"/>
            </w:tcBorders>
            <w:shd w:val="clear" w:color="auto" w:fill="FABF8F" w:themeFill="accent6" w:themeFillTint="99"/>
            <w:noWrap/>
            <w:vAlign w:val="center"/>
          </w:tcPr>
          <w:p w14:paraId="5B2CFCEF" w14:textId="6054F746" w:rsidR="008E43F9" w:rsidRPr="00474131" w:rsidRDefault="008E43F9" w:rsidP="00E57B08">
            <w:pPr>
              <w:pStyle w:val="cuadroCabe"/>
              <w:spacing w:line="240" w:lineRule="auto"/>
              <w:jc w:val="right"/>
            </w:pPr>
            <w:r>
              <w:t>68</w:t>
            </w:r>
          </w:p>
        </w:tc>
        <w:tc>
          <w:tcPr>
            <w:tcW w:w="721" w:type="pct"/>
            <w:tcBorders>
              <w:top w:val="single" w:sz="4" w:space="0" w:color="auto"/>
              <w:left w:val="nil"/>
              <w:bottom w:val="single" w:sz="4" w:space="0" w:color="auto"/>
              <w:right w:val="nil"/>
            </w:tcBorders>
            <w:shd w:val="clear" w:color="auto" w:fill="FABF8F" w:themeFill="accent6" w:themeFillTint="99"/>
            <w:noWrap/>
            <w:vAlign w:val="center"/>
          </w:tcPr>
          <w:p w14:paraId="67F0316B" w14:textId="2224504E" w:rsidR="008E43F9" w:rsidRPr="00474131" w:rsidRDefault="008E43F9" w:rsidP="00E57B08">
            <w:pPr>
              <w:pStyle w:val="cuadroCabe"/>
              <w:spacing w:line="240" w:lineRule="auto"/>
              <w:jc w:val="right"/>
            </w:pPr>
            <w:r>
              <w:t>61</w:t>
            </w:r>
          </w:p>
        </w:tc>
        <w:tc>
          <w:tcPr>
            <w:tcW w:w="452" w:type="pct"/>
            <w:tcBorders>
              <w:top w:val="single" w:sz="4" w:space="0" w:color="auto"/>
              <w:left w:val="nil"/>
              <w:bottom w:val="single" w:sz="4" w:space="0" w:color="auto"/>
              <w:right w:val="nil"/>
            </w:tcBorders>
            <w:shd w:val="clear" w:color="auto" w:fill="FABF8F" w:themeFill="accent6" w:themeFillTint="99"/>
            <w:noWrap/>
            <w:vAlign w:val="center"/>
          </w:tcPr>
          <w:p w14:paraId="04A4B27D" w14:textId="5C1F86D0" w:rsidR="008E43F9" w:rsidRPr="00474131" w:rsidRDefault="008E43F9" w:rsidP="00E57B08">
            <w:pPr>
              <w:pStyle w:val="cuadroCabe"/>
              <w:spacing w:line="240" w:lineRule="auto"/>
              <w:jc w:val="right"/>
            </w:pPr>
            <w:r>
              <w:t>53</w:t>
            </w:r>
          </w:p>
        </w:tc>
        <w:tc>
          <w:tcPr>
            <w:tcW w:w="840" w:type="pct"/>
            <w:tcBorders>
              <w:top w:val="single" w:sz="4" w:space="0" w:color="auto"/>
              <w:left w:val="nil"/>
              <w:bottom w:val="single" w:sz="4" w:space="0" w:color="auto"/>
              <w:right w:val="nil"/>
            </w:tcBorders>
            <w:shd w:val="clear" w:color="auto" w:fill="FABF8F" w:themeFill="accent6" w:themeFillTint="99"/>
            <w:noWrap/>
            <w:vAlign w:val="center"/>
          </w:tcPr>
          <w:p w14:paraId="3D600601" w14:textId="1AEB861F" w:rsidR="008E43F9" w:rsidRPr="00474131" w:rsidRDefault="008E43F9" w:rsidP="00E57B08">
            <w:pPr>
              <w:pStyle w:val="cuadroCabe"/>
              <w:spacing w:line="240" w:lineRule="auto"/>
              <w:jc w:val="right"/>
            </w:pPr>
            <w:r>
              <w:t>63</w:t>
            </w:r>
          </w:p>
        </w:tc>
        <w:tc>
          <w:tcPr>
            <w:tcW w:w="517" w:type="pct"/>
            <w:tcBorders>
              <w:top w:val="single" w:sz="4" w:space="0" w:color="auto"/>
              <w:left w:val="nil"/>
              <w:bottom w:val="single" w:sz="4" w:space="0" w:color="auto"/>
              <w:right w:val="nil"/>
            </w:tcBorders>
            <w:shd w:val="clear" w:color="auto" w:fill="FABF8F" w:themeFill="accent6" w:themeFillTint="99"/>
            <w:noWrap/>
            <w:vAlign w:val="center"/>
          </w:tcPr>
          <w:p w14:paraId="27D32EBB" w14:textId="4A2DFE31" w:rsidR="008E43F9" w:rsidRPr="00474131" w:rsidRDefault="008E43F9" w:rsidP="00E57B08">
            <w:pPr>
              <w:pStyle w:val="cuadroCabe"/>
              <w:spacing w:line="240" w:lineRule="auto"/>
              <w:jc w:val="right"/>
            </w:pPr>
            <w:r>
              <w:t>68</w:t>
            </w:r>
          </w:p>
        </w:tc>
      </w:tr>
    </w:tbl>
    <w:p w14:paraId="04791CF1" w14:textId="5BEA008B" w:rsidR="00683931" w:rsidRDefault="00683931" w:rsidP="00D17928">
      <w:pPr>
        <w:pStyle w:val="texto"/>
        <w:tabs>
          <w:tab w:val="clear" w:pos="2835"/>
          <w:tab w:val="center" w:pos="567"/>
        </w:tabs>
        <w:spacing w:before="240"/>
        <w:rPr>
          <w:rFonts w:cs="Arial"/>
          <w:color w:val="000000" w:themeColor="text1"/>
        </w:rPr>
      </w:pPr>
      <w:r>
        <w:rPr>
          <w:color w:val="000000" w:themeColor="text1"/>
        </w:rPr>
        <w:t>Toki entitateen ehuneko 68k epean onetsi zituzten 2020ko kontuak, eta ehuneko 53k legezko gehieneko epearen barruan igorri zizkioten Toki Administrazioaren eta Despopulazioaren Zuzendaritza Nagusiari.</w:t>
      </w:r>
    </w:p>
    <w:p w14:paraId="3557F409" w14:textId="5B71B38E" w:rsidR="00706B38" w:rsidRPr="007B6C60" w:rsidRDefault="00683931" w:rsidP="00D17928">
      <w:pPr>
        <w:pStyle w:val="texto"/>
        <w:tabs>
          <w:tab w:val="clear" w:pos="2835"/>
          <w:tab w:val="center" w:pos="567"/>
        </w:tabs>
        <w:rPr>
          <w:rFonts w:cs="Arial"/>
          <w:color w:val="000000" w:themeColor="text1"/>
        </w:rPr>
      </w:pPr>
      <w:r>
        <w:rPr>
          <w:color w:val="000000" w:themeColor="text1"/>
        </w:rPr>
        <w:t xml:space="preserve">Txosten honen datara arte toki entitateen ehuneko 86k igorri dizkiote 2020ko kontuak </w:t>
      </w:r>
      <w:proofErr w:type="spellStart"/>
      <w:r>
        <w:rPr>
          <w:color w:val="000000" w:themeColor="text1"/>
        </w:rPr>
        <w:t>TADZNri</w:t>
      </w:r>
      <w:proofErr w:type="spellEnd"/>
      <w:r>
        <w:rPr>
          <w:color w:val="000000" w:themeColor="text1"/>
        </w:rPr>
        <w:t xml:space="preserve">, eta portzentajea ehuneko 91ra igotzen da baldin eta kontu orokorra ez, baina aurrekontuaren likidazioaren espedientea bai igorri duten entitateak gehitzen baditugu. Honako toki entitate hauek ez diote </w:t>
      </w:r>
      <w:proofErr w:type="spellStart"/>
      <w:r>
        <w:rPr>
          <w:color w:val="000000" w:themeColor="text1"/>
        </w:rPr>
        <w:t>TADZNri</w:t>
      </w:r>
      <w:proofErr w:type="spellEnd"/>
      <w:r>
        <w:rPr>
          <w:color w:val="000000" w:themeColor="text1"/>
        </w:rPr>
        <w:t xml:space="preserve"> igorri ez 2019ko eta 2020ko ekitaldietako kontu orokorrik ez aurrekontuaren likidazioaren espedienterik:</w:t>
      </w:r>
    </w:p>
    <w:p w14:paraId="0A39D6BD" w14:textId="5FCABDAC" w:rsidR="00775B81" w:rsidRPr="007B6C60" w:rsidRDefault="00706B38" w:rsidP="00D17928">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Imozko Udala.</w:t>
      </w:r>
    </w:p>
    <w:p w14:paraId="67EFBF7D" w14:textId="68C732BF" w:rsidR="001A2B89" w:rsidRPr="007B6C60" w:rsidRDefault="00706B38" w:rsidP="00D17928">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Kontzejuak: Zizur Txikia, Gazolatz, Larraia, Paternain, Undio eta Zarikiegi, Zizurren; Eraso, Etxaleku, Goldaratz, Latasa, Muskitz, Oskotz, Urritza eta Zarrantz, Imotzen; Larraiotz eta Untzu, Txulapainen; eta Albiasu, Inbuluzketa, Iturgoien, Labeaga, Lizaso, Murugarren eta Oloritz ere bai.</w:t>
      </w:r>
    </w:p>
    <w:p w14:paraId="73920C67" w14:textId="05F2BF78" w:rsidR="00775B81" w:rsidRPr="007B6C60" w:rsidRDefault="00706B38" w:rsidP="00D17928">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 xml:space="preserve">Mankomunitateak: </w:t>
      </w:r>
      <w:proofErr w:type="spellStart"/>
      <w:r>
        <w:rPr>
          <w:color w:val="000000" w:themeColor="text1"/>
        </w:rPr>
        <w:t>Araxesgoieneko</w:t>
      </w:r>
      <w:proofErr w:type="spellEnd"/>
      <w:r>
        <w:rPr>
          <w:color w:val="000000" w:themeColor="text1"/>
        </w:rPr>
        <w:t xml:space="preserve"> Mankomunitatea, Euskara kudeatzeko Nafarroako Iparraldeko Mankomunitatea eta Orreaga Kirol Mankomunitatea.</w:t>
      </w:r>
    </w:p>
    <w:p w14:paraId="44F2BE22" w14:textId="639DFC44" w:rsidR="00683931" w:rsidRDefault="003A0421" w:rsidP="00D17928">
      <w:pPr>
        <w:pStyle w:val="texto"/>
        <w:tabs>
          <w:tab w:val="clear" w:pos="2835"/>
          <w:tab w:val="center" w:pos="567"/>
        </w:tabs>
        <w:rPr>
          <w:rFonts w:cs="Arial"/>
          <w:color w:val="000000" w:themeColor="text1"/>
        </w:rPr>
      </w:pPr>
      <w:r>
        <w:rPr>
          <w:color w:val="000000" w:themeColor="text1"/>
        </w:rPr>
        <w:t xml:space="preserve">Oro har, toki entitateek beren kontuak onetsi eta Toki Administrazioaren eta Despopulazioaren Zuzendaritza Nagusiari igortzen dizkiote, baina askotan ez dute egiten legezko epeetan, nahiko atzeratuta baizik. Horrela, informazioa ez da une egokian iristen eta garrantzia galtzen du. Ildo horretatik, martxoaren 22ko 7/2022 Foru Legeak, zeinak ezartzen baitu nola banatu transferentzia arrunten </w:t>
      </w:r>
      <w:r>
        <w:rPr>
          <w:color w:val="000000" w:themeColor="text1"/>
        </w:rPr>
        <w:lastRenderedPageBreak/>
        <w:t>bidez toki-erakundeek Nafarroako tributuetan parte hartzeko duten funtsa, xedatzen du funtsa banatzerakoan toki entitateei ordainketen zati bat atxiki behar zaiela baldin eta oraindik igorri gabe badaukate bi urte lehenagoko kontu orokorra edo aurrekontu-likidazioa.</w:t>
      </w:r>
    </w:p>
    <w:p w14:paraId="2F74FBCA" w14:textId="0CEAAF36" w:rsidR="00683931" w:rsidRDefault="00683931" w:rsidP="00683931">
      <w:pPr>
        <w:pStyle w:val="texto"/>
        <w:tabs>
          <w:tab w:val="clear" w:pos="2835"/>
          <w:tab w:val="center" w:pos="567"/>
        </w:tabs>
        <w:spacing w:before="120" w:after="120"/>
        <w:rPr>
          <w:rFonts w:cs="Arial"/>
          <w:color w:val="000000" w:themeColor="text1"/>
        </w:rPr>
      </w:pPr>
      <w:r>
        <w:rPr>
          <w:color w:val="000000" w:themeColor="text1"/>
        </w:rPr>
        <w:t xml:space="preserve">Aurrekontuari dagokionez, Toki Ogasunei buruzko Foru Legeak ezartzen du toki entitate bakoitzak bere aurrekontu orokor bakarra behin betiko onetsi behar duela hari dagokion ekitaldiaren aurreko urteko abenduaren 31 baino lehen, eta onetsi ondoko 15 egunen barruan igorri behar diola </w:t>
      </w:r>
      <w:proofErr w:type="spellStart"/>
      <w:r>
        <w:rPr>
          <w:color w:val="000000" w:themeColor="text1"/>
        </w:rPr>
        <w:t>NFKAri</w:t>
      </w:r>
      <w:proofErr w:type="spellEnd"/>
      <w:r>
        <w:rPr>
          <w:color w:val="000000" w:themeColor="text1"/>
        </w:rPr>
        <w:t xml:space="preserve">.  </w:t>
      </w:r>
    </w:p>
    <w:p w14:paraId="35EC3B44" w14:textId="19DA131B" w:rsidR="00683931" w:rsidRDefault="00683931" w:rsidP="004E2CFD">
      <w:pPr>
        <w:pStyle w:val="texto"/>
        <w:tabs>
          <w:tab w:val="clear" w:pos="2835"/>
          <w:tab w:val="center" w:pos="567"/>
        </w:tabs>
        <w:spacing w:before="120" w:after="200"/>
        <w:rPr>
          <w:rFonts w:cs="Arial"/>
          <w:color w:val="000000" w:themeColor="text1"/>
        </w:rPr>
      </w:pPr>
      <w:r>
        <w:rPr>
          <w:color w:val="000000" w:themeColor="text1"/>
        </w:rPr>
        <w:t xml:space="preserve">Hurrengo taulan ageri da 2020ko ekitaldiko aurrekontuak zer epetan onetsi eta </w:t>
      </w:r>
      <w:proofErr w:type="spellStart"/>
      <w:r>
        <w:rPr>
          <w:color w:val="000000" w:themeColor="text1"/>
        </w:rPr>
        <w:t>TADZNri</w:t>
      </w:r>
      <w:proofErr w:type="spellEnd"/>
      <w:r>
        <w:rPr>
          <w:color w:val="000000" w:themeColor="text1"/>
        </w:rPr>
        <w:t xml:space="preserve"> igorri zaizkion. </w:t>
      </w:r>
    </w:p>
    <w:p w14:paraId="6CB714E1" w14:textId="77777777" w:rsidR="00EA5D4F" w:rsidRPr="00EA5D4F" w:rsidRDefault="00EA5D4F" w:rsidP="00EA5D4F">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Toki entitateen portzentajea</w:t>
      </w:r>
    </w:p>
    <w:tbl>
      <w:tblPr>
        <w:tblW w:w="5063" w:type="pct"/>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687"/>
        <w:gridCol w:w="1801"/>
        <w:gridCol w:w="1801"/>
        <w:gridCol w:w="1611"/>
      </w:tblGrid>
      <w:tr w:rsidR="00683931" w:rsidRPr="00E57B08" w14:paraId="5B9014BC" w14:textId="77777777" w:rsidTr="002034EE">
        <w:trPr>
          <w:trHeight w:val="255"/>
        </w:trPr>
        <w:tc>
          <w:tcPr>
            <w:tcW w:w="2071" w:type="pct"/>
            <w:tcBorders>
              <w:top w:val="single" w:sz="4" w:space="0" w:color="auto"/>
              <w:bottom w:val="single" w:sz="4" w:space="0" w:color="auto"/>
            </w:tcBorders>
            <w:shd w:val="clear" w:color="auto" w:fill="FABF8F" w:themeFill="accent6" w:themeFillTint="99"/>
            <w:noWrap/>
            <w:vAlign w:val="center"/>
            <w:hideMark/>
          </w:tcPr>
          <w:p w14:paraId="200E664B" w14:textId="16F4CE73" w:rsidR="00683931" w:rsidRPr="00E57B08" w:rsidRDefault="00683931" w:rsidP="00E57B08">
            <w:pPr>
              <w:pStyle w:val="cuadroCabe"/>
              <w:spacing w:line="240" w:lineRule="auto"/>
              <w:rPr>
                <w:sz w:val="17"/>
                <w:szCs w:val="17"/>
              </w:rPr>
            </w:pPr>
            <w:r>
              <w:rPr>
                <w:sz w:val="17"/>
              </w:rPr>
              <w:t>Entitate mota</w:t>
            </w:r>
          </w:p>
        </w:tc>
        <w:tc>
          <w:tcPr>
            <w:tcW w:w="1012" w:type="pct"/>
            <w:tcBorders>
              <w:top w:val="single" w:sz="4" w:space="0" w:color="auto"/>
              <w:bottom w:val="single" w:sz="4" w:space="0" w:color="auto"/>
            </w:tcBorders>
            <w:shd w:val="clear" w:color="auto" w:fill="FABF8F" w:themeFill="accent6" w:themeFillTint="99"/>
            <w:vAlign w:val="center"/>
            <w:hideMark/>
          </w:tcPr>
          <w:p w14:paraId="63770769" w14:textId="77777777" w:rsidR="00683931" w:rsidRPr="00E57B08" w:rsidRDefault="00683931" w:rsidP="00E57B08">
            <w:pPr>
              <w:pStyle w:val="cuadroCabe"/>
              <w:spacing w:line="240" w:lineRule="auto"/>
              <w:jc w:val="right"/>
              <w:rPr>
                <w:sz w:val="17"/>
                <w:szCs w:val="17"/>
              </w:rPr>
            </w:pPr>
            <w:r>
              <w:rPr>
                <w:sz w:val="17"/>
              </w:rPr>
              <w:t xml:space="preserve">Epean </w:t>
            </w:r>
            <w:proofErr w:type="spellStart"/>
            <w:r>
              <w:rPr>
                <w:sz w:val="17"/>
              </w:rPr>
              <w:t>onetsia</w:t>
            </w:r>
            <w:proofErr w:type="spellEnd"/>
            <w:r>
              <w:rPr>
                <w:sz w:val="17"/>
              </w:rPr>
              <w:t xml:space="preserve"> (2019-12-31)</w:t>
            </w:r>
          </w:p>
        </w:tc>
        <w:tc>
          <w:tcPr>
            <w:tcW w:w="1012" w:type="pct"/>
            <w:tcBorders>
              <w:top w:val="single" w:sz="4" w:space="0" w:color="auto"/>
              <w:bottom w:val="single" w:sz="4" w:space="0" w:color="auto"/>
            </w:tcBorders>
            <w:shd w:val="clear" w:color="auto" w:fill="FABF8F" w:themeFill="accent6" w:themeFillTint="99"/>
            <w:vAlign w:val="center"/>
            <w:hideMark/>
          </w:tcPr>
          <w:p w14:paraId="686441E0" w14:textId="5ABA09FA" w:rsidR="00683931" w:rsidRPr="00E57B08" w:rsidRDefault="00FB2CFA" w:rsidP="00E57B08">
            <w:pPr>
              <w:pStyle w:val="cuadroCabe"/>
              <w:spacing w:line="240" w:lineRule="auto"/>
              <w:jc w:val="right"/>
              <w:rPr>
                <w:sz w:val="17"/>
                <w:szCs w:val="17"/>
              </w:rPr>
            </w:pPr>
            <w:r>
              <w:rPr>
                <w:sz w:val="17"/>
              </w:rPr>
              <w:t>2020-01-23rako igorria</w:t>
            </w:r>
            <w:r>
              <w:rPr>
                <w:sz w:val="17"/>
                <w:vertAlign w:val="superscript"/>
              </w:rPr>
              <w:t>(1)</w:t>
            </w:r>
          </w:p>
        </w:tc>
        <w:tc>
          <w:tcPr>
            <w:tcW w:w="905" w:type="pct"/>
            <w:tcBorders>
              <w:top w:val="single" w:sz="4" w:space="0" w:color="auto"/>
              <w:bottom w:val="single" w:sz="4" w:space="0" w:color="auto"/>
            </w:tcBorders>
            <w:shd w:val="clear" w:color="auto" w:fill="FABF8F" w:themeFill="accent6" w:themeFillTint="99"/>
            <w:vAlign w:val="center"/>
            <w:hideMark/>
          </w:tcPr>
          <w:p w14:paraId="69401C71" w14:textId="37DD73BF" w:rsidR="00683931" w:rsidRPr="00E57B08" w:rsidRDefault="00683931" w:rsidP="00E57B08">
            <w:pPr>
              <w:pStyle w:val="cuadroCabe"/>
              <w:spacing w:line="240" w:lineRule="auto"/>
              <w:jc w:val="right"/>
              <w:rPr>
                <w:sz w:val="17"/>
                <w:szCs w:val="17"/>
              </w:rPr>
            </w:pPr>
            <w:r>
              <w:rPr>
                <w:sz w:val="17"/>
              </w:rPr>
              <w:t>2020ko lehen hiruhilekoan igorria</w:t>
            </w:r>
          </w:p>
        </w:tc>
      </w:tr>
      <w:tr w:rsidR="00683931" w:rsidRPr="00E57B08" w14:paraId="62362F51" w14:textId="77777777" w:rsidTr="002034EE">
        <w:trPr>
          <w:trHeight w:val="255"/>
        </w:trPr>
        <w:tc>
          <w:tcPr>
            <w:tcW w:w="2071" w:type="pct"/>
            <w:tcBorders>
              <w:top w:val="single" w:sz="4" w:space="0" w:color="auto"/>
            </w:tcBorders>
            <w:shd w:val="clear" w:color="auto" w:fill="auto"/>
            <w:noWrap/>
            <w:vAlign w:val="center"/>
            <w:hideMark/>
          </w:tcPr>
          <w:p w14:paraId="41784989" w14:textId="77777777" w:rsidR="00683931" w:rsidRPr="00E57B08" w:rsidRDefault="00683931" w:rsidP="00E57B08">
            <w:pPr>
              <w:pStyle w:val="cuatexto"/>
              <w:spacing w:line="240" w:lineRule="auto"/>
            </w:pPr>
            <w:r>
              <w:t>Udalak</w:t>
            </w:r>
          </w:p>
        </w:tc>
        <w:tc>
          <w:tcPr>
            <w:tcW w:w="1012" w:type="pct"/>
            <w:tcBorders>
              <w:top w:val="single" w:sz="4" w:space="0" w:color="auto"/>
            </w:tcBorders>
            <w:shd w:val="clear" w:color="auto" w:fill="auto"/>
            <w:noWrap/>
            <w:vAlign w:val="center"/>
            <w:hideMark/>
          </w:tcPr>
          <w:p w14:paraId="3EA9F36C" w14:textId="1DB1C908" w:rsidR="00683931" w:rsidRPr="00E57B08" w:rsidRDefault="00683931" w:rsidP="00E57B08">
            <w:pPr>
              <w:pStyle w:val="cuatexto"/>
              <w:spacing w:line="240" w:lineRule="auto"/>
              <w:jc w:val="right"/>
            </w:pPr>
            <w:r>
              <w:t>31</w:t>
            </w:r>
          </w:p>
        </w:tc>
        <w:tc>
          <w:tcPr>
            <w:tcW w:w="1012" w:type="pct"/>
            <w:tcBorders>
              <w:top w:val="single" w:sz="4" w:space="0" w:color="auto"/>
            </w:tcBorders>
            <w:shd w:val="clear" w:color="auto" w:fill="auto"/>
            <w:noWrap/>
            <w:vAlign w:val="center"/>
            <w:hideMark/>
          </w:tcPr>
          <w:p w14:paraId="18EC4A3B" w14:textId="11A71904" w:rsidR="00683931" w:rsidRPr="00E57B08" w:rsidRDefault="00683931" w:rsidP="00E57B08">
            <w:pPr>
              <w:pStyle w:val="cuatexto"/>
              <w:spacing w:line="240" w:lineRule="auto"/>
              <w:jc w:val="right"/>
            </w:pPr>
            <w:r>
              <w:t>6</w:t>
            </w:r>
          </w:p>
        </w:tc>
        <w:tc>
          <w:tcPr>
            <w:tcW w:w="905" w:type="pct"/>
            <w:tcBorders>
              <w:top w:val="single" w:sz="4" w:space="0" w:color="auto"/>
            </w:tcBorders>
            <w:shd w:val="clear" w:color="auto" w:fill="auto"/>
            <w:noWrap/>
            <w:vAlign w:val="center"/>
            <w:hideMark/>
          </w:tcPr>
          <w:p w14:paraId="3BE884AA" w14:textId="7383A296" w:rsidR="00683931" w:rsidRPr="00E57B08" w:rsidRDefault="00683931" w:rsidP="00E57B08">
            <w:pPr>
              <w:pStyle w:val="cuatexto"/>
              <w:spacing w:line="240" w:lineRule="auto"/>
              <w:jc w:val="right"/>
            </w:pPr>
            <w:r>
              <w:t>28</w:t>
            </w:r>
          </w:p>
        </w:tc>
      </w:tr>
      <w:tr w:rsidR="00683931" w:rsidRPr="00E57B08" w14:paraId="07C1EBF7" w14:textId="77777777" w:rsidTr="002034EE">
        <w:trPr>
          <w:trHeight w:val="255"/>
        </w:trPr>
        <w:tc>
          <w:tcPr>
            <w:tcW w:w="2071" w:type="pct"/>
            <w:shd w:val="clear" w:color="auto" w:fill="auto"/>
            <w:noWrap/>
            <w:vAlign w:val="center"/>
            <w:hideMark/>
          </w:tcPr>
          <w:p w14:paraId="53C23428" w14:textId="77777777" w:rsidR="00683931" w:rsidRPr="00E57B08" w:rsidRDefault="00683931" w:rsidP="00E57B08">
            <w:pPr>
              <w:pStyle w:val="cuatexto"/>
              <w:spacing w:line="240" w:lineRule="auto"/>
            </w:pPr>
            <w:r>
              <w:t>Kontzejuak</w:t>
            </w:r>
          </w:p>
        </w:tc>
        <w:tc>
          <w:tcPr>
            <w:tcW w:w="1012" w:type="pct"/>
            <w:shd w:val="clear" w:color="auto" w:fill="auto"/>
            <w:noWrap/>
            <w:vAlign w:val="center"/>
            <w:hideMark/>
          </w:tcPr>
          <w:p w14:paraId="5C57B46D" w14:textId="2581AD01" w:rsidR="00683931" w:rsidRPr="00E57B08" w:rsidRDefault="00683931" w:rsidP="00E57B08">
            <w:pPr>
              <w:pStyle w:val="cuatexto"/>
              <w:spacing w:line="240" w:lineRule="auto"/>
              <w:jc w:val="right"/>
            </w:pPr>
            <w:r>
              <w:t>16</w:t>
            </w:r>
          </w:p>
        </w:tc>
        <w:tc>
          <w:tcPr>
            <w:tcW w:w="1012" w:type="pct"/>
            <w:shd w:val="clear" w:color="auto" w:fill="auto"/>
            <w:noWrap/>
            <w:vAlign w:val="center"/>
            <w:hideMark/>
          </w:tcPr>
          <w:p w14:paraId="2BB1A7E5" w14:textId="565EF24F" w:rsidR="00683931" w:rsidRPr="00E57B08" w:rsidRDefault="00683931" w:rsidP="00E57B08">
            <w:pPr>
              <w:pStyle w:val="cuatexto"/>
              <w:spacing w:line="240" w:lineRule="auto"/>
              <w:jc w:val="right"/>
            </w:pPr>
            <w:r>
              <w:t>1</w:t>
            </w:r>
          </w:p>
        </w:tc>
        <w:tc>
          <w:tcPr>
            <w:tcW w:w="905" w:type="pct"/>
            <w:shd w:val="clear" w:color="auto" w:fill="auto"/>
            <w:noWrap/>
            <w:vAlign w:val="center"/>
            <w:hideMark/>
          </w:tcPr>
          <w:p w14:paraId="5982BE0D" w14:textId="275F6C5B" w:rsidR="00683931" w:rsidRPr="00E57B08" w:rsidRDefault="00683931" w:rsidP="00E57B08">
            <w:pPr>
              <w:pStyle w:val="cuatexto"/>
              <w:spacing w:line="240" w:lineRule="auto"/>
              <w:jc w:val="right"/>
            </w:pPr>
            <w:r>
              <w:t>13</w:t>
            </w:r>
          </w:p>
        </w:tc>
      </w:tr>
      <w:tr w:rsidR="00683931" w:rsidRPr="00E57B08" w14:paraId="6FBB1D78" w14:textId="77777777" w:rsidTr="002034EE">
        <w:trPr>
          <w:trHeight w:val="255"/>
        </w:trPr>
        <w:tc>
          <w:tcPr>
            <w:tcW w:w="2071" w:type="pct"/>
            <w:shd w:val="clear" w:color="auto" w:fill="auto"/>
            <w:noWrap/>
            <w:vAlign w:val="center"/>
            <w:hideMark/>
          </w:tcPr>
          <w:p w14:paraId="35862425" w14:textId="77777777" w:rsidR="00683931" w:rsidRPr="00E57B08" w:rsidRDefault="00683931" w:rsidP="00E57B08">
            <w:pPr>
              <w:pStyle w:val="cuatexto"/>
              <w:spacing w:line="240" w:lineRule="auto"/>
            </w:pPr>
            <w:r>
              <w:t>Mankomunitateak</w:t>
            </w:r>
          </w:p>
        </w:tc>
        <w:tc>
          <w:tcPr>
            <w:tcW w:w="1012" w:type="pct"/>
            <w:shd w:val="clear" w:color="auto" w:fill="auto"/>
            <w:noWrap/>
            <w:vAlign w:val="center"/>
            <w:hideMark/>
          </w:tcPr>
          <w:p w14:paraId="762568DE" w14:textId="474A3DD9" w:rsidR="00683931" w:rsidRPr="00E57B08" w:rsidRDefault="00683931" w:rsidP="00E57B08">
            <w:pPr>
              <w:pStyle w:val="cuatexto"/>
              <w:spacing w:line="240" w:lineRule="auto"/>
              <w:jc w:val="right"/>
            </w:pPr>
            <w:r>
              <w:t>28</w:t>
            </w:r>
          </w:p>
        </w:tc>
        <w:tc>
          <w:tcPr>
            <w:tcW w:w="1012" w:type="pct"/>
            <w:shd w:val="clear" w:color="auto" w:fill="auto"/>
            <w:noWrap/>
            <w:vAlign w:val="center"/>
            <w:hideMark/>
          </w:tcPr>
          <w:p w14:paraId="14350D27" w14:textId="4A38FBD2" w:rsidR="00683931" w:rsidRPr="00E57B08" w:rsidRDefault="00683931" w:rsidP="00E57B08">
            <w:pPr>
              <w:pStyle w:val="cuatexto"/>
              <w:spacing w:line="240" w:lineRule="auto"/>
              <w:jc w:val="right"/>
            </w:pPr>
            <w:r>
              <w:t>0</w:t>
            </w:r>
          </w:p>
        </w:tc>
        <w:tc>
          <w:tcPr>
            <w:tcW w:w="905" w:type="pct"/>
            <w:shd w:val="clear" w:color="auto" w:fill="auto"/>
            <w:noWrap/>
            <w:vAlign w:val="center"/>
            <w:hideMark/>
          </w:tcPr>
          <w:p w14:paraId="5246586D" w14:textId="248908BA" w:rsidR="00683931" w:rsidRPr="00E57B08" w:rsidRDefault="008E43F9" w:rsidP="00E57B08">
            <w:pPr>
              <w:pStyle w:val="cuatexto"/>
              <w:spacing w:line="240" w:lineRule="auto"/>
              <w:jc w:val="right"/>
            </w:pPr>
            <w:r>
              <w:t>20</w:t>
            </w:r>
          </w:p>
        </w:tc>
      </w:tr>
      <w:tr w:rsidR="00683931" w:rsidRPr="00E57B08" w14:paraId="5127AF3A" w14:textId="77777777" w:rsidTr="002034EE">
        <w:trPr>
          <w:trHeight w:val="255"/>
        </w:trPr>
        <w:tc>
          <w:tcPr>
            <w:tcW w:w="2071" w:type="pct"/>
            <w:tcBorders>
              <w:bottom w:val="single" w:sz="4" w:space="0" w:color="auto"/>
            </w:tcBorders>
            <w:shd w:val="clear" w:color="auto" w:fill="auto"/>
            <w:noWrap/>
            <w:vAlign w:val="center"/>
            <w:hideMark/>
          </w:tcPr>
          <w:p w14:paraId="7866768E" w14:textId="77777777" w:rsidR="00683931" w:rsidRPr="00E57B08" w:rsidRDefault="00683931" w:rsidP="00E57B08">
            <w:pPr>
              <w:pStyle w:val="cuatexto"/>
              <w:spacing w:line="240" w:lineRule="auto"/>
            </w:pPr>
            <w:r>
              <w:t>Udalen batasunak</w:t>
            </w:r>
          </w:p>
        </w:tc>
        <w:tc>
          <w:tcPr>
            <w:tcW w:w="1012" w:type="pct"/>
            <w:tcBorders>
              <w:bottom w:val="single" w:sz="4" w:space="0" w:color="auto"/>
            </w:tcBorders>
            <w:shd w:val="clear" w:color="auto" w:fill="auto"/>
            <w:noWrap/>
            <w:vAlign w:val="center"/>
            <w:hideMark/>
          </w:tcPr>
          <w:p w14:paraId="0DDF306E" w14:textId="1FB7B81C" w:rsidR="00683931" w:rsidRPr="00E57B08" w:rsidRDefault="00683931" w:rsidP="00E57B08">
            <w:pPr>
              <w:pStyle w:val="cuatexto"/>
              <w:spacing w:line="240" w:lineRule="auto"/>
              <w:jc w:val="right"/>
            </w:pPr>
            <w:r>
              <w:t>23</w:t>
            </w:r>
          </w:p>
        </w:tc>
        <w:tc>
          <w:tcPr>
            <w:tcW w:w="1012" w:type="pct"/>
            <w:tcBorders>
              <w:bottom w:val="single" w:sz="4" w:space="0" w:color="auto"/>
            </w:tcBorders>
            <w:shd w:val="clear" w:color="auto" w:fill="auto"/>
            <w:noWrap/>
            <w:vAlign w:val="center"/>
            <w:hideMark/>
          </w:tcPr>
          <w:p w14:paraId="4651B5C4" w14:textId="03AAD7B8" w:rsidR="00683931" w:rsidRPr="00E57B08" w:rsidRDefault="00683931" w:rsidP="00E57B08">
            <w:pPr>
              <w:pStyle w:val="cuatexto"/>
              <w:spacing w:line="240" w:lineRule="auto"/>
              <w:jc w:val="right"/>
            </w:pPr>
            <w:r>
              <w:t>0</w:t>
            </w:r>
          </w:p>
        </w:tc>
        <w:tc>
          <w:tcPr>
            <w:tcW w:w="905" w:type="pct"/>
            <w:tcBorders>
              <w:bottom w:val="single" w:sz="4" w:space="0" w:color="auto"/>
            </w:tcBorders>
            <w:shd w:val="clear" w:color="auto" w:fill="auto"/>
            <w:noWrap/>
            <w:vAlign w:val="center"/>
            <w:hideMark/>
          </w:tcPr>
          <w:p w14:paraId="47B6F6D2" w14:textId="2B01FB8B" w:rsidR="00683931" w:rsidRPr="00E57B08" w:rsidRDefault="00683931" w:rsidP="00E57B08">
            <w:pPr>
              <w:pStyle w:val="cuatexto"/>
              <w:spacing w:line="240" w:lineRule="auto"/>
              <w:jc w:val="right"/>
            </w:pPr>
            <w:r>
              <w:t>18</w:t>
            </w:r>
          </w:p>
        </w:tc>
      </w:tr>
      <w:tr w:rsidR="008E43F9" w:rsidRPr="00E57B08" w14:paraId="455B8692" w14:textId="77777777" w:rsidTr="002034EE">
        <w:trPr>
          <w:trHeight w:val="255"/>
        </w:trPr>
        <w:tc>
          <w:tcPr>
            <w:tcW w:w="2071" w:type="pct"/>
            <w:tcBorders>
              <w:top w:val="single" w:sz="4" w:space="0" w:color="auto"/>
              <w:bottom w:val="single" w:sz="4" w:space="0" w:color="auto"/>
            </w:tcBorders>
            <w:shd w:val="clear" w:color="auto" w:fill="FABF8F" w:themeFill="accent6" w:themeFillTint="99"/>
            <w:noWrap/>
            <w:vAlign w:val="center"/>
          </w:tcPr>
          <w:p w14:paraId="7A7A3535" w14:textId="77777777" w:rsidR="008E43F9" w:rsidRPr="00E57B08" w:rsidRDefault="008E43F9" w:rsidP="00E57B08">
            <w:pPr>
              <w:pStyle w:val="cuadroCabe"/>
              <w:spacing w:line="240" w:lineRule="auto"/>
            </w:pPr>
            <w:r>
              <w:t>Guztira</w:t>
            </w:r>
          </w:p>
        </w:tc>
        <w:tc>
          <w:tcPr>
            <w:tcW w:w="1012" w:type="pct"/>
            <w:tcBorders>
              <w:top w:val="single" w:sz="4" w:space="0" w:color="auto"/>
              <w:bottom w:val="single" w:sz="4" w:space="0" w:color="auto"/>
            </w:tcBorders>
            <w:shd w:val="clear" w:color="auto" w:fill="FABF8F" w:themeFill="accent6" w:themeFillTint="99"/>
            <w:noWrap/>
            <w:vAlign w:val="center"/>
          </w:tcPr>
          <w:p w14:paraId="3D583D19" w14:textId="1F79EEF6" w:rsidR="008E43F9" w:rsidRPr="00E57B08" w:rsidRDefault="008E43F9" w:rsidP="00E57B08">
            <w:pPr>
              <w:pStyle w:val="cuadroCabe"/>
              <w:spacing w:line="240" w:lineRule="auto"/>
              <w:jc w:val="right"/>
            </w:pPr>
            <w:r>
              <w:t>23</w:t>
            </w:r>
          </w:p>
        </w:tc>
        <w:tc>
          <w:tcPr>
            <w:tcW w:w="1012" w:type="pct"/>
            <w:tcBorders>
              <w:top w:val="single" w:sz="4" w:space="0" w:color="auto"/>
              <w:bottom w:val="single" w:sz="4" w:space="0" w:color="auto"/>
            </w:tcBorders>
            <w:shd w:val="clear" w:color="auto" w:fill="FABF8F" w:themeFill="accent6" w:themeFillTint="99"/>
            <w:noWrap/>
            <w:vAlign w:val="center"/>
          </w:tcPr>
          <w:p w14:paraId="7D2CB1E2" w14:textId="52169F34" w:rsidR="008E43F9" w:rsidRPr="00E57B08" w:rsidRDefault="008E43F9" w:rsidP="00E57B08">
            <w:pPr>
              <w:pStyle w:val="cuadroCabe"/>
              <w:spacing w:line="240" w:lineRule="auto"/>
              <w:jc w:val="right"/>
            </w:pPr>
            <w:r>
              <w:t>3</w:t>
            </w:r>
          </w:p>
        </w:tc>
        <w:tc>
          <w:tcPr>
            <w:tcW w:w="905" w:type="pct"/>
            <w:tcBorders>
              <w:top w:val="single" w:sz="4" w:space="0" w:color="auto"/>
              <w:bottom w:val="single" w:sz="4" w:space="0" w:color="auto"/>
            </w:tcBorders>
            <w:shd w:val="clear" w:color="auto" w:fill="FABF8F" w:themeFill="accent6" w:themeFillTint="99"/>
            <w:noWrap/>
            <w:vAlign w:val="center"/>
          </w:tcPr>
          <w:p w14:paraId="36B12815" w14:textId="52F91E98" w:rsidR="008E43F9" w:rsidRPr="00E57B08" w:rsidRDefault="008E43F9" w:rsidP="00E57B08">
            <w:pPr>
              <w:pStyle w:val="cuadroCabe"/>
              <w:spacing w:line="240" w:lineRule="auto"/>
              <w:jc w:val="right"/>
            </w:pPr>
            <w:r>
              <w:t>20</w:t>
            </w:r>
          </w:p>
        </w:tc>
      </w:tr>
    </w:tbl>
    <w:p w14:paraId="634659D1" w14:textId="46CE9B67" w:rsidR="00683931" w:rsidRPr="0021232E" w:rsidRDefault="0021232E" w:rsidP="0021232E">
      <w:pPr>
        <w:pStyle w:val="texto"/>
        <w:tabs>
          <w:tab w:val="clear" w:pos="2835"/>
        </w:tabs>
        <w:spacing w:before="120" w:after="120"/>
        <w:ind w:left="142" w:firstLine="0"/>
        <w:rPr>
          <w:rFonts w:ascii="Arial" w:hAnsi="Arial" w:cs="Arial"/>
          <w:color w:val="000000" w:themeColor="text1"/>
          <w:sz w:val="14"/>
          <w:szCs w:val="14"/>
        </w:rPr>
      </w:pPr>
      <w:r>
        <w:rPr>
          <w:rFonts w:ascii="Arial" w:hAnsi="Arial"/>
          <w:color w:val="000000" w:themeColor="text1"/>
          <w:sz w:val="14"/>
          <w:vertAlign w:val="superscript"/>
        </w:rPr>
        <w:t>(1)</w:t>
      </w:r>
      <w:r>
        <w:rPr>
          <w:rFonts w:ascii="Arial" w:hAnsi="Arial"/>
          <w:color w:val="000000" w:themeColor="text1"/>
          <w:sz w:val="14"/>
        </w:rPr>
        <w:t xml:space="preserve"> 15 egun baliodun, 2019-12-31tik aurrera.</w:t>
      </w:r>
    </w:p>
    <w:p w14:paraId="1CF08B68" w14:textId="3FDBE19A" w:rsidR="00683931" w:rsidRDefault="00403EFD" w:rsidP="004E2CFD">
      <w:pPr>
        <w:pStyle w:val="texto"/>
        <w:tabs>
          <w:tab w:val="clear" w:pos="2835"/>
          <w:tab w:val="center" w:pos="567"/>
        </w:tabs>
        <w:spacing w:before="240"/>
        <w:rPr>
          <w:rFonts w:cs="Arial"/>
          <w:color w:val="000000" w:themeColor="text1"/>
        </w:rPr>
      </w:pPr>
      <w:r>
        <w:rPr>
          <w:color w:val="000000" w:themeColor="text1"/>
        </w:rPr>
        <w:t xml:space="preserve">Txosten honen datara arte, toki entitateen ehuneko 83k bidali diote </w:t>
      </w:r>
      <w:proofErr w:type="spellStart"/>
      <w:r>
        <w:rPr>
          <w:color w:val="000000" w:themeColor="text1"/>
        </w:rPr>
        <w:t>TADZNri</w:t>
      </w:r>
      <w:proofErr w:type="spellEnd"/>
      <w:r>
        <w:rPr>
          <w:color w:val="000000" w:themeColor="text1"/>
        </w:rPr>
        <w:t xml:space="preserve"> 2020ko aurrekontuen espedientea.</w:t>
      </w:r>
    </w:p>
    <w:p w14:paraId="5320DE83" w14:textId="77777777" w:rsidR="00683931" w:rsidRDefault="00683931" w:rsidP="00683931">
      <w:pPr>
        <w:pStyle w:val="texto"/>
        <w:tabs>
          <w:tab w:val="clear" w:pos="2835"/>
          <w:tab w:val="center" w:pos="567"/>
        </w:tabs>
        <w:spacing w:before="120" w:after="120"/>
        <w:rPr>
          <w:rFonts w:cs="Arial"/>
          <w:color w:val="000000" w:themeColor="text1"/>
        </w:rPr>
      </w:pPr>
      <w:r>
        <w:rPr>
          <w:color w:val="000000" w:themeColor="text1"/>
        </w:rPr>
        <w:t xml:space="preserve">Aurrekontuak epean onesten dituzten entitateen portzentaje txikia deigarria da, baina are deigarriagoak informazioa </w:t>
      </w:r>
      <w:proofErr w:type="spellStart"/>
      <w:r>
        <w:rPr>
          <w:color w:val="000000" w:themeColor="text1"/>
        </w:rPr>
        <w:t>TADZNri</w:t>
      </w:r>
      <w:proofErr w:type="spellEnd"/>
      <w:r>
        <w:rPr>
          <w:color w:val="000000" w:themeColor="text1"/>
        </w:rPr>
        <w:t xml:space="preserve"> bidaltzeko atzerapenak, nabarmen luzeagoak baitira aurrekontu-likidazioei eta kontu orokorrei dagozkienak baino.</w:t>
      </w:r>
    </w:p>
    <w:p w14:paraId="2F05173D" w14:textId="009A1129" w:rsidR="00EF0883" w:rsidRDefault="00EF0883" w:rsidP="00683931">
      <w:pPr>
        <w:pStyle w:val="texto"/>
        <w:tabs>
          <w:tab w:val="clear" w:pos="2835"/>
          <w:tab w:val="center" w:pos="567"/>
        </w:tabs>
        <w:spacing w:before="120" w:after="120"/>
        <w:rPr>
          <w:rFonts w:cs="Arial"/>
          <w:color w:val="000000" w:themeColor="text1"/>
        </w:rPr>
      </w:pPr>
      <w:r>
        <w:br w:type="page"/>
      </w:r>
    </w:p>
    <w:p w14:paraId="71595C38" w14:textId="300C5AB4" w:rsidR="00683931" w:rsidRPr="004248BF" w:rsidRDefault="00683931" w:rsidP="004248BF">
      <w:pPr>
        <w:pStyle w:val="Ttulo1"/>
        <w:ind w:firstLine="0"/>
        <w:rPr>
          <w:szCs w:val="25"/>
        </w:rPr>
      </w:pPr>
      <w:bookmarkStart w:id="100" w:name="_Toc126061981"/>
      <w:r>
        <w:lastRenderedPageBreak/>
        <w:t>IX. Barne kontrola eta kontu-hartze organoek egindako eragozpen-oharrak</w:t>
      </w:r>
      <w:bookmarkEnd w:id="100"/>
      <w:r>
        <w:t xml:space="preserve"> </w:t>
      </w:r>
    </w:p>
    <w:p w14:paraId="0C33C11D" w14:textId="77777777" w:rsidR="004B044B" w:rsidRPr="00EF0883" w:rsidRDefault="004B044B" w:rsidP="004248BF">
      <w:pPr>
        <w:pStyle w:val="Ttulo2"/>
        <w:rPr>
          <w:szCs w:val="25"/>
        </w:rPr>
      </w:pPr>
      <w:bookmarkStart w:id="101" w:name="_Toc126061982"/>
      <w:r>
        <w:t>IX.1. Eskatutako informazioa igortzeko betebeharra betetzea</w:t>
      </w:r>
      <w:bookmarkEnd w:id="101"/>
    </w:p>
    <w:p w14:paraId="38843740" w14:textId="77777777" w:rsidR="00135208" w:rsidRDefault="00FB2CFA" w:rsidP="005C70E8">
      <w:pPr>
        <w:pStyle w:val="texto"/>
        <w:rPr>
          <w:b/>
        </w:rPr>
      </w:pPr>
      <w:r>
        <w:t xml:space="preserve">Txostenaren atal honetako informazioaren oinarri gisa hartu dira Ganbera honek udal, mankomunitate eta batasunetako kontu-hartze organoei 2021eko apirilean bidalitako galde-sorta baten bidez jasotako erantzunak. Bertan informazioa eskatu zen toki entitateen 2020ko ekitaldiko barne kontrolari buruz. Kontzejuei ez zitzaien bidali formulario hori, ez daukatelako barne kontroleko eginkizunetan aritzeko gaitutako kontu-hartzaile edo idazkaririk. </w:t>
      </w:r>
    </w:p>
    <w:p w14:paraId="43485131" w14:textId="784B81FC" w:rsidR="00FB2CFA" w:rsidRDefault="00135208" w:rsidP="005C70E8">
      <w:pPr>
        <w:pStyle w:val="texto"/>
        <w:rPr>
          <w:b/>
        </w:rPr>
      </w:pPr>
      <w:r>
        <w:t>2020ko ekitaldiari buruzko galde-sorta bidali zitzaien 354 toki entitateetatik, 269k erantzun zuten, ehuneko 76k, aurreko ekitaldian baino gutxiagok, orduan ehuneko 89k erantzun baitzuten.</w:t>
      </w:r>
    </w:p>
    <w:p w14:paraId="14E8E730" w14:textId="77777777" w:rsidR="00DB537B" w:rsidRPr="00EF0883" w:rsidRDefault="004B044B" w:rsidP="004248BF">
      <w:pPr>
        <w:pStyle w:val="Ttulo2"/>
        <w:rPr>
          <w:szCs w:val="25"/>
        </w:rPr>
      </w:pPr>
      <w:bookmarkStart w:id="102" w:name="_Toc126061983"/>
      <w:r>
        <w:t>IX.2. Barne kontrola</w:t>
      </w:r>
      <w:bookmarkEnd w:id="102"/>
    </w:p>
    <w:p w14:paraId="45F9D742" w14:textId="77777777" w:rsidR="00DB537B" w:rsidRDefault="004B044B" w:rsidP="005C70E8">
      <w:pPr>
        <w:pStyle w:val="texto"/>
        <w:rPr>
          <w:b/>
        </w:rPr>
      </w:pPr>
      <w:r>
        <w:t xml:space="preserve">Toki entitateen kudeaketa ekonomikoaren gain kontu-hartze organoak egiten duen barne kontrola Toki Administrazioari buruzko Foru Legearen 240. artikuluan eta Toki Ogasunei buruzko Foru Legearen 243.-251. bitarteko artikuluetan araututa dago. Arau horietan barne kontroleko hiru modalitate bereizten dira: kontu-hartze funtzioa, finantza-kontrola eta eraginkortasunaren kontrola. </w:t>
      </w:r>
    </w:p>
    <w:p w14:paraId="1CC3C902" w14:textId="1A73DA9C" w:rsidR="00E63B1D" w:rsidRPr="008E43F9" w:rsidRDefault="002E5D2D" w:rsidP="001C793D">
      <w:pPr>
        <w:pStyle w:val="texto"/>
        <w:spacing w:after="240"/>
        <w:rPr>
          <w:b/>
        </w:rPr>
      </w:pPr>
      <w:r>
        <w:t>Beheko taulan azaltzen dira toki entitateek kontu-hartze funtzioaren eremuan egindako kontrol batzuk:</w:t>
      </w:r>
    </w:p>
    <w:tbl>
      <w:tblPr>
        <w:tblW w:w="8792" w:type="dxa"/>
        <w:tblBorders>
          <w:top w:val="single" w:sz="2" w:space="0" w:color="auto"/>
          <w:bottom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978"/>
        <w:gridCol w:w="713"/>
        <w:gridCol w:w="626"/>
        <w:gridCol w:w="779"/>
        <w:gridCol w:w="569"/>
        <w:gridCol w:w="708"/>
        <w:gridCol w:w="719"/>
        <w:gridCol w:w="850"/>
        <w:gridCol w:w="567"/>
        <w:gridCol w:w="709"/>
        <w:gridCol w:w="574"/>
      </w:tblGrid>
      <w:tr w:rsidR="00474131" w:rsidRPr="00983CA6" w14:paraId="5E9FFF6B" w14:textId="77777777" w:rsidTr="002034EE">
        <w:trPr>
          <w:trHeight w:val="227"/>
        </w:trPr>
        <w:tc>
          <w:tcPr>
            <w:tcW w:w="1980" w:type="dxa"/>
            <w:vMerge w:val="restart"/>
            <w:tcBorders>
              <w:top w:val="single" w:sz="4" w:space="0" w:color="auto"/>
            </w:tcBorders>
            <w:shd w:val="clear" w:color="auto" w:fill="FABF8F" w:themeFill="accent6" w:themeFillTint="99"/>
            <w:noWrap/>
            <w:vAlign w:val="center"/>
            <w:hideMark/>
          </w:tcPr>
          <w:p w14:paraId="0C82E58C" w14:textId="357DBC62" w:rsidR="00474131" w:rsidRPr="00983CA6" w:rsidRDefault="00474131" w:rsidP="002034EE">
            <w:pPr>
              <w:pStyle w:val="cuadroCabe"/>
              <w:spacing w:line="240" w:lineRule="auto"/>
              <w:rPr>
                <w:sz w:val="14"/>
                <w:szCs w:val="14"/>
              </w:rPr>
            </w:pPr>
            <w:r>
              <w:rPr>
                <w:sz w:val="14"/>
              </w:rPr>
              <w:t>Toki entitate mota</w:t>
            </w:r>
          </w:p>
        </w:tc>
        <w:tc>
          <w:tcPr>
            <w:tcW w:w="1336" w:type="dxa"/>
            <w:gridSpan w:val="2"/>
            <w:tcBorders>
              <w:top w:val="single" w:sz="4" w:space="0" w:color="auto"/>
            </w:tcBorders>
            <w:shd w:val="clear" w:color="auto" w:fill="FABF8F" w:themeFill="accent6" w:themeFillTint="99"/>
            <w:vAlign w:val="center"/>
            <w:hideMark/>
          </w:tcPr>
          <w:p w14:paraId="14ACE51C" w14:textId="77777777" w:rsidR="00474131" w:rsidRPr="00983CA6" w:rsidRDefault="00474131" w:rsidP="002034EE">
            <w:pPr>
              <w:pStyle w:val="cuadroCabe"/>
              <w:spacing w:line="240" w:lineRule="auto"/>
              <w:jc w:val="right"/>
              <w:rPr>
                <w:sz w:val="14"/>
                <w:szCs w:val="14"/>
              </w:rPr>
            </w:pPr>
            <w:r>
              <w:rPr>
                <w:sz w:val="14"/>
              </w:rPr>
              <w:t>Erantzunak, guztira</w:t>
            </w:r>
          </w:p>
        </w:tc>
        <w:tc>
          <w:tcPr>
            <w:tcW w:w="1349" w:type="dxa"/>
            <w:gridSpan w:val="2"/>
            <w:tcBorders>
              <w:top w:val="single" w:sz="4" w:space="0" w:color="auto"/>
            </w:tcBorders>
            <w:shd w:val="clear" w:color="auto" w:fill="FABF8F" w:themeFill="accent6" w:themeFillTint="99"/>
            <w:vAlign w:val="center"/>
            <w:hideMark/>
          </w:tcPr>
          <w:p w14:paraId="05564CA2" w14:textId="77777777" w:rsidR="00983CA6" w:rsidRDefault="00474131" w:rsidP="002034EE">
            <w:pPr>
              <w:pStyle w:val="cuadroCabe"/>
              <w:spacing w:line="240" w:lineRule="auto"/>
              <w:jc w:val="right"/>
              <w:rPr>
                <w:sz w:val="14"/>
                <w:szCs w:val="14"/>
              </w:rPr>
            </w:pPr>
            <w:r>
              <w:rPr>
                <w:sz w:val="14"/>
              </w:rPr>
              <w:t xml:space="preserve">Ordainketaren </w:t>
            </w:r>
          </w:p>
          <w:p w14:paraId="47DE0DF5" w14:textId="31A796F0" w:rsidR="00474131" w:rsidRPr="00983CA6" w:rsidRDefault="00474131" w:rsidP="002034EE">
            <w:pPr>
              <w:pStyle w:val="cuadroCabe"/>
              <w:spacing w:line="240" w:lineRule="auto"/>
              <w:jc w:val="right"/>
              <w:rPr>
                <w:sz w:val="14"/>
                <w:szCs w:val="14"/>
              </w:rPr>
            </w:pPr>
            <w:r>
              <w:rPr>
                <w:sz w:val="14"/>
              </w:rPr>
              <w:t>kontu-hartze formala</w:t>
            </w:r>
          </w:p>
        </w:tc>
        <w:tc>
          <w:tcPr>
            <w:tcW w:w="1427" w:type="dxa"/>
            <w:gridSpan w:val="2"/>
            <w:tcBorders>
              <w:top w:val="single" w:sz="4" w:space="0" w:color="auto"/>
            </w:tcBorders>
            <w:shd w:val="clear" w:color="auto" w:fill="FABF8F" w:themeFill="accent6" w:themeFillTint="99"/>
            <w:vAlign w:val="center"/>
            <w:hideMark/>
          </w:tcPr>
          <w:p w14:paraId="270C1044" w14:textId="77777777" w:rsidR="00983CA6" w:rsidRDefault="00474131" w:rsidP="002034EE">
            <w:pPr>
              <w:pStyle w:val="cuadroCabe"/>
              <w:spacing w:line="240" w:lineRule="auto"/>
              <w:jc w:val="right"/>
              <w:rPr>
                <w:sz w:val="14"/>
                <w:szCs w:val="14"/>
              </w:rPr>
            </w:pPr>
            <w:r>
              <w:rPr>
                <w:sz w:val="14"/>
              </w:rPr>
              <w:t>Ordainketaren</w:t>
            </w:r>
          </w:p>
          <w:p w14:paraId="2CCA3EFB" w14:textId="02B64F47" w:rsidR="00474131" w:rsidRPr="00983CA6" w:rsidRDefault="00474131" w:rsidP="002034EE">
            <w:pPr>
              <w:pStyle w:val="cuadroCabe"/>
              <w:spacing w:line="240" w:lineRule="auto"/>
              <w:jc w:val="right"/>
              <w:rPr>
                <w:sz w:val="14"/>
                <w:szCs w:val="14"/>
              </w:rPr>
            </w:pPr>
            <w:r>
              <w:rPr>
                <w:sz w:val="14"/>
              </w:rPr>
              <w:t>kontu-hartze materiala</w:t>
            </w:r>
          </w:p>
        </w:tc>
        <w:tc>
          <w:tcPr>
            <w:tcW w:w="1417" w:type="dxa"/>
            <w:gridSpan w:val="2"/>
            <w:tcBorders>
              <w:top w:val="single" w:sz="4" w:space="0" w:color="auto"/>
            </w:tcBorders>
            <w:shd w:val="clear" w:color="auto" w:fill="FABF8F" w:themeFill="accent6" w:themeFillTint="99"/>
            <w:vAlign w:val="center"/>
            <w:hideMark/>
          </w:tcPr>
          <w:p w14:paraId="6F42BEE0" w14:textId="77777777" w:rsidR="00474131" w:rsidRPr="00983CA6" w:rsidRDefault="00474131" w:rsidP="002034EE">
            <w:pPr>
              <w:pStyle w:val="cuadroCabe"/>
              <w:spacing w:line="240" w:lineRule="auto"/>
              <w:jc w:val="right"/>
              <w:rPr>
                <w:sz w:val="14"/>
                <w:szCs w:val="14"/>
              </w:rPr>
            </w:pPr>
            <w:r>
              <w:rPr>
                <w:sz w:val="14"/>
              </w:rPr>
              <w:t>Inbertsioak</w:t>
            </w:r>
          </w:p>
          <w:p w14:paraId="65DEE7E4" w14:textId="223C7767" w:rsidR="00474131" w:rsidRPr="00983CA6" w:rsidRDefault="00474131" w:rsidP="002034EE">
            <w:pPr>
              <w:pStyle w:val="cuadroCabe"/>
              <w:spacing w:line="240" w:lineRule="auto"/>
              <w:jc w:val="right"/>
              <w:rPr>
                <w:sz w:val="14"/>
                <w:szCs w:val="14"/>
              </w:rPr>
            </w:pPr>
            <w:r>
              <w:rPr>
                <w:sz w:val="14"/>
              </w:rPr>
              <w:t>egiaztatzea</w:t>
            </w:r>
          </w:p>
        </w:tc>
        <w:tc>
          <w:tcPr>
            <w:tcW w:w="1283" w:type="dxa"/>
            <w:gridSpan w:val="2"/>
            <w:tcBorders>
              <w:top w:val="single" w:sz="4" w:space="0" w:color="auto"/>
            </w:tcBorders>
            <w:shd w:val="clear" w:color="auto" w:fill="FABF8F" w:themeFill="accent6" w:themeFillTint="99"/>
            <w:vAlign w:val="center"/>
            <w:hideMark/>
          </w:tcPr>
          <w:p w14:paraId="7A442188" w14:textId="77777777" w:rsidR="00474131" w:rsidRPr="00983CA6" w:rsidRDefault="00474131" w:rsidP="002034EE">
            <w:pPr>
              <w:pStyle w:val="cuadroCabe"/>
              <w:spacing w:line="240" w:lineRule="auto"/>
              <w:jc w:val="right"/>
              <w:rPr>
                <w:sz w:val="14"/>
                <w:szCs w:val="14"/>
              </w:rPr>
            </w:pPr>
            <w:r>
              <w:rPr>
                <w:sz w:val="14"/>
              </w:rPr>
              <w:t>Dirulaguntzak</w:t>
            </w:r>
          </w:p>
          <w:p w14:paraId="33730553" w14:textId="22C74702" w:rsidR="00474131" w:rsidRPr="00983CA6" w:rsidRDefault="00474131" w:rsidP="002034EE">
            <w:pPr>
              <w:pStyle w:val="cuadroCabe"/>
              <w:spacing w:line="240" w:lineRule="auto"/>
              <w:jc w:val="right"/>
              <w:rPr>
                <w:sz w:val="14"/>
                <w:szCs w:val="14"/>
              </w:rPr>
            </w:pPr>
            <w:r>
              <w:rPr>
                <w:sz w:val="14"/>
              </w:rPr>
              <w:t>egiaztatzea</w:t>
            </w:r>
          </w:p>
        </w:tc>
      </w:tr>
      <w:tr w:rsidR="00E361DB" w:rsidRPr="00983CA6" w14:paraId="07866394" w14:textId="77777777" w:rsidTr="002034EE">
        <w:trPr>
          <w:trHeight w:val="227"/>
        </w:trPr>
        <w:tc>
          <w:tcPr>
            <w:tcW w:w="1980" w:type="dxa"/>
            <w:vMerge/>
            <w:shd w:val="clear" w:color="auto" w:fill="FABF8F" w:themeFill="accent6" w:themeFillTint="99"/>
            <w:vAlign w:val="center"/>
            <w:hideMark/>
          </w:tcPr>
          <w:p w14:paraId="02D28C80" w14:textId="77777777" w:rsidR="00E361DB" w:rsidRPr="00983CA6" w:rsidRDefault="00E361DB" w:rsidP="002034EE">
            <w:pPr>
              <w:pStyle w:val="cuadroCabe"/>
              <w:spacing w:line="240" w:lineRule="auto"/>
              <w:rPr>
                <w:sz w:val="14"/>
                <w:szCs w:val="14"/>
              </w:rPr>
            </w:pPr>
          </w:p>
        </w:tc>
        <w:tc>
          <w:tcPr>
            <w:tcW w:w="714" w:type="dxa"/>
            <w:shd w:val="clear" w:color="auto" w:fill="FABF8F" w:themeFill="accent6" w:themeFillTint="99"/>
            <w:noWrap/>
            <w:vAlign w:val="center"/>
            <w:hideMark/>
          </w:tcPr>
          <w:p w14:paraId="6264C3E5" w14:textId="77777777" w:rsidR="00E361DB" w:rsidRPr="00983CA6" w:rsidRDefault="00E361DB" w:rsidP="002034EE">
            <w:pPr>
              <w:pStyle w:val="cuadroCabe"/>
              <w:spacing w:line="240" w:lineRule="auto"/>
              <w:jc w:val="right"/>
              <w:rPr>
                <w:sz w:val="14"/>
                <w:szCs w:val="14"/>
              </w:rPr>
            </w:pPr>
            <w:r>
              <w:rPr>
                <w:sz w:val="14"/>
              </w:rPr>
              <w:t>2019</w:t>
            </w:r>
          </w:p>
        </w:tc>
        <w:tc>
          <w:tcPr>
            <w:tcW w:w="627" w:type="dxa"/>
            <w:shd w:val="clear" w:color="auto" w:fill="FABF8F" w:themeFill="accent6" w:themeFillTint="99"/>
            <w:noWrap/>
            <w:vAlign w:val="center"/>
            <w:hideMark/>
          </w:tcPr>
          <w:p w14:paraId="4EBC0747" w14:textId="77777777" w:rsidR="00E361DB" w:rsidRPr="00983CA6" w:rsidRDefault="00E361DB" w:rsidP="002034EE">
            <w:pPr>
              <w:pStyle w:val="cuadroCabe"/>
              <w:spacing w:line="240" w:lineRule="auto"/>
              <w:jc w:val="right"/>
              <w:rPr>
                <w:sz w:val="14"/>
                <w:szCs w:val="14"/>
              </w:rPr>
            </w:pPr>
            <w:r>
              <w:rPr>
                <w:sz w:val="14"/>
              </w:rPr>
              <w:t>2020</w:t>
            </w:r>
          </w:p>
        </w:tc>
        <w:tc>
          <w:tcPr>
            <w:tcW w:w="780" w:type="dxa"/>
            <w:shd w:val="clear" w:color="auto" w:fill="FABF8F" w:themeFill="accent6" w:themeFillTint="99"/>
            <w:noWrap/>
            <w:vAlign w:val="center"/>
            <w:hideMark/>
          </w:tcPr>
          <w:p w14:paraId="1E700C88" w14:textId="77777777" w:rsidR="00E361DB" w:rsidRPr="00983CA6" w:rsidRDefault="00E361DB" w:rsidP="002034EE">
            <w:pPr>
              <w:pStyle w:val="cuadroCabe"/>
              <w:spacing w:line="240" w:lineRule="auto"/>
              <w:jc w:val="right"/>
              <w:rPr>
                <w:sz w:val="14"/>
                <w:szCs w:val="14"/>
              </w:rPr>
            </w:pPr>
            <w:r>
              <w:rPr>
                <w:sz w:val="14"/>
              </w:rPr>
              <w:t>2019</w:t>
            </w:r>
          </w:p>
        </w:tc>
        <w:tc>
          <w:tcPr>
            <w:tcW w:w="562" w:type="dxa"/>
            <w:shd w:val="clear" w:color="auto" w:fill="FABF8F" w:themeFill="accent6" w:themeFillTint="99"/>
            <w:noWrap/>
            <w:vAlign w:val="center"/>
            <w:hideMark/>
          </w:tcPr>
          <w:p w14:paraId="4B9D79CC" w14:textId="77777777" w:rsidR="00E361DB" w:rsidRPr="00983CA6" w:rsidRDefault="00E361DB" w:rsidP="002034EE">
            <w:pPr>
              <w:pStyle w:val="cuadroCabe"/>
              <w:spacing w:line="240" w:lineRule="auto"/>
              <w:jc w:val="right"/>
              <w:rPr>
                <w:sz w:val="14"/>
                <w:szCs w:val="14"/>
              </w:rPr>
            </w:pPr>
            <w:r>
              <w:rPr>
                <w:sz w:val="14"/>
              </w:rPr>
              <w:t>2020</w:t>
            </w:r>
          </w:p>
        </w:tc>
        <w:tc>
          <w:tcPr>
            <w:tcW w:w="708" w:type="dxa"/>
            <w:shd w:val="clear" w:color="auto" w:fill="FABF8F" w:themeFill="accent6" w:themeFillTint="99"/>
            <w:noWrap/>
            <w:vAlign w:val="center"/>
            <w:hideMark/>
          </w:tcPr>
          <w:p w14:paraId="73567061" w14:textId="77777777" w:rsidR="00E361DB" w:rsidRPr="00983CA6" w:rsidRDefault="00E361DB" w:rsidP="002034EE">
            <w:pPr>
              <w:pStyle w:val="cuadroCabe"/>
              <w:spacing w:line="240" w:lineRule="auto"/>
              <w:jc w:val="right"/>
              <w:rPr>
                <w:sz w:val="14"/>
                <w:szCs w:val="14"/>
              </w:rPr>
            </w:pPr>
            <w:r>
              <w:rPr>
                <w:sz w:val="14"/>
              </w:rPr>
              <w:t>2019</w:t>
            </w:r>
          </w:p>
        </w:tc>
        <w:tc>
          <w:tcPr>
            <w:tcW w:w="719" w:type="dxa"/>
            <w:shd w:val="clear" w:color="auto" w:fill="FABF8F" w:themeFill="accent6" w:themeFillTint="99"/>
            <w:noWrap/>
            <w:vAlign w:val="center"/>
            <w:hideMark/>
          </w:tcPr>
          <w:p w14:paraId="5622414F" w14:textId="77777777" w:rsidR="00E361DB" w:rsidRPr="00983CA6" w:rsidRDefault="00E361DB" w:rsidP="002034EE">
            <w:pPr>
              <w:pStyle w:val="cuadroCabe"/>
              <w:spacing w:line="240" w:lineRule="auto"/>
              <w:jc w:val="right"/>
              <w:rPr>
                <w:sz w:val="14"/>
                <w:szCs w:val="14"/>
              </w:rPr>
            </w:pPr>
            <w:r>
              <w:rPr>
                <w:sz w:val="14"/>
              </w:rPr>
              <w:t>2020</w:t>
            </w:r>
          </w:p>
        </w:tc>
        <w:tc>
          <w:tcPr>
            <w:tcW w:w="850" w:type="dxa"/>
            <w:shd w:val="clear" w:color="auto" w:fill="FABF8F" w:themeFill="accent6" w:themeFillTint="99"/>
            <w:noWrap/>
            <w:vAlign w:val="center"/>
            <w:hideMark/>
          </w:tcPr>
          <w:p w14:paraId="7B304824" w14:textId="77777777" w:rsidR="00E361DB" w:rsidRPr="00983CA6" w:rsidRDefault="00E361DB" w:rsidP="002034EE">
            <w:pPr>
              <w:pStyle w:val="cuadroCabe"/>
              <w:spacing w:line="240" w:lineRule="auto"/>
              <w:jc w:val="right"/>
              <w:rPr>
                <w:sz w:val="14"/>
                <w:szCs w:val="14"/>
              </w:rPr>
            </w:pPr>
            <w:r>
              <w:rPr>
                <w:sz w:val="14"/>
              </w:rPr>
              <w:t>2019</w:t>
            </w:r>
          </w:p>
        </w:tc>
        <w:tc>
          <w:tcPr>
            <w:tcW w:w="567" w:type="dxa"/>
            <w:shd w:val="clear" w:color="auto" w:fill="FABF8F" w:themeFill="accent6" w:themeFillTint="99"/>
            <w:noWrap/>
            <w:vAlign w:val="center"/>
            <w:hideMark/>
          </w:tcPr>
          <w:p w14:paraId="064C821F" w14:textId="77777777" w:rsidR="00E361DB" w:rsidRPr="00983CA6" w:rsidRDefault="00E361DB" w:rsidP="002034EE">
            <w:pPr>
              <w:pStyle w:val="cuadroCabe"/>
              <w:spacing w:line="240" w:lineRule="auto"/>
              <w:jc w:val="right"/>
              <w:rPr>
                <w:sz w:val="14"/>
                <w:szCs w:val="14"/>
              </w:rPr>
            </w:pPr>
            <w:r>
              <w:rPr>
                <w:sz w:val="14"/>
              </w:rPr>
              <w:t>2020</w:t>
            </w:r>
          </w:p>
        </w:tc>
        <w:tc>
          <w:tcPr>
            <w:tcW w:w="709" w:type="dxa"/>
            <w:shd w:val="clear" w:color="auto" w:fill="FABF8F" w:themeFill="accent6" w:themeFillTint="99"/>
            <w:noWrap/>
            <w:vAlign w:val="center"/>
            <w:hideMark/>
          </w:tcPr>
          <w:p w14:paraId="4028883F" w14:textId="77777777" w:rsidR="00E361DB" w:rsidRPr="00983CA6" w:rsidRDefault="00E361DB" w:rsidP="002034EE">
            <w:pPr>
              <w:pStyle w:val="cuadroCabe"/>
              <w:spacing w:line="240" w:lineRule="auto"/>
              <w:jc w:val="right"/>
              <w:rPr>
                <w:sz w:val="14"/>
                <w:szCs w:val="14"/>
              </w:rPr>
            </w:pPr>
            <w:r>
              <w:rPr>
                <w:sz w:val="14"/>
              </w:rPr>
              <w:t>2019</w:t>
            </w:r>
          </w:p>
        </w:tc>
        <w:tc>
          <w:tcPr>
            <w:tcW w:w="574" w:type="dxa"/>
            <w:shd w:val="clear" w:color="auto" w:fill="FABF8F" w:themeFill="accent6" w:themeFillTint="99"/>
            <w:noWrap/>
            <w:vAlign w:val="center"/>
            <w:hideMark/>
          </w:tcPr>
          <w:p w14:paraId="6DFFC06F" w14:textId="77777777" w:rsidR="00E361DB" w:rsidRPr="00983CA6" w:rsidRDefault="00E361DB" w:rsidP="002034EE">
            <w:pPr>
              <w:pStyle w:val="cuadroCabe"/>
              <w:spacing w:line="240" w:lineRule="auto"/>
              <w:jc w:val="right"/>
              <w:rPr>
                <w:sz w:val="14"/>
                <w:szCs w:val="14"/>
              </w:rPr>
            </w:pPr>
            <w:r>
              <w:rPr>
                <w:sz w:val="14"/>
              </w:rPr>
              <w:t>2020</w:t>
            </w:r>
          </w:p>
        </w:tc>
      </w:tr>
      <w:tr w:rsidR="00E361DB" w:rsidRPr="00983CA6" w14:paraId="4E740E67" w14:textId="77777777" w:rsidTr="002034EE">
        <w:trPr>
          <w:trHeight w:val="227"/>
        </w:trPr>
        <w:tc>
          <w:tcPr>
            <w:tcW w:w="1980" w:type="dxa"/>
            <w:shd w:val="clear" w:color="auto" w:fill="auto"/>
            <w:noWrap/>
            <w:vAlign w:val="center"/>
            <w:hideMark/>
          </w:tcPr>
          <w:p w14:paraId="49A6E4FB" w14:textId="77777777" w:rsidR="00E361DB" w:rsidRPr="00983CA6" w:rsidRDefault="00E361DB" w:rsidP="002034EE">
            <w:pPr>
              <w:pStyle w:val="cuatexto"/>
              <w:spacing w:line="240" w:lineRule="auto"/>
            </w:pPr>
            <w:r>
              <w:t>Udalak</w:t>
            </w:r>
          </w:p>
        </w:tc>
        <w:tc>
          <w:tcPr>
            <w:tcW w:w="714" w:type="dxa"/>
            <w:shd w:val="clear" w:color="auto" w:fill="auto"/>
            <w:noWrap/>
            <w:vAlign w:val="center"/>
            <w:hideMark/>
          </w:tcPr>
          <w:p w14:paraId="22AB3E36" w14:textId="77777777" w:rsidR="00E361DB" w:rsidRPr="00983CA6" w:rsidRDefault="00E361DB" w:rsidP="002034EE">
            <w:pPr>
              <w:pStyle w:val="cuatexto"/>
              <w:spacing w:line="240" w:lineRule="auto"/>
              <w:jc w:val="right"/>
            </w:pPr>
            <w:r>
              <w:t>245</w:t>
            </w:r>
          </w:p>
        </w:tc>
        <w:tc>
          <w:tcPr>
            <w:tcW w:w="627" w:type="dxa"/>
            <w:shd w:val="clear" w:color="auto" w:fill="auto"/>
            <w:noWrap/>
            <w:vAlign w:val="center"/>
            <w:hideMark/>
          </w:tcPr>
          <w:p w14:paraId="1E7E6CF8" w14:textId="77777777" w:rsidR="00E361DB" w:rsidRPr="00983CA6" w:rsidRDefault="00E361DB" w:rsidP="002034EE">
            <w:pPr>
              <w:pStyle w:val="cuatexto"/>
              <w:spacing w:line="240" w:lineRule="auto"/>
              <w:jc w:val="right"/>
            </w:pPr>
            <w:r>
              <w:t>208</w:t>
            </w:r>
          </w:p>
        </w:tc>
        <w:tc>
          <w:tcPr>
            <w:tcW w:w="780" w:type="dxa"/>
            <w:shd w:val="clear" w:color="auto" w:fill="auto"/>
            <w:noWrap/>
            <w:vAlign w:val="center"/>
            <w:hideMark/>
          </w:tcPr>
          <w:p w14:paraId="73272747" w14:textId="77777777" w:rsidR="00E361DB" w:rsidRPr="00983CA6" w:rsidRDefault="00E361DB" w:rsidP="002034EE">
            <w:pPr>
              <w:pStyle w:val="cuatexto"/>
              <w:spacing w:line="240" w:lineRule="auto"/>
              <w:jc w:val="right"/>
            </w:pPr>
            <w:r>
              <w:t>200</w:t>
            </w:r>
          </w:p>
        </w:tc>
        <w:tc>
          <w:tcPr>
            <w:tcW w:w="562" w:type="dxa"/>
            <w:shd w:val="clear" w:color="auto" w:fill="auto"/>
            <w:noWrap/>
            <w:vAlign w:val="center"/>
            <w:hideMark/>
          </w:tcPr>
          <w:p w14:paraId="401AD00B" w14:textId="77777777" w:rsidR="00E361DB" w:rsidRPr="00983CA6" w:rsidRDefault="00E361DB" w:rsidP="002034EE">
            <w:pPr>
              <w:pStyle w:val="cuatexto"/>
              <w:spacing w:line="240" w:lineRule="auto"/>
              <w:jc w:val="right"/>
            </w:pPr>
            <w:r>
              <w:t>169</w:t>
            </w:r>
          </w:p>
        </w:tc>
        <w:tc>
          <w:tcPr>
            <w:tcW w:w="708" w:type="dxa"/>
            <w:shd w:val="clear" w:color="auto" w:fill="auto"/>
            <w:noWrap/>
            <w:vAlign w:val="center"/>
            <w:hideMark/>
          </w:tcPr>
          <w:p w14:paraId="5FAC1C92" w14:textId="77777777" w:rsidR="00E361DB" w:rsidRPr="00983CA6" w:rsidRDefault="00E361DB" w:rsidP="002034EE">
            <w:pPr>
              <w:pStyle w:val="cuatexto"/>
              <w:spacing w:line="240" w:lineRule="auto"/>
              <w:jc w:val="right"/>
            </w:pPr>
            <w:r>
              <w:t>200</w:t>
            </w:r>
          </w:p>
        </w:tc>
        <w:tc>
          <w:tcPr>
            <w:tcW w:w="719" w:type="dxa"/>
            <w:shd w:val="clear" w:color="auto" w:fill="auto"/>
            <w:noWrap/>
            <w:vAlign w:val="center"/>
            <w:hideMark/>
          </w:tcPr>
          <w:p w14:paraId="68D1006D" w14:textId="77777777" w:rsidR="00E361DB" w:rsidRPr="00983CA6" w:rsidRDefault="00E361DB" w:rsidP="002034EE">
            <w:pPr>
              <w:pStyle w:val="cuatexto"/>
              <w:spacing w:line="240" w:lineRule="auto"/>
              <w:jc w:val="right"/>
            </w:pPr>
            <w:r>
              <w:t>163</w:t>
            </w:r>
          </w:p>
        </w:tc>
        <w:tc>
          <w:tcPr>
            <w:tcW w:w="850" w:type="dxa"/>
            <w:shd w:val="clear" w:color="auto" w:fill="auto"/>
            <w:noWrap/>
            <w:vAlign w:val="center"/>
            <w:hideMark/>
          </w:tcPr>
          <w:p w14:paraId="350A4B50" w14:textId="77777777" w:rsidR="00E361DB" w:rsidRPr="00983CA6" w:rsidRDefault="00E361DB" w:rsidP="002034EE">
            <w:pPr>
              <w:pStyle w:val="cuatexto"/>
              <w:spacing w:line="240" w:lineRule="auto"/>
              <w:jc w:val="right"/>
            </w:pPr>
            <w:r>
              <w:t>195</w:t>
            </w:r>
          </w:p>
        </w:tc>
        <w:tc>
          <w:tcPr>
            <w:tcW w:w="567" w:type="dxa"/>
            <w:shd w:val="clear" w:color="auto" w:fill="auto"/>
            <w:noWrap/>
            <w:vAlign w:val="center"/>
            <w:hideMark/>
          </w:tcPr>
          <w:p w14:paraId="66F7FD40" w14:textId="77777777" w:rsidR="00E361DB" w:rsidRPr="00983CA6" w:rsidRDefault="00E361DB" w:rsidP="002034EE">
            <w:pPr>
              <w:pStyle w:val="cuatexto"/>
              <w:spacing w:line="240" w:lineRule="auto"/>
              <w:jc w:val="right"/>
            </w:pPr>
            <w:r>
              <w:t>160</w:t>
            </w:r>
          </w:p>
        </w:tc>
        <w:tc>
          <w:tcPr>
            <w:tcW w:w="709" w:type="dxa"/>
            <w:shd w:val="clear" w:color="auto" w:fill="auto"/>
            <w:noWrap/>
            <w:vAlign w:val="center"/>
            <w:hideMark/>
          </w:tcPr>
          <w:p w14:paraId="52BB5B23" w14:textId="77777777" w:rsidR="00E361DB" w:rsidRPr="00983CA6" w:rsidRDefault="00E361DB" w:rsidP="002034EE">
            <w:pPr>
              <w:pStyle w:val="cuatexto"/>
              <w:spacing w:line="240" w:lineRule="auto"/>
              <w:jc w:val="right"/>
            </w:pPr>
            <w:r>
              <w:t>199</w:t>
            </w:r>
          </w:p>
        </w:tc>
        <w:tc>
          <w:tcPr>
            <w:tcW w:w="574" w:type="dxa"/>
            <w:shd w:val="clear" w:color="auto" w:fill="auto"/>
            <w:noWrap/>
            <w:vAlign w:val="center"/>
            <w:hideMark/>
          </w:tcPr>
          <w:p w14:paraId="78A43437" w14:textId="77777777" w:rsidR="00E361DB" w:rsidRPr="00983CA6" w:rsidRDefault="00E361DB" w:rsidP="002034EE">
            <w:pPr>
              <w:pStyle w:val="cuatexto"/>
              <w:spacing w:line="240" w:lineRule="auto"/>
              <w:jc w:val="right"/>
            </w:pPr>
            <w:r>
              <w:t>163</w:t>
            </w:r>
          </w:p>
        </w:tc>
      </w:tr>
      <w:tr w:rsidR="00E361DB" w:rsidRPr="00983CA6" w14:paraId="001A86E0" w14:textId="77777777" w:rsidTr="002034EE">
        <w:trPr>
          <w:trHeight w:val="227"/>
        </w:trPr>
        <w:tc>
          <w:tcPr>
            <w:tcW w:w="1980" w:type="dxa"/>
            <w:shd w:val="clear" w:color="auto" w:fill="auto"/>
            <w:noWrap/>
            <w:vAlign w:val="center"/>
            <w:hideMark/>
          </w:tcPr>
          <w:p w14:paraId="555958F6" w14:textId="14A8E39F" w:rsidR="00E361DB" w:rsidRPr="00983CA6" w:rsidRDefault="00E361DB" w:rsidP="002034EE">
            <w:pPr>
              <w:pStyle w:val="cuatexto"/>
              <w:spacing w:line="240" w:lineRule="auto"/>
            </w:pPr>
            <w:r>
              <w:t>&lt; 1.000 biztanle</w:t>
            </w:r>
          </w:p>
        </w:tc>
        <w:tc>
          <w:tcPr>
            <w:tcW w:w="714" w:type="dxa"/>
            <w:shd w:val="clear" w:color="auto" w:fill="auto"/>
            <w:noWrap/>
            <w:vAlign w:val="center"/>
            <w:hideMark/>
          </w:tcPr>
          <w:p w14:paraId="5FB6C383" w14:textId="77777777" w:rsidR="00E361DB" w:rsidRPr="00983CA6" w:rsidRDefault="00E361DB" w:rsidP="002034EE">
            <w:pPr>
              <w:pStyle w:val="cuatexto"/>
              <w:spacing w:line="240" w:lineRule="auto"/>
              <w:jc w:val="right"/>
            </w:pPr>
            <w:r>
              <w:t>165</w:t>
            </w:r>
          </w:p>
        </w:tc>
        <w:tc>
          <w:tcPr>
            <w:tcW w:w="627" w:type="dxa"/>
            <w:shd w:val="clear" w:color="auto" w:fill="auto"/>
            <w:noWrap/>
            <w:vAlign w:val="center"/>
            <w:hideMark/>
          </w:tcPr>
          <w:p w14:paraId="017752E2" w14:textId="77777777" w:rsidR="00E361DB" w:rsidRPr="00983CA6" w:rsidRDefault="00E361DB" w:rsidP="002034EE">
            <w:pPr>
              <w:pStyle w:val="cuatexto"/>
              <w:spacing w:line="240" w:lineRule="auto"/>
              <w:jc w:val="right"/>
            </w:pPr>
            <w:r>
              <w:t>139</w:t>
            </w:r>
          </w:p>
        </w:tc>
        <w:tc>
          <w:tcPr>
            <w:tcW w:w="780" w:type="dxa"/>
            <w:shd w:val="clear" w:color="auto" w:fill="auto"/>
            <w:noWrap/>
            <w:vAlign w:val="center"/>
            <w:hideMark/>
          </w:tcPr>
          <w:p w14:paraId="59B356DB" w14:textId="77777777" w:rsidR="00E361DB" w:rsidRPr="00983CA6" w:rsidRDefault="00E361DB" w:rsidP="002034EE">
            <w:pPr>
              <w:pStyle w:val="cuatexto"/>
              <w:spacing w:line="240" w:lineRule="auto"/>
              <w:jc w:val="right"/>
            </w:pPr>
            <w:r>
              <w:t>130</w:t>
            </w:r>
          </w:p>
        </w:tc>
        <w:tc>
          <w:tcPr>
            <w:tcW w:w="562" w:type="dxa"/>
            <w:shd w:val="clear" w:color="auto" w:fill="auto"/>
            <w:noWrap/>
            <w:vAlign w:val="center"/>
            <w:hideMark/>
          </w:tcPr>
          <w:p w14:paraId="5017F696" w14:textId="77777777" w:rsidR="00E361DB" w:rsidRPr="00983CA6" w:rsidRDefault="00E361DB" w:rsidP="002034EE">
            <w:pPr>
              <w:pStyle w:val="cuatexto"/>
              <w:spacing w:line="240" w:lineRule="auto"/>
              <w:jc w:val="right"/>
            </w:pPr>
            <w:r>
              <w:t>109</w:t>
            </w:r>
          </w:p>
        </w:tc>
        <w:tc>
          <w:tcPr>
            <w:tcW w:w="708" w:type="dxa"/>
            <w:shd w:val="clear" w:color="auto" w:fill="auto"/>
            <w:noWrap/>
            <w:vAlign w:val="center"/>
            <w:hideMark/>
          </w:tcPr>
          <w:p w14:paraId="425BB46E" w14:textId="77777777" w:rsidR="00E361DB" w:rsidRPr="00983CA6" w:rsidRDefault="00E361DB" w:rsidP="002034EE">
            <w:pPr>
              <w:pStyle w:val="cuatexto"/>
              <w:spacing w:line="240" w:lineRule="auto"/>
              <w:jc w:val="right"/>
            </w:pPr>
            <w:r>
              <w:t>130</w:t>
            </w:r>
          </w:p>
        </w:tc>
        <w:tc>
          <w:tcPr>
            <w:tcW w:w="719" w:type="dxa"/>
            <w:shd w:val="clear" w:color="auto" w:fill="auto"/>
            <w:noWrap/>
            <w:vAlign w:val="center"/>
            <w:hideMark/>
          </w:tcPr>
          <w:p w14:paraId="5325B4EE" w14:textId="77777777" w:rsidR="00E361DB" w:rsidRPr="00983CA6" w:rsidRDefault="00E361DB" w:rsidP="002034EE">
            <w:pPr>
              <w:pStyle w:val="cuatexto"/>
              <w:spacing w:line="240" w:lineRule="auto"/>
              <w:jc w:val="right"/>
            </w:pPr>
            <w:r>
              <w:t>109</w:t>
            </w:r>
          </w:p>
        </w:tc>
        <w:tc>
          <w:tcPr>
            <w:tcW w:w="850" w:type="dxa"/>
            <w:shd w:val="clear" w:color="auto" w:fill="auto"/>
            <w:noWrap/>
            <w:vAlign w:val="center"/>
            <w:hideMark/>
          </w:tcPr>
          <w:p w14:paraId="689AE78C" w14:textId="77777777" w:rsidR="00E361DB" w:rsidRPr="00983CA6" w:rsidRDefault="00E361DB" w:rsidP="002034EE">
            <w:pPr>
              <w:pStyle w:val="cuatexto"/>
              <w:spacing w:line="240" w:lineRule="auto"/>
              <w:jc w:val="right"/>
            </w:pPr>
            <w:r>
              <w:t>134</w:t>
            </w:r>
          </w:p>
        </w:tc>
        <w:tc>
          <w:tcPr>
            <w:tcW w:w="567" w:type="dxa"/>
            <w:shd w:val="clear" w:color="auto" w:fill="auto"/>
            <w:noWrap/>
            <w:vAlign w:val="center"/>
            <w:hideMark/>
          </w:tcPr>
          <w:p w14:paraId="19B1E4F1" w14:textId="77777777" w:rsidR="00E361DB" w:rsidRPr="00983CA6" w:rsidRDefault="00E361DB" w:rsidP="002034EE">
            <w:pPr>
              <w:pStyle w:val="cuatexto"/>
              <w:spacing w:line="240" w:lineRule="auto"/>
              <w:jc w:val="right"/>
            </w:pPr>
            <w:r>
              <w:t>110</w:t>
            </w:r>
          </w:p>
        </w:tc>
        <w:tc>
          <w:tcPr>
            <w:tcW w:w="709" w:type="dxa"/>
            <w:shd w:val="clear" w:color="auto" w:fill="auto"/>
            <w:noWrap/>
            <w:vAlign w:val="center"/>
            <w:hideMark/>
          </w:tcPr>
          <w:p w14:paraId="58A8A76C" w14:textId="77777777" w:rsidR="00E361DB" w:rsidRPr="00983CA6" w:rsidRDefault="00E361DB" w:rsidP="002034EE">
            <w:pPr>
              <w:pStyle w:val="cuatexto"/>
              <w:spacing w:line="240" w:lineRule="auto"/>
              <w:jc w:val="right"/>
            </w:pPr>
            <w:r>
              <w:t>132</w:t>
            </w:r>
          </w:p>
        </w:tc>
        <w:tc>
          <w:tcPr>
            <w:tcW w:w="574" w:type="dxa"/>
            <w:shd w:val="clear" w:color="auto" w:fill="auto"/>
            <w:noWrap/>
            <w:vAlign w:val="center"/>
            <w:hideMark/>
          </w:tcPr>
          <w:p w14:paraId="592BCB13" w14:textId="77777777" w:rsidR="00E361DB" w:rsidRPr="00983CA6" w:rsidRDefault="00E361DB" w:rsidP="002034EE">
            <w:pPr>
              <w:pStyle w:val="cuatexto"/>
              <w:spacing w:line="240" w:lineRule="auto"/>
              <w:jc w:val="right"/>
            </w:pPr>
            <w:r>
              <w:t>108</w:t>
            </w:r>
          </w:p>
        </w:tc>
      </w:tr>
      <w:tr w:rsidR="00E361DB" w:rsidRPr="00983CA6" w14:paraId="5B45ACC8" w14:textId="77777777" w:rsidTr="002034EE">
        <w:trPr>
          <w:trHeight w:val="227"/>
        </w:trPr>
        <w:tc>
          <w:tcPr>
            <w:tcW w:w="1980" w:type="dxa"/>
            <w:shd w:val="clear" w:color="auto" w:fill="auto"/>
            <w:noWrap/>
            <w:vAlign w:val="center"/>
            <w:hideMark/>
          </w:tcPr>
          <w:p w14:paraId="14B4F33A" w14:textId="240D5EC5" w:rsidR="00E361DB" w:rsidRPr="00983CA6" w:rsidRDefault="008E43F9" w:rsidP="002034EE">
            <w:pPr>
              <w:pStyle w:val="cuatexto"/>
              <w:spacing w:line="240" w:lineRule="auto"/>
            </w:pPr>
            <w:r>
              <w:t>1.000 &lt; bizt. &lt; 5.000</w:t>
            </w:r>
          </w:p>
        </w:tc>
        <w:tc>
          <w:tcPr>
            <w:tcW w:w="714" w:type="dxa"/>
            <w:shd w:val="clear" w:color="auto" w:fill="auto"/>
            <w:noWrap/>
            <w:vAlign w:val="center"/>
            <w:hideMark/>
          </w:tcPr>
          <w:p w14:paraId="7CE3C638" w14:textId="77777777" w:rsidR="00E361DB" w:rsidRPr="00983CA6" w:rsidRDefault="00E361DB" w:rsidP="002034EE">
            <w:pPr>
              <w:pStyle w:val="cuatexto"/>
              <w:spacing w:line="240" w:lineRule="auto"/>
              <w:jc w:val="right"/>
            </w:pPr>
            <w:r>
              <w:t>60</w:t>
            </w:r>
          </w:p>
        </w:tc>
        <w:tc>
          <w:tcPr>
            <w:tcW w:w="627" w:type="dxa"/>
            <w:shd w:val="clear" w:color="auto" w:fill="auto"/>
            <w:noWrap/>
            <w:vAlign w:val="center"/>
            <w:hideMark/>
          </w:tcPr>
          <w:p w14:paraId="49384BDC" w14:textId="77777777" w:rsidR="00E361DB" w:rsidRPr="00983CA6" w:rsidRDefault="00E361DB" w:rsidP="002034EE">
            <w:pPr>
              <w:pStyle w:val="cuatexto"/>
              <w:spacing w:line="240" w:lineRule="auto"/>
              <w:jc w:val="right"/>
            </w:pPr>
            <w:r>
              <w:t>51</w:t>
            </w:r>
          </w:p>
        </w:tc>
        <w:tc>
          <w:tcPr>
            <w:tcW w:w="780" w:type="dxa"/>
            <w:shd w:val="clear" w:color="auto" w:fill="auto"/>
            <w:noWrap/>
            <w:vAlign w:val="center"/>
            <w:hideMark/>
          </w:tcPr>
          <w:p w14:paraId="0FC30A2C" w14:textId="77777777" w:rsidR="00E361DB" w:rsidRPr="00983CA6" w:rsidRDefault="00E361DB" w:rsidP="002034EE">
            <w:pPr>
              <w:pStyle w:val="cuatexto"/>
              <w:spacing w:line="240" w:lineRule="auto"/>
              <w:jc w:val="right"/>
            </w:pPr>
            <w:r>
              <w:t>54</w:t>
            </w:r>
          </w:p>
        </w:tc>
        <w:tc>
          <w:tcPr>
            <w:tcW w:w="562" w:type="dxa"/>
            <w:shd w:val="clear" w:color="auto" w:fill="auto"/>
            <w:noWrap/>
            <w:vAlign w:val="center"/>
            <w:hideMark/>
          </w:tcPr>
          <w:p w14:paraId="4869E5E4" w14:textId="77777777" w:rsidR="00E361DB" w:rsidRPr="00983CA6" w:rsidRDefault="00E361DB" w:rsidP="002034EE">
            <w:pPr>
              <w:pStyle w:val="cuatexto"/>
              <w:spacing w:line="240" w:lineRule="auto"/>
              <w:jc w:val="right"/>
            </w:pPr>
            <w:r>
              <w:t>44</w:t>
            </w:r>
          </w:p>
        </w:tc>
        <w:tc>
          <w:tcPr>
            <w:tcW w:w="708" w:type="dxa"/>
            <w:shd w:val="clear" w:color="auto" w:fill="auto"/>
            <w:noWrap/>
            <w:vAlign w:val="center"/>
            <w:hideMark/>
          </w:tcPr>
          <w:p w14:paraId="21A5469A" w14:textId="77777777" w:rsidR="00E361DB" w:rsidRPr="00983CA6" w:rsidRDefault="00E361DB" w:rsidP="002034EE">
            <w:pPr>
              <w:pStyle w:val="cuatexto"/>
              <w:spacing w:line="240" w:lineRule="auto"/>
              <w:jc w:val="right"/>
            </w:pPr>
            <w:r>
              <w:t>55</w:t>
            </w:r>
          </w:p>
        </w:tc>
        <w:tc>
          <w:tcPr>
            <w:tcW w:w="719" w:type="dxa"/>
            <w:shd w:val="clear" w:color="auto" w:fill="auto"/>
            <w:noWrap/>
            <w:vAlign w:val="center"/>
            <w:hideMark/>
          </w:tcPr>
          <w:p w14:paraId="5C925590" w14:textId="77777777" w:rsidR="00E361DB" w:rsidRPr="00983CA6" w:rsidRDefault="00E361DB" w:rsidP="002034EE">
            <w:pPr>
              <w:pStyle w:val="cuatexto"/>
              <w:spacing w:line="240" w:lineRule="auto"/>
              <w:jc w:val="right"/>
            </w:pPr>
            <w:r>
              <w:t>41</w:t>
            </w:r>
          </w:p>
        </w:tc>
        <w:tc>
          <w:tcPr>
            <w:tcW w:w="850" w:type="dxa"/>
            <w:shd w:val="clear" w:color="auto" w:fill="auto"/>
            <w:noWrap/>
            <w:vAlign w:val="center"/>
            <w:hideMark/>
          </w:tcPr>
          <w:p w14:paraId="74E96A6C" w14:textId="77777777" w:rsidR="00E361DB" w:rsidRPr="00983CA6" w:rsidRDefault="00E361DB" w:rsidP="002034EE">
            <w:pPr>
              <w:pStyle w:val="cuatexto"/>
              <w:spacing w:line="240" w:lineRule="auto"/>
              <w:jc w:val="right"/>
            </w:pPr>
            <w:r>
              <w:t>50</w:t>
            </w:r>
          </w:p>
        </w:tc>
        <w:tc>
          <w:tcPr>
            <w:tcW w:w="567" w:type="dxa"/>
            <w:shd w:val="clear" w:color="auto" w:fill="auto"/>
            <w:noWrap/>
            <w:vAlign w:val="center"/>
            <w:hideMark/>
          </w:tcPr>
          <w:p w14:paraId="39A4ADC4" w14:textId="77777777" w:rsidR="00E361DB" w:rsidRPr="00983CA6" w:rsidRDefault="00E361DB" w:rsidP="002034EE">
            <w:pPr>
              <w:pStyle w:val="cuatexto"/>
              <w:spacing w:line="240" w:lineRule="auto"/>
              <w:jc w:val="right"/>
            </w:pPr>
            <w:r>
              <w:t>41</w:t>
            </w:r>
          </w:p>
        </w:tc>
        <w:tc>
          <w:tcPr>
            <w:tcW w:w="709" w:type="dxa"/>
            <w:shd w:val="clear" w:color="auto" w:fill="auto"/>
            <w:noWrap/>
            <w:vAlign w:val="center"/>
            <w:hideMark/>
          </w:tcPr>
          <w:p w14:paraId="7DAB0DD8" w14:textId="77777777" w:rsidR="00E361DB" w:rsidRPr="00983CA6" w:rsidRDefault="00E361DB" w:rsidP="002034EE">
            <w:pPr>
              <w:pStyle w:val="cuatexto"/>
              <w:spacing w:line="240" w:lineRule="auto"/>
              <w:jc w:val="right"/>
            </w:pPr>
            <w:r>
              <w:t>52</w:t>
            </w:r>
          </w:p>
        </w:tc>
        <w:tc>
          <w:tcPr>
            <w:tcW w:w="574" w:type="dxa"/>
            <w:shd w:val="clear" w:color="auto" w:fill="auto"/>
            <w:noWrap/>
            <w:vAlign w:val="center"/>
            <w:hideMark/>
          </w:tcPr>
          <w:p w14:paraId="263F08E9" w14:textId="77777777" w:rsidR="00E361DB" w:rsidRPr="00983CA6" w:rsidRDefault="00E361DB" w:rsidP="002034EE">
            <w:pPr>
              <w:pStyle w:val="cuatexto"/>
              <w:spacing w:line="240" w:lineRule="auto"/>
              <w:jc w:val="right"/>
            </w:pPr>
            <w:r>
              <w:t>41</w:t>
            </w:r>
          </w:p>
        </w:tc>
      </w:tr>
      <w:tr w:rsidR="00E361DB" w:rsidRPr="00983CA6" w14:paraId="6036C6ED" w14:textId="77777777" w:rsidTr="002034EE">
        <w:trPr>
          <w:trHeight w:val="227"/>
        </w:trPr>
        <w:tc>
          <w:tcPr>
            <w:tcW w:w="1980" w:type="dxa"/>
            <w:shd w:val="clear" w:color="auto" w:fill="auto"/>
            <w:noWrap/>
            <w:vAlign w:val="center"/>
            <w:hideMark/>
          </w:tcPr>
          <w:p w14:paraId="1B026234" w14:textId="2CAA36A2" w:rsidR="00E361DB" w:rsidRPr="00983CA6" w:rsidRDefault="008E43F9" w:rsidP="002034EE">
            <w:pPr>
              <w:pStyle w:val="cuatexto"/>
              <w:spacing w:line="240" w:lineRule="auto"/>
            </w:pPr>
            <w:r>
              <w:t>5.000 &lt; bizt. &lt; 10.000</w:t>
            </w:r>
          </w:p>
        </w:tc>
        <w:tc>
          <w:tcPr>
            <w:tcW w:w="714" w:type="dxa"/>
            <w:shd w:val="clear" w:color="auto" w:fill="auto"/>
            <w:noWrap/>
            <w:vAlign w:val="center"/>
            <w:hideMark/>
          </w:tcPr>
          <w:p w14:paraId="457E2DCC" w14:textId="77777777" w:rsidR="00E361DB" w:rsidRPr="00983CA6" w:rsidRDefault="00E361DB" w:rsidP="002034EE">
            <w:pPr>
              <w:pStyle w:val="cuatexto"/>
              <w:spacing w:line="240" w:lineRule="auto"/>
              <w:jc w:val="right"/>
            </w:pPr>
            <w:r>
              <w:t>8</w:t>
            </w:r>
          </w:p>
        </w:tc>
        <w:tc>
          <w:tcPr>
            <w:tcW w:w="627" w:type="dxa"/>
            <w:shd w:val="clear" w:color="auto" w:fill="auto"/>
            <w:noWrap/>
            <w:vAlign w:val="center"/>
            <w:hideMark/>
          </w:tcPr>
          <w:p w14:paraId="14AFBAD6" w14:textId="77777777" w:rsidR="00E361DB" w:rsidRPr="00983CA6" w:rsidRDefault="00E361DB" w:rsidP="002034EE">
            <w:pPr>
              <w:pStyle w:val="cuatexto"/>
              <w:spacing w:line="240" w:lineRule="auto"/>
              <w:jc w:val="right"/>
            </w:pPr>
            <w:r>
              <w:t>6</w:t>
            </w:r>
          </w:p>
        </w:tc>
        <w:tc>
          <w:tcPr>
            <w:tcW w:w="780" w:type="dxa"/>
            <w:shd w:val="clear" w:color="auto" w:fill="auto"/>
            <w:noWrap/>
            <w:vAlign w:val="center"/>
            <w:hideMark/>
          </w:tcPr>
          <w:p w14:paraId="349F6169" w14:textId="77777777" w:rsidR="00E361DB" w:rsidRPr="00983CA6" w:rsidRDefault="00E361DB" w:rsidP="002034EE">
            <w:pPr>
              <w:pStyle w:val="cuatexto"/>
              <w:spacing w:line="240" w:lineRule="auto"/>
              <w:jc w:val="right"/>
            </w:pPr>
            <w:r>
              <w:t>7</w:t>
            </w:r>
          </w:p>
        </w:tc>
        <w:tc>
          <w:tcPr>
            <w:tcW w:w="562" w:type="dxa"/>
            <w:shd w:val="clear" w:color="auto" w:fill="auto"/>
            <w:noWrap/>
            <w:vAlign w:val="center"/>
            <w:hideMark/>
          </w:tcPr>
          <w:p w14:paraId="6168BF6D" w14:textId="77777777" w:rsidR="00E361DB" w:rsidRPr="00983CA6" w:rsidRDefault="00E361DB" w:rsidP="002034EE">
            <w:pPr>
              <w:pStyle w:val="cuatexto"/>
              <w:spacing w:line="240" w:lineRule="auto"/>
              <w:jc w:val="right"/>
            </w:pPr>
            <w:r>
              <w:t>6</w:t>
            </w:r>
          </w:p>
        </w:tc>
        <w:tc>
          <w:tcPr>
            <w:tcW w:w="708" w:type="dxa"/>
            <w:shd w:val="clear" w:color="auto" w:fill="auto"/>
            <w:noWrap/>
            <w:vAlign w:val="center"/>
            <w:hideMark/>
          </w:tcPr>
          <w:p w14:paraId="0A84A0FA" w14:textId="77777777" w:rsidR="00E361DB" w:rsidRPr="00983CA6" w:rsidRDefault="00E361DB" w:rsidP="002034EE">
            <w:pPr>
              <w:pStyle w:val="cuatexto"/>
              <w:spacing w:line="240" w:lineRule="auto"/>
              <w:jc w:val="right"/>
            </w:pPr>
            <w:r>
              <w:t>7</w:t>
            </w:r>
          </w:p>
        </w:tc>
        <w:tc>
          <w:tcPr>
            <w:tcW w:w="719" w:type="dxa"/>
            <w:shd w:val="clear" w:color="auto" w:fill="auto"/>
            <w:noWrap/>
            <w:vAlign w:val="center"/>
            <w:hideMark/>
          </w:tcPr>
          <w:p w14:paraId="1D204B46" w14:textId="77777777" w:rsidR="00E361DB" w:rsidRPr="00983CA6" w:rsidRDefault="00E361DB" w:rsidP="002034EE">
            <w:pPr>
              <w:pStyle w:val="cuatexto"/>
              <w:spacing w:line="240" w:lineRule="auto"/>
              <w:jc w:val="right"/>
            </w:pPr>
            <w:r>
              <w:t>6</w:t>
            </w:r>
          </w:p>
        </w:tc>
        <w:tc>
          <w:tcPr>
            <w:tcW w:w="850" w:type="dxa"/>
            <w:shd w:val="clear" w:color="auto" w:fill="auto"/>
            <w:noWrap/>
            <w:vAlign w:val="center"/>
            <w:hideMark/>
          </w:tcPr>
          <w:p w14:paraId="7AF47599" w14:textId="77777777" w:rsidR="00E361DB" w:rsidRPr="00983CA6" w:rsidRDefault="00E361DB" w:rsidP="002034EE">
            <w:pPr>
              <w:pStyle w:val="cuatexto"/>
              <w:spacing w:line="240" w:lineRule="auto"/>
              <w:jc w:val="right"/>
            </w:pPr>
            <w:r>
              <w:t>3</w:t>
            </w:r>
          </w:p>
        </w:tc>
        <w:tc>
          <w:tcPr>
            <w:tcW w:w="567" w:type="dxa"/>
            <w:shd w:val="clear" w:color="auto" w:fill="auto"/>
            <w:noWrap/>
            <w:vAlign w:val="center"/>
            <w:hideMark/>
          </w:tcPr>
          <w:p w14:paraId="0F505F21" w14:textId="77777777" w:rsidR="00E361DB" w:rsidRPr="00983CA6" w:rsidRDefault="00E361DB" w:rsidP="002034EE">
            <w:pPr>
              <w:pStyle w:val="cuatexto"/>
              <w:spacing w:line="240" w:lineRule="auto"/>
              <w:jc w:val="right"/>
            </w:pPr>
            <w:r>
              <w:t>2</w:t>
            </w:r>
          </w:p>
        </w:tc>
        <w:tc>
          <w:tcPr>
            <w:tcW w:w="709" w:type="dxa"/>
            <w:shd w:val="clear" w:color="auto" w:fill="auto"/>
            <w:noWrap/>
            <w:vAlign w:val="center"/>
            <w:hideMark/>
          </w:tcPr>
          <w:p w14:paraId="195E21DF" w14:textId="77777777" w:rsidR="00E361DB" w:rsidRPr="00983CA6" w:rsidRDefault="00E361DB" w:rsidP="002034EE">
            <w:pPr>
              <w:pStyle w:val="cuatexto"/>
              <w:spacing w:line="240" w:lineRule="auto"/>
              <w:jc w:val="right"/>
            </w:pPr>
            <w:r>
              <w:t>6</w:t>
            </w:r>
          </w:p>
        </w:tc>
        <w:tc>
          <w:tcPr>
            <w:tcW w:w="574" w:type="dxa"/>
            <w:shd w:val="clear" w:color="auto" w:fill="auto"/>
            <w:noWrap/>
            <w:vAlign w:val="center"/>
            <w:hideMark/>
          </w:tcPr>
          <w:p w14:paraId="4B463A48" w14:textId="77777777" w:rsidR="00E361DB" w:rsidRPr="00983CA6" w:rsidRDefault="00E361DB" w:rsidP="002034EE">
            <w:pPr>
              <w:pStyle w:val="cuatexto"/>
              <w:spacing w:line="240" w:lineRule="auto"/>
              <w:jc w:val="right"/>
            </w:pPr>
            <w:r>
              <w:t>5</w:t>
            </w:r>
          </w:p>
        </w:tc>
      </w:tr>
      <w:tr w:rsidR="00E361DB" w:rsidRPr="00983CA6" w14:paraId="4B3F3C6C" w14:textId="77777777" w:rsidTr="002034EE">
        <w:trPr>
          <w:trHeight w:val="227"/>
        </w:trPr>
        <w:tc>
          <w:tcPr>
            <w:tcW w:w="1980" w:type="dxa"/>
            <w:shd w:val="clear" w:color="auto" w:fill="auto"/>
            <w:noWrap/>
            <w:vAlign w:val="center"/>
            <w:hideMark/>
          </w:tcPr>
          <w:p w14:paraId="307A6C15" w14:textId="6DED2957" w:rsidR="00E361DB" w:rsidRPr="00983CA6" w:rsidRDefault="004C741A" w:rsidP="002034EE">
            <w:pPr>
              <w:pStyle w:val="cuatexto"/>
              <w:spacing w:line="240" w:lineRule="auto"/>
            </w:pPr>
            <w:r>
              <w:t>10.000 &lt; bizt. &lt; 20.000</w:t>
            </w:r>
          </w:p>
        </w:tc>
        <w:tc>
          <w:tcPr>
            <w:tcW w:w="714" w:type="dxa"/>
            <w:shd w:val="clear" w:color="auto" w:fill="auto"/>
            <w:noWrap/>
            <w:vAlign w:val="center"/>
            <w:hideMark/>
          </w:tcPr>
          <w:p w14:paraId="63913060" w14:textId="77777777" w:rsidR="00E361DB" w:rsidRPr="00983CA6" w:rsidRDefault="00E361DB" w:rsidP="002034EE">
            <w:pPr>
              <w:pStyle w:val="cuatexto"/>
              <w:spacing w:line="240" w:lineRule="auto"/>
              <w:jc w:val="right"/>
            </w:pPr>
            <w:r>
              <w:t>8</w:t>
            </w:r>
          </w:p>
        </w:tc>
        <w:tc>
          <w:tcPr>
            <w:tcW w:w="627" w:type="dxa"/>
            <w:shd w:val="clear" w:color="auto" w:fill="auto"/>
            <w:noWrap/>
            <w:vAlign w:val="center"/>
            <w:hideMark/>
          </w:tcPr>
          <w:p w14:paraId="53F9CF68" w14:textId="77777777" w:rsidR="00E361DB" w:rsidRPr="00983CA6" w:rsidRDefault="00E361DB" w:rsidP="002034EE">
            <w:pPr>
              <w:pStyle w:val="cuatexto"/>
              <w:spacing w:line="240" w:lineRule="auto"/>
              <w:jc w:val="right"/>
            </w:pPr>
            <w:r>
              <w:t>8</w:t>
            </w:r>
          </w:p>
        </w:tc>
        <w:tc>
          <w:tcPr>
            <w:tcW w:w="780" w:type="dxa"/>
            <w:shd w:val="clear" w:color="auto" w:fill="auto"/>
            <w:noWrap/>
            <w:vAlign w:val="center"/>
            <w:hideMark/>
          </w:tcPr>
          <w:p w14:paraId="31969E47" w14:textId="77777777" w:rsidR="00E361DB" w:rsidRPr="00983CA6" w:rsidRDefault="00E361DB" w:rsidP="002034EE">
            <w:pPr>
              <w:pStyle w:val="cuatexto"/>
              <w:spacing w:line="240" w:lineRule="auto"/>
              <w:jc w:val="right"/>
            </w:pPr>
            <w:r>
              <w:t>6</w:t>
            </w:r>
          </w:p>
        </w:tc>
        <w:tc>
          <w:tcPr>
            <w:tcW w:w="562" w:type="dxa"/>
            <w:shd w:val="clear" w:color="auto" w:fill="auto"/>
            <w:noWrap/>
            <w:vAlign w:val="center"/>
            <w:hideMark/>
          </w:tcPr>
          <w:p w14:paraId="7A42C6EE" w14:textId="77777777" w:rsidR="00E361DB" w:rsidRPr="00983CA6" w:rsidRDefault="00E361DB" w:rsidP="002034EE">
            <w:pPr>
              <w:pStyle w:val="cuatexto"/>
              <w:spacing w:line="240" w:lineRule="auto"/>
              <w:jc w:val="right"/>
            </w:pPr>
            <w:r>
              <w:t>7</w:t>
            </w:r>
          </w:p>
        </w:tc>
        <w:tc>
          <w:tcPr>
            <w:tcW w:w="708" w:type="dxa"/>
            <w:shd w:val="clear" w:color="auto" w:fill="auto"/>
            <w:noWrap/>
            <w:vAlign w:val="center"/>
            <w:hideMark/>
          </w:tcPr>
          <w:p w14:paraId="6ED6A10D" w14:textId="77777777" w:rsidR="00E361DB" w:rsidRPr="00983CA6" w:rsidRDefault="00E361DB" w:rsidP="002034EE">
            <w:pPr>
              <w:pStyle w:val="cuatexto"/>
              <w:spacing w:line="240" w:lineRule="auto"/>
              <w:jc w:val="right"/>
            </w:pPr>
            <w:r>
              <w:t>6</w:t>
            </w:r>
          </w:p>
        </w:tc>
        <w:tc>
          <w:tcPr>
            <w:tcW w:w="719" w:type="dxa"/>
            <w:shd w:val="clear" w:color="auto" w:fill="auto"/>
            <w:noWrap/>
            <w:vAlign w:val="center"/>
            <w:hideMark/>
          </w:tcPr>
          <w:p w14:paraId="3AED7505" w14:textId="77777777" w:rsidR="00E361DB" w:rsidRPr="00983CA6" w:rsidRDefault="00E361DB" w:rsidP="002034EE">
            <w:pPr>
              <w:pStyle w:val="cuatexto"/>
              <w:spacing w:line="240" w:lineRule="auto"/>
              <w:jc w:val="right"/>
            </w:pPr>
            <w:r>
              <w:t>5</w:t>
            </w:r>
          </w:p>
        </w:tc>
        <w:tc>
          <w:tcPr>
            <w:tcW w:w="850" w:type="dxa"/>
            <w:shd w:val="clear" w:color="auto" w:fill="auto"/>
            <w:noWrap/>
            <w:vAlign w:val="center"/>
            <w:hideMark/>
          </w:tcPr>
          <w:p w14:paraId="42AF200D" w14:textId="77777777" w:rsidR="00E361DB" w:rsidRPr="00983CA6" w:rsidRDefault="00E361DB" w:rsidP="002034EE">
            <w:pPr>
              <w:pStyle w:val="cuatexto"/>
              <w:spacing w:line="240" w:lineRule="auto"/>
              <w:jc w:val="right"/>
            </w:pPr>
            <w:r>
              <w:t>5</w:t>
            </w:r>
          </w:p>
        </w:tc>
        <w:tc>
          <w:tcPr>
            <w:tcW w:w="567" w:type="dxa"/>
            <w:shd w:val="clear" w:color="auto" w:fill="auto"/>
            <w:noWrap/>
            <w:vAlign w:val="center"/>
            <w:hideMark/>
          </w:tcPr>
          <w:p w14:paraId="536D6764" w14:textId="77777777" w:rsidR="00E361DB" w:rsidRPr="00983CA6" w:rsidRDefault="00E361DB" w:rsidP="002034EE">
            <w:pPr>
              <w:pStyle w:val="cuatexto"/>
              <w:spacing w:line="240" w:lineRule="auto"/>
              <w:jc w:val="right"/>
            </w:pPr>
            <w:r>
              <w:t>5</w:t>
            </w:r>
          </w:p>
        </w:tc>
        <w:tc>
          <w:tcPr>
            <w:tcW w:w="709" w:type="dxa"/>
            <w:shd w:val="clear" w:color="auto" w:fill="auto"/>
            <w:noWrap/>
            <w:vAlign w:val="center"/>
            <w:hideMark/>
          </w:tcPr>
          <w:p w14:paraId="27244AE9" w14:textId="77777777" w:rsidR="00E361DB" w:rsidRPr="00983CA6" w:rsidRDefault="00E361DB" w:rsidP="002034EE">
            <w:pPr>
              <w:pStyle w:val="cuatexto"/>
              <w:spacing w:line="240" w:lineRule="auto"/>
              <w:jc w:val="right"/>
            </w:pPr>
            <w:r>
              <w:t>5</w:t>
            </w:r>
          </w:p>
        </w:tc>
        <w:tc>
          <w:tcPr>
            <w:tcW w:w="574" w:type="dxa"/>
            <w:shd w:val="clear" w:color="auto" w:fill="auto"/>
            <w:noWrap/>
            <w:vAlign w:val="center"/>
            <w:hideMark/>
          </w:tcPr>
          <w:p w14:paraId="365A8F7B" w14:textId="77777777" w:rsidR="00E361DB" w:rsidRPr="00983CA6" w:rsidRDefault="00E361DB" w:rsidP="002034EE">
            <w:pPr>
              <w:pStyle w:val="cuatexto"/>
              <w:spacing w:line="240" w:lineRule="auto"/>
              <w:jc w:val="right"/>
            </w:pPr>
            <w:r>
              <w:t>5</w:t>
            </w:r>
          </w:p>
        </w:tc>
      </w:tr>
      <w:tr w:rsidR="00E361DB" w:rsidRPr="00983CA6" w14:paraId="2B2931B4" w14:textId="77777777" w:rsidTr="002034EE">
        <w:trPr>
          <w:trHeight w:val="227"/>
        </w:trPr>
        <w:tc>
          <w:tcPr>
            <w:tcW w:w="1980" w:type="dxa"/>
            <w:shd w:val="clear" w:color="auto" w:fill="auto"/>
            <w:noWrap/>
            <w:vAlign w:val="center"/>
            <w:hideMark/>
          </w:tcPr>
          <w:p w14:paraId="53FDD3CC" w14:textId="6652444C" w:rsidR="00E361DB" w:rsidRPr="00983CA6" w:rsidRDefault="00E361DB" w:rsidP="002034EE">
            <w:pPr>
              <w:pStyle w:val="cuatexto"/>
              <w:spacing w:line="240" w:lineRule="auto"/>
            </w:pPr>
            <w:r>
              <w:t>&gt; 20.000 biztanle</w:t>
            </w:r>
          </w:p>
        </w:tc>
        <w:tc>
          <w:tcPr>
            <w:tcW w:w="714" w:type="dxa"/>
            <w:shd w:val="clear" w:color="auto" w:fill="auto"/>
            <w:noWrap/>
            <w:vAlign w:val="center"/>
            <w:hideMark/>
          </w:tcPr>
          <w:p w14:paraId="4BB32DC6" w14:textId="77777777" w:rsidR="00E361DB" w:rsidRPr="00983CA6" w:rsidRDefault="00E361DB" w:rsidP="002034EE">
            <w:pPr>
              <w:pStyle w:val="cuatexto"/>
              <w:spacing w:line="240" w:lineRule="auto"/>
              <w:jc w:val="right"/>
            </w:pPr>
            <w:r>
              <w:t>4</w:t>
            </w:r>
          </w:p>
        </w:tc>
        <w:tc>
          <w:tcPr>
            <w:tcW w:w="627" w:type="dxa"/>
            <w:shd w:val="clear" w:color="auto" w:fill="auto"/>
            <w:noWrap/>
            <w:vAlign w:val="center"/>
            <w:hideMark/>
          </w:tcPr>
          <w:p w14:paraId="33EFD7A7" w14:textId="77777777" w:rsidR="00E361DB" w:rsidRPr="00983CA6" w:rsidRDefault="00E361DB" w:rsidP="002034EE">
            <w:pPr>
              <w:pStyle w:val="cuatexto"/>
              <w:spacing w:line="240" w:lineRule="auto"/>
              <w:jc w:val="right"/>
            </w:pPr>
            <w:r>
              <w:t>4</w:t>
            </w:r>
          </w:p>
        </w:tc>
        <w:tc>
          <w:tcPr>
            <w:tcW w:w="780" w:type="dxa"/>
            <w:shd w:val="clear" w:color="auto" w:fill="auto"/>
            <w:noWrap/>
            <w:vAlign w:val="center"/>
            <w:hideMark/>
          </w:tcPr>
          <w:p w14:paraId="1330E987" w14:textId="77777777" w:rsidR="00E361DB" w:rsidRPr="00983CA6" w:rsidRDefault="00E361DB" w:rsidP="002034EE">
            <w:pPr>
              <w:pStyle w:val="cuatexto"/>
              <w:spacing w:line="240" w:lineRule="auto"/>
              <w:jc w:val="right"/>
            </w:pPr>
            <w:r>
              <w:t>3</w:t>
            </w:r>
          </w:p>
        </w:tc>
        <w:tc>
          <w:tcPr>
            <w:tcW w:w="562" w:type="dxa"/>
            <w:shd w:val="clear" w:color="auto" w:fill="auto"/>
            <w:noWrap/>
            <w:vAlign w:val="center"/>
            <w:hideMark/>
          </w:tcPr>
          <w:p w14:paraId="567B9AF0" w14:textId="77777777" w:rsidR="00E361DB" w:rsidRPr="00983CA6" w:rsidRDefault="00E361DB" w:rsidP="002034EE">
            <w:pPr>
              <w:pStyle w:val="cuatexto"/>
              <w:spacing w:line="240" w:lineRule="auto"/>
              <w:jc w:val="right"/>
            </w:pPr>
            <w:r>
              <w:t>3</w:t>
            </w:r>
          </w:p>
        </w:tc>
        <w:tc>
          <w:tcPr>
            <w:tcW w:w="708" w:type="dxa"/>
            <w:shd w:val="clear" w:color="auto" w:fill="auto"/>
            <w:noWrap/>
            <w:vAlign w:val="center"/>
            <w:hideMark/>
          </w:tcPr>
          <w:p w14:paraId="5EF3BA2F" w14:textId="77777777" w:rsidR="00E361DB" w:rsidRPr="00983CA6" w:rsidRDefault="00E361DB" w:rsidP="002034EE">
            <w:pPr>
              <w:pStyle w:val="cuatexto"/>
              <w:spacing w:line="240" w:lineRule="auto"/>
              <w:jc w:val="right"/>
            </w:pPr>
            <w:r>
              <w:t>2</w:t>
            </w:r>
          </w:p>
        </w:tc>
        <w:tc>
          <w:tcPr>
            <w:tcW w:w="719" w:type="dxa"/>
            <w:shd w:val="clear" w:color="auto" w:fill="auto"/>
            <w:noWrap/>
            <w:vAlign w:val="center"/>
            <w:hideMark/>
          </w:tcPr>
          <w:p w14:paraId="473A847A" w14:textId="77777777" w:rsidR="00E361DB" w:rsidRPr="00983CA6" w:rsidRDefault="00E361DB" w:rsidP="002034EE">
            <w:pPr>
              <w:pStyle w:val="cuatexto"/>
              <w:spacing w:line="240" w:lineRule="auto"/>
              <w:jc w:val="right"/>
            </w:pPr>
            <w:r>
              <w:t>2</w:t>
            </w:r>
          </w:p>
        </w:tc>
        <w:tc>
          <w:tcPr>
            <w:tcW w:w="850" w:type="dxa"/>
            <w:shd w:val="clear" w:color="auto" w:fill="auto"/>
            <w:noWrap/>
            <w:vAlign w:val="center"/>
            <w:hideMark/>
          </w:tcPr>
          <w:p w14:paraId="2AF90946" w14:textId="77777777" w:rsidR="00E361DB" w:rsidRPr="00983CA6" w:rsidRDefault="00E361DB" w:rsidP="002034EE">
            <w:pPr>
              <w:pStyle w:val="cuatexto"/>
              <w:spacing w:line="240" w:lineRule="auto"/>
              <w:jc w:val="right"/>
            </w:pPr>
            <w:r>
              <w:t>3</w:t>
            </w:r>
          </w:p>
        </w:tc>
        <w:tc>
          <w:tcPr>
            <w:tcW w:w="567" w:type="dxa"/>
            <w:shd w:val="clear" w:color="auto" w:fill="auto"/>
            <w:noWrap/>
            <w:vAlign w:val="center"/>
            <w:hideMark/>
          </w:tcPr>
          <w:p w14:paraId="2EE58AD0" w14:textId="77777777" w:rsidR="00E361DB" w:rsidRPr="00983CA6" w:rsidRDefault="00E361DB" w:rsidP="002034EE">
            <w:pPr>
              <w:pStyle w:val="cuatexto"/>
              <w:spacing w:line="240" w:lineRule="auto"/>
              <w:jc w:val="right"/>
            </w:pPr>
            <w:r>
              <w:t>2</w:t>
            </w:r>
          </w:p>
        </w:tc>
        <w:tc>
          <w:tcPr>
            <w:tcW w:w="709" w:type="dxa"/>
            <w:shd w:val="clear" w:color="auto" w:fill="auto"/>
            <w:noWrap/>
            <w:vAlign w:val="center"/>
            <w:hideMark/>
          </w:tcPr>
          <w:p w14:paraId="370B12DF" w14:textId="77777777" w:rsidR="00E361DB" w:rsidRPr="00983CA6" w:rsidRDefault="00E361DB" w:rsidP="002034EE">
            <w:pPr>
              <w:pStyle w:val="cuatexto"/>
              <w:spacing w:line="240" w:lineRule="auto"/>
              <w:jc w:val="right"/>
            </w:pPr>
            <w:r>
              <w:t>4</w:t>
            </w:r>
          </w:p>
        </w:tc>
        <w:tc>
          <w:tcPr>
            <w:tcW w:w="574" w:type="dxa"/>
            <w:shd w:val="clear" w:color="auto" w:fill="auto"/>
            <w:noWrap/>
            <w:vAlign w:val="center"/>
            <w:hideMark/>
          </w:tcPr>
          <w:p w14:paraId="3EDFCF87" w14:textId="77777777" w:rsidR="00E361DB" w:rsidRPr="00983CA6" w:rsidRDefault="00E361DB" w:rsidP="002034EE">
            <w:pPr>
              <w:pStyle w:val="cuatexto"/>
              <w:spacing w:line="240" w:lineRule="auto"/>
              <w:jc w:val="right"/>
            </w:pPr>
            <w:r>
              <w:t>4</w:t>
            </w:r>
          </w:p>
        </w:tc>
      </w:tr>
      <w:tr w:rsidR="00E361DB" w:rsidRPr="00983CA6" w14:paraId="28965899" w14:textId="77777777" w:rsidTr="002034EE">
        <w:trPr>
          <w:trHeight w:val="227"/>
        </w:trPr>
        <w:tc>
          <w:tcPr>
            <w:tcW w:w="1980" w:type="dxa"/>
            <w:shd w:val="clear" w:color="auto" w:fill="auto"/>
            <w:noWrap/>
            <w:vAlign w:val="center"/>
            <w:hideMark/>
          </w:tcPr>
          <w:p w14:paraId="6664A10D" w14:textId="116E09D9" w:rsidR="00E361DB" w:rsidRPr="00983CA6" w:rsidRDefault="00E361DB" w:rsidP="002034EE">
            <w:pPr>
              <w:pStyle w:val="cuatexto"/>
              <w:spacing w:line="240" w:lineRule="auto"/>
              <w:jc w:val="left"/>
            </w:pPr>
            <w:r>
              <w:t>Mankomunitateak eta batasunak</w:t>
            </w:r>
          </w:p>
        </w:tc>
        <w:tc>
          <w:tcPr>
            <w:tcW w:w="714" w:type="dxa"/>
            <w:shd w:val="clear" w:color="auto" w:fill="auto"/>
            <w:noWrap/>
            <w:vAlign w:val="center"/>
            <w:hideMark/>
          </w:tcPr>
          <w:p w14:paraId="3D8367AF" w14:textId="77777777" w:rsidR="00E361DB" w:rsidRPr="00983CA6" w:rsidRDefault="00E361DB" w:rsidP="002034EE">
            <w:pPr>
              <w:pStyle w:val="cuatexto"/>
              <w:spacing w:line="240" w:lineRule="auto"/>
              <w:jc w:val="right"/>
            </w:pPr>
            <w:r>
              <w:t>59</w:t>
            </w:r>
          </w:p>
        </w:tc>
        <w:tc>
          <w:tcPr>
            <w:tcW w:w="627" w:type="dxa"/>
            <w:shd w:val="clear" w:color="auto" w:fill="auto"/>
            <w:noWrap/>
            <w:vAlign w:val="center"/>
            <w:hideMark/>
          </w:tcPr>
          <w:p w14:paraId="752D76FE" w14:textId="77777777" w:rsidR="00E361DB" w:rsidRPr="00983CA6" w:rsidRDefault="00E361DB" w:rsidP="002034EE">
            <w:pPr>
              <w:pStyle w:val="cuatexto"/>
              <w:spacing w:line="240" w:lineRule="auto"/>
              <w:jc w:val="right"/>
            </w:pPr>
            <w:r>
              <w:t>61</w:t>
            </w:r>
          </w:p>
        </w:tc>
        <w:tc>
          <w:tcPr>
            <w:tcW w:w="780" w:type="dxa"/>
            <w:shd w:val="clear" w:color="auto" w:fill="auto"/>
            <w:noWrap/>
            <w:vAlign w:val="center"/>
            <w:hideMark/>
          </w:tcPr>
          <w:p w14:paraId="6C3AE6FB" w14:textId="77777777" w:rsidR="00E361DB" w:rsidRPr="00983CA6" w:rsidRDefault="00E361DB" w:rsidP="002034EE">
            <w:pPr>
              <w:pStyle w:val="cuatexto"/>
              <w:spacing w:line="240" w:lineRule="auto"/>
              <w:jc w:val="right"/>
            </w:pPr>
            <w:r>
              <w:t>53</w:t>
            </w:r>
          </w:p>
        </w:tc>
        <w:tc>
          <w:tcPr>
            <w:tcW w:w="562" w:type="dxa"/>
            <w:shd w:val="clear" w:color="auto" w:fill="auto"/>
            <w:noWrap/>
            <w:vAlign w:val="center"/>
            <w:hideMark/>
          </w:tcPr>
          <w:p w14:paraId="2ABC1D00" w14:textId="77777777" w:rsidR="00E361DB" w:rsidRPr="00983CA6" w:rsidRDefault="00E361DB" w:rsidP="002034EE">
            <w:pPr>
              <w:pStyle w:val="cuatexto"/>
              <w:spacing w:line="240" w:lineRule="auto"/>
              <w:jc w:val="right"/>
            </w:pPr>
            <w:r>
              <w:t>53</w:t>
            </w:r>
          </w:p>
        </w:tc>
        <w:tc>
          <w:tcPr>
            <w:tcW w:w="708" w:type="dxa"/>
            <w:shd w:val="clear" w:color="auto" w:fill="auto"/>
            <w:noWrap/>
            <w:vAlign w:val="center"/>
            <w:hideMark/>
          </w:tcPr>
          <w:p w14:paraId="0DB15F8C" w14:textId="77777777" w:rsidR="00E361DB" w:rsidRPr="00983CA6" w:rsidRDefault="00E361DB" w:rsidP="002034EE">
            <w:pPr>
              <w:pStyle w:val="cuatexto"/>
              <w:spacing w:line="240" w:lineRule="auto"/>
              <w:jc w:val="right"/>
            </w:pPr>
            <w:r>
              <w:t>51</w:t>
            </w:r>
          </w:p>
        </w:tc>
        <w:tc>
          <w:tcPr>
            <w:tcW w:w="719" w:type="dxa"/>
            <w:shd w:val="clear" w:color="auto" w:fill="auto"/>
            <w:noWrap/>
            <w:vAlign w:val="center"/>
            <w:hideMark/>
          </w:tcPr>
          <w:p w14:paraId="68AB2977" w14:textId="77777777" w:rsidR="00E361DB" w:rsidRPr="00983CA6" w:rsidRDefault="00E361DB" w:rsidP="002034EE">
            <w:pPr>
              <w:pStyle w:val="cuatexto"/>
              <w:spacing w:line="240" w:lineRule="auto"/>
              <w:jc w:val="right"/>
            </w:pPr>
            <w:r>
              <w:t>53</w:t>
            </w:r>
          </w:p>
        </w:tc>
        <w:tc>
          <w:tcPr>
            <w:tcW w:w="850" w:type="dxa"/>
            <w:shd w:val="clear" w:color="auto" w:fill="auto"/>
            <w:noWrap/>
            <w:vAlign w:val="center"/>
            <w:hideMark/>
          </w:tcPr>
          <w:p w14:paraId="0962AF7F" w14:textId="77777777" w:rsidR="00E361DB" w:rsidRPr="00983CA6" w:rsidRDefault="00E361DB" w:rsidP="002034EE">
            <w:pPr>
              <w:pStyle w:val="cuatexto"/>
              <w:spacing w:line="240" w:lineRule="auto"/>
              <w:jc w:val="right"/>
            </w:pPr>
            <w:r>
              <w:t>46</w:t>
            </w:r>
          </w:p>
        </w:tc>
        <w:tc>
          <w:tcPr>
            <w:tcW w:w="567" w:type="dxa"/>
            <w:shd w:val="clear" w:color="auto" w:fill="auto"/>
            <w:noWrap/>
            <w:vAlign w:val="center"/>
            <w:hideMark/>
          </w:tcPr>
          <w:p w14:paraId="29F358E1" w14:textId="77777777" w:rsidR="00E361DB" w:rsidRPr="00983CA6" w:rsidRDefault="00E361DB" w:rsidP="002034EE">
            <w:pPr>
              <w:pStyle w:val="cuatexto"/>
              <w:spacing w:line="240" w:lineRule="auto"/>
              <w:jc w:val="right"/>
            </w:pPr>
            <w:r>
              <w:t>47</w:t>
            </w:r>
          </w:p>
        </w:tc>
        <w:tc>
          <w:tcPr>
            <w:tcW w:w="709" w:type="dxa"/>
            <w:shd w:val="clear" w:color="auto" w:fill="auto"/>
            <w:noWrap/>
            <w:vAlign w:val="center"/>
            <w:hideMark/>
          </w:tcPr>
          <w:p w14:paraId="77A57CFC" w14:textId="77777777" w:rsidR="00E361DB" w:rsidRPr="00983CA6" w:rsidRDefault="00E361DB" w:rsidP="002034EE">
            <w:pPr>
              <w:pStyle w:val="cuatexto"/>
              <w:spacing w:line="240" w:lineRule="auto"/>
              <w:jc w:val="right"/>
            </w:pPr>
            <w:r>
              <w:t>46</w:t>
            </w:r>
          </w:p>
        </w:tc>
        <w:tc>
          <w:tcPr>
            <w:tcW w:w="574" w:type="dxa"/>
            <w:shd w:val="clear" w:color="auto" w:fill="auto"/>
            <w:noWrap/>
            <w:vAlign w:val="center"/>
            <w:hideMark/>
          </w:tcPr>
          <w:p w14:paraId="22B8DA2B" w14:textId="77777777" w:rsidR="00E361DB" w:rsidRPr="00983CA6" w:rsidRDefault="00E361DB" w:rsidP="002034EE">
            <w:pPr>
              <w:pStyle w:val="cuatexto"/>
              <w:spacing w:line="240" w:lineRule="auto"/>
              <w:jc w:val="right"/>
            </w:pPr>
            <w:r>
              <w:t>49</w:t>
            </w:r>
          </w:p>
        </w:tc>
      </w:tr>
      <w:tr w:rsidR="00E361DB" w:rsidRPr="00983CA6" w14:paraId="0C607AF0" w14:textId="77777777" w:rsidTr="002034EE">
        <w:trPr>
          <w:trHeight w:val="227"/>
        </w:trPr>
        <w:tc>
          <w:tcPr>
            <w:tcW w:w="1980" w:type="dxa"/>
            <w:tcBorders>
              <w:bottom w:val="single" w:sz="4" w:space="0" w:color="auto"/>
            </w:tcBorders>
            <w:shd w:val="clear" w:color="auto" w:fill="FABF8F" w:themeFill="accent6" w:themeFillTint="99"/>
            <w:noWrap/>
            <w:vAlign w:val="center"/>
            <w:hideMark/>
          </w:tcPr>
          <w:p w14:paraId="2AD1A92B" w14:textId="77777777" w:rsidR="00E361DB" w:rsidRPr="00983CA6" w:rsidRDefault="00E361DB" w:rsidP="002034EE">
            <w:pPr>
              <w:pStyle w:val="cuadroCabe"/>
              <w:spacing w:line="240" w:lineRule="auto"/>
              <w:rPr>
                <w:sz w:val="16"/>
                <w:szCs w:val="16"/>
              </w:rPr>
            </w:pPr>
            <w:r>
              <w:rPr>
                <w:sz w:val="16"/>
              </w:rPr>
              <w:t>Guztira</w:t>
            </w:r>
          </w:p>
        </w:tc>
        <w:tc>
          <w:tcPr>
            <w:tcW w:w="714" w:type="dxa"/>
            <w:tcBorders>
              <w:bottom w:val="single" w:sz="4" w:space="0" w:color="auto"/>
            </w:tcBorders>
            <w:shd w:val="clear" w:color="auto" w:fill="FABF8F" w:themeFill="accent6" w:themeFillTint="99"/>
            <w:noWrap/>
            <w:vAlign w:val="center"/>
            <w:hideMark/>
          </w:tcPr>
          <w:p w14:paraId="4853AA51" w14:textId="77777777" w:rsidR="00E361DB" w:rsidRPr="00983CA6" w:rsidRDefault="00E361DB" w:rsidP="002034EE">
            <w:pPr>
              <w:pStyle w:val="cuadroCabe"/>
              <w:spacing w:line="240" w:lineRule="auto"/>
              <w:jc w:val="right"/>
              <w:rPr>
                <w:sz w:val="16"/>
                <w:szCs w:val="16"/>
              </w:rPr>
            </w:pPr>
            <w:r>
              <w:rPr>
                <w:sz w:val="16"/>
              </w:rPr>
              <w:t>304</w:t>
            </w:r>
          </w:p>
        </w:tc>
        <w:tc>
          <w:tcPr>
            <w:tcW w:w="627" w:type="dxa"/>
            <w:tcBorders>
              <w:bottom w:val="single" w:sz="4" w:space="0" w:color="auto"/>
            </w:tcBorders>
            <w:shd w:val="clear" w:color="auto" w:fill="FABF8F" w:themeFill="accent6" w:themeFillTint="99"/>
            <w:noWrap/>
            <w:vAlign w:val="center"/>
            <w:hideMark/>
          </w:tcPr>
          <w:p w14:paraId="4CB9BB25" w14:textId="77777777" w:rsidR="00E361DB" w:rsidRPr="00983CA6" w:rsidRDefault="00E361DB" w:rsidP="002034EE">
            <w:pPr>
              <w:pStyle w:val="cuadroCabe"/>
              <w:spacing w:line="240" w:lineRule="auto"/>
              <w:jc w:val="right"/>
              <w:rPr>
                <w:sz w:val="16"/>
                <w:szCs w:val="16"/>
              </w:rPr>
            </w:pPr>
            <w:r>
              <w:rPr>
                <w:sz w:val="16"/>
              </w:rPr>
              <w:t>269</w:t>
            </w:r>
          </w:p>
        </w:tc>
        <w:tc>
          <w:tcPr>
            <w:tcW w:w="780" w:type="dxa"/>
            <w:tcBorders>
              <w:bottom w:val="single" w:sz="4" w:space="0" w:color="auto"/>
            </w:tcBorders>
            <w:shd w:val="clear" w:color="auto" w:fill="FABF8F" w:themeFill="accent6" w:themeFillTint="99"/>
            <w:noWrap/>
            <w:vAlign w:val="center"/>
            <w:hideMark/>
          </w:tcPr>
          <w:p w14:paraId="0C4D4C7E" w14:textId="77777777" w:rsidR="00E361DB" w:rsidRPr="00983CA6" w:rsidRDefault="00E361DB" w:rsidP="002034EE">
            <w:pPr>
              <w:pStyle w:val="cuadroCabe"/>
              <w:spacing w:line="240" w:lineRule="auto"/>
              <w:jc w:val="right"/>
              <w:rPr>
                <w:sz w:val="16"/>
                <w:szCs w:val="16"/>
              </w:rPr>
            </w:pPr>
            <w:r>
              <w:rPr>
                <w:sz w:val="16"/>
              </w:rPr>
              <w:t>253</w:t>
            </w:r>
          </w:p>
        </w:tc>
        <w:tc>
          <w:tcPr>
            <w:tcW w:w="562" w:type="dxa"/>
            <w:tcBorders>
              <w:bottom w:val="single" w:sz="4" w:space="0" w:color="auto"/>
            </w:tcBorders>
            <w:shd w:val="clear" w:color="auto" w:fill="FABF8F" w:themeFill="accent6" w:themeFillTint="99"/>
            <w:noWrap/>
            <w:vAlign w:val="center"/>
            <w:hideMark/>
          </w:tcPr>
          <w:p w14:paraId="0C7C2D48" w14:textId="77777777" w:rsidR="00E361DB" w:rsidRPr="00983CA6" w:rsidRDefault="00E361DB" w:rsidP="002034EE">
            <w:pPr>
              <w:pStyle w:val="cuadroCabe"/>
              <w:spacing w:line="240" w:lineRule="auto"/>
              <w:jc w:val="right"/>
              <w:rPr>
                <w:sz w:val="16"/>
                <w:szCs w:val="16"/>
              </w:rPr>
            </w:pPr>
            <w:r>
              <w:rPr>
                <w:sz w:val="16"/>
              </w:rPr>
              <w:t>222</w:t>
            </w:r>
          </w:p>
        </w:tc>
        <w:tc>
          <w:tcPr>
            <w:tcW w:w="708" w:type="dxa"/>
            <w:tcBorders>
              <w:bottom w:val="single" w:sz="4" w:space="0" w:color="auto"/>
            </w:tcBorders>
            <w:shd w:val="clear" w:color="auto" w:fill="FABF8F" w:themeFill="accent6" w:themeFillTint="99"/>
            <w:noWrap/>
            <w:vAlign w:val="center"/>
            <w:hideMark/>
          </w:tcPr>
          <w:p w14:paraId="12E1DCC7" w14:textId="77777777" w:rsidR="00E361DB" w:rsidRPr="00983CA6" w:rsidRDefault="00E361DB" w:rsidP="002034EE">
            <w:pPr>
              <w:pStyle w:val="cuadroCabe"/>
              <w:spacing w:line="240" w:lineRule="auto"/>
              <w:jc w:val="right"/>
              <w:rPr>
                <w:sz w:val="16"/>
                <w:szCs w:val="16"/>
              </w:rPr>
            </w:pPr>
            <w:r>
              <w:rPr>
                <w:sz w:val="16"/>
              </w:rPr>
              <w:t>251</w:t>
            </w:r>
          </w:p>
        </w:tc>
        <w:tc>
          <w:tcPr>
            <w:tcW w:w="719" w:type="dxa"/>
            <w:tcBorders>
              <w:bottom w:val="single" w:sz="4" w:space="0" w:color="auto"/>
            </w:tcBorders>
            <w:shd w:val="clear" w:color="auto" w:fill="FABF8F" w:themeFill="accent6" w:themeFillTint="99"/>
            <w:noWrap/>
            <w:vAlign w:val="center"/>
            <w:hideMark/>
          </w:tcPr>
          <w:p w14:paraId="7DDF8BEA" w14:textId="77777777" w:rsidR="00E361DB" w:rsidRPr="00983CA6" w:rsidRDefault="00E361DB" w:rsidP="002034EE">
            <w:pPr>
              <w:pStyle w:val="cuadroCabe"/>
              <w:spacing w:line="240" w:lineRule="auto"/>
              <w:jc w:val="right"/>
              <w:rPr>
                <w:sz w:val="16"/>
                <w:szCs w:val="16"/>
              </w:rPr>
            </w:pPr>
            <w:r>
              <w:rPr>
                <w:sz w:val="16"/>
              </w:rPr>
              <w:t>216</w:t>
            </w:r>
          </w:p>
        </w:tc>
        <w:tc>
          <w:tcPr>
            <w:tcW w:w="850" w:type="dxa"/>
            <w:tcBorders>
              <w:bottom w:val="single" w:sz="4" w:space="0" w:color="auto"/>
            </w:tcBorders>
            <w:shd w:val="clear" w:color="auto" w:fill="FABF8F" w:themeFill="accent6" w:themeFillTint="99"/>
            <w:noWrap/>
            <w:vAlign w:val="center"/>
            <w:hideMark/>
          </w:tcPr>
          <w:p w14:paraId="0407971C" w14:textId="77777777" w:rsidR="00E361DB" w:rsidRPr="00983CA6" w:rsidRDefault="00E361DB" w:rsidP="002034EE">
            <w:pPr>
              <w:pStyle w:val="cuadroCabe"/>
              <w:spacing w:line="240" w:lineRule="auto"/>
              <w:jc w:val="right"/>
              <w:rPr>
                <w:sz w:val="16"/>
                <w:szCs w:val="16"/>
              </w:rPr>
            </w:pPr>
            <w:r>
              <w:rPr>
                <w:sz w:val="16"/>
              </w:rPr>
              <w:t>241</w:t>
            </w:r>
          </w:p>
        </w:tc>
        <w:tc>
          <w:tcPr>
            <w:tcW w:w="567" w:type="dxa"/>
            <w:tcBorders>
              <w:bottom w:val="single" w:sz="4" w:space="0" w:color="auto"/>
            </w:tcBorders>
            <w:shd w:val="clear" w:color="auto" w:fill="FABF8F" w:themeFill="accent6" w:themeFillTint="99"/>
            <w:noWrap/>
            <w:vAlign w:val="center"/>
            <w:hideMark/>
          </w:tcPr>
          <w:p w14:paraId="323CAD78" w14:textId="77777777" w:rsidR="00E361DB" w:rsidRPr="00983CA6" w:rsidRDefault="00E361DB" w:rsidP="002034EE">
            <w:pPr>
              <w:pStyle w:val="cuadroCabe"/>
              <w:spacing w:line="240" w:lineRule="auto"/>
              <w:jc w:val="right"/>
              <w:rPr>
                <w:sz w:val="16"/>
                <w:szCs w:val="16"/>
              </w:rPr>
            </w:pPr>
            <w:r>
              <w:rPr>
                <w:sz w:val="16"/>
              </w:rPr>
              <w:t>207</w:t>
            </w:r>
          </w:p>
        </w:tc>
        <w:tc>
          <w:tcPr>
            <w:tcW w:w="709" w:type="dxa"/>
            <w:tcBorders>
              <w:bottom w:val="single" w:sz="4" w:space="0" w:color="auto"/>
            </w:tcBorders>
            <w:shd w:val="clear" w:color="auto" w:fill="FABF8F" w:themeFill="accent6" w:themeFillTint="99"/>
            <w:noWrap/>
            <w:vAlign w:val="center"/>
            <w:hideMark/>
          </w:tcPr>
          <w:p w14:paraId="5CD79315" w14:textId="77777777" w:rsidR="00E361DB" w:rsidRPr="00983CA6" w:rsidRDefault="00E361DB" w:rsidP="002034EE">
            <w:pPr>
              <w:pStyle w:val="cuadroCabe"/>
              <w:spacing w:line="240" w:lineRule="auto"/>
              <w:jc w:val="right"/>
              <w:rPr>
                <w:sz w:val="16"/>
                <w:szCs w:val="16"/>
              </w:rPr>
            </w:pPr>
            <w:r>
              <w:rPr>
                <w:sz w:val="16"/>
              </w:rPr>
              <w:t>245</w:t>
            </w:r>
          </w:p>
        </w:tc>
        <w:tc>
          <w:tcPr>
            <w:tcW w:w="574" w:type="dxa"/>
            <w:tcBorders>
              <w:bottom w:val="single" w:sz="4" w:space="0" w:color="auto"/>
            </w:tcBorders>
            <w:shd w:val="clear" w:color="auto" w:fill="FABF8F" w:themeFill="accent6" w:themeFillTint="99"/>
            <w:noWrap/>
            <w:vAlign w:val="center"/>
            <w:hideMark/>
          </w:tcPr>
          <w:p w14:paraId="55327933" w14:textId="77777777" w:rsidR="00E361DB" w:rsidRPr="00983CA6" w:rsidRDefault="00E361DB" w:rsidP="002034EE">
            <w:pPr>
              <w:pStyle w:val="cuadroCabe"/>
              <w:spacing w:line="240" w:lineRule="auto"/>
              <w:jc w:val="right"/>
              <w:rPr>
                <w:sz w:val="16"/>
                <w:szCs w:val="16"/>
              </w:rPr>
            </w:pPr>
            <w:r>
              <w:rPr>
                <w:sz w:val="16"/>
              </w:rPr>
              <w:t>212</w:t>
            </w:r>
          </w:p>
        </w:tc>
      </w:tr>
      <w:tr w:rsidR="00E361DB" w:rsidRPr="00983CA6" w14:paraId="10139F74" w14:textId="77777777" w:rsidTr="002034EE">
        <w:trPr>
          <w:trHeight w:val="227"/>
        </w:trPr>
        <w:tc>
          <w:tcPr>
            <w:tcW w:w="1980" w:type="dxa"/>
            <w:tcBorders>
              <w:top w:val="single" w:sz="4" w:space="0" w:color="auto"/>
              <w:bottom w:val="single" w:sz="4" w:space="0" w:color="auto"/>
            </w:tcBorders>
            <w:shd w:val="clear" w:color="auto" w:fill="FABF8F" w:themeFill="accent6" w:themeFillTint="99"/>
            <w:noWrap/>
            <w:vAlign w:val="center"/>
          </w:tcPr>
          <w:p w14:paraId="6C5901C2" w14:textId="77777777" w:rsidR="00E361DB" w:rsidRPr="00983CA6" w:rsidRDefault="00E361DB" w:rsidP="002034EE">
            <w:pPr>
              <w:pStyle w:val="cuadroCabe"/>
              <w:spacing w:line="240" w:lineRule="auto"/>
              <w:rPr>
                <w:sz w:val="16"/>
                <w:szCs w:val="16"/>
              </w:rPr>
            </w:pPr>
            <w:r>
              <w:rPr>
                <w:sz w:val="16"/>
              </w:rPr>
              <w:t>Erantzun guztien gainean (%)</w:t>
            </w:r>
          </w:p>
        </w:tc>
        <w:tc>
          <w:tcPr>
            <w:tcW w:w="714" w:type="dxa"/>
            <w:tcBorders>
              <w:top w:val="single" w:sz="4" w:space="0" w:color="auto"/>
              <w:bottom w:val="single" w:sz="4" w:space="0" w:color="auto"/>
            </w:tcBorders>
            <w:shd w:val="clear" w:color="auto" w:fill="FABF8F" w:themeFill="accent6" w:themeFillTint="99"/>
            <w:noWrap/>
            <w:vAlign w:val="center"/>
          </w:tcPr>
          <w:p w14:paraId="2DA54EA3" w14:textId="77777777" w:rsidR="00E361DB" w:rsidRPr="00983CA6" w:rsidRDefault="00E361DB" w:rsidP="002034EE">
            <w:pPr>
              <w:pStyle w:val="cuadroCabe"/>
              <w:spacing w:line="240" w:lineRule="auto"/>
              <w:jc w:val="right"/>
              <w:rPr>
                <w:sz w:val="16"/>
                <w:szCs w:val="16"/>
              </w:rPr>
            </w:pPr>
          </w:p>
        </w:tc>
        <w:tc>
          <w:tcPr>
            <w:tcW w:w="627" w:type="dxa"/>
            <w:tcBorders>
              <w:top w:val="single" w:sz="4" w:space="0" w:color="auto"/>
              <w:bottom w:val="single" w:sz="4" w:space="0" w:color="auto"/>
            </w:tcBorders>
            <w:shd w:val="clear" w:color="auto" w:fill="FABF8F" w:themeFill="accent6" w:themeFillTint="99"/>
            <w:noWrap/>
            <w:vAlign w:val="center"/>
          </w:tcPr>
          <w:p w14:paraId="39C69111" w14:textId="77777777" w:rsidR="00E361DB" w:rsidRPr="00983CA6" w:rsidRDefault="00E361DB" w:rsidP="002034EE">
            <w:pPr>
              <w:pStyle w:val="cuadroCabe"/>
              <w:spacing w:line="240" w:lineRule="auto"/>
              <w:jc w:val="right"/>
              <w:rPr>
                <w:sz w:val="16"/>
                <w:szCs w:val="16"/>
              </w:rPr>
            </w:pPr>
          </w:p>
        </w:tc>
        <w:tc>
          <w:tcPr>
            <w:tcW w:w="780" w:type="dxa"/>
            <w:tcBorders>
              <w:top w:val="single" w:sz="4" w:space="0" w:color="auto"/>
              <w:bottom w:val="single" w:sz="4" w:space="0" w:color="auto"/>
            </w:tcBorders>
            <w:shd w:val="clear" w:color="auto" w:fill="FABF8F" w:themeFill="accent6" w:themeFillTint="99"/>
            <w:noWrap/>
            <w:vAlign w:val="center"/>
          </w:tcPr>
          <w:p w14:paraId="11B80874" w14:textId="08EDDC1F" w:rsidR="00E361DB" w:rsidRPr="00983CA6" w:rsidRDefault="00E361DB" w:rsidP="002034EE">
            <w:pPr>
              <w:pStyle w:val="cuadroCabe"/>
              <w:spacing w:line="240" w:lineRule="auto"/>
              <w:jc w:val="right"/>
              <w:rPr>
                <w:sz w:val="16"/>
                <w:szCs w:val="16"/>
              </w:rPr>
            </w:pPr>
            <w:r>
              <w:rPr>
                <w:sz w:val="16"/>
              </w:rPr>
              <w:t>83</w:t>
            </w:r>
          </w:p>
        </w:tc>
        <w:tc>
          <w:tcPr>
            <w:tcW w:w="562" w:type="dxa"/>
            <w:tcBorders>
              <w:top w:val="single" w:sz="4" w:space="0" w:color="auto"/>
              <w:bottom w:val="single" w:sz="4" w:space="0" w:color="auto"/>
            </w:tcBorders>
            <w:shd w:val="clear" w:color="auto" w:fill="FABF8F" w:themeFill="accent6" w:themeFillTint="99"/>
            <w:noWrap/>
            <w:vAlign w:val="center"/>
          </w:tcPr>
          <w:p w14:paraId="5C29045C" w14:textId="14CB5B61" w:rsidR="00E361DB" w:rsidRPr="00983CA6" w:rsidRDefault="00E361DB" w:rsidP="002034EE">
            <w:pPr>
              <w:pStyle w:val="cuadroCabe"/>
              <w:spacing w:line="240" w:lineRule="auto"/>
              <w:jc w:val="right"/>
              <w:rPr>
                <w:sz w:val="16"/>
                <w:szCs w:val="16"/>
              </w:rPr>
            </w:pPr>
            <w:r>
              <w:rPr>
                <w:sz w:val="16"/>
              </w:rPr>
              <w:t>83</w:t>
            </w:r>
          </w:p>
        </w:tc>
        <w:tc>
          <w:tcPr>
            <w:tcW w:w="708" w:type="dxa"/>
            <w:tcBorders>
              <w:top w:val="single" w:sz="4" w:space="0" w:color="auto"/>
              <w:bottom w:val="single" w:sz="4" w:space="0" w:color="auto"/>
            </w:tcBorders>
            <w:shd w:val="clear" w:color="auto" w:fill="FABF8F" w:themeFill="accent6" w:themeFillTint="99"/>
            <w:noWrap/>
            <w:vAlign w:val="center"/>
          </w:tcPr>
          <w:p w14:paraId="2C991C6F" w14:textId="56315BE9" w:rsidR="00E361DB" w:rsidRPr="00983CA6" w:rsidRDefault="0021232E" w:rsidP="002034EE">
            <w:pPr>
              <w:pStyle w:val="cuadroCabe"/>
              <w:spacing w:line="240" w:lineRule="auto"/>
              <w:jc w:val="right"/>
              <w:rPr>
                <w:sz w:val="16"/>
                <w:szCs w:val="16"/>
              </w:rPr>
            </w:pPr>
            <w:r>
              <w:rPr>
                <w:sz w:val="16"/>
              </w:rPr>
              <w:t>83</w:t>
            </w:r>
          </w:p>
        </w:tc>
        <w:tc>
          <w:tcPr>
            <w:tcW w:w="719" w:type="dxa"/>
            <w:tcBorders>
              <w:top w:val="single" w:sz="4" w:space="0" w:color="auto"/>
              <w:bottom w:val="single" w:sz="4" w:space="0" w:color="auto"/>
            </w:tcBorders>
            <w:shd w:val="clear" w:color="auto" w:fill="FABF8F" w:themeFill="accent6" w:themeFillTint="99"/>
            <w:noWrap/>
            <w:vAlign w:val="center"/>
          </w:tcPr>
          <w:p w14:paraId="08E48E18" w14:textId="06E3A88E" w:rsidR="00E361DB" w:rsidRPr="00983CA6" w:rsidRDefault="00E361DB" w:rsidP="002034EE">
            <w:pPr>
              <w:pStyle w:val="cuadroCabe"/>
              <w:spacing w:line="240" w:lineRule="auto"/>
              <w:jc w:val="right"/>
              <w:rPr>
                <w:sz w:val="16"/>
                <w:szCs w:val="16"/>
              </w:rPr>
            </w:pPr>
            <w:r>
              <w:rPr>
                <w:sz w:val="16"/>
              </w:rPr>
              <w:t>80</w:t>
            </w:r>
          </w:p>
        </w:tc>
        <w:tc>
          <w:tcPr>
            <w:tcW w:w="850" w:type="dxa"/>
            <w:tcBorders>
              <w:top w:val="single" w:sz="4" w:space="0" w:color="auto"/>
              <w:bottom w:val="single" w:sz="4" w:space="0" w:color="auto"/>
            </w:tcBorders>
            <w:shd w:val="clear" w:color="auto" w:fill="FABF8F" w:themeFill="accent6" w:themeFillTint="99"/>
            <w:noWrap/>
            <w:vAlign w:val="center"/>
          </w:tcPr>
          <w:p w14:paraId="432BD1EF" w14:textId="5A1F7D16" w:rsidR="00E361DB" w:rsidRPr="00983CA6" w:rsidRDefault="0021232E" w:rsidP="002034EE">
            <w:pPr>
              <w:pStyle w:val="cuadroCabe"/>
              <w:spacing w:line="240" w:lineRule="auto"/>
              <w:jc w:val="right"/>
              <w:rPr>
                <w:sz w:val="16"/>
                <w:szCs w:val="16"/>
              </w:rPr>
            </w:pPr>
            <w:r>
              <w:rPr>
                <w:sz w:val="16"/>
              </w:rPr>
              <w:t>79</w:t>
            </w:r>
          </w:p>
        </w:tc>
        <w:tc>
          <w:tcPr>
            <w:tcW w:w="567" w:type="dxa"/>
            <w:tcBorders>
              <w:top w:val="single" w:sz="4" w:space="0" w:color="auto"/>
              <w:bottom w:val="single" w:sz="4" w:space="0" w:color="auto"/>
            </w:tcBorders>
            <w:shd w:val="clear" w:color="auto" w:fill="FABF8F" w:themeFill="accent6" w:themeFillTint="99"/>
            <w:noWrap/>
            <w:vAlign w:val="center"/>
          </w:tcPr>
          <w:p w14:paraId="0321A5E7" w14:textId="263B11F9" w:rsidR="00E361DB" w:rsidRPr="00983CA6" w:rsidRDefault="00E361DB" w:rsidP="002034EE">
            <w:pPr>
              <w:pStyle w:val="cuadroCabe"/>
              <w:spacing w:line="240" w:lineRule="auto"/>
              <w:jc w:val="right"/>
              <w:rPr>
                <w:sz w:val="16"/>
                <w:szCs w:val="16"/>
              </w:rPr>
            </w:pPr>
            <w:r>
              <w:rPr>
                <w:sz w:val="16"/>
              </w:rPr>
              <w:t>77</w:t>
            </w:r>
          </w:p>
        </w:tc>
        <w:tc>
          <w:tcPr>
            <w:tcW w:w="709" w:type="dxa"/>
            <w:tcBorders>
              <w:top w:val="single" w:sz="4" w:space="0" w:color="auto"/>
              <w:bottom w:val="single" w:sz="4" w:space="0" w:color="auto"/>
            </w:tcBorders>
            <w:shd w:val="clear" w:color="auto" w:fill="FABF8F" w:themeFill="accent6" w:themeFillTint="99"/>
            <w:noWrap/>
            <w:vAlign w:val="center"/>
          </w:tcPr>
          <w:p w14:paraId="3CE64DDC" w14:textId="7AF540B6" w:rsidR="00E361DB" w:rsidRPr="00983CA6" w:rsidRDefault="00E361DB" w:rsidP="002034EE">
            <w:pPr>
              <w:pStyle w:val="cuadroCabe"/>
              <w:spacing w:line="240" w:lineRule="auto"/>
              <w:jc w:val="right"/>
              <w:rPr>
                <w:sz w:val="16"/>
                <w:szCs w:val="16"/>
              </w:rPr>
            </w:pPr>
            <w:r>
              <w:rPr>
                <w:sz w:val="16"/>
              </w:rPr>
              <w:t>81</w:t>
            </w:r>
          </w:p>
        </w:tc>
        <w:tc>
          <w:tcPr>
            <w:tcW w:w="574" w:type="dxa"/>
            <w:tcBorders>
              <w:top w:val="single" w:sz="4" w:space="0" w:color="auto"/>
              <w:bottom w:val="single" w:sz="4" w:space="0" w:color="auto"/>
            </w:tcBorders>
            <w:shd w:val="clear" w:color="auto" w:fill="FABF8F" w:themeFill="accent6" w:themeFillTint="99"/>
            <w:noWrap/>
            <w:vAlign w:val="center"/>
          </w:tcPr>
          <w:p w14:paraId="6A45BA94" w14:textId="3855EA68" w:rsidR="00E361DB" w:rsidRPr="00983CA6" w:rsidRDefault="00E361DB" w:rsidP="002034EE">
            <w:pPr>
              <w:pStyle w:val="cuadroCabe"/>
              <w:spacing w:line="240" w:lineRule="auto"/>
              <w:jc w:val="right"/>
              <w:rPr>
                <w:sz w:val="16"/>
                <w:szCs w:val="16"/>
              </w:rPr>
            </w:pPr>
            <w:r>
              <w:rPr>
                <w:sz w:val="16"/>
              </w:rPr>
              <w:t>79</w:t>
            </w:r>
          </w:p>
        </w:tc>
      </w:tr>
    </w:tbl>
    <w:p w14:paraId="28B8DA0C" w14:textId="547215EF" w:rsidR="00E63B1D" w:rsidRDefault="002E5D2D" w:rsidP="001C793D">
      <w:pPr>
        <w:pStyle w:val="texto"/>
        <w:spacing w:before="240"/>
        <w:rPr>
          <w:b/>
        </w:rPr>
      </w:pPr>
      <w:r>
        <w:t>Aipatu behar da Iruñeko Udalak, Toki Ogasunei buruzko Foru Legearen 248. artikuluan ezarritakoa dela bide, aldez aurreko fiskalizazio mugatua ezarri duela, hau da, kreditu egokia eta nahikoa badela eta gastua proposatzen duen organoak eskumena duela bakarrik egiaztatzea.</w:t>
      </w:r>
    </w:p>
    <w:p w14:paraId="5691C371" w14:textId="4C9FFD71" w:rsidR="002E5D2D" w:rsidRDefault="00593E0D" w:rsidP="005C70E8">
      <w:pPr>
        <w:pStyle w:val="texto"/>
        <w:rPr>
          <w:b/>
        </w:rPr>
      </w:pPr>
      <w:r>
        <w:t xml:space="preserve">Barne kontrol ekonomiko-finantzarioan Toki Administrazioari buruzko Foru Legeak ezarritako beste bi modalitateei dagokienez, galderari erantzun dioten 236 kontu-hartze organoetatik ehuneko 56k eta 42k soilik adierazi dute, hurrenez </w:t>
      </w:r>
      <w:r>
        <w:lastRenderedPageBreak/>
        <w:t>hurren, finantza-kontrola eta eraginkortasunaren kontrola egiten dutela. Barne kontrolean legez ezarritako hiru modalitateak baliatzen ez dituzten toki entitateen artean, Iruñeko eta Tuterako udalak nabarmentzen dira beren biztanle kopuru handiagatik. Adierazi dute ez dutela egiten ez finantza-kontrolik ez eraginkortasunaren kontrolik.</w:t>
      </w:r>
    </w:p>
    <w:p w14:paraId="3103B206" w14:textId="2005C607" w:rsidR="004B701D" w:rsidRDefault="002E5D2D" w:rsidP="005C70E8">
      <w:pPr>
        <w:pStyle w:val="texto"/>
        <w:rPr>
          <w:b/>
        </w:rPr>
      </w:pPr>
      <w:r>
        <w:t>Oro har, kontu-hartze funtzioa bete egiten da eta araudiak eskatutako edukia du. Finantza-kontroleko eta eraginkortasunaren kontroleko funtzioak, berriz, gutxiago hedaturik daude. Horren arrazoietako bat izan daiteke Nafarroan gai hori gutxi araututa egotea, ez baita erregelamenduz garatu Estatuan bezala, non apirilaren 28ko 424/2017 Errege Dekretua onetsi baitzen, toki sektore publikoko entitateen barne kontrolaren araubide juridikoa arautzen duena.</w:t>
      </w:r>
    </w:p>
    <w:p w14:paraId="75D16033" w14:textId="0B194D48" w:rsidR="00E63B1D" w:rsidRDefault="002E5D2D" w:rsidP="004B1F4E">
      <w:pPr>
        <w:pStyle w:val="texto"/>
        <w:spacing w:after="0"/>
      </w:pPr>
      <w:r>
        <w:t>Toki Ogasunei buruzko Foru Legea aldatzen duen abenduaren 29ko 22/2020 Foru Legeak aldatu egin du haren 248. artikulua, eta horrenbestez toki entitate guztietan aldez aurreko kontu-hartze mugatua ezartzen ahal da 2021etik aurrera.   Araubide hori duten gastuei gerora fiskalizazio osoa egin behar zaie, lagin adierazgarri bat harturik. Lege erreforma horri esker toki entitateek kudeaketa bizkortzen ahal dute, baina, barne kontrolak eskaintzen dituen bermeen kalterako izan ez dadin, ezinbestekoa da geroko kontrola egokiro garatu eta ezartzea finantza-kontrolaren esparruan.</w:t>
      </w:r>
    </w:p>
    <w:p w14:paraId="29F50857" w14:textId="77777777" w:rsidR="004B1F4E" w:rsidRPr="00DD1BC4" w:rsidRDefault="004B1F4E" w:rsidP="004B1F4E">
      <w:pPr>
        <w:pStyle w:val="texto"/>
        <w:spacing w:after="0"/>
        <w:rPr>
          <w:b/>
        </w:rPr>
      </w:pPr>
    </w:p>
    <w:p w14:paraId="37394C33" w14:textId="77777777" w:rsidR="00DB537B" w:rsidRPr="00EF0883" w:rsidRDefault="004B044B" w:rsidP="004248BF">
      <w:pPr>
        <w:pStyle w:val="Ttulo2"/>
        <w:rPr>
          <w:szCs w:val="25"/>
        </w:rPr>
      </w:pPr>
      <w:bookmarkStart w:id="103" w:name="_Toc126061984"/>
      <w:r>
        <w:t>IX.3. Eragozpen-oharrak</w:t>
      </w:r>
      <w:bookmarkEnd w:id="103"/>
    </w:p>
    <w:p w14:paraId="2C2D0B15" w14:textId="48358252" w:rsidR="004C5885" w:rsidRDefault="00DB537B" w:rsidP="00983CA6">
      <w:pPr>
        <w:pStyle w:val="texto"/>
        <w:spacing w:after="240"/>
        <w:rPr>
          <w:b/>
        </w:rPr>
      </w:pPr>
      <w:r>
        <w:t>Informazioa eman duten 269 toki erakundeetatik, eragozpen-oharrak egin dira 25 udaletan eta hiru mankomunitatetan; zehazki, 188 eragozpen-ohar, guztira, 5,06 milioiko gastuari eragiten diotenak, hurrengo taulan ageri den bezala:</w:t>
      </w:r>
    </w:p>
    <w:tbl>
      <w:tblPr>
        <w:tblW w:w="8789" w:type="dxa"/>
        <w:tblCellMar>
          <w:left w:w="70" w:type="dxa"/>
          <w:right w:w="70" w:type="dxa"/>
        </w:tblCellMar>
        <w:tblLook w:val="04A0" w:firstRow="1" w:lastRow="0" w:firstColumn="1" w:lastColumn="0" w:noHBand="0" w:noVBand="1"/>
      </w:tblPr>
      <w:tblGrid>
        <w:gridCol w:w="2198"/>
        <w:gridCol w:w="850"/>
        <w:gridCol w:w="709"/>
        <w:gridCol w:w="850"/>
        <w:gridCol w:w="709"/>
        <w:gridCol w:w="992"/>
        <w:gridCol w:w="993"/>
        <w:gridCol w:w="637"/>
        <w:gridCol w:w="851"/>
      </w:tblGrid>
      <w:tr w:rsidR="00DB537B" w:rsidRPr="00983CA6" w14:paraId="27F6BBCA" w14:textId="77777777" w:rsidTr="001C793D">
        <w:trPr>
          <w:trHeight w:val="255"/>
        </w:trPr>
        <w:tc>
          <w:tcPr>
            <w:tcW w:w="2198" w:type="dxa"/>
            <w:vMerge w:val="restart"/>
            <w:tcBorders>
              <w:top w:val="single" w:sz="4" w:space="0" w:color="auto"/>
              <w:left w:val="nil"/>
              <w:bottom w:val="single" w:sz="4" w:space="0" w:color="auto"/>
            </w:tcBorders>
            <w:shd w:val="clear" w:color="auto" w:fill="FABF8F" w:themeFill="accent6" w:themeFillTint="99"/>
            <w:vAlign w:val="center"/>
            <w:hideMark/>
          </w:tcPr>
          <w:p w14:paraId="570EF434" w14:textId="77777777" w:rsidR="00DB537B" w:rsidRPr="00983CA6" w:rsidRDefault="00DB537B" w:rsidP="00983CA6">
            <w:pPr>
              <w:pStyle w:val="cuadroCabe"/>
              <w:spacing w:line="240" w:lineRule="auto"/>
              <w:rPr>
                <w:sz w:val="16"/>
                <w:szCs w:val="16"/>
              </w:rPr>
            </w:pPr>
            <w:r>
              <w:rPr>
                <w:sz w:val="16"/>
              </w:rPr>
              <w:t>Toki entitate mota</w:t>
            </w:r>
          </w:p>
        </w:tc>
        <w:tc>
          <w:tcPr>
            <w:tcW w:w="1559" w:type="dxa"/>
            <w:gridSpan w:val="2"/>
            <w:tcBorders>
              <w:top w:val="single" w:sz="4" w:space="0" w:color="auto"/>
              <w:bottom w:val="single" w:sz="4" w:space="0" w:color="auto"/>
            </w:tcBorders>
            <w:shd w:val="clear" w:color="auto" w:fill="FABF8F" w:themeFill="accent6" w:themeFillTint="99"/>
            <w:vAlign w:val="center"/>
            <w:hideMark/>
          </w:tcPr>
          <w:p w14:paraId="73BB44FB" w14:textId="77777777" w:rsidR="00DB537B" w:rsidRPr="00983CA6" w:rsidRDefault="00DB537B" w:rsidP="00983CA6">
            <w:pPr>
              <w:pStyle w:val="cuadroCabe"/>
              <w:spacing w:line="240" w:lineRule="auto"/>
              <w:jc w:val="right"/>
              <w:rPr>
                <w:sz w:val="16"/>
                <w:szCs w:val="16"/>
              </w:rPr>
            </w:pPr>
            <w:r>
              <w:rPr>
                <w:sz w:val="16"/>
              </w:rPr>
              <w:t>Entitate kop.</w:t>
            </w:r>
          </w:p>
        </w:tc>
        <w:tc>
          <w:tcPr>
            <w:tcW w:w="1559" w:type="dxa"/>
            <w:gridSpan w:val="2"/>
            <w:tcBorders>
              <w:top w:val="single" w:sz="4" w:space="0" w:color="auto"/>
              <w:bottom w:val="single" w:sz="4" w:space="0" w:color="auto"/>
            </w:tcBorders>
            <w:shd w:val="clear" w:color="auto" w:fill="FABF8F" w:themeFill="accent6" w:themeFillTint="99"/>
            <w:vAlign w:val="center"/>
            <w:hideMark/>
          </w:tcPr>
          <w:p w14:paraId="72524612" w14:textId="77777777" w:rsidR="00DB537B" w:rsidRPr="00983CA6" w:rsidRDefault="00DB537B" w:rsidP="00983CA6">
            <w:pPr>
              <w:pStyle w:val="cuadroCabe"/>
              <w:spacing w:line="240" w:lineRule="auto"/>
              <w:jc w:val="right"/>
              <w:rPr>
                <w:sz w:val="16"/>
                <w:szCs w:val="16"/>
              </w:rPr>
            </w:pPr>
            <w:r>
              <w:rPr>
                <w:sz w:val="16"/>
              </w:rPr>
              <w:t>Eragozpen-oharren kop.</w:t>
            </w:r>
          </w:p>
        </w:tc>
        <w:tc>
          <w:tcPr>
            <w:tcW w:w="1985" w:type="dxa"/>
            <w:gridSpan w:val="2"/>
            <w:tcBorders>
              <w:top w:val="single" w:sz="4" w:space="0" w:color="auto"/>
              <w:bottom w:val="single" w:sz="4" w:space="0" w:color="auto"/>
            </w:tcBorders>
            <w:shd w:val="clear" w:color="auto" w:fill="FABF8F" w:themeFill="accent6" w:themeFillTint="99"/>
            <w:vAlign w:val="center"/>
            <w:hideMark/>
          </w:tcPr>
          <w:p w14:paraId="5957082A" w14:textId="5884CF90" w:rsidR="00DB537B" w:rsidRPr="00983CA6" w:rsidRDefault="00DB537B" w:rsidP="00983CA6">
            <w:pPr>
              <w:pStyle w:val="cuadroCabe"/>
              <w:spacing w:line="240" w:lineRule="auto"/>
              <w:jc w:val="right"/>
              <w:rPr>
                <w:sz w:val="16"/>
                <w:szCs w:val="16"/>
              </w:rPr>
            </w:pPr>
            <w:r>
              <w:rPr>
                <w:sz w:val="16"/>
              </w:rPr>
              <w:t>Zenbatekoa (euroak)</w:t>
            </w:r>
          </w:p>
        </w:tc>
        <w:tc>
          <w:tcPr>
            <w:tcW w:w="1488" w:type="dxa"/>
            <w:gridSpan w:val="2"/>
            <w:tcBorders>
              <w:top w:val="single" w:sz="4" w:space="0" w:color="auto"/>
              <w:bottom w:val="single" w:sz="4" w:space="0" w:color="auto"/>
              <w:right w:val="nil"/>
            </w:tcBorders>
            <w:shd w:val="clear" w:color="auto" w:fill="FABF8F" w:themeFill="accent6" w:themeFillTint="99"/>
            <w:vAlign w:val="center"/>
            <w:hideMark/>
          </w:tcPr>
          <w:p w14:paraId="7AE11530" w14:textId="77777777" w:rsidR="00DB537B" w:rsidRPr="00983CA6" w:rsidRDefault="00DB537B" w:rsidP="00983CA6">
            <w:pPr>
              <w:pStyle w:val="cuadroCabe"/>
              <w:spacing w:line="240" w:lineRule="auto"/>
              <w:jc w:val="right"/>
              <w:rPr>
                <w:sz w:val="16"/>
                <w:szCs w:val="16"/>
              </w:rPr>
            </w:pPr>
            <w:r>
              <w:rPr>
                <w:sz w:val="16"/>
              </w:rPr>
              <w:t>Zenbatekorik ez</w:t>
            </w:r>
          </w:p>
        </w:tc>
      </w:tr>
      <w:tr w:rsidR="00DB537B" w:rsidRPr="00983CA6" w14:paraId="6BBBEA41" w14:textId="77777777" w:rsidTr="001C793D">
        <w:trPr>
          <w:trHeight w:val="255"/>
        </w:trPr>
        <w:tc>
          <w:tcPr>
            <w:tcW w:w="2198" w:type="dxa"/>
            <w:vMerge/>
            <w:tcBorders>
              <w:top w:val="single" w:sz="4" w:space="0" w:color="auto"/>
              <w:left w:val="nil"/>
              <w:bottom w:val="single" w:sz="4" w:space="0" w:color="auto"/>
            </w:tcBorders>
            <w:shd w:val="clear" w:color="auto" w:fill="FABF8F" w:themeFill="accent6" w:themeFillTint="99"/>
            <w:vAlign w:val="center"/>
            <w:hideMark/>
          </w:tcPr>
          <w:p w14:paraId="3F8EF6D8" w14:textId="77777777" w:rsidR="00DB537B" w:rsidRPr="00983CA6" w:rsidRDefault="00DB537B" w:rsidP="00983CA6">
            <w:pPr>
              <w:pStyle w:val="cuadroCabe"/>
              <w:spacing w:line="240" w:lineRule="auto"/>
              <w:rPr>
                <w:sz w:val="16"/>
                <w:szCs w:val="16"/>
              </w:rPr>
            </w:pPr>
          </w:p>
        </w:tc>
        <w:tc>
          <w:tcPr>
            <w:tcW w:w="850" w:type="dxa"/>
            <w:tcBorders>
              <w:top w:val="single" w:sz="4" w:space="0" w:color="auto"/>
              <w:bottom w:val="single" w:sz="4" w:space="0" w:color="auto"/>
            </w:tcBorders>
            <w:shd w:val="clear" w:color="auto" w:fill="FABF8F" w:themeFill="accent6" w:themeFillTint="99"/>
            <w:noWrap/>
            <w:vAlign w:val="center"/>
            <w:hideMark/>
          </w:tcPr>
          <w:p w14:paraId="6AA09ABA" w14:textId="77777777" w:rsidR="00DB537B" w:rsidRPr="00983CA6" w:rsidRDefault="00DB537B" w:rsidP="00983CA6">
            <w:pPr>
              <w:pStyle w:val="cuadroCabe"/>
              <w:spacing w:line="240" w:lineRule="auto"/>
              <w:jc w:val="right"/>
              <w:rPr>
                <w:sz w:val="16"/>
                <w:szCs w:val="16"/>
              </w:rPr>
            </w:pPr>
            <w:r>
              <w:rPr>
                <w:sz w:val="16"/>
              </w:rPr>
              <w:t>2019</w:t>
            </w:r>
          </w:p>
        </w:tc>
        <w:tc>
          <w:tcPr>
            <w:tcW w:w="709" w:type="dxa"/>
            <w:tcBorders>
              <w:top w:val="single" w:sz="4" w:space="0" w:color="auto"/>
              <w:bottom w:val="single" w:sz="4" w:space="0" w:color="auto"/>
            </w:tcBorders>
            <w:shd w:val="clear" w:color="auto" w:fill="FABF8F" w:themeFill="accent6" w:themeFillTint="99"/>
            <w:noWrap/>
            <w:vAlign w:val="center"/>
            <w:hideMark/>
          </w:tcPr>
          <w:p w14:paraId="2E5CBEBE" w14:textId="77777777" w:rsidR="00DB537B" w:rsidRPr="00983CA6" w:rsidRDefault="00DB537B" w:rsidP="00983CA6">
            <w:pPr>
              <w:pStyle w:val="cuadroCabe"/>
              <w:spacing w:line="240" w:lineRule="auto"/>
              <w:jc w:val="right"/>
              <w:rPr>
                <w:sz w:val="16"/>
                <w:szCs w:val="16"/>
              </w:rPr>
            </w:pPr>
            <w:r>
              <w:rPr>
                <w:sz w:val="16"/>
              </w:rPr>
              <w:t>2020</w:t>
            </w:r>
          </w:p>
        </w:tc>
        <w:tc>
          <w:tcPr>
            <w:tcW w:w="850" w:type="dxa"/>
            <w:tcBorders>
              <w:top w:val="single" w:sz="4" w:space="0" w:color="auto"/>
              <w:bottom w:val="single" w:sz="4" w:space="0" w:color="auto"/>
            </w:tcBorders>
            <w:shd w:val="clear" w:color="auto" w:fill="FABF8F" w:themeFill="accent6" w:themeFillTint="99"/>
            <w:noWrap/>
            <w:vAlign w:val="center"/>
            <w:hideMark/>
          </w:tcPr>
          <w:p w14:paraId="370E4B73" w14:textId="77777777" w:rsidR="00DB537B" w:rsidRPr="00983CA6" w:rsidRDefault="00DB537B" w:rsidP="00983CA6">
            <w:pPr>
              <w:pStyle w:val="cuadroCabe"/>
              <w:spacing w:line="240" w:lineRule="auto"/>
              <w:jc w:val="right"/>
              <w:rPr>
                <w:sz w:val="16"/>
                <w:szCs w:val="16"/>
              </w:rPr>
            </w:pPr>
            <w:r>
              <w:rPr>
                <w:sz w:val="16"/>
              </w:rPr>
              <w:t>2019</w:t>
            </w:r>
          </w:p>
        </w:tc>
        <w:tc>
          <w:tcPr>
            <w:tcW w:w="709" w:type="dxa"/>
            <w:tcBorders>
              <w:top w:val="single" w:sz="4" w:space="0" w:color="auto"/>
              <w:bottom w:val="single" w:sz="4" w:space="0" w:color="auto"/>
            </w:tcBorders>
            <w:shd w:val="clear" w:color="auto" w:fill="FABF8F" w:themeFill="accent6" w:themeFillTint="99"/>
            <w:noWrap/>
            <w:vAlign w:val="center"/>
            <w:hideMark/>
          </w:tcPr>
          <w:p w14:paraId="3A715F1B" w14:textId="77777777" w:rsidR="00DB537B" w:rsidRPr="00983CA6" w:rsidRDefault="00DB537B" w:rsidP="00983CA6">
            <w:pPr>
              <w:pStyle w:val="cuadroCabe"/>
              <w:spacing w:line="240" w:lineRule="auto"/>
              <w:jc w:val="right"/>
              <w:rPr>
                <w:sz w:val="16"/>
                <w:szCs w:val="16"/>
              </w:rPr>
            </w:pPr>
            <w:r>
              <w:rPr>
                <w:sz w:val="16"/>
              </w:rPr>
              <w:t>2020</w:t>
            </w:r>
          </w:p>
        </w:tc>
        <w:tc>
          <w:tcPr>
            <w:tcW w:w="992" w:type="dxa"/>
            <w:tcBorders>
              <w:top w:val="single" w:sz="4" w:space="0" w:color="auto"/>
              <w:bottom w:val="single" w:sz="4" w:space="0" w:color="auto"/>
            </w:tcBorders>
            <w:shd w:val="clear" w:color="auto" w:fill="FABF8F" w:themeFill="accent6" w:themeFillTint="99"/>
            <w:noWrap/>
            <w:vAlign w:val="center"/>
            <w:hideMark/>
          </w:tcPr>
          <w:p w14:paraId="2A5A70F7" w14:textId="77777777" w:rsidR="00DB537B" w:rsidRPr="00983CA6" w:rsidRDefault="00DB537B" w:rsidP="00983CA6">
            <w:pPr>
              <w:pStyle w:val="cuadroCabe"/>
              <w:spacing w:line="240" w:lineRule="auto"/>
              <w:jc w:val="right"/>
              <w:rPr>
                <w:sz w:val="16"/>
                <w:szCs w:val="16"/>
              </w:rPr>
            </w:pPr>
            <w:r>
              <w:rPr>
                <w:sz w:val="16"/>
              </w:rPr>
              <w:t>2019</w:t>
            </w:r>
          </w:p>
        </w:tc>
        <w:tc>
          <w:tcPr>
            <w:tcW w:w="993" w:type="dxa"/>
            <w:tcBorders>
              <w:top w:val="single" w:sz="4" w:space="0" w:color="auto"/>
              <w:bottom w:val="single" w:sz="4" w:space="0" w:color="auto"/>
            </w:tcBorders>
            <w:shd w:val="clear" w:color="auto" w:fill="FABF8F" w:themeFill="accent6" w:themeFillTint="99"/>
            <w:noWrap/>
            <w:vAlign w:val="center"/>
            <w:hideMark/>
          </w:tcPr>
          <w:p w14:paraId="6AAC8B9E" w14:textId="77777777" w:rsidR="00DB537B" w:rsidRPr="00983CA6" w:rsidRDefault="00DB537B" w:rsidP="00983CA6">
            <w:pPr>
              <w:pStyle w:val="cuadroCabe"/>
              <w:spacing w:line="240" w:lineRule="auto"/>
              <w:jc w:val="right"/>
              <w:rPr>
                <w:sz w:val="16"/>
                <w:szCs w:val="16"/>
              </w:rPr>
            </w:pPr>
            <w:r>
              <w:rPr>
                <w:sz w:val="16"/>
              </w:rPr>
              <w:t>2020</w:t>
            </w:r>
          </w:p>
        </w:tc>
        <w:tc>
          <w:tcPr>
            <w:tcW w:w="637" w:type="dxa"/>
            <w:tcBorders>
              <w:top w:val="single" w:sz="4" w:space="0" w:color="auto"/>
              <w:bottom w:val="single" w:sz="4" w:space="0" w:color="auto"/>
            </w:tcBorders>
            <w:shd w:val="clear" w:color="auto" w:fill="FABF8F" w:themeFill="accent6" w:themeFillTint="99"/>
            <w:noWrap/>
            <w:vAlign w:val="center"/>
            <w:hideMark/>
          </w:tcPr>
          <w:p w14:paraId="78752F12" w14:textId="77777777" w:rsidR="00DB537B" w:rsidRPr="00983CA6" w:rsidRDefault="00DB537B" w:rsidP="00983CA6">
            <w:pPr>
              <w:pStyle w:val="cuadroCabe"/>
              <w:spacing w:line="240" w:lineRule="auto"/>
              <w:jc w:val="right"/>
              <w:rPr>
                <w:sz w:val="16"/>
                <w:szCs w:val="16"/>
              </w:rPr>
            </w:pPr>
            <w:r>
              <w:rPr>
                <w:sz w:val="16"/>
              </w:rPr>
              <w:t>2019</w:t>
            </w:r>
          </w:p>
        </w:tc>
        <w:tc>
          <w:tcPr>
            <w:tcW w:w="851" w:type="dxa"/>
            <w:tcBorders>
              <w:top w:val="single" w:sz="4" w:space="0" w:color="auto"/>
              <w:bottom w:val="single" w:sz="4" w:space="0" w:color="auto"/>
              <w:right w:val="nil"/>
            </w:tcBorders>
            <w:shd w:val="clear" w:color="auto" w:fill="FABF8F" w:themeFill="accent6" w:themeFillTint="99"/>
            <w:noWrap/>
            <w:vAlign w:val="center"/>
            <w:hideMark/>
          </w:tcPr>
          <w:p w14:paraId="429BBD59" w14:textId="77777777" w:rsidR="00DB537B" w:rsidRPr="00983CA6" w:rsidRDefault="00DB537B" w:rsidP="00983CA6">
            <w:pPr>
              <w:pStyle w:val="cuadroCabe"/>
              <w:spacing w:line="240" w:lineRule="auto"/>
              <w:jc w:val="right"/>
              <w:rPr>
                <w:sz w:val="16"/>
                <w:szCs w:val="16"/>
              </w:rPr>
            </w:pPr>
            <w:r>
              <w:rPr>
                <w:sz w:val="16"/>
              </w:rPr>
              <w:t>2020</w:t>
            </w:r>
          </w:p>
        </w:tc>
      </w:tr>
      <w:tr w:rsidR="00FB2CFA" w:rsidRPr="00474131" w14:paraId="5C6932E1" w14:textId="77777777" w:rsidTr="001C793D">
        <w:trPr>
          <w:trHeight w:val="255"/>
        </w:trPr>
        <w:tc>
          <w:tcPr>
            <w:tcW w:w="2198" w:type="dxa"/>
            <w:tcBorders>
              <w:top w:val="single" w:sz="4" w:space="0" w:color="auto"/>
              <w:left w:val="nil"/>
              <w:bottom w:val="single" w:sz="2" w:space="0" w:color="auto"/>
            </w:tcBorders>
            <w:shd w:val="clear" w:color="auto" w:fill="auto"/>
            <w:noWrap/>
            <w:vAlign w:val="center"/>
            <w:hideMark/>
          </w:tcPr>
          <w:p w14:paraId="2316A12C" w14:textId="77777777" w:rsidR="00FB2CFA" w:rsidRPr="00474131" w:rsidRDefault="00FB2CFA" w:rsidP="00983CA6">
            <w:pPr>
              <w:pStyle w:val="cuatexto"/>
              <w:spacing w:line="240" w:lineRule="auto"/>
              <w:rPr>
                <w:b/>
                <w:i/>
                <w:szCs w:val="20"/>
              </w:rPr>
            </w:pPr>
            <w:r>
              <w:rPr>
                <w:b/>
                <w:i/>
              </w:rPr>
              <w:t>Udalak</w:t>
            </w:r>
          </w:p>
        </w:tc>
        <w:tc>
          <w:tcPr>
            <w:tcW w:w="850" w:type="dxa"/>
            <w:tcBorders>
              <w:top w:val="single" w:sz="4" w:space="0" w:color="auto"/>
              <w:bottom w:val="single" w:sz="2" w:space="0" w:color="auto"/>
            </w:tcBorders>
            <w:shd w:val="clear" w:color="auto" w:fill="auto"/>
            <w:noWrap/>
            <w:vAlign w:val="center"/>
            <w:hideMark/>
          </w:tcPr>
          <w:p w14:paraId="3631DBA5" w14:textId="77777777" w:rsidR="00FB2CFA" w:rsidRPr="00474131" w:rsidRDefault="00FB2CFA" w:rsidP="00983CA6">
            <w:pPr>
              <w:pStyle w:val="cuatexto"/>
              <w:spacing w:line="240" w:lineRule="auto"/>
              <w:jc w:val="right"/>
              <w:rPr>
                <w:b/>
                <w:i/>
                <w:szCs w:val="20"/>
              </w:rPr>
            </w:pPr>
            <w:r>
              <w:rPr>
                <w:b/>
                <w:i/>
              </w:rPr>
              <w:t>26</w:t>
            </w:r>
          </w:p>
        </w:tc>
        <w:tc>
          <w:tcPr>
            <w:tcW w:w="709" w:type="dxa"/>
            <w:tcBorders>
              <w:top w:val="single" w:sz="4" w:space="0" w:color="auto"/>
              <w:bottom w:val="single" w:sz="2" w:space="0" w:color="auto"/>
            </w:tcBorders>
            <w:shd w:val="clear" w:color="auto" w:fill="auto"/>
            <w:noWrap/>
            <w:vAlign w:val="center"/>
            <w:hideMark/>
          </w:tcPr>
          <w:p w14:paraId="31C4076F" w14:textId="77777777" w:rsidR="00FB2CFA" w:rsidRPr="00474131" w:rsidRDefault="00FB2CFA" w:rsidP="00983CA6">
            <w:pPr>
              <w:pStyle w:val="cuatexto"/>
              <w:spacing w:line="240" w:lineRule="auto"/>
              <w:jc w:val="right"/>
              <w:rPr>
                <w:b/>
                <w:i/>
                <w:szCs w:val="20"/>
              </w:rPr>
            </w:pPr>
            <w:r>
              <w:rPr>
                <w:b/>
                <w:i/>
              </w:rPr>
              <w:t>25</w:t>
            </w:r>
          </w:p>
        </w:tc>
        <w:tc>
          <w:tcPr>
            <w:tcW w:w="850" w:type="dxa"/>
            <w:tcBorders>
              <w:top w:val="single" w:sz="4" w:space="0" w:color="auto"/>
              <w:bottom w:val="single" w:sz="2" w:space="0" w:color="auto"/>
            </w:tcBorders>
            <w:shd w:val="clear" w:color="auto" w:fill="auto"/>
            <w:noWrap/>
            <w:vAlign w:val="center"/>
            <w:hideMark/>
          </w:tcPr>
          <w:p w14:paraId="485DF388" w14:textId="77777777" w:rsidR="00FB2CFA" w:rsidRPr="00474131" w:rsidRDefault="00FB2CFA" w:rsidP="00983CA6">
            <w:pPr>
              <w:pStyle w:val="cuatexto"/>
              <w:spacing w:line="240" w:lineRule="auto"/>
              <w:jc w:val="right"/>
              <w:rPr>
                <w:b/>
                <w:i/>
                <w:szCs w:val="20"/>
              </w:rPr>
            </w:pPr>
            <w:r>
              <w:rPr>
                <w:b/>
                <w:i/>
              </w:rPr>
              <w:t>165</w:t>
            </w:r>
          </w:p>
        </w:tc>
        <w:tc>
          <w:tcPr>
            <w:tcW w:w="709" w:type="dxa"/>
            <w:tcBorders>
              <w:top w:val="single" w:sz="4" w:space="0" w:color="auto"/>
              <w:bottom w:val="single" w:sz="2" w:space="0" w:color="auto"/>
            </w:tcBorders>
            <w:shd w:val="clear" w:color="auto" w:fill="auto"/>
            <w:noWrap/>
            <w:vAlign w:val="center"/>
            <w:hideMark/>
          </w:tcPr>
          <w:p w14:paraId="575489D0" w14:textId="77777777" w:rsidR="00FB2CFA" w:rsidRPr="00474131" w:rsidRDefault="00FB2CFA" w:rsidP="00983CA6">
            <w:pPr>
              <w:pStyle w:val="cuatexto"/>
              <w:spacing w:line="240" w:lineRule="auto"/>
              <w:jc w:val="right"/>
              <w:rPr>
                <w:b/>
                <w:i/>
                <w:szCs w:val="20"/>
              </w:rPr>
            </w:pPr>
            <w:r>
              <w:rPr>
                <w:b/>
                <w:i/>
              </w:rPr>
              <w:t>184</w:t>
            </w:r>
          </w:p>
        </w:tc>
        <w:tc>
          <w:tcPr>
            <w:tcW w:w="992" w:type="dxa"/>
            <w:tcBorders>
              <w:top w:val="single" w:sz="4" w:space="0" w:color="auto"/>
              <w:bottom w:val="single" w:sz="2" w:space="0" w:color="auto"/>
            </w:tcBorders>
            <w:shd w:val="clear" w:color="auto" w:fill="auto"/>
            <w:noWrap/>
            <w:vAlign w:val="center"/>
            <w:hideMark/>
          </w:tcPr>
          <w:p w14:paraId="6137CF7F" w14:textId="77777777" w:rsidR="00FB2CFA" w:rsidRPr="00474131" w:rsidRDefault="00FB2CFA" w:rsidP="00983CA6">
            <w:pPr>
              <w:pStyle w:val="cuatexto"/>
              <w:spacing w:line="240" w:lineRule="auto"/>
              <w:jc w:val="right"/>
              <w:rPr>
                <w:b/>
                <w:i/>
                <w:szCs w:val="20"/>
              </w:rPr>
            </w:pPr>
            <w:r>
              <w:rPr>
                <w:b/>
                <w:i/>
              </w:rPr>
              <w:t>4.703.403</w:t>
            </w:r>
          </w:p>
        </w:tc>
        <w:tc>
          <w:tcPr>
            <w:tcW w:w="993" w:type="dxa"/>
            <w:tcBorders>
              <w:top w:val="single" w:sz="4" w:space="0" w:color="auto"/>
              <w:bottom w:val="single" w:sz="2" w:space="0" w:color="auto"/>
            </w:tcBorders>
            <w:shd w:val="clear" w:color="auto" w:fill="auto"/>
            <w:noWrap/>
            <w:vAlign w:val="center"/>
            <w:hideMark/>
          </w:tcPr>
          <w:p w14:paraId="35201A4C" w14:textId="574CC4FB" w:rsidR="00FB2CFA" w:rsidRPr="00474131" w:rsidRDefault="001A3BA2" w:rsidP="00983CA6">
            <w:pPr>
              <w:pStyle w:val="cuatexto"/>
              <w:spacing w:line="240" w:lineRule="auto"/>
              <w:jc w:val="right"/>
              <w:rPr>
                <w:b/>
                <w:i/>
                <w:szCs w:val="20"/>
              </w:rPr>
            </w:pPr>
            <w:r>
              <w:rPr>
                <w:b/>
                <w:i/>
              </w:rPr>
              <w:t>4.780.885</w:t>
            </w:r>
          </w:p>
        </w:tc>
        <w:tc>
          <w:tcPr>
            <w:tcW w:w="637" w:type="dxa"/>
            <w:tcBorders>
              <w:top w:val="single" w:sz="4" w:space="0" w:color="auto"/>
              <w:bottom w:val="single" w:sz="2" w:space="0" w:color="auto"/>
            </w:tcBorders>
            <w:shd w:val="clear" w:color="auto" w:fill="auto"/>
            <w:noWrap/>
            <w:vAlign w:val="center"/>
            <w:hideMark/>
          </w:tcPr>
          <w:p w14:paraId="2B9DA350" w14:textId="77777777" w:rsidR="00FB2CFA" w:rsidRPr="00474131" w:rsidRDefault="00FB2CFA" w:rsidP="00983CA6">
            <w:pPr>
              <w:pStyle w:val="cuatexto"/>
              <w:spacing w:line="240" w:lineRule="auto"/>
              <w:jc w:val="right"/>
              <w:rPr>
                <w:b/>
                <w:i/>
                <w:szCs w:val="20"/>
              </w:rPr>
            </w:pPr>
            <w:r>
              <w:rPr>
                <w:b/>
                <w:i/>
              </w:rPr>
              <w:t>6</w:t>
            </w:r>
          </w:p>
        </w:tc>
        <w:tc>
          <w:tcPr>
            <w:tcW w:w="851" w:type="dxa"/>
            <w:tcBorders>
              <w:top w:val="single" w:sz="4" w:space="0" w:color="auto"/>
              <w:bottom w:val="single" w:sz="2" w:space="0" w:color="auto"/>
              <w:right w:val="nil"/>
            </w:tcBorders>
            <w:shd w:val="clear" w:color="auto" w:fill="auto"/>
            <w:noWrap/>
            <w:vAlign w:val="center"/>
            <w:hideMark/>
          </w:tcPr>
          <w:p w14:paraId="598EF566" w14:textId="77777777" w:rsidR="00FB2CFA" w:rsidRPr="00474131" w:rsidRDefault="00FB2CFA" w:rsidP="00983CA6">
            <w:pPr>
              <w:pStyle w:val="cuatexto"/>
              <w:spacing w:line="240" w:lineRule="auto"/>
              <w:jc w:val="right"/>
              <w:rPr>
                <w:b/>
                <w:i/>
                <w:szCs w:val="20"/>
              </w:rPr>
            </w:pPr>
            <w:r>
              <w:rPr>
                <w:b/>
                <w:i/>
              </w:rPr>
              <w:t>14</w:t>
            </w:r>
          </w:p>
        </w:tc>
      </w:tr>
      <w:tr w:rsidR="004C741A" w:rsidRPr="00474131" w14:paraId="412C9ABB" w14:textId="77777777" w:rsidTr="001C793D">
        <w:trPr>
          <w:trHeight w:val="255"/>
        </w:trPr>
        <w:tc>
          <w:tcPr>
            <w:tcW w:w="2198" w:type="dxa"/>
            <w:tcBorders>
              <w:top w:val="single" w:sz="2" w:space="0" w:color="auto"/>
              <w:left w:val="nil"/>
              <w:bottom w:val="single" w:sz="2" w:space="0" w:color="auto"/>
            </w:tcBorders>
            <w:shd w:val="clear" w:color="auto" w:fill="auto"/>
            <w:noWrap/>
            <w:vAlign w:val="center"/>
            <w:hideMark/>
          </w:tcPr>
          <w:p w14:paraId="4AD1BFFF" w14:textId="6E81BD13" w:rsidR="004C741A" w:rsidRPr="00474131" w:rsidRDefault="004C741A" w:rsidP="00983CA6">
            <w:pPr>
              <w:pStyle w:val="cuatexto"/>
              <w:spacing w:line="240" w:lineRule="auto"/>
              <w:rPr>
                <w:szCs w:val="20"/>
              </w:rPr>
            </w:pPr>
            <w:r>
              <w:t>&lt; 1.000 biztanle</w:t>
            </w:r>
          </w:p>
        </w:tc>
        <w:tc>
          <w:tcPr>
            <w:tcW w:w="850" w:type="dxa"/>
            <w:tcBorders>
              <w:top w:val="single" w:sz="2" w:space="0" w:color="auto"/>
              <w:bottom w:val="single" w:sz="2" w:space="0" w:color="auto"/>
            </w:tcBorders>
            <w:shd w:val="clear" w:color="auto" w:fill="auto"/>
            <w:noWrap/>
            <w:vAlign w:val="center"/>
            <w:hideMark/>
          </w:tcPr>
          <w:p w14:paraId="6BBF86CE" w14:textId="77777777" w:rsidR="004C741A" w:rsidRPr="00474131" w:rsidRDefault="004C741A" w:rsidP="00983CA6">
            <w:pPr>
              <w:pStyle w:val="cuatexto"/>
              <w:spacing w:line="240" w:lineRule="auto"/>
              <w:jc w:val="right"/>
              <w:rPr>
                <w:szCs w:val="20"/>
              </w:rPr>
            </w:pPr>
            <w:r>
              <w:t>6</w:t>
            </w:r>
          </w:p>
        </w:tc>
        <w:tc>
          <w:tcPr>
            <w:tcW w:w="709" w:type="dxa"/>
            <w:tcBorders>
              <w:top w:val="single" w:sz="2" w:space="0" w:color="auto"/>
              <w:bottom w:val="single" w:sz="2" w:space="0" w:color="auto"/>
            </w:tcBorders>
            <w:shd w:val="clear" w:color="auto" w:fill="auto"/>
            <w:noWrap/>
            <w:vAlign w:val="center"/>
            <w:hideMark/>
          </w:tcPr>
          <w:p w14:paraId="2DA37FA1" w14:textId="77777777" w:rsidR="004C741A" w:rsidRPr="00474131" w:rsidRDefault="004C741A" w:rsidP="00983CA6">
            <w:pPr>
              <w:pStyle w:val="cuatexto"/>
              <w:spacing w:line="240" w:lineRule="auto"/>
              <w:jc w:val="right"/>
              <w:rPr>
                <w:szCs w:val="20"/>
              </w:rPr>
            </w:pPr>
            <w:r>
              <w:t>7</w:t>
            </w:r>
          </w:p>
        </w:tc>
        <w:tc>
          <w:tcPr>
            <w:tcW w:w="850" w:type="dxa"/>
            <w:tcBorders>
              <w:top w:val="single" w:sz="2" w:space="0" w:color="auto"/>
              <w:bottom w:val="single" w:sz="2" w:space="0" w:color="auto"/>
            </w:tcBorders>
            <w:shd w:val="clear" w:color="auto" w:fill="auto"/>
            <w:noWrap/>
            <w:vAlign w:val="center"/>
            <w:hideMark/>
          </w:tcPr>
          <w:p w14:paraId="74640173" w14:textId="77777777" w:rsidR="004C741A" w:rsidRPr="00474131" w:rsidRDefault="004C741A" w:rsidP="00983CA6">
            <w:pPr>
              <w:pStyle w:val="cuatexto"/>
              <w:spacing w:line="240" w:lineRule="auto"/>
              <w:jc w:val="right"/>
              <w:rPr>
                <w:szCs w:val="20"/>
              </w:rPr>
            </w:pPr>
            <w:r>
              <w:t>8</w:t>
            </w:r>
          </w:p>
        </w:tc>
        <w:tc>
          <w:tcPr>
            <w:tcW w:w="709" w:type="dxa"/>
            <w:tcBorders>
              <w:top w:val="single" w:sz="2" w:space="0" w:color="auto"/>
              <w:bottom w:val="single" w:sz="2" w:space="0" w:color="auto"/>
            </w:tcBorders>
            <w:shd w:val="clear" w:color="auto" w:fill="auto"/>
            <w:noWrap/>
            <w:vAlign w:val="center"/>
            <w:hideMark/>
          </w:tcPr>
          <w:p w14:paraId="3B98A14C" w14:textId="77777777" w:rsidR="004C741A" w:rsidRPr="00474131" w:rsidRDefault="004C741A" w:rsidP="00983CA6">
            <w:pPr>
              <w:pStyle w:val="cuatexto"/>
              <w:spacing w:line="240" w:lineRule="auto"/>
              <w:jc w:val="right"/>
              <w:rPr>
                <w:szCs w:val="20"/>
              </w:rPr>
            </w:pPr>
            <w:r>
              <w:t>13</w:t>
            </w:r>
          </w:p>
        </w:tc>
        <w:tc>
          <w:tcPr>
            <w:tcW w:w="992" w:type="dxa"/>
            <w:tcBorders>
              <w:top w:val="single" w:sz="2" w:space="0" w:color="auto"/>
              <w:bottom w:val="single" w:sz="2" w:space="0" w:color="auto"/>
            </w:tcBorders>
            <w:shd w:val="clear" w:color="auto" w:fill="auto"/>
            <w:noWrap/>
            <w:vAlign w:val="center"/>
            <w:hideMark/>
          </w:tcPr>
          <w:p w14:paraId="6970B8A6" w14:textId="77777777" w:rsidR="004C741A" w:rsidRPr="00474131" w:rsidRDefault="004C741A" w:rsidP="00983CA6">
            <w:pPr>
              <w:pStyle w:val="cuatexto"/>
              <w:spacing w:line="240" w:lineRule="auto"/>
              <w:jc w:val="right"/>
              <w:rPr>
                <w:szCs w:val="20"/>
              </w:rPr>
            </w:pPr>
            <w:r>
              <w:t>30.692</w:t>
            </w:r>
          </w:p>
        </w:tc>
        <w:tc>
          <w:tcPr>
            <w:tcW w:w="993" w:type="dxa"/>
            <w:tcBorders>
              <w:top w:val="single" w:sz="2" w:space="0" w:color="auto"/>
              <w:bottom w:val="single" w:sz="2" w:space="0" w:color="auto"/>
            </w:tcBorders>
            <w:shd w:val="clear" w:color="auto" w:fill="auto"/>
            <w:noWrap/>
            <w:vAlign w:val="center"/>
            <w:hideMark/>
          </w:tcPr>
          <w:p w14:paraId="2468A28E" w14:textId="40E9C1FC" w:rsidR="004C741A" w:rsidRPr="00474131" w:rsidRDefault="001A3BA2" w:rsidP="00983CA6">
            <w:pPr>
              <w:pStyle w:val="cuatexto"/>
              <w:spacing w:line="240" w:lineRule="auto"/>
              <w:jc w:val="right"/>
              <w:rPr>
                <w:szCs w:val="20"/>
              </w:rPr>
            </w:pPr>
            <w:r>
              <w:t>209.611</w:t>
            </w:r>
          </w:p>
        </w:tc>
        <w:tc>
          <w:tcPr>
            <w:tcW w:w="637" w:type="dxa"/>
            <w:tcBorders>
              <w:top w:val="single" w:sz="2" w:space="0" w:color="auto"/>
              <w:bottom w:val="single" w:sz="2" w:space="0" w:color="auto"/>
            </w:tcBorders>
            <w:shd w:val="clear" w:color="auto" w:fill="auto"/>
            <w:noWrap/>
            <w:vAlign w:val="center"/>
            <w:hideMark/>
          </w:tcPr>
          <w:p w14:paraId="5D30EACA" w14:textId="77777777" w:rsidR="004C741A" w:rsidRPr="00474131" w:rsidRDefault="004C741A" w:rsidP="00983CA6">
            <w:pPr>
              <w:pStyle w:val="cuatexto"/>
              <w:spacing w:line="240" w:lineRule="auto"/>
              <w:jc w:val="right"/>
              <w:rPr>
                <w:szCs w:val="20"/>
              </w:rPr>
            </w:pPr>
            <w:r>
              <w:t>0</w:t>
            </w:r>
          </w:p>
        </w:tc>
        <w:tc>
          <w:tcPr>
            <w:tcW w:w="851" w:type="dxa"/>
            <w:tcBorders>
              <w:top w:val="single" w:sz="2" w:space="0" w:color="auto"/>
              <w:bottom w:val="single" w:sz="2" w:space="0" w:color="auto"/>
              <w:right w:val="nil"/>
            </w:tcBorders>
            <w:shd w:val="clear" w:color="auto" w:fill="auto"/>
            <w:noWrap/>
            <w:vAlign w:val="center"/>
            <w:hideMark/>
          </w:tcPr>
          <w:p w14:paraId="38AC32FB" w14:textId="77777777" w:rsidR="004C741A" w:rsidRPr="00474131" w:rsidRDefault="004C741A" w:rsidP="00983CA6">
            <w:pPr>
              <w:pStyle w:val="cuatexto"/>
              <w:spacing w:line="240" w:lineRule="auto"/>
              <w:jc w:val="right"/>
              <w:rPr>
                <w:szCs w:val="20"/>
              </w:rPr>
            </w:pPr>
            <w:r>
              <w:t>1</w:t>
            </w:r>
          </w:p>
        </w:tc>
      </w:tr>
      <w:tr w:rsidR="004C741A" w:rsidRPr="00474131" w14:paraId="7D80D3C7" w14:textId="77777777" w:rsidTr="001C793D">
        <w:trPr>
          <w:trHeight w:val="255"/>
        </w:trPr>
        <w:tc>
          <w:tcPr>
            <w:tcW w:w="2198" w:type="dxa"/>
            <w:tcBorders>
              <w:top w:val="single" w:sz="2" w:space="0" w:color="auto"/>
              <w:left w:val="nil"/>
              <w:bottom w:val="single" w:sz="2" w:space="0" w:color="auto"/>
            </w:tcBorders>
            <w:shd w:val="clear" w:color="auto" w:fill="auto"/>
            <w:noWrap/>
            <w:vAlign w:val="center"/>
            <w:hideMark/>
          </w:tcPr>
          <w:p w14:paraId="6738BFB6" w14:textId="558F643F" w:rsidR="004C741A" w:rsidRPr="00474131" w:rsidRDefault="004C741A" w:rsidP="00983CA6">
            <w:pPr>
              <w:pStyle w:val="cuatexto"/>
              <w:spacing w:line="240" w:lineRule="auto"/>
              <w:rPr>
                <w:szCs w:val="20"/>
              </w:rPr>
            </w:pPr>
            <w:r>
              <w:t>1.000 &lt; bizt. &lt; 5.000</w:t>
            </w:r>
          </w:p>
        </w:tc>
        <w:tc>
          <w:tcPr>
            <w:tcW w:w="850" w:type="dxa"/>
            <w:tcBorders>
              <w:top w:val="single" w:sz="2" w:space="0" w:color="auto"/>
              <w:bottom w:val="single" w:sz="2" w:space="0" w:color="auto"/>
            </w:tcBorders>
            <w:shd w:val="clear" w:color="auto" w:fill="auto"/>
            <w:noWrap/>
            <w:vAlign w:val="center"/>
            <w:hideMark/>
          </w:tcPr>
          <w:p w14:paraId="071FA9C6" w14:textId="77777777" w:rsidR="004C741A" w:rsidRPr="00474131" w:rsidRDefault="004C741A" w:rsidP="00983CA6">
            <w:pPr>
              <w:pStyle w:val="cuatexto"/>
              <w:spacing w:line="240" w:lineRule="auto"/>
              <w:jc w:val="right"/>
              <w:rPr>
                <w:szCs w:val="20"/>
              </w:rPr>
            </w:pPr>
            <w:r>
              <w:t>10</w:t>
            </w:r>
          </w:p>
        </w:tc>
        <w:tc>
          <w:tcPr>
            <w:tcW w:w="709" w:type="dxa"/>
            <w:tcBorders>
              <w:top w:val="single" w:sz="2" w:space="0" w:color="auto"/>
              <w:bottom w:val="single" w:sz="2" w:space="0" w:color="auto"/>
            </w:tcBorders>
            <w:shd w:val="clear" w:color="auto" w:fill="auto"/>
            <w:noWrap/>
            <w:vAlign w:val="center"/>
            <w:hideMark/>
          </w:tcPr>
          <w:p w14:paraId="64C0BFAF" w14:textId="77777777" w:rsidR="004C741A" w:rsidRPr="00474131" w:rsidRDefault="004C741A" w:rsidP="00983CA6">
            <w:pPr>
              <w:pStyle w:val="cuatexto"/>
              <w:spacing w:line="240" w:lineRule="auto"/>
              <w:jc w:val="right"/>
              <w:rPr>
                <w:szCs w:val="20"/>
              </w:rPr>
            </w:pPr>
            <w:r>
              <w:t>10</w:t>
            </w:r>
          </w:p>
        </w:tc>
        <w:tc>
          <w:tcPr>
            <w:tcW w:w="850" w:type="dxa"/>
            <w:tcBorders>
              <w:top w:val="single" w:sz="2" w:space="0" w:color="auto"/>
              <w:bottom w:val="single" w:sz="2" w:space="0" w:color="auto"/>
            </w:tcBorders>
            <w:shd w:val="clear" w:color="auto" w:fill="auto"/>
            <w:noWrap/>
            <w:vAlign w:val="center"/>
            <w:hideMark/>
          </w:tcPr>
          <w:p w14:paraId="5186839A" w14:textId="77777777" w:rsidR="004C741A" w:rsidRPr="00474131" w:rsidRDefault="004C741A" w:rsidP="00983CA6">
            <w:pPr>
              <w:pStyle w:val="cuatexto"/>
              <w:spacing w:line="240" w:lineRule="auto"/>
              <w:jc w:val="right"/>
              <w:rPr>
                <w:szCs w:val="20"/>
              </w:rPr>
            </w:pPr>
            <w:r>
              <w:t>80</w:t>
            </w:r>
          </w:p>
        </w:tc>
        <w:tc>
          <w:tcPr>
            <w:tcW w:w="709" w:type="dxa"/>
            <w:tcBorders>
              <w:top w:val="single" w:sz="2" w:space="0" w:color="auto"/>
              <w:bottom w:val="single" w:sz="2" w:space="0" w:color="auto"/>
            </w:tcBorders>
            <w:shd w:val="clear" w:color="auto" w:fill="auto"/>
            <w:noWrap/>
            <w:vAlign w:val="center"/>
            <w:hideMark/>
          </w:tcPr>
          <w:p w14:paraId="30737B6B" w14:textId="77777777" w:rsidR="004C741A" w:rsidRPr="00474131" w:rsidRDefault="004C741A" w:rsidP="00983CA6">
            <w:pPr>
              <w:pStyle w:val="cuatexto"/>
              <w:spacing w:line="240" w:lineRule="auto"/>
              <w:jc w:val="right"/>
              <w:rPr>
                <w:szCs w:val="20"/>
              </w:rPr>
            </w:pPr>
            <w:r>
              <w:t>112</w:t>
            </w:r>
          </w:p>
        </w:tc>
        <w:tc>
          <w:tcPr>
            <w:tcW w:w="992" w:type="dxa"/>
            <w:tcBorders>
              <w:top w:val="single" w:sz="2" w:space="0" w:color="auto"/>
              <w:bottom w:val="single" w:sz="2" w:space="0" w:color="auto"/>
            </w:tcBorders>
            <w:shd w:val="clear" w:color="auto" w:fill="auto"/>
            <w:noWrap/>
            <w:vAlign w:val="center"/>
            <w:hideMark/>
          </w:tcPr>
          <w:p w14:paraId="595294DB" w14:textId="77777777" w:rsidR="004C741A" w:rsidRPr="00474131" w:rsidRDefault="004C741A" w:rsidP="00983CA6">
            <w:pPr>
              <w:pStyle w:val="cuatexto"/>
              <w:spacing w:line="240" w:lineRule="auto"/>
              <w:jc w:val="right"/>
              <w:rPr>
                <w:szCs w:val="20"/>
              </w:rPr>
            </w:pPr>
            <w:r>
              <w:t>1.522.637</w:t>
            </w:r>
          </w:p>
        </w:tc>
        <w:tc>
          <w:tcPr>
            <w:tcW w:w="993" w:type="dxa"/>
            <w:tcBorders>
              <w:top w:val="single" w:sz="2" w:space="0" w:color="auto"/>
              <w:bottom w:val="single" w:sz="2" w:space="0" w:color="auto"/>
            </w:tcBorders>
            <w:shd w:val="clear" w:color="auto" w:fill="auto"/>
            <w:noWrap/>
            <w:vAlign w:val="center"/>
            <w:hideMark/>
          </w:tcPr>
          <w:p w14:paraId="50257F5B" w14:textId="77777777" w:rsidR="004C741A" w:rsidRPr="00474131" w:rsidRDefault="004C741A" w:rsidP="00983CA6">
            <w:pPr>
              <w:pStyle w:val="cuatexto"/>
              <w:spacing w:line="240" w:lineRule="auto"/>
              <w:jc w:val="right"/>
              <w:rPr>
                <w:szCs w:val="20"/>
              </w:rPr>
            </w:pPr>
            <w:r>
              <w:t>1.956.214</w:t>
            </w:r>
          </w:p>
        </w:tc>
        <w:tc>
          <w:tcPr>
            <w:tcW w:w="637" w:type="dxa"/>
            <w:tcBorders>
              <w:top w:val="single" w:sz="2" w:space="0" w:color="auto"/>
              <w:bottom w:val="single" w:sz="2" w:space="0" w:color="auto"/>
            </w:tcBorders>
            <w:shd w:val="clear" w:color="auto" w:fill="auto"/>
            <w:noWrap/>
            <w:vAlign w:val="center"/>
            <w:hideMark/>
          </w:tcPr>
          <w:p w14:paraId="4993B22E" w14:textId="77777777" w:rsidR="004C741A" w:rsidRPr="00474131" w:rsidRDefault="004C741A" w:rsidP="00983CA6">
            <w:pPr>
              <w:pStyle w:val="cuatexto"/>
              <w:spacing w:line="240" w:lineRule="auto"/>
              <w:jc w:val="right"/>
              <w:rPr>
                <w:szCs w:val="20"/>
              </w:rPr>
            </w:pPr>
            <w:r>
              <w:t>1</w:t>
            </w:r>
          </w:p>
        </w:tc>
        <w:tc>
          <w:tcPr>
            <w:tcW w:w="851" w:type="dxa"/>
            <w:tcBorders>
              <w:top w:val="single" w:sz="2" w:space="0" w:color="auto"/>
              <w:bottom w:val="single" w:sz="2" w:space="0" w:color="auto"/>
              <w:right w:val="nil"/>
            </w:tcBorders>
            <w:shd w:val="clear" w:color="auto" w:fill="auto"/>
            <w:noWrap/>
            <w:vAlign w:val="center"/>
            <w:hideMark/>
          </w:tcPr>
          <w:p w14:paraId="42276CAC" w14:textId="77777777" w:rsidR="004C741A" w:rsidRPr="00474131" w:rsidRDefault="004C741A" w:rsidP="00983CA6">
            <w:pPr>
              <w:pStyle w:val="cuatexto"/>
              <w:spacing w:line="240" w:lineRule="auto"/>
              <w:jc w:val="right"/>
              <w:rPr>
                <w:szCs w:val="20"/>
              </w:rPr>
            </w:pPr>
            <w:r>
              <w:t>5</w:t>
            </w:r>
          </w:p>
        </w:tc>
      </w:tr>
      <w:tr w:rsidR="004C741A" w:rsidRPr="00474131" w14:paraId="2811E975" w14:textId="77777777" w:rsidTr="001C793D">
        <w:trPr>
          <w:trHeight w:val="255"/>
        </w:trPr>
        <w:tc>
          <w:tcPr>
            <w:tcW w:w="2198" w:type="dxa"/>
            <w:tcBorders>
              <w:top w:val="single" w:sz="2" w:space="0" w:color="auto"/>
              <w:left w:val="nil"/>
              <w:bottom w:val="single" w:sz="2" w:space="0" w:color="auto"/>
            </w:tcBorders>
            <w:shd w:val="clear" w:color="auto" w:fill="auto"/>
            <w:noWrap/>
            <w:vAlign w:val="center"/>
            <w:hideMark/>
          </w:tcPr>
          <w:p w14:paraId="52497C91" w14:textId="6A05B2F5" w:rsidR="004C741A" w:rsidRPr="00474131" w:rsidRDefault="004C741A" w:rsidP="00983CA6">
            <w:pPr>
              <w:pStyle w:val="cuatexto"/>
              <w:spacing w:line="240" w:lineRule="auto"/>
              <w:rPr>
                <w:szCs w:val="20"/>
              </w:rPr>
            </w:pPr>
            <w:r>
              <w:t>5.000 &lt; bizt. &lt; 10.000</w:t>
            </w:r>
          </w:p>
        </w:tc>
        <w:tc>
          <w:tcPr>
            <w:tcW w:w="850" w:type="dxa"/>
            <w:tcBorders>
              <w:top w:val="single" w:sz="2" w:space="0" w:color="auto"/>
              <w:bottom w:val="single" w:sz="2" w:space="0" w:color="auto"/>
            </w:tcBorders>
            <w:shd w:val="clear" w:color="auto" w:fill="auto"/>
            <w:noWrap/>
            <w:vAlign w:val="center"/>
            <w:hideMark/>
          </w:tcPr>
          <w:p w14:paraId="683CA981" w14:textId="77777777" w:rsidR="004C741A" w:rsidRPr="00474131" w:rsidRDefault="004C741A" w:rsidP="00983CA6">
            <w:pPr>
              <w:pStyle w:val="cuatexto"/>
              <w:spacing w:line="240" w:lineRule="auto"/>
              <w:jc w:val="right"/>
              <w:rPr>
                <w:szCs w:val="20"/>
              </w:rPr>
            </w:pPr>
            <w:r>
              <w:t>5</w:t>
            </w:r>
          </w:p>
        </w:tc>
        <w:tc>
          <w:tcPr>
            <w:tcW w:w="709" w:type="dxa"/>
            <w:tcBorders>
              <w:top w:val="single" w:sz="2" w:space="0" w:color="auto"/>
              <w:bottom w:val="single" w:sz="2" w:space="0" w:color="auto"/>
            </w:tcBorders>
            <w:shd w:val="clear" w:color="auto" w:fill="auto"/>
            <w:noWrap/>
            <w:vAlign w:val="center"/>
            <w:hideMark/>
          </w:tcPr>
          <w:p w14:paraId="7A3FAA1A" w14:textId="77777777" w:rsidR="004C741A" w:rsidRPr="00474131" w:rsidRDefault="004C741A" w:rsidP="00983CA6">
            <w:pPr>
              <w:pStyle w:val="cuatexto"/>
              <w:spacing w:line="240" w:lineRule="auto"/>
              <w:jc w:val="right"/>
              <w:rPr>
                <w:szCs w:val="20"/>
              </w:rPr>
            </w:pPr>
            <w:r>
              <w:t>3</w:t>
            </w:r>
          </w:p>
        </w:tc>
        <w:tc>
          <w:tcPr>
            <w:tcW w:w="850" w:type="dxa"/>
            <w:tcBorders>
              <w:top w:val="single" w:sz="2" w:space="0" w:color="auto"/>
              <w:bottom w:val="single" w:sz="2" w:space="0" w:color="auto"/>
            </w:tcBorders>
            <w:shd w:val="clear" w:color="auto" w:fill="auto"/>
            <w:noWrap/>
            <w:vAlign w:val="center"/>
            <w:hideMark/>
          </w:tcPr>
          <w:p w14:paraId="776DAB64" w14:textId="77777777" w:rsidR="004C741A" w:rsidRPr="00474131" w:rsidRDefault="004C741A" w:rsidP="00983CA6">
            <w:pPr>
              <w:pStyle w:val="cuatexto"/>
              <w:spacing w:line="240" w:lineRule="auto"/>
              <w:jc w:val="right"/>
              <w:rPr>
                <w:szCs w:val="20"/>
              </w:rPr>
            </w:pPr>
            <w:r>
              <w:t>36</w:t>
            </w:r>
          </w:p>
        </w:tc>
        <w:tc>
          <w:tcPr>
            <w:tcW w:w="709" w:type="dxa"/>
            <w:tcBorders>
              <w:top w:val="single" w:sz="2" w:space="0" w:color="auto"/>
              <w:bottom w:val="single" w:sz="2" w:space="0" w:color="auto"/>
            </w:tcBorders>
            <w:shd w:val="clear" w:color="auto" w:fill="auto"/>
            <w:noWrap/>
            <w:vAlign w:val="center"/>
            <w:hideMark/>
          </w:tcPr>
          <w:p w14:paraId="45551696" w14:textId="77777777" w:rsidR="004C741A" w:rsidRPr="00474131" w:rsidRDefault="004C741A" w:rsidP="00983CA6">
            <w:pPr>
              <w:pStyle w:val="cuatexto"/>
              <w:spacing w:line="240" w:lineRule="auto"/>
              <w:jc w:val="right"/>
              <w:rPr>
                <w:szCs w:val="20"/>
              </w:rPr>
            </w:pPr>
            <w:r>
              <w:t>32</w:t>
            </w:r>
          </w:p>
        </w:tc>
        <w:tc>
          <w:tcPr>
            <w:tcW w:w="992" w:type="dxa"/>
            <w:tcBorders>
              <w:top w:val="single" w:sz="2" w:space="0" w:color="auto"/>
              <w:bottom w:val="single" w:sz="2" w:space="0" w:color="auto"/>
            </w:tcBorders>
            <w:shd w:val="clear" w:color="auto" w:fill="auto"/>
            <w:noWrap/>
            <w:vAlign w:val="center"/>
            <w:hideMark/>
          </w:tcPr>
          <w:p w14:paraId="6C504AB0" w14:textId="77777777" w:rsidR="004C741A" w:rsidRPr="00474131" w:rsidRDefault="004C741A" w:rsidP="00983CA6">
            <w:pPr>
              <w:pStyle w:val="cuatexto"/>
              <w:spacing w:line="240" w:lineRule="auto"/>
              <w:jc w:val="right"/>
              <w:rPr>
                <w:szCs w:val="20"/>
              </w:rPr>
            </w:pPr>
            <w:r>
              <w:t>1.724.769</w:t>
            </w:r>
          </w:p>
        </w:tc>
        <w:tc>
          <w:tcPr>
            <w:tcW w:w="993" w:type="dxa"/>
            <w:tcBorders>
              <w:top w:val="single" w:sz="2" w:space="0" w:color="auto"/>
              <w:bottom w:val="single" w:sz="2" w:space="0" w:color="auto"/>
            </w:tcBorders>
            <w:shd w:val="clear" w:color="auto" w:fill="auto"/>
            <w:noWrap/>
            <w:vAlign w:val="center"/>
            <w:hideMark/>
          </w:tcPr>
          <w:p w14:paraId="5F4E25BE" w14:textId="77777777" w:rsidR="004C741A" w:rsidRPr="00474131" w:rsidRDefault="004C741A" w:rsidP="00983CA6">
            <w:pPr>
              <w:pStyle w:val="cuatexto"/>
              <w:spacing w:line="240" w:lineRule="auto"/>
              <w:jc w:val="right"/>
              <w:rPr>
                <w:szCs w:val="20"/>
              </w:rPr>
            </w:pPr>
            <w:r>
              <w:t>463.413</w:t>
            </w:r>
          </w:p>
        </w:tc>
        <w:tc>
          <w:tcPr>
            <w:tcW w:w="637" w:type="dxa"/>
            <w:tcBorders>
              <w:top w:val="single" w:sz="2" w:space="0" w:color="auto"/>
              <w:bottom w:val="single" w:sz="2" w:space="0" w:color="auto"/>
            </w:tcBorders>
            <w:shd w:val="clear" w:color="auto" w:fill="auto"/>
            <w:noWrap/>
            <w:vAlign w:val="center"/>
            <w:hideMark/>
          </w:tcPr>
          <w:p w14:paraId="540AC1C3" w14:textId="77777777" w:rsidR="004C741A" w:rsidRPr="00474131" w:rsidRDefault="004C741A" w:rsidP="00983CA6">
            <w:pPr>
              <w:pStyle w:val="cuatexto"/>
              <w:spacing w:line="240" w:lineRule="auto"/>
              <w:jc w:val="right"/>
              <w:rPr>
                <w:szCs w:val="20"/>
              </w:rPr>
            </w:pPr>
            <w:r>
              <w:t>3</w:t>
            </w:r>
          </w:p>
        </w:tc>
        <w:tc>
          <w:tcPr>
            <w:tcW w:w="851" w:type="dxa"/>
            <w:tcBorders>
              <w:top w:val="single" w:sz="2" w:space="0" w:color="auto"/>
              <w:bottom w:val="single" w:sz="2" w:space="0" w:color="auto"/>
              <w:right w:val="nil"/>
            </w:tcBorders>
            <w:shd w:val="clear" w:color="auto" w:fill="auto"/>
            <w:noWrap/>
            <w:vAlign w:val="center"/>
            <w:hideMark/>
          </w:tcPr>
          <w:p w14:paraId="3BB84A94" w14:textId="77777777" w:rsidR="004C741A" w:rsidRPr="00474131" w:rsidRDefault="004C741A" w:rsidP="00983CA6">
            <w:pPr>
              <w:pStyle w:val="cuatexto"/>
              <w:spacing w:line="240" w:lineRule="auto"/>
              <w:jc w:val="right"/>
              <w:rPr>
                <w:szCs w:val="20"/>
              </w:rPr>
            </w:pPr>
            <w:r>
              <w:t>6</w:t>
            </w:r>
          </w:p>
        </w:tc>
      </w:tr>
      <w:tr w:rsidR="004C741A" w:rsidRPr="00474131" w14:paraId="75850AB4" w14:textId="77777777" w:rsidTr="001C793D">
        <w:trPr>
          <w:trHeight w:val="255"/>
        </w:trPr>
        <w:tc>
          <w:tcPr>
            <w:tcW w:w="2198" w:type="dxa"/>
            <w:tcBorders>
              <w:top w:val="single" w:sz="2" w:space="0" w:color="auto"/>
              <w:left w:val="nil"/>
              <w:bottom w:val="single" w:sz="2" w:space="0" w:color="auto"/>
            </w:tcBorders>
            <w:shd w:val="clear" w:color="auto" w:fill="auto"/>
            <w:noWrap/>
            <w:vAlign w:val="center"/>
            <w:hideMark/>
          </w:tcPr>
          <w:p w14:paraId="5235F13D" w14:textId="18EFBC74" w:rsidR="004C741A" w:rsidRPr="00474131" w:rsidRDefault="004C741A" w:rsidP="00983CA6">
            <w:pPr>
              <w:pStyle w:val="cuatexto"/>
              <w:spacing w:line="240" w:lineRule="auto"/>
              <w:rPr>
                <w:szCs w:val="20"/>
              </w:rPr>
            </w:pPr>
            <w:r>
              <w:t>10.000 &lt; bizt. &lt; 20.000</w:t>
            </w:r>
          </w:p>
        </w:tc>
        <w:tc>
          <w:tcPr>
            <w:tcW w:w="850" w:type="dxa"/>
            <w:tcBorders>
              <w:top w:val="single" w:sz="2" w:space="0" w:color="auto"/>
              <w:bottom w:val="single" w:sz="2" w:space="0" w:color="auto"/>
            </w:tcBorders>
            <w:shd w:val="clear" w:color="auto" w:fill="auto"/>
            <w:noWrap/>
            <w:vAlign w:val="center"/>
            <w:hideMark/>
          </w:tcPr>
          <w:p w14:paraId="7A7492CA" w14:textId="77777777" w:rsidR="004C741A" w:rsidRPr="00474131" w:rsidRDefault="004C741A" w:rsidP="00983CA6">
            <w:pPr>
              <w:pStyle w:val="cuatexto"/>
              <w:spacing w:line="240" w:lineRule="auto"/>
              <w:jc w:val="right"/>
              <w:rPr>
                <w:szCs w:val="20"/>
              </w:rPr>
            </w:pPr>
            <w:r>
              <w:t>2</w:t>
            </w:r>
          </w:p>
        </w:tc>
        <w:tc>
          <w:tcPr>
            <w:tcW w:w="709" w:type="dxa"/>
            <w:tcBorders>
              <w:top w:val="single" w:sz="2" w:space="0" w:color="auto"/>
              <w:bottom w:val="single" w:sz="2" w:space="0" w:color="auto"/>
            </w:tcBorders>
            <w:shd w:val="clear" w:color="auto" w:fill="auto"/>
            <w:noWrap/>
            <w:vAlign w:val="center"/>
            <w:hideMark/>
          </w:tcPr>
          <w:p w14:paraId="65304338" w14:textId="77777777" w:rsidR="004C741A" w:rsidRPr="00474131" w:rsidRDefault="004C741A" w:rsidP="00983CA6">
            <w:pPr>
              <w:pStyle w:val="cuatexto"/>
              <w:spacing w:line="240" w:lineRule="auto"/>
              <w:jc w:val="right"/>
              <w:rPr>
                <w:szCs w:val="20"/>
              </w:rPr>
            </w:pPr>
            <w:r>
              <w:t>2</w:t>
            </w:r>
          </w:p>
        </w:tc>
        <w:tc>
          <w:tcPr>
            <w:tcW w:w="850" w:type="dxa"/>
            <w:tcBorders>
              <w:top w:val="single" w:sz="2" w:space="0" w:color="auto"/>
              <w:bottom w:val="single" w:sz="2" w:space="0" w:color="auto"/>
            </w:tcBorders>
            <w:shd w:val="clear" w:color="auto" w:fill="auto"/>
            <w:noWrap/>
            <w:vAlign w:val="center"/>
            <w:hideMark/>
          </w:tcPr>
          <w:p w14:paraId="078FB4A8" w14:textId="77777777" w:rsidR="004C741A" w:rsidRPr="00474131" w:rsidRDefault="004C741A" w:rsidP="00983CA6">
            <w:pPr>
              <w:pStyle w:val="cuatexto"/>
              <w:spacing w:line="240" w:lineRule="auto"/>
              <w:jc w:val="right"/>
              <w:rPr>
                <w:szCs w:val="20"/>
              </w:rPr>
            </w:pPr>
            <w:r>
              <w:t>14</w:t>
            </w:r>
          </w:p>
        </w:tc>
        <w:tc>
          <w:tcPr>
            <w:tcW w:w="709" w:type="dxa"/>
            <w:tcBorders>
              <w:top w:val="single" w:sz="2" w:space="0" w:color="auto"/>
              <w:bottom w:val="single" w:sz="2" w:space="0" w:color="auto"/>
            </w:tcBorders>
            <w:shd w:val="clear" w:color="auto" w:fill="auto"/>
            <w:noWrap/>
            <w:vAlign w:val="center"/>
            <w:hideMark/>
          </w:tcPr>
          <w:p w14:paraId="2F12476E" w14:textId="77777777" w:rsidR="004C741A" w:rsidRPr="00474131" w:rsidRDefault="004C741A" w:rsidP="00983CA6">
            <w:pPr>
              <w:pStyle w:val="cuatexto"/>
              <w:spacing w:line="240" w:lineRule="auto"/>
              <w:jc w:val="right"/>
              <w:rPr>
                <w:szCs w:val="20"/>
              </w:rPr>
            </w:pPr>
            <w:r>
              <w:t>6</w:t>
            </w:r>
          </w:p>
        </w:tc>
        <w:tc>
          <w:tcPr>
            <w:tcW w:w="992" w:type="dxa"/>
            <w:tcBorders>
              <w:top w:val="single" w:sz="2" w:space="0" w:color="auto"/>
              <w:bottom w:val="single" w:sz="2" w:space="0" w:color="auto"/>
            </w:tcBorders>
            <w:shd w:val="clear" w:color="auto" w:fill="auto"/>
            <w:noWrap/>
            <w:vAlign w:val="center"/>
            <w:hideMark/>
          </w:tcPr>
          <w:p w14:paraId="6B4B1BDA" w14:textId="77777777" w:rsidR="004C741A" w:rsidRPr="00474131" w:rsidRDefault="004C741A" w:rsidP="00983CA6">
            <w:pPr>
              <w:pStyle w:val="cuatexto"/>
              <w:spacing w:line="240" w:lineRule="auto"/>
              <w:jc w:val="right"/>
              <w:rPr>
                <w:szCs w:val="20"/>
              </w:rPr>
            </w:pPr>
            <w:r>
              <w:t>901.423</w:t>
            </w:r>
          </w:p>
        </w:tc>
        <w:tc>
          <w:tcPr>
            <w:tcW w:w="993" w:type="dxa"/>
            <w:tcBorders>
              <w:top w:val="single" w:sz="2" w:space="0" w:color="auto"/>
              <w:bottom w:val="single" w:sz="2" w:space="0" w:color="auto"/>
            </w:tcBorders>
            <w:shd w:val="clear" w:color="auto" w:fill="auto"/>
            <w:noWrap/>
            <w:vAlign w:val="center"/>
            <w:hideMark/>
          </w:tcPr>
          <w:p w14:paraId="3B7872AE" w14:textId="77777777" w:rsidR="004C741A" w:rsidRPr="00474131" w:rsidRDefault="004C741A" w:rsidP="00983CA6">
            <w:pPr>
              <w:pStyle w:val="cuatexto"/>
              <w:spacing w:line="240" w:lineRule="auto"/>
              <w:jc w:val="right"/>
              <w:rPr>
                <w:szCs w:val="20"/>
              </w:rPr>
            </w:pPr>
            <w:r>
              <w:t>1.455.652</w:t>
            </w:r>
          </w:p>
        </w:tc>
        <w:tc>
          <w:tcPr>
            <w:tcW w:w="637" w:type="dxa"/>
            <w:tcBorders>
              <w:top w:val="single" w:sz="2" w:space="0" w:color="auto"/>
              <w:bottom w:val="single" w:sz="2" w:space="0" w:color="auto"/>
            </w:tcBorders>
            <w:shd w:val="clear" w:color="auto" w:fill="auto"/>
            <w:noWrap/>
            <w:vAlign w:val="center"/>
            <w:hideMark/>
          </w:tcPr>
          <w:p w14:paraId="16D45A0D" w14:textId="77777777" w:rsidR="004C741A" w:rsidRPr="00474131" w:rsidRDefault="004C741A" w:rsidP="00983CA6">
            <w:pPr>
              <w:pStyle w:val="cuatexto"/>
              <w:spacing w:line="240" w:lineRule="auto"/>
              <w:jc w:val="right"/>
              <w:rPr>
                <w:szCs w:val="20"/>
              </w:rPr>
            </w:pPr>
            <w:r>
              <w:t>0</w:t>
            </w:r>
          </w:p>
        </w:tc>
        <w:tc>
          <w:tcPr>
            <w:tcW w:w="851" w:type="dxa"/>
            <w:tcBorders>
              <w:top w:val="single" w:sz="2" w:space="0" w:color="auto"/>
              <w:bottom w:val="single" w:sz="2" w:space="0" w:color="auto"/>
              <w:right w:val="nil"/>
            </w:tcBorders>
            <w:shd w:val="clear" w:color="auto" w:fill="auto"/>
            <w:noWrap/>
            <w:vAlign w:val="center"/>
            <w:hideMark/>
          </w:tcPr>
          <w:p w14:paraId="6B8F5A38" w14:textId="77777777" w:rsidR="004C741A" w:rsidRPr="00474131" w:rsidRDefault="004C741A" w:rsidP="00983CA6">
            <w:pPr>
              <w:pStyle w:val="cuatexto"/>
              <w:spacing w:line="240" w:lineRule="auto"/>
              <w:jc w:val="right"/>
              <w:rPr>
                <w:szCs w:val="20"/>
              </w:rPr>
            </w:pPr>
            <w:r>
              <w:t>0</w:t>
            </w:r>
          </w:p>
        </w:tc>
      </w:tr>
      <w:tr w:rsidR="004C741A" w:rsidRPr="00474131" w14:paraId="6648318F" w14:textId="77777777" w:rsidTr="001C793D">
        <w:trPr>
          <w:trHeight w:val="255"/>
        </w:trPr>
        <w:tc>
          <w:tcPr>
            <w:tcW w:w="2198" w:type="dxa"/>
            <w:tcBorders>
              <w:top w:val="single" w:sz="2" w:space="0" w:color="auto"/>
              <w:left w:val="nil"/>
              <w:bottom w:val="single" w:sz="2" w:space="0" w:color="auto"/>
            </w:tcBorders>
            <w:shd w:val="clear" w:color="auto" w:fill="auto"/>
            <w:noWrap/>
            <w:vAlign w:val="center"/>
            <w:hideMark/>
          </w:tcPr>
          <w:p w14:paraId="0BF89F0B" w14:textId="43BDAA7B" w:rsidR="004C741A" w:rsidRPr="00474131" w:rsidRDefault="004C741A" w:rsidP="00983CA6">
            <w:pPr>
              <w:pStyle w:val="cuatexto"/>
              <w:spacing w:line="240" w:lineRule="auto"/>
              <w:rPr>
                <w:szCs w:val="20"/>
              </w:rPr>
            </w:pPr>
            <w:r>
              <w:t>&gt; 20.000 biztanle</w:t>
            </w:r>
          </w:p>
        </w:tc>
        <w:tc>
          <w:tcPr>
            <w:tcW w:w="850" w:type="dxa"/>
            <w:tcBorders>
              <w:top w:val="single" w:sz="2" w:space="0" w:color="auto"/>
              <w:bottom w:val="single" w:sz="2" w:space="0" w:color="auto"/>
            </w:tcBorders>
            <w:shd w:val="clear" w:color="auto" w:fill="auto"/>
            <w:noWrap/>
            <w:vAlign w:val="center"/>
            <w:hideMark/>
          </w:tcPr>
          <w:p w14:paraId="5BFA2204" w14:textId="77777777" w:rsidR="004C741A" w:rsidRPr="00474131" w:rsidRDefault="004C741A" w:rsidP="00983CA6">
            <w:pPr>
              <w:pStyle w:val="cuatexto"/>
              <w:spacing w:line="240" w:lineRule="auto"/>
              <w:jc w:val="right"/>
              <w:rPr>
                <w:szCs w:val="20"/>
              </w:rPr>
            </w:pPr>
            <w:r>
              <w:t>3</w:t>
            </w:r>
          </w:p>
        </w:tc>
        <w:tc>
          <w:tcPr>
            <w:tcW w:w="709" w:type="dxa"/>
            <w:tcBorders>
              <w:top w:val="single" w:sz="2" w:space="0" w:color="auto"/>
              <w:bottom w:val="single" w:sz="2" w:space="0" w:color="auto"/>
            </w:tcBorders>
            <w:shd w:val="clear" w:color="auto" w:fill="auto"/>
            <w:noWrap/>
            <w:vAlign w:val="center"/>
            <w:hideMark/>
          </w:tcPr>
          <w:p w14:paraId="25F7D610" w14:textId="77777777" w:rsidR="004C741A" w:rsidRPr="00474131" w:rsidRDefault="004C741A" w:rsidP="00983CA6">
            <w:pPr>
              <w:pStyle w:val="cuatexto"/>
              <w:spacing w:line="240" w:lineRule="auto"/>
              <w:jc w:val="right"/>
              <w:rPr>
                <w:szCs w:val="20"/>
              </w:rPr>
            </w:pPr>
            <w:r>
              <w:t>3</w:t>
            </w:r>
          </w:p>
        </w:tc>
        <w:tc>
          <w:tcPr>
            <w:tcW w:w="850" w:type="dxa"/>
            <w:tcBorders>
              <w:top w:val="single" w:sz="2" w:space="0" w:color="auto"/>
              <w:bottom w:val="single" w:sz="2" w:space="0" w:color="auto"/>
            </w:tcBorders>
            <w:shd w:val="clear" w:color="auto" w:fill="auto"/>
            <w:noWrap/>
            <w:vAlign w:val="center"/>
            <w:hideMark/>
          </w:tcPr>
          <w:p w14:paraId="2FDBD8CA" w14:textId="77777777" w:rsidR="004C741A" w:rsidRPr="00474131" w:rsidRDefault="004C741A" w:rsidP="00983CA6">
            <w:pPr>
              <w:pStyle w:val="cuatexto"/>
              <w:spacing w:line="240" w:lineRule="auto"/>
              <w:jc w:val="right"/>
              <w:rPr>
                <w:szCs w:val="20"/>
              </w:rPr>
            </w:pPr>
            <w:r>
              <w:t>27</w:t>
            </w:r>
          </w:p>
        </w:tc>
        <w:tc>
          <w:tcPr>
            <w:tcW w:w="709" w:type="dxa"/>
            <w:tcBorders>
              <w:top w:val="single" w:sz="2" w:space="0" w:color="auto"/>
              <w:bottom w:val="single" w:sz="2" w:space="0" w:color="auto"/>
            </w:tcBorders>
            <w:shd w:val="clear" w:color="auto" w:fill="auto"/>
            <w:noWrap/>
            <w:vAlign w:val="center"/>
            <w:hideMark/>
          </w:tcPr>
          <w:p w14:paraId="201880F8" w14:textId="77777777" w:rsidR="004C741A" w:rsidRPr="00474131" w:rsidRDefault="004C741A" w:rsidP="00983CA6">
            <w:pPr>
              <w:pStyle w:val="cuatexto"/>
              <w:spacing w:line="240" w:lineRule="auto"/>
              <w:jc w:val="right"/>
              <w:rPr>
                <w:szCs w:val="20"/>
              </w:rPr>
            </w:pPr>
            <w:r>
              <w:t>21</w:t>
            </w:r>
          </w:p>
        </w:tc>
        <w:tc>
          <w:tcPr>
            <w:tcW w:w="992" w:type="dxa"/>
            <w:tcBorders>
              <w:top w:val="single" w:sz="2" w:space="0" w:color="auto"/>
              <w:bottom w:val="single" w:sz="2" w:space="0" w:color="auto"/>
            </w:tcBorders>
            <w:shd w:val="clear" w:color="auto" w:fill="auto"/>
            <w:noWrap/>
            <w:vAlign w:val="center"/>
            <w:hideMark/>
          </w:tcPr>
          <w:p w14:paraId="67187DC9" w14:textId="77777777" w:rsidR="004C741A" w:rsidRPr="00474131" w:rsidRDefault="004C741A" w:rsidP="00983CA6">
            <w:pPr>
              <w:pStyle w:val="cuatexto"/>
              <w:spacing w:line="240" w:lineRule="auto"/>
              <w:jc w:val="right"/>
              <w:rPr>
                <w:szCs w:val="20"/>
              </w:rPr>
            </w:pPr>
            <w:r>
              <w:t>523.881</w:t>
            </w:r>
          </w:p>
        </w:tc>
        <w:tc>
          <w:tcPr>
            <w:tcW w:w="993" w:type="dxa"/>
            <w:tcBorders>
              <w:top w:val="single" w:sz="2" w:space="0" w:color="auto"/>
              <w:bottom w:val="single" w:sz="2" w:space="0" w:color="auto"/>
            </w:tcBorders>
            <w:shd w:val="clear" w:color="auto" w:fill="auto"/>
            <w:noWrap/>
            <w:vAlign w:val="center"/>
            <w:hideMark/>
          </w:tcPr>
          <w:p w14:paraId="319E841A" w14:textId="64995ECC" w:rsidR="004C741A" w:rsidRPr="00474131" w:rsidRDefault="001A3BA2" w:rsidP="00983CA6">
            <w:pPr>
              <w:pStyle w:val="cuatexto"/>
              <w:spacing w:line="240" w:lineRule="auto"/>
              <w:jc w:val="right"/>
              <w:rPr>
                <w:szCs w:val="20"/>
              </w:rPr>
            </w:pPr>
            <w:r>
              <w:t>695.994</w:t>
            </w:r>
          </w:p>
        </w:tc>
        <w:tc>
          <w:tcPr>
            <w:tcW w:w="637" w:type="dxa"/>
            <w:tcBorders>
              <w:top w:val="single" w:sz="2" w:space="0" w:color="auto"/>
              <w:bottom w:val="single" w:sz="2" w:space="0" w:color="auto"/>
            </w:tcBorders>
            <w:shd w:val="clear" w:color="auto" w:fill="auto"/>
            <w:noWrap/>
            <w:vAlign w:val="center"/>
            <w:hideMark/>
          </w:tcPr>
          <w:p w14:paraId="293EAB7E" w14:textId="77777777" w:rsidR="004C741A" w:rsidRPr="00474131" w:rsidRDefault="004C741A" w:rsidP="00983CA6">
            <w:pPr>
              <w:pStyle w:val="cuatexto"/>
              <w:spacing w:line="240" w:lineRule="auto"/>
              <w:jc w:val="right"/>
              <w:rPr>
                <w:szCs w:val="20"/>
              </w:rPr>
            </w:pPr>
            <w:r>
              <w:t>2</w:t>
            </w:r>
          </w:p>
        </w:tc>
        <w:tc>
          <w:tcPr>
            <w:tcW w:w="851" w:type="dxa"/>
            <w:tcBorders>
              <w:top w:val="single" w:sz="2" w:space="0" w:color="auto"/>
              <w:bottom w:val="single" w:sz="2" w:space="0" w:color="auto"/>
              <w:right w:val="nil"/>
            </w:tcBorders>
            <w:shd w:val="clear" w:color="auto" w:fill="auto"/>
            <w:noWrap/>
            <w:vAlign w:val="center"/>
            <w:hideMark/>
          </w:tcPr>
          <w:p w14:paraId="6445D6A4" w14:textId="77777777" w:rsidR="004C741A" w:rsidRPr="00474131" w:rsidRDefault="004C741A" w:rsidP="00983CA6">
            <w:pPr>
              <w:pStyle w:val="cuatexto"/>
              <w:spacing w:line="240" w:lineRule="auto"/>
              <w:jc w:val="right"/>
              <w:rPr>
                <w:szCs w:val="20"/>
              </w:rPr>
            </w:pPr>
            <w:r>
              <w:t>2</w:t>
            </w:r>
          </w:p>
        </w:tc>
      </w:tr>
      <w:tr w:rsidR="00FB2CFA" w:rsidRPr="00474131" w14:paraId="76219163" w14:textId="77777777" w:rsidTr="001C793D">
        <w:trPr>
          <w:trHeight w:val="255"/>
        </w:trPr>
        <w:tc>
          <w:tcPr>
            <w:tcW w:w="2198" w:type="dxa"/>
            <w:tcBorders>
              <w:top w:val="single" w:sz="2" w:space="0" w:color="auto"/>
              <w:left w:val="nil"/>
              <w:bottom w:val="single" w:sz="4" w:space="0" w:color="auto"/>
            </w:tcBorders>
            <w:shd w:val="clear" w:color="auto" w:fill="auto"/>
            <w:noWrap/>
            <w:vAlign w:val="center"/>
            <w:hideMark/>
          </w:tcPr>
          <w:p w14:paraId="7AA22EEF" w14:textId="77777777" w:rsidR="00FB2CFA" w:rsidRPr="00474131" w:rsidRDefault="00FB2CFA" w:rsidP="00983CA6">
            <w:pPr>
              <w:pStyle w:val="cuatexto"/>
              <w:spacing w:line="240" w:lineRule="auto"/>
              <w:jc w:val="left"/>
              <w:rPr>
                <w:b/>
                <w:i/>
                <w:szCs w:val="20"/>
              </w:rPr>
            </w:pPr>
            <w:r>
              <w:rPr>
                <w:b/>
                <w:i/>
              </w:rPr>
              <w:t>Mankomunitateak eta batasunak</w:t>
            </w:r>
          </w:p>
        </w:tc>
        <w:tc>
          <w:tcPr>
            <w:tcW w:w="850" w:type="dxa"/>
            <w:tcBorders>
              <w:top w:val="single" w:sz="2" w:space="0" w:color="auto"/>
              <w:bottom w:val="single" w:sz="4" w:space="0" w:color="auto"/>
            </w:tcBorders>
            <w:shd w:val="clear" w:color="auto" w:fill="auto"/>
            <w:noWrap/>
            <w:vAlign w:val="center"/>
            <w:hideMark/>
          </w:tcPr>
          <w:p w14:paraId="3AEF8DEC" w14:textId="77777777" w:rsidR="00FB2CFA" w:rsidRPr="00474131" w:rsidRDefault="00FB2CFA" w:rsidP="00983CA6">
            <w:pPr>
              <w:pStyle w:val="cuatexto"/>
              <w:spacing w:line="240" w:lineRule="auto"/>
              <w:jc w:val="right"/>
              <w:rPr>
                <w:b/>
                <w:i/>
                <w:szCs w:val="20"/>
              </w:rPr>
            </w:pPr>
            <w:r>
              <w:rPr>
                <w:b/>
                <w:i/>
              </w:rPr>
              <w:t>1</w:t>
            </w:r>
          </w:p>
        </w:tc>
        <w:tc>
          <w:tcPr>
            <w:tcW w:w="709" w:type="dxa"/>
            <w:tcBorders>
              <w:top w:val="single" w:sz="2" w:space="0" w:color="auto"/>
              <w:bottom w:val="single" w:sz="4" w:space="0" w:color="auto"/>
            </w:tcBorders>
            <w:shd w:val="clear" w:color="auto" w:fill="auto"/>
            <w:noWrap/>
            <w:vAlign w:val="center"/>
            <w:hideMark/>
          </w:tcPr>
          <w:p w14:paraId="13245D65" w14:textId="77777777" w:rsidR="00FB2CFA" w:rsidRPr="00474131" w:rsidRDefault="00FB2CFA" w:rsidP="00983CA6">
            <w:pPr>
              <w:pStyle w:val="cuatexto"/>
              <w:spacing w:line="240" w:lineRule="auto"/>
              <w:jc w:val="right"/>
              <w:rPr>
                <w:b/>
                <w:i/>
                <w:szCs w:val="20"/>
              </w:rPr>
            </w:pPr>
            <w:r>
              <w:rPr>
                <w:b/>
                <w:i/>
              </w:rPr>
              <w:t>3</w:t>
            </w:r>
          </w:p>
        </w:tc>
        <w:tc>
          <w:tcPr>
            <w:tcW w:w="850" w:type="dxa"/>
            <w:tcBorders>
              <w:top w:val="single" w:sz="2" w:space="0" w:color="auto"/>
              <w:bottom w:val="single" w:sz="4" w:space="0" w:color="auto"/>
            </w:tcBorders>
            <w:shd w:val="clear" w:color="auto" w:fill="auto"/>
            <w:noWrap/>
            <w:vAlign w:val="center"/>
            <w:hideMark/>
          </w:tcPr>
          <w:p w14:paraId="751FAA2E" w14:textId="77777777" w:rsidR="00FB2CFA" w:rsidRPr="00474131" w:rsidRDefault="00FB2CFA" w:rsidP="00983CA6">
            <w:pPr>
              <w:pStyle w:val="cuatexto"/>
              <w:spacing w:line="240" w:lineRule="auto"/>
              <w:jc w:val="right"/>
              <w:rPr>
                <w:b/>
                <w:i/>
                <w:szCs w:val="20"/>
              </w:rPr>
            </w:pPr>
            <w:r>
              <w:rPr>
                <w:b/>
                <w:i/>
              </w:rPr>
              <w:t>3</w:t>
            </w:r>
          </w:p>
        </w:tc>
        <w:tc>
          <w:tcPr>
            <w:tcW w:w="709" w:type="dxa"/>
            <w:tcBorders>
              <w:top w:val="single" w:sz="2" w:space="0" w:color="auto"/>
              <w:bottom w:val="single" w:sz="4" w:space="0" w:color="auto"/>
            </w:tcBorders>
            <w:shd w:val="clear" w:color="auto" w:fill="auto"/>
            <w:noWrap/>
            <w:vAlign w:val="center"/>
            <w:hideMark/>
          </w:tcPr>
          <w:p w14:paraId="5AD09348" w14:textId="77777777" w:rsidR="00FB2CFA" w:rsidRPr="00474131" w:rsidRDefault="00FB2CFA" w:rsidP="00983CA6">
            <w:pPr>
              <w:pStyle w:val="cuatexto"/>
              <w:spacing w:line="240" w:lineRule="auto"/>
              <w:jc w:val="right"/>
              <w:rPr>
                <w:b/>
                <w:i/>
                <w:szCs w:val="20"/>
              </w:rPr>
            </w:pPr>
            <w:r>
              <w:rPr>
                <w:b/>
                <w:i/>
              </w:rPr>
              <w:t>4</w:t>
            </w:r>
          </w:p>
        </w:tc>
        <w:tc>
          <w:tcPr>
            <w:tcW w:w="992" w:type="dxa"/>
            <w:tcBorders>
              <w:top w:val="single" w:sz="2" w:space="0" w:color="auto"/>
              <w:bottom w:val="single" w:sz="4" w:space="0" w:color="auto"/>
            </w:tcBorders>
            <w:shd w:val="clear" w:color="auto" w:fill="auto"/>
            <w:noWrap/>
            <w:vAlign w:val="center"/>
            <w:hideMark/>
          </w:tcPr>
          <w:p w14:paraId="0EAF12A4" w14:textId="77777777" w:rsidR="00FB2CFA" w:rsidRPr="00474131" w:rsidRDefault="00FB2CFA" w:rsidP="00983CA6">
            <w:pPr>
              <w:pStyle w:val="cuatexto"/>
              <w:spacing w:line="240" w:lineRule="auto"/>
              <w:jc w:val="right"/>
              <w:rPr>
                <w:b/>
                <w:i/>
                <w:szCs w:val="20"/>
              </w:rPr>
            </w:pPr>
            <w:r>
              <w:rPr>
                <w:b/>
                <w:i/>
              </w:rPr>
              <w:t>64.827</w:t>
            </w:r>
          </w:p>
        </w:tc>
        <w:tc>
          <w:tcPr>
            <w:tcW w:w="993" w:type="dxa"/>
            <w:tcBorders>
              <w:top w:val="single" w:sz="2" w:space="0" w:color="auto"/>
              <w:bottom w:val="single" w:sz="4" w:space="0" w:color="auto"/>
            </w:tcBorders>
            <w:shd w:val="clear" w:color="auto" w:fill="auto"/>
            <w:noWrap/>
            <w:vAlign w:val="center"/>
            <w:hideMark/>
          </w:tcPr>
          <w:p w14:paraId="6D6ADD1D" w14:textId="77777777" w:rsidR="00FB2CFA" w:rsidRPr="00474131" w:rsidRDefault="00FB2CFA" w:rsidP="00983CA6">
            <w:pPr>
              <w:pStyle w:val="cuatexto"/>
              <w:spacing w:line="240" w:lineRule="auto"/>
              <w:jc w:val="right"/>
              <w:rPr>
                <w:b/>
                <w:i/>
                <w:szCs w:val="20"/>
              </w:rPr>
            </w:pPr>
            <w:r>
              <w:rPr>
                <w:b/>
                <w:i/>
              </w:rPr>
              <w:t>278.580</w:t>
            </w:r>
          </w:p>
        </w:tc>
        <w:tc>
          <w:tcPr>
            <w:tcW w:w="637" w:type="dxa"/>
            <w:tcBorders>
              <w:top w:val="single" w:sz="2" w:space="0" w:color="auto"/>
              <w:bottom w:val="single" w:sz="4" w:space="0" w:color="auto"/>
            </w:tcBorders>
            <w:shd w:val="clear" w:color="auto" w:fill="auto"/>
            <w:noWrap/>
            <w:vAlign w:val="center"/>
            <w:hideMark/>
          </w:tcPr>
          <w:p w14:paraId="37B1A2F0" w14:textId="77777777" w:rsidR="00FB2CFA" w:rsidRPr="00474131" w:rsidRDefault="00FB2CFA" w:rsidP="00983CA6">
            <w:pPr>
              <w:pStyle w:val="cuatexto"/>
              <w:spacing w:line="240" w:lineRule="auto"/>
              <w:jc w:val="right"/>
              <w:rPr>
                <w:b/>
                <w:i/>
                <w:szCs w:val="20"/>
              </w:rPr>
            </w:pPr>
            <w:r>
              <w:rPr>
                <w:b/>
                <w:i/>
              </w:rPr>
              <w:t>0</w:t>
            </w:r>
          </w:p>
        </w:tc>
        <w:tc>
          <w:tcPr>
            <w:tcW w:w="851" w:type="dxa"/>
            <w:tcBorders>
              <w:top w:val="single" w:sz="2" w:space="0" w:color="auto"/>
              <w:bottom w:val="single" w:sz="4" w:space="0" w:color="auto"/>
              <w:right w:val="nil"/>
            </w:tcBorders>
            <w:shd w:val="clear" w:color="auto" w:fill="auto"/>
            <w:noWrap/>
            <w:vAlign w:val="center"/>
            <w:hideMark/>
          </w:tcPr>
          <w:p w14:paraId="34C49F57" w14:textId="77777777" w:rsidR="00FB2CFA" w:rsidRPr="00474131" w:rsidRDefault="00FB2CFA" w:rsidP="00983CA6">
            <w:pPr>
              <w:pStyle w:val="cuatexto"/>
              <w:spacing w:line="240" w:lineRule="auto"/>
              <w:jc w:val="right"/>
              <w:rPr>
                <w:b/>
                <w:i/>
                <w:szCs w:val="20"/>
              </w:rPr>
            </w:pPr>
            <w:r>
              <w:rPr>
                <w:b/>
                <w:i/>
              </w:rPr>
              <w:t>2</w:t>
            </w:r>
          </w:p>
        </w:tc>
      </w:tr>
      <w:tr w:rsidR="00FB2CFA" w:rsidRPr="00983CA6" w14:paraId="3A26A7AB" w14:textId="77777777" w:rsidTr="001C793D">
        <w:trPr>
          <w:trHeight w:val="255"/>
        </w:trPr>
        <w:tc>
          <w:tcPr>
            <w:tcW w:w="2198" w:type="dxa"/>
            <w:tcBorders>
              <w:top w:val="single" w:sz="4" w:space="0" w:color="auto"/>
              <w:left w:val="nil"/>
              <w:bottom w:val="single" w:sz="4" w:space="0" w:color="auto"/>
            </w:tcBorders>
            <w:shd w:val="clear" w:color="auto" w:fill="FABF8F" w:themeFill="accent6" w:themeFillTint="99"/>
            <w:noWrap/>
            <w:vAlign w:val="center"/>
            <w:hideMark/>
          </w:tcPr>
          <w:p w14:paraId="00D3796E" w14:textId="77777777" w:rsidR="00FB2CFA" w:rsidRPr="00983CA6" w:rsidRDefault="00FB2CFA" w:rsidP="00983CA6">
            <w:pPr>
              <w:pStyle w:val="cuadroCabe"/>
              <w:spacing w:line="240" w:lineRule="auto"/>
              <w:rPr>
                <w:sz w:val="16"/>
                <w:szCs w:val="16"/>
              </w:rPr>
            </w:pPr>
            <w:r>
              <w:rPr>
                <w:sz w:val="16"/>
              </w:rPr>
              <w:t>Guztira</w:t>
            </w:r>
          </w:p>
        </w:tc>
        <w:tc>
          <w:tcPr>
            <w:tcW w:w="850" w:type="dxa"/>
            <w:tcBorders>
              <w:top w:val="single" w:sz="4" w:space="0" w:color="auto"/>
              <w:bottom w:val="single" w:sz="4" w:space="0" w:color="auto"/>
            </w:tcBorders>
            <w:shd w:val="clear" w:color="auto" w:fill="FABF8F" w:themeFill="accent6" w:themeFillTint="99"/>
            <w:noWrap/>
            <w:vAlign w:val="center"/>
            <w:hideMark/>
          </w:tcPr>
          <w:p w14:paraId="4BE62B2E" w14:textId="77777777" w:rsidR="00FB2CFA" w:rsidRPr="00983CA6" w:rsidRDefault="00FB2CFA" w:rsidP="00983CA6">
            <w:pPr>
              <w:pStyle w:val="cuadroCabe"/>
              <w:spacing w:line="240" w:lineRule="auto"/>
              <w:jc w:val="right"/>
              <w:rPr>
                <w:sz w:val="16"/>
                <w:szCs w:val="16"/>
              </w:rPr>
            </w:pPr>
            <w:r>
              <w:rPr>
                <w:sz w:val="16"/>
              </w:rPr>
              <w:t>27</w:t>
            </w:r>
          </w:p>
        </w:tc>
        <w:tc>
          <w:tcPr>
            <w:tcW w:w="709" w:type="dxa"/>
            <w:tcBorders>
              <w:top w:val="single" w:sz="4" w:space="0" w:color="auto"/>
              <w:bottom w:val="single" w:sz="4" w:space="0" w:color="auto"/>
            </w:tcBorders>
            <w:shd w:val="clear" w:color="auto" w:fill="FABF8F" w:themeFill="accent6" w:themeFillTint="99"/>
            <w:noWrap/>
            <w:vAlign w:val="center"/>
            <w:hideMark/>
          </w:tcPr>
          <w:p w14:paraId="581362B8" w14:textId="77777777" w:rsidR="00FB2CFA" w:rsidRPr="00983CA6" w:rsidRDefault="00FB2CFA" w:rsidP="00983CA6">
            <w:pPr>
              <w:pStyle w:val="cuadroCabe"/>
              <w:spacing w:line="240" w:lineRule="auto"/>
              <w:jc w:val="right"/>
              <w:rPr>
                <w:sz w:val="16"/>
                <w:szCs w:val="16"/>
              </w:rPr>
            </w:pPr>
            <w:r>
              <w:rPr>
                <w:sz w:val="16"/>
              </w:rPr>
              <w:t>28</w:t>
            </w:r>
          </w:p>
        </w:tc>
        <w:tc>
          <w:tcPr>
            <w:tcW w:w="850" w:type="dxa"/>
            <w:tcBorders>
              <w:top w:val="single" w:sz="4" w:space="0" w:color="auto"/>
              <w:bottom w:val="single" w:sz="4" w:space="0" w:color="auto"/>
            </w:tcBorders>
            <w:shd w:val="clear" w:color="auto" w:fill="FABF8F" w:themeFill="accent6" w:themeFillTint="99"/>
            <w:noWrap/>
            <w:vAlign w:val="center"/>
            <w:hideMark/>
          </w:tcPr>
          <w:p w14:paraId="7ABF1E6F" w14:textId="77777777" w:rsidR="00FB2CFA" w:rsidRPr="00983CA6" w:rsidRDefault="00FB2CFA" w:rsidP="00983CA6">
            <w:pPr>
              <w:pStyle w:val="cuadroCabe"/>
              <w:spacing w:line="240" w:lineRule="auto"/>
              <w:jc w:val="right"/>
              <w:rPr>
                <w:sz w:val="16"/>
                <w:szCs w:val="16"/>
              </w:rPr>
            </w:pPr>
            <w:r>
              <w:rPr>
                <w:sz w:val="16"/>
              </w:rPr>
              <w:t>168</w:t>
            </w:r>
          </w:p>
        </w:tc>
        <w:tc>
          <w:tcPr>
            <w:tcW w:w="709" w:type="dxa"/>
            <w:tcBorders>
              <w:top w:val="single" w:sz="4" w:space="0" w:color="auto"/>
              <w:bottom w:val="single" w:sz="4" w:space="0" w:color="auto"/>
            </w:tcBorders>
            <w:shd w:val="clear" w:color="auto" w:fill="FABF8F" w:themeFill="accent6" w:themeFillTint="99"/>
            <w:noWrap/>
            <w:vAlign w:val="center"/>
            <w:hideMark/>
          </w:tcPr>
          <w:p w14:paraId="10FF7041" w14:textId="77777777" w:rsidR="00FB2CFA" w:rsidRPr="00983CA6" w:rsidRDefault="00FB2CFA" w:rsidP="00983CA6">
            <w:pPr>
              <w:pStyle w:val="cuadroCabe"/>
              <w:spacing w:line="240" w:lineRule="auto"/>
              <w:jc w:val="right"/>
              <w:rPr>
                <w:sz w:val="16"/>
                <w:szCs w:val="16"/>
              </w:rPr>
            </w:pPr>
            <w:r>
              <w:rPr>
                <w:sz w:val="16"/>
              </w:rPr>
              <w:t>188</w:t>
            </w:r>
          </w:p>
        </w:tc>
        <w:tc>
          <w:tcPr>
            <w:tcW w:w="992" w:type="dxa"/>
            <w:tcBorders>
              <w:top w:val="single" w:sz="4" w:space="0" w:color="auto"/>
              <w:bottom w:val="single" w:sz="4" w:space="0" w:color="auto"/>
            </w:tcBorders>
            <w:shd w:val="clear" w:color="auto" w:fill="FABF8F" w:themeFill="accent6" w:themeFillTint="99"/>
            <w:noWrap/>
            <w:vAlign w:val="center"/>
            <w:hideMark/>
          </w:tcPr>
          <w:p w14:paraId="32821EB1" w14:textId="77777777" w:rsidR="00FB2CFA" w:rsidRPr="00983CA6" w:rsidRDefault="00FB2CFA" w:rsidP="00983CA6">
            <w:pPr>
              <w:pStyle w:val="cuadroCabe"/>
              <w:spacing w:line="240" w:lineRule="auto"/>
              <w:jc w:val="right"/>
              <w:rPr>
                <w:sz w:val="16"/>
                <w:szCs w:val="16"/>
              </w:rPr>
            </w:pPr>
            <w:r>
              <w:rPr>
                <w:sz w:val="16"/>
              </w:rPr>
              <w:t>4.768.229</w:t>
            </w:r>
          </w:p>
        </w:tc>
        <w:tc>
          <w:tcPr>
            <w:tcW w:w="993" w:type="dxa"/>
            <w:tcBorders>
              <w:top w:val="single" w:sz="4" w:space="0" w:color="auto"/>
              <w:bottom w:val="single" w:sz="4" w:space="0" w:color="auto"/>
            </w:tcBorders>
            <w:shd w:val="clear" w:color="auto" w:fill="FABF8F" w:themeFill="accent6" w:themeFillTint="99"/>
            <w:noWrap/>
            <w:vAlign w:val="center"/>
            <w:hideMark/>
          </w:tcPr>
          <w:p w14:paraId="44E0452A" w14:textId="3E1C8A51" w:rsidR="00FB2CFA" w:rsidRPr="00983CA6" w:rsidRDefault="001A3BA2" w:rsidP="00983CA6">
            <w:pPr>
              <w:pStyle w:val="cuadroCabe"/>
              <w:spacing w:line="240" w:lineRule="auto"/>
              <w:jc w:val="right"/>
              <w:rPr>
                <w:sz w:val="16"/>
                <w:szCs w:val="16"/>
              </w:rPr>
            </w:pPr>
            <w:r>
              <w:rPr>
                <w:sz w:val="16"/>
              </w:rPr>
              <w:t>5.059.465</w:t>
            </w:r>
          </w:p>
        </w:tc>
        <w:tc>
          <w:tcPr>
            <w:tcW w:w="637" w:type="dxa"/>
            <w:tcBorders>
              <w:top w:val="single" w:sz="4" w:space="0" w:color="auto"/>
              <w:bottom w:val="single" w:sz="4" w:space="0" w:color="auto"/>
            </w:tcBorders>
            <w:shd w:val="clear" w:color="auto" w:fill="FABF8F" w:themeFill="accent6" w:themeFillTint="99"/>
            <w:noWrap/>
            <w:vAlign w:val="center"/>
            <w:hideMark/>
          </w:tcPr>
          <w:p w14:paraId="6ACA466E" w14:textId="77777777" w:rsidR="00FB2CFA" w:rsidRPr="00983CA6" w:rsidRDefault="00FB2CFA" w:rsidP="00983CA6">
            <w:pPr>
              <w:pStyle w:val="cuadroCabe"/>
              <w:spacing w:line="240" w:lineRule="auto"/>
              <w:jc w:val="right"/>
              <w:rPr>
                <w:sz w:val="16"/>
                <w:szCs w:val="16"/>
              </w:rPr>
            </w:pPr>
            <w:r>
              <w:rPr>
                <w:sz w:val="16"/>
              </w:rPr>
              <w:t>6</w:t>
            </w:r>
          </w:p>
        </w:tc>
        <w:tc>
          <w:tcPr>
            <w:tcW w:w="851" w:type="dxa"/>
            <w:tcBorders>
              <w:top w:val="single" w:sz="4" w:space="0" w:color="auto"/>
              <w:bottom w:val="single" w:sz="4" w:space="0" w:color="auto"/>
              <w:right w:val="nil"/>
            </w:tcBorders>
            <w:shd w:val="clear" w:color="auto" w:fill="FABF8F" w:themeFill="accent6" w:themeFillTint="99"/>
            <w:noWrap/>
            <w:vAlign w:val="center"/>
            <w:hideMark/>
          </w:tcPr>
          <w:p w14:paraId="6CFCD28F" w14:textId="77777777" w:rsidR="00FB2CFA" w:rsidRPr="00983CA6" w:rsidRDefault="00FB2CFA" w:rsidP="00983CA6">
            <w:pPr>
              <w:pStyle w:val="cuadroCabe"/>
              <w:spacing w:line="240" w:lineRule="auto"/>
              <w:jc w:val="right"/>
              <w:rPr>
                <w:sz w:val="16"/>
                <w:szCs w:val="16"/>
              </w:rPr>
            </w:pPr>
            <w:r>
              <w:rPr>
                <w:sz w:val="16"/>
              </w:rPr>
              <w:t>16</w:t>
            </w:r>
          </w:p>
        </w:tc>
      </w:tr>
    </w:tbl>
    <w:p w14:paraId="77C8CE6B" w14:textId="607D163B" w:rsidR="00DB537B" w:rsidRDefault="00DB537B" w:rsidP="00983CA6">
      <w:pPr>
        <w:tabs>
          <w:tab w:val="left" w:pos="1630"/>
          <w:tab w:val="left" w:pos="2480"/>
          <w:tab w:val="left" w:pos="3189"/>
          <w:tab w:val="left" w:pos="4039"/>
          <w:tab w:val="left" w:pos="4748"/>
          <w:tab w:val="left" w:pos="5740"/>
          <w:tab w:val="left" w:pos="6733"/>
          <w:tab w:val="left" w:pos="7725"/>
        </w:tabs>
        <w:spacing w:before="240"/>
        <w:ind w:left="68" w:firstLine="215"/>
        <w:rPr>
          <w:rFonts w:cs="Arial"/>
          <w:color w:val="000000" w:themeColor="text1"/>
          <w:spacing w:val="6"/>
          <w:sz w:val="26"/>
          <w:szCs w:val="24"/>
        </w:rPr>
      </w:pPr>
      <w:r>
        <w:rPr>
          <w:color w:val="000000" w:themeColor="text1"/>
          <w:sz w:val="26"/>
        </w:rPr>
        <w:t xml:space="preserve">Taulan ikus daitekeenez, 1.000 eta 5.000 bitarteko biztanle kopurua duten udaletan egin dira eragozpen-ohar gehien, baina ohartarazi behar da tarte horretako bi udalek bien artean 97 eragozpen-ohar dituztela, 1,58 milioiko gastua ukitzen dutenak. </w:t>
      </w:r>
    </w:p>
    <w:p w14:paraId="49540CFE" w14:textId="0D03B98E" w:rsidR="00AF04B7" w:rsidRDefault="00FB2CFA" w:rsidP="00AF04B7">
      <w:pPr>
        <w:pStyle w:val="texto"/>
        <w:spacing w:after="0"/>
      </w:pPr>
      <w:r>
        <w:t>Honako taula hauetan xehakatu dira eragozpen-oharrek ukitutako kudeaketa arloak eta eragozpen-oharren arrazoiak:</w:t>
      </w:r>
    </w:p>
    <w:tbl>
      <w:tblPr>
        <w:tblpPr w:leftFromText="141" w:rightFromText="141" w:vertAnchor="text" w:horzAnchor="margin" w:tblpY="146"/>
        <w:tblW w:w="8841" w:type="dxa"/>
        <w:tblCellMar>
          <w:left w:w="70" w:type="dxa"/>
          <w:right w:w="70" w:type="dxa"/>
        </w:tblCellMar>
        <w:tblLook w:val="04A0" w:firstRow="1" w:lastRow="0" w:firstColumn="1" w:lastColumn="0" w:noHBand="0" w:noVBand="1"/>
      </w:tblPr>
      <w:tblGrid>
        <w:gridCol w:w="2765"/>
        <w:gridCol w:w="899"/>
        <w:gridCol w:w="809"/>
        <w:gridCol w:w="995"/>
        <w:gridCol w:w="1228"/>
        <w:gridCol w:w="1244"/>
        <w:gridCol w:w="901"/>
      </w:tblGrid>
      <w:tr w:rsidR="004D3571" w:rsidRPr="00474131" w14:paraId="0125FC09" w14:textId="77777777" w:rsidTr="00AF04B7">
        <w:trPr>
          <w:trHeight w:val="227"/>
        </w:trPr>
        <w:tc>
          <w:tcPr>
            <w:tcW w:w="2765" w:type="dxa"/>
            <w:vMerge w:val="restart"/>
            <w:tcBorders>
              <w:top w:val="single" w:sz="4" w:space="0" w:color="auto"/>
              <w:left w:val="nil"/>
              <w:bottom w:val="single" w:sz="8" w:space="0" w:color="000000"/>
            </w:tcBorders>
            <w:shd w:val="clear" w:color="auto" w:fill="FABF8F" w:themeFill="accent6" w:themeFillTint="99"/>
            <w:noWrap/>
            <w:vAlign w:val="center"/>
            <w:hideMark/>
          </w:tcPr>
          <w:p w14:paraId="0B77FB0C" w14:textId="77777777" w:rsidR="004D3571" w:rsidRPr="00AF04B7" w:rsidRDefault="004D3571" w:rsidP="00AF04B7">
            <w:pPr>
              <w:pStyle w:val="cuadroCabe"/>
              <w:spacing w:line="240" w:lineRule="auto"/>
            </w:pPr>
            <w:r>
              <w:lastRenderedPageBreak/>
              <w:t>Kudeaketa arloa</w:t>
            </w:r>
          </w:p>
        </w:tc>
        <w:tc>
          <w:tcPr>
            <w:tcW w:w="1708" w:type="dxa"/>
            <w:gridSpan w:val="2"/>
            <w:tcBorders>
              <w:top w:val="single" w:sz="4" w:space="0" w:color="auto"/>
              <w:bottom w:val="single" w:sz="2" w:space="0" w:color="auto"/>
            </w:tcBorders>
            <w:shd w:val="clear" w:color="auto" w:fill="FABF8F" w:themeFill="accent6" w:themeFillTint="99"/>
            <w:vAlign w:val="center"/>
            <w:hideMark/>
          </w:tcPr>
          <w:p w14:paraId="14E6B701" w14:textId="77777777" w:rsidR="004D3571" w:rsidRPr="00AF04B7" w:rsidRDefault="004D3571" w:rsidP="00AF04B7">
            <w:pPr>
              <w:pStyle w:val="cuadroCabe"/>
              <w:spacing w:line="240" w:lineRule="auto"/>
              <w:jc w:val="right"/>
            </w:pPr>
            <w:r>
              <w:t>Eragozpen-oharren kop.</w:t>
            </w:r>
          </w:p>
        </w:tc>
        <w:tc>
          <w:tcPr>
            <w:tcW w:w="2223" w:type="dxa"/>
            <w:gridSpan w:val="2"/>
            <w:tcBorders>
              <w:top w:val="single" w:sz="4" w:space="0" w:color="auto"/>
              <w:bottom w:val="single" w:sz="2" w:space="0" w:color="auto"/>
            </w:tcBorders>
            <w:shd w:val="clear" w:color="auto" w:fill="FABF8F" w:themeFill="accent6" w:themeFillTint="99"/>
            <w:vAlign w:val="center"/>
            <w:hideMark/>
          </w:tcPr>
          <w:p w14:paraId="72076B51" w14:textId="77777777" w:rsidR="004D3571" w:rsidRPr="00AF04B7" w:rsidRDefault="004D3571" w:rsidP="00AF04B7">
            <w:pPr>
              <w:pStyle w:val="cuadroCabe"/>
              <w:spacing w:line="240" w:lineRule="auto"/>
              <w:jc w:val="right"/>
            </w:pPr>
            <w:r>
              <w:t>Zenbatekoa (euroak)</w:t>
            </w:r>
          </w:p>
        </w:tc>
        <w:tc>
          <w:tcPr>
            <w:tcW w:w="2145" w:type="dxa"/>
            <w:gridSpan w:val="2"/>
            <w:tcBorders>
              <w:top w:val="single" w:sz="4" w:space="0" w:color="auto"/>
              <w:bottom w:val="single" w:sz="2" w:space="0" w:color="auto"/>
              <w:right w:val="nil"/>
            </w:tcBorders>
            <w:shd w:val="clear" w:color="auto" w:fill="FABF8F" w:themeFill="accent6" w:themeFillTint="99"/>
            <w:vAlign w:val="center"/>
            <w:hideMark/>
          </w:tcPr>
          <w:p w14:paraId="21ACE6FB" w14:textId="77777777" w:rsidR="004D3571" w:rsidRPr="00AF04B7" w:rsidRDefault="004D3571" w:rsidP="00AF04B7">
            <w:pPr>
              <w:pStyle w:val="cuadroCabe"/>
              <w:spacing w:line="240" w:lineRule="auto"/>
              <w:jc w:val="right"/>
            </w:pPr>
            <w:r>
              <w:t>Zenbatekorik ez</w:t>
            </w:r>
          </w:p>
        </w:tc>
      </w:tr>
      <w:tr w:rsidR="004D3571" w:rsidRPr="00474131" w14:paraId="26F2693F" w14:textId="77777777" w:rsidTr="00AF04B7">
        <w:trPr>
          <w:trHeight w:val="227"/>
        </w:trPr>
        <w:tc>
          <w:tcPr>
            <w:tcW w:w="2765" w:type="dxa"/>
            <w:vMerge/>
            <w:tcBorders>
              <w:top w:val="single" w:sz="8" w:space="0" w:color="auto"/>
              <w:left w:val="nil"/>
              <w:bottom w:val="single" w:sz="8" w:space="0" w:color="000000"/>
            </w:tcBorders>
            <w:shd w:val="clear" w:color="auto" w:fill="FABF8F" w:themeFill="accent6" w:themeFillTint="99"/>
            <w:vAlign w:val="center"/>
            <w:hideMark/>
          </w:tcPr>
          <w:p w14:paraId="2942985F" w14:textId="77777777" w:rsidR="004D3571" w:rsidRPr="00AF04B7" w:rsidRDefault="004D3571" w:rsidP="00AF04B7">
            <w:pPr>
              <w:pStyle w:val="cuadroCabe"/>
              <w:spacing w:line="240" w:lineRule="auto"/>
            </w:pPr>
          </w:p>
        </w:tc>
        <w:tc>
          <w:tcPr>
            <w:tcW w:w="899" w:type="dxa"/>
            <w:tcBorders>
              <w:top w:val="single" w:sz="2" w:space="0" w:color="auto"/>
              <w:bottom w:val="single" w:sz="4" w:space="0" w:color="auto"/>
            </w:tcBorders>
            <w:shd w:val="clear" w:color="auto" w:fill="FABF8F" w:themeFill="accent6" w:themeFillTint="99"/>
            <w:noWrap/>
            <w:vAlign w:val="center"/>
            <w:hideMark/>
          </w:tcPr>
          <w:p w14:paraId="7ADC49B4" w14:textId="77777777" w:rsidR="004D3571" w:rsidRPr="00AF04B7" w:rsidRDefault="004D3571" w:rsidP="00AF04B7">
            <w:pPr>
              <w:pStyle w:val="cuadroCabe"/>
              <w:spacing w:line="240" w:lineRule="auto"/>
              <w:jc w:val="right"/>
            </w:pPr>
            <w:r>
              <w:t>2019</w:t>
            </w:r>
          </w:p>
        </w:tc>
        <w:tc>
          <w:tcPr>
            <w:tcW w:w="809" w:type="dxa"/>
            <w:tcBorders>
              <w:top w:val="single" w:sz="2" w:space="0" w:color="auto"/>
              <w:bottom w:val="single" w:sz="4" w:space="0" w:color="auto"/>
            </w:tcBorders>
            <w:shd w:val="clear" w:color="auto" w:fill="FABF8F" w:themeFill="accent6" w:themeFillTint="99"/>
            <w:noWrap/>
            <w:vAlign w:val="center"/>
            <w:hideMark/>
          </w:tcPr>
          <w:p w14:paraId="700477E2" w14:textId="77777777" w:rsidR="004D3571" w:rsidRPr="00AF04B7" w:rsidRDefault="004D3571" w:rsidP="00AF04B7">
            <w:pPr>
              <w:pStyle w:val="cuadroCabe"/>
              <w:spacing w:line="240" w:lineRule="auto"/>
              <w:jc w:val="right"/>
            </w:pPr>
            <w:r>
              <w:t>2020</w:t>
            </w:r>
          </w:p>
        </w:tc>
        <w:tc>
          <w:tcPr>
            <w:tcW w:w="995" w:type="dxa"/>
            <w:tcBorders>
              <w:top w:val="single" w:sz="2" w:space="0" w:color="auto"/>
              <w:bottom w:val="single" w:sz="4" w:space="0" w:color="auto"/>
            </w:tcBorders>
            <w:shd w:val="clear" w:color="auto" w:fill="FABF8F" w:themeFill="accent6" w:themeFillTint="99"/>
            <w:noWrap/>
            <w:vAlign w:val="center"/>
            <w:hideMark/>
          </w:tcPr>
          <w:p w14:paraId="76781A80" w14:textId="77777777" w:rsidR="004D3571" w:rsidRPr="00AF04B7" w:rsidRDefault="004D3571" w:rsidP="00AF04B7">
            <w:pPr>
              <w:pStyle w:val="cuadroCabe"/>
              <w:spacing w:line="240" w:lineRule="auto"/>
              <w:jc w:val="right"/>
            </w:pPr>
            <w:r>
              <w:t>2019</w:t>
            </w:r>
          </w:p>
        </w:tc>
        <w:tc>
          <w:tcPr>
            <w:tcW w:w="1228" w:type="dxa"/>
            <w:tcBorders>
              <w:top w:val="single" w:sz="2" w:space="0" w:color="auto"/>
              <w:bottom w:val="single" w:sz="4" w:space="0" w:color="auto"/>
            </w:tcBorders>
            <w:shd w:val="clear" w:color="auto" w:fill="FABF8F" w:themeFill="accent6" w:themeFillTint="99"/>
            <w:noWrap/>
            <w:vAlign w:val="center"/>
            <w:hideMark/>
          </w:tcPr>
          <w:p w14:paraId="789D9503" w14:textId="77777777" w:rsidR="004D3571" w:rsidRPr="00AF04B7" w:rsidRDefault="004D3571" w:rsidP="00AF04B7">
            <w:pPr>
              <w:pStyle w:val="cuadroCabe"/>
              <w:spacing w:line="240" w:lineRule="auto"/>
              <w:jc w:val="right"/>
            </w:pPr>
            <w:r>
              <w:t>2020</w:t>
            </w:r>
          </w:p>
        </w:tc>
        <w:tc>
          <w:tcPr>
            <w:tcW w:w="1244" w:type="dxa"/>
            <w:tcBorders>
              <w:top w:val="single" w:sz="2" w:space="0" w:color="auto"/>
              <w:bottom w:val="single" w:sz="4" w:space="0" w:color="auto"/>
            </w:tcBorders>
            <w:shd w:val="clear" w:color="auto" w:fill="FABF8F" w:themeFill="accent6" w:themeFillTint="99"/>
            <w:noWrap/>
            <w:vAlign w:val="center"/>
            <w:hideMark/>
          </w:tcPr>
          <w:p w14:paraId="506A7F50" w14:textId="77777777" w:rsidR="004D3571" w:rsidRPr="00AF04B7" w:rsidRDefault="004D3571" w:rsidP="00AF04B7">
            <w:pPr>
              <w:pStyle w:val="cuadroCabe"/>
              <w:spacing w:line="240" w:lineRule="auto"/>
              <w:jc w:val="right"/>
            </w:pPr>
            <w:r>
              <w:t>2019</w:t>
            </w:r>
          </w:p>
        </w:tc>
        <w:tc>
          <w:tcPr>
            <w:tcW w:w="901" w:type="dxa"/>
            <w:tcBorders>
              <w:top w:val="single" w:sz="2" w:space="0" w:color="auto"/>
              <w:bottom w:val="single" w:sz="4" w:space="0" w:color="auto"/>
              <w:right w:val="nil"/>
            </w:tcBorders>
            <w:shd w:val="clear" w:color="auto" w:fill="FABF8F" w:themeFill="accent6" w:themeFillTint="99"/>
            <w:noWrap/>
            <w:vAlign w:val="center"/>
            <w:hideMark/>
          </w:tcPr>
          <w:p w14:paraId="20A2F735" w14:textId="77777777" w:rsidR="004D3571" w:rsidRPr="00AF04B7" w:rsidRDefault="004D3571" w:rsidP="00AF04B7">
            <w:pPr>
              <w:pStyle w:val="cuadroCabe"/>
              <w:spacing w:line="240" w:lineRule="auto"/>
              <w:jc w:val="right"/>
            </w:pPr>
            <w:r>
              <w:t>2020</w:t>
            </w:r>
          </w:p>
        </w:tc>
      </w:tr>
      <w:tr w:rsidR="004D3571" w:rsidRPr="00474131" w14:paraId="7057C15A" w14:textId="77777777" w:rsidTr="00AF04B7">
        <w:trPr>
          <w:trHeight w:val="227"/>
        </w:trPr>
        <w:tc>
          <w:tcPr>
            <w:tcW w:w="2765" w:type="dxa"/>
            <w:tcBorders>
              <w:top w:val="nil"/>
              <w:left w:val="nil"/>
              <w:bottom w:val="single" w:sz="2" w:space="0" w:color="auto"/>
            </w:tcBorders>
            <w:shd w:val="clear" w:color="auto" w:fill="auto"/>
            <w:noWrap/>
            <w:vAlign w:val="center"/>
            <w:hideMark/>
          </w:tcPr>
          <w:p w14:paraId="3CBC6A2E" w14:textId="77777777" w:rsidR="004D3571" w:rsidRPr="00AF04B7" w:rsidRDefault="004D3571" w:rsidP="00AF04B7">
            <w:pPr>
              <w:pStyle w:val="cuatexto"/>
              <w:spacing w:line="240" w:lineRule="auto"/>
            </w:pPr>
            <w:r>
              <w:t>Kontratazioa</w:t>
            </w:r>
          </w:p>
        </w:tc>
        <w:tc>
          <w:tcPr>
            <w:tcW w:w="899" w:type="dxa"/>
            <w:tcBorders>
              <w:top w:val="single" w:sz="4" w:space="0" w:color="auto"/>
              <w:bottom w:val="single" w:sz="2" w:space="0" w:color="auto"/>
            </w:tcBorders>
            <w:shd w:val="clear" w:color="auto" w:fill="auto"/>
            <w:noWrap/>
            <w:vAlign w:val="center"/>
            <w:hideMark/>
          </w:tcPr>
          <w:p w14:paraId="23424DD0" w14:textId="77777777" w:rsidR="004D3571" w:rsidRPr="00AF04B7" w:rsidRDefault="004D3571" w:rsidP="00AF04B7">
            <w:pPr>
              <w:pStyle w:val="cuatexto"/>
              <w:spacing w:line="240" w:lineRule="auto"/>
              <w:jc w:val="right"/>
            </w:pPr>
            <w:r>
              <w:t>98</w:t>
            </w:r>
          </w:p>
        </w:tc>
        <w:tc>
          <w:tcPr>
            <w:tcW w:w="809" w:type="dxa"/>
            <w:tcBorders>
              <w:top w:val="single" w:sz="4" w:space="0" w:color="auto"/>
              <w:bottom w:val="single" w:sz="2" w:space="0" w:color="auto"/>
            </w:tcBorders>
            <w:shd w:val="clear" w:color="auto" w:fill="auto"/>
            <w:noWrap/>
            <w:vAlign w:val="center"/>
            <w:hideMark/>
          </w:tcPr>
          <w:p w14:paraId="41AFFC01" w14:textId="77777777" w:rsidR="004D3571" w:rsidRPr="00AF04B7" w:rsidRDefault="004D3571" w:rsidP="00AF04B7">
            <w:pPr>
              <w:pStyle w:val="cuatexto"/>
              <w:spacing w:line="240" w:lineRule="auto"/>
              <w:jc w:val="right"/>
            </w:pPr>
            <w:r>
              <w:t>114</w:t>
            </w:r>
          </w:p>
        </w:tc>
        <w:tc>
          <w:tcPr>
            <w:tcW w:w="995" w:type="dxa"/>
            <w:tcBorders>
              <w:top w:val="single" w:sz="4" w:space="0" w:color="auto"/>
              <w:bottom w:val="single" w:sz="2" w:space="0" w:color="auto"/>
            </w:tcBorders>
            <w:shd w:val="clear" w:color="auto" w:fill="auto"/>
            <w:noWrap/>
            <w:vAlign w:val="center"/>
            <w:hideMark/>
          </w:tcPr>
          <w:p w14:paraId="17638B3B" w14:textId="77777777" w:rsidR="004D3571" w:rsidRPr="00AF04B7" w:rsidRDefault="004D3571" w:rsidP="00AF04B7">
            <w:pPr>
              <w:pStyle w:val="cuatexto"/>
              <w:spacing w:line="240" w:lineRule="auto"/>
              <w:jc w:val="right"/>
            </w:pPr>
            <w:r>
              <w:t>3.905.190</w:t>
            </w:r>
          </w:p>
        </w:tc>
        <w:tc>
          <w:tcPr>
            <w:tcW w:w="1228" w:type="dxa"/>
            <w:tcBorders>
              <w:top w:val="single" w:sz="4" w:space="0" w:color="auto"/>
              <w:bottom w:val="single" w:sz="2" w:space="0" w:color="auto"/>
            </w:tcBorders>
            <w:shd w:val="clear" w:color="auto" w:fill="auto"/>
            <w:noWrap/>
            <w:vAlign w:val="center"/>
            <w:hideMark/>
          </w:tcPr>
          <w:p w14:paraId="60E11A3E" w14:textId="77777777" w:rsidR="004D3571" w:rsidRPr="00AF04B7" w:rsidRDefault="004D3571" w:rsidP="00AF04B7">
            <w:pPr>
              <w:pStyle w:val="cuatexto"/>
              <w:spacing w:line="240" w:lineRule="auto"/>
              <w:jc w:val="right"/>
            </w:pPr>
            <w:r>
              <w:t>4.349.098</w:t>
            </w:r>
          </w:p>
        </w:tc>
        <w:tc>
          <w:tcPr>
            <w:tcW w:w="1244" w:type="dxa"/>
            <w:tcBorders>
              <w:top w:val="single" w:sz="4" w:space="0" w:color="auto"/>
              <w:bottom w:val="single" w:sz="2" w:space="0" w:color="auto"/>
            </w:tcBorders>
            <w:shd w:val="clear" w:color="auto" w:fill="auto"/>
            <w:noWrap/>
            <w:vAlign w:val="center"/>
            <w:hideMark/>
          </w:tcPr>
          <w:p w14:paraId="36B8A520" w14:textId="77777777" w:rsidR="004D3571" w:rsidRPr="00AF04B7" w:rsidRDefault="004D3571" w:rsidP="00AF04B7">
            <w:pPr>
              <w:pStyle w:val="cuatexto"/>
              <w:spacing w:line="240" w:lineRule="auto"/>
              <w:jc w:val="right"/>
            </w:pPr>
            <w:r>
              <w:t>3</w:t>
            </w:r>
          </w:p>
        </w:tc>
        <w:tc>
          <w:tcPr>
            <w:tcW w:w="901" w:type="dxa"/>
            <w:tcBorders>
              <w:top w:val="single" w:sz="4" w:space="0" w:color="auto"/>
              <w:bottom w:val="single" w:sz="2" w:space="0" w:color="auto"/>
              <w:right w:val="nil"/>
            </w:tcBorders>
            <w:shd w:val="clear" w:color="auto" w:fill="auto"/>
            <w:noWrap/>
            <w:vAlign w:val="center"/>
            <w:hideMark/>
          </w:tcPr>
          <w:p w14:paraId="64A385FA" w14:textId="77777777" w:rsidR="004D3571" w:rsidRPr="00AF04B7" w:rsidRDefault="004D3571" w:rsidP="00AF04B7">
            <w:pPr>
              <w:pStyle w:val="cuatexto"/>
              <w:spacing w:line="240" w:lineRule="auto"/>
              <w:jc w:val="right"/>
            </w:pPr>
            <w:r>
              <w:t>5</w:t>
            </w:r>
          </w:p>
        </w:tc>
      </w:tr>
      <w:tr w:rsidR="004D3571" w:rsidRPr="00474131" w14:paraId="3549BF41" w14:textId="77777777" w:rsidTr="00AF04B7">
        <w:trPr>
          <w:trHeight w:val="227"/>
        </w:trPr>
        <w:tc>
          <w:tcPr>
            <w:tcW w:w="2765" w:type="dxa"/>
            <w:tcBorders>
              <w:top w:val="single" w:sz="2" w:space="0" w:color="auto"/>
              <w:left w:val="nil"/>
              <w:bottom w:val="single" w:sz="2" w:space="0" w:color="auto"/>
            </w:tcBorders>
            <w:shd w:val="clear" w:color="auto" w:fill="auto"/>
            <w:noWrap/>
            <w:vAlign w:val="center"/>
            <w:hideMark/>
          </w:tcPr>
          <w:p w14:paraId="71A18B5C" w14:textId="77777777" w:rsidR="004D3571" w:rsidRPr="00AF04B7" w:rsidRDefault="004D3571" w:rsidP="00AF04B7">
            <w:pPr>
              <w:pStyle w:val="cuatexto"/>
              <w:spacing w:line="240" w:lineRule="auto"/>
            </w:pPr>
            <w:r>
              <w:t>Langileak</w:t>
            </w:r>
          </w:p>
        </w:tc>
        <w:tc>
          <w:tcPr>
            <w:tcW w:w="899" w:type="dxa"/>
            <w:tcBorders>
              <w:top w:val="single" w:sz="2" w:space="0" w:color="auto"/>
              <w:bottom w:val="single" w:sz="2" w:space="0" w:color="auto"/>
            </w:tcBorders>
            <w:shd w:val="clear" w:color="auto" w:fill="auto"/>
            <w:noWrap/>
            <w:vAlign w:val="center"/>
            <w:hideMark/>
          </w:tcPr>
          <w:p w14:paraId="5D6C3764" w14:textId="77777777" w:rsidR="004D3571" w:rsidRPr="00AF04B7" w:rsidRDefault="004D3571" w:rsidP="00AF04B7">
            <w:pPr>
              <w:pStyle w:val="cuatexto"/>
              <w:spacing w:line="240" w:lineRule="auto"/>
              <w:jc w:val="right"/>
            </w:pPr>
            <w:r>
              <w:t>32</w:t>
            </w:r>
          </w:p>
        </w:tc>
        <w:tc>
          <w:tcPr>
            <w:tcW w:w="809" w:type="dxa"/>
            <w:tcBorders>
              <w:top w:val="single" w:sz="2" w:space="0" w:color="auto"/>
              <w:bottom w:val="single" w:sz="2" w:space="0" w:color="auto"/>
            </w:tcBorders>
            <w:shd w:val="clear" w:color="auto" w:fill="auto"/>
            <w:noWrap/>
            <w:vAlign w:val="center"/>
            <w:hideMark/>
          </w:tcPr>
          <w:p w14:paraId="1B95D19F" w14:textId="77777777" w:rsidR="004D3571" w:rsidRPr="00AF04B7" w:rsidRDefault="004D3571" w:rsidP="00AF04B7">
            <w:pPr>
              <w:pStyle w:val="cuatexto"/>
              <w:spacing w:line="240" w:lineRule="auto"/>
              <w:jc w:val="right"/>
            </w:pPr>
            <w:r>
              <w:t>56</w:t>
            </w:r>
          </w:p>
        </w:tc>
        <w:tc>
          <w:tcPr>
            <w:tcW w:w="995" w:type="dxa"/>
            <w:tcBorders>
              <w:top w:val="single" w:sz="2" w:space="0" w:color="auto"/>
              <w:bottom w:val="single" w:sz="2" w:space="0" w:color="auto"/>
            </w:tcBorders>
            <w:shd w:val="clear" w:color="auto" w:fill="auto"/>
            <w:noWrap/>
            <w:vAlign w:val="center"/>
            <w:hideMark/>
          </w:tcPr>
          <w:p w14:paraId="5D976F84" w14:textId="77777777" w:rsidR="004D3571" w:rsidRPr="00AF04B7" w:rsidRDefault="004D3571" w:rsidP="00AF04B7">
            <w:pPr>
              <w:pStyle w:val="cuatexto"/>
              <w:spacing w:line="240" w:lineRule="auto"/>
              <w:jc w:val="right"/>
            </w:pPr>
            <w:r>
              <w:t>134.396</w:t>
            </w:r>
          </w:p>
        </w:tc>
        <w:tc>
          <w:tcPr>
            <w:tcW w:w="1228" w:type="dxa"/>
            <w:tcBorders>
              <w:top w:val="single" w:sz="2" w:space="0" w:color="auto"/>
              <w:bottom w:val="single" w:sz="2" w:space="0" w:color="auto"/>
            </w:tcBorders>
            <w:shd w:val="clear" w:color="auto" w:fill="auto"/>
            <w:noWrap/>
            <w:vAlign w:val="center"/>
            <w:hideMark/>
          </w:tcPr>
          <w:p w14:paraId="159E01FC" w14:textId="77777777" w:rsidR="004D3571" w:rsidRPr="00AF04B7" w:rsidRDefault="004D3571" w:rsidP="00AF04B7">
            <w:pPr>
              <w:pStyle w:val="cuatexto"/>
              <w:spacing w:line="240" w:lineRule="auto"/>
              <w:jc w:val="right"/>
            </w:pPr>
            <w:r>
              <w:t>305.658</w:t>
            </w:r>
          </w:p>
        </w:tc>
        <w:tc>
          <w:tcPr>
            <w:tcW w:w="1244" w:type="dxa"/>
            <w:tcBorders>
              <w:top w:val="single" w:sz="2" w:space="0" w:color="auto"/>
              <w:bottom w:val="single" w:sz="2" w:space="0" w:color="auto"/>
            </w:tcBorders>
            <w:shd w:val="clear" w:color="auto" w:fill="auto"/>
            <w:noWrap/>
            <w:vAlign w:val="center"/>
            <w:hideMark/>
          </w:tcPr>
          <w:p w14:paraId="69BECAA8" w14:textId="77777777" w:rsidR="004D3571" w:rsidRPr="00AF04B7" w:rsidRDefault="004D3571" w:rsidP="00AF04B7">
            <w:pPr>
              <w:pStyle w:val="cuatexto"/>
              <w:spacing w:line="240" w:lineRule="auto"/>
              <w:jc w:val="right"/>
            </w:pPr>
            <w:r>
              <w:t>3</w:t>
            </w:r>
          </w:p>
        </w:tc>
        <w:tc>
          <w:tcPr>
            <w:tcW w:w="901" w:type="dxa"/>
            <w:tcBorders>
              <w:top w:val="single" w:sz="2" w:space="0" w:color="auto"/>
              <w:bottom w:val="single" w:sz="2" w:space="0" w:color="auto"/>
              <w:right w:val="nil"/>
            </w:tcBorders>
            <w:shd w:val="clear" w:color="auto" w:fill="auto"/>
            <w:noWrap/>
            <w:vAlign w:val="center"/>
            <w:hideMark/>
          </w:tcPr>
          <w:p w14:paraId="57716C04" w14:textId="77777777" w:rsidR="004D3571" w:rsidRPr="00AF04B7" w:rsidRDefault="004D3571" w:rsidP="00AF04B7">
            <w:pPr>
              <w:pStyle w:val="cuatexto"/>
              <w:spacing w:line="240" w:lineRule="auto"/>
              <w:jc w:val="right"/>
            </w:pPr>
            <w:r>
              <w:t>9</w:t>
            </w:r>
          </w:p>
        </w:tc>
      </w:tr>
      <w:tr w:rsidR="004D3571" w:rsidRPr="00474131" w14:paraId="68A77D9A" w14:textId="77777777" w:rsidTr="00AF04B7">
        <w:trPr>
          <w:trHeight w:val="227"/>
        </w:trPr>
        <w:tc>
          <w:tcPr>
            <w:tcW w:w="2765" w:type="dxa"/>
            <w:tcBorders>
              <w:top w:val="single" w:sz="2" w:space="0" w:color="auto"/>
              <w:left w:val="nil"/>
              <w:bottom w:val="single" w:sz="2" w:space="0" w:color="auto"/>
            </w:tcBorders>
            <w:shd w:val="clear" w:color="auto" w:fill="auto"/>
            <w:noWrap/>
            <w:vAlign w:val="center"/>
            <w:hideMark/>
          </w:tcPr>
          <w:p w14:paraId="693AE65F" w14:textId="77777777" w:rsidR="004D3571" w:rsidRPr="00AF04B7" w:rsidRDefault="004D3571" w:rsidP="00AF04B7">
            <w:pPr>
              <w:pStyle w:val="cuatexto"/>
              <w:spacing w:line="240" w:lineRule="auto"/>
            </w:pPr>
            <w:r>
              <w:t>Dirulaguntzak</w:t>
            </w:r>
          </w:p>
        </w:tc>
        <w:tc>
          <w:tcPr>
            <w:tcW w:w="899" w:type="dxa"/>
            <w:tcBorders>
              <w:top w:val="single" w:sz="2" w:space="0" w:color="auto"/>
              <w:bottom w:val="single" w:sz="2" w:space="0" w:color="auto"/>
            </w:tcBorders>
            <w:shd w:val="clear" w:color="auto" w:fill="auto"/>
            <w:noWrap/>
            <w:vAlign w:val="center"/>
            <w:hideMark/>
          </w:tcPr>
          <w:p w14:paraId="13A4A87A" w14:textId="77777777" w:rsidR="004D3571" w:rsidRPr="00AF04B7" w:rsidRDefault="004D3571" w:rsidP="00AF04B7">
            <w:pPr>
              <w:pStyle w:val="cuatexto"/>
              <w:spacing w:line="240" w:lineRule="auto"/>
              <w:jc w:val="right"/>
            </w:pPr>
            <w:r>
              <w:t>23</w:t>
            </w:r>
          </w:p>
        </w:tc>
        <w:tc>
          <w:tcPr>
            <w:tcW w:w="809" w:type="dxa"/>
            <w:tcBorders>
              <w:top w:val="single" w:sz="2" w:space="0" w:color="auto"/>
              <w:bottom w:val="single" w:sz="2" w:space="0" w:color="auto"/>
            </w:tcBorders>
            <w:shd w:val="clear" w:color="auto" w:fill="auto"/>
            <w:noWrap/>
            <w:vAlign w:val="center"/>
            <w:hideMark/>
          </w:tcPr>
          <w:p w14:paraId="2EDFFB41" w14:textId="77777777" w:rsidR="004D3571" w:rsidRPr="00AF04B7" w:rsidRDefault="004D3571" w:rsidP="00AF04B7">
            <w:pPr>
              <w:pStyle w:val="cuatexto"/>
              <w:spacing w:line="240" w:lineRule="auto"/>
              <w:jc w:val="right"/>
            </w:pPr>
            <w:r>
              <w:t>13</w:t>
            </w:r>
          </w:p>
        </w:tc>
        <w:tc>
          <w:tcPr>
            <w:tcW w:w="995" w:type="dxa"/>
            <w:tcBorders>
              <w:top w:val="single" w:sz="2" w:space="0" w:color="auto"/>
              <w:bottom w:val="single" w:sz="2" w:space="0" w:color="auto"/>
            </w:tcBorders>
            <w:shd w:val="clear" w:color="auto" w:fill="auto"/>
            <w:noWrap/>
            <w:vAlign w:val="center"/>
            <w:hideMark/>
          </w:tcPr>
          <w:p w14:paraId="61B6C986" w14:textId="77777777" w:rsidR="004D3571" w:rsidRPr="00AF04B7" w:rsidRDefault="004D3571" w:rsidP="00AF04B7">
            <w:pPr>
              <w:pStyle w:val="cuatexto"/>
              <w:spacing w:line="240" w:lineRule="auto"/>
              <w:jc w:val="right"/>
            </w:pPr>
            <w:r>
              <w:t>357.455</w:t>
            </w:r>
          </w:p>
        </w:tc>
        <w:tc>
          <w:tcPr>
            <w:tcW w:w="1228" w:type="dxa"/>
            <w:tcBorders>
              <w:top w:val="single" w:sz="2" w:space="0" w:color="auto"/>
              <w:bottom w:val="single" w:sz="2" w:space="0" w:color="auto"/>
            </w:tcBorders>
            <w:shd w:val="clear" w:color="auto" w:fill="auto"/>
            <w:noWrap/>
            <w:vAlign w:val="center"/>
            <w:hideMark/>
          </w:tcPr>
          <w:p w14:paraId="3C5DFC83" w14:textId="77777777" w:rsidR="004D3571" w:rsidRPr="00AF04B7" w:rsidRDefault="004D3571" w:rsidP="00AF04B7">
            <w:pPr>
              <w:pStyle w:val="cuatexto"/>
              <w:spacing w:line="240" w:lineRule="auto"/>
              <w:jc w:val="right"/>
            </w:pPr>
            <w:r>
              <w:t>388.049</w:t>
            </w:r>
          </w:p>
        </w:tc>
        <w:tc>
          <w:tcPr>
            <w:tcW w:w="1244" w:type="dxa"/>
            <w:tcBorders>
              <w:top w:val="single" w:sz="2" w:space="0" w:color="auto"/>
              <w:bottom w:val="single" w:sz="2" w:space="0" w:color="auto"/>
            </w:tcBorders>
            <w:shd w:val="clear" w:color="auto" w:fill="auto"/>
            <w:noWrap/>
            <w:vAlign w:val="center"/>
            <w:hideMark/>
          </w:tcPr>
          <w:p w14:paraId="7CACF777" w14:textId="77777777" w:rsidR="004D3571" w:rsidRPr="00AF04B7" w:rsidRDefault="004D3571" w:rsidP="00AF04B7">
            <w:pPr>
              <w:pStyle w:val="cuatexto"/>
              <w:spacing w:line="240" w:lineRule="auto"/>
              <w:jc w:val="right"/>
            </w:pPr>
            <w:r>
              <w:t>0</w:t>
            </w:r>
          </w:p>
        </w:tc>
        <w:tc>
          <w:tcPr>
            <w:tcW w:w="901" w:type="dxa"/>
            <w:tcBorders>
              <w:top w:val="single" w:sz="2" w:space="0" w:color="auto"/>
              <w:bottom w:val="single" w:sz="2" w:space="0" w:color="auto"/>
              <w:right w:val="nil"/>
            </w:tcBorders>
            <w:shd w:val="clear" w:color="auto" w:fill="auto"/>
            <w:noWrap/>
            <w:vAlign w:val="center"/>
            <w:hideMark/>
          </w:tcPr>
          <w:p w14:paraId="129E942F" w14:textId="77777777" w:rsidR="004D3571" w:rsidRPr="00AF04B7" w:rsidRDefault="004D3571" w:rsidP="00AF04B7">
            <w:pPr>
              <w:pStyle w:val="cuatexto"/>
              <w:spacing w:line="240" w:lineRule="auto"/>
              <w:jc w:val="right"/>
            </w:pPr>
            <w:r>
              <w:t>1</w:t>
            </w:r>
          </w:p>
        </w:tc>
      </w:tr>
      <w:tr w:rsidR="004D3571" w:rsidRPr="00474131" w14:paraId="0C02DB6E" w14:textId="77777777" w:rsidTr="00AF04B7">
        <w:trPr>
          <w:trHeight w:val="227"/>
        </w:trPr>
        <w:tc>
          <w:tcPr>
            <w:tcW w:w="2765" w:type="dxa"/>
            <w:tcBorders>
              <w:top w:val="single" w:sz="2" w:space="0" w:color="auto"/>
              <w:left w:val="nil"/>
              <w:bottom w:val="single" w:sz="2" w:space="0" w:color="auto"/>
            </w:tcBorders>
            <w:shd w:val="clear" w:color="auto" w:fill="auto"/>
            <w:noWrap/>
            <w:vAlign w:val="center"/>
            <w:hideMark/>
          </w:tcPr>
          <w:p w14:paraId="7C8A756D" w14:textId="33EC5EE4" w:rsidR="004D3571" w:rsidRPr="00AF04B7" w:rsidRDefault="004D3571" w:rsidP="00AF04B7">
            <w:pPr>
              <w:pStyle w:val="cuatexto"/>
              <w:spacing w:line="240" w:lineRule="auto"/>
            </w:pPr>
            <w:r>
              <w:t>Justifikatzeko ordainketak eta kutxa finkoko aurrerakinak</w:t>
            </w:r>
          </w:p>
        </w:tc>
        <w:tc>
          <w:tcPr>
            <w:tcW w:w="899" w:type="dxa"/>
            <w:tcBorders>
              <w:top w:val="single" w:sz="2" w:space="0" w:color="auto"/>
              <w:bottom w:val="single" w:sz="2" w:space="0" w:color="auto"/>
            </w:tcBorders>
            <w:shd w:val="clear" w:color="auto" w:fill="auto"/>
            <w:noWrap/>
            <w:vAlign w:val="center"/>
            <w:hideMark/>
          </w:tcPr>
          <w:p w14:paraId="66C7D9CC" w14:textId="77777777" w:rsidR="004D3571" w:rsidRPr="00AF04B7" w:rsidRDefault="004D3571" w:rsidP="00AF04B7">
            <w:pPr>
              <w:pStyle w:val="cuatexto"/>
              <w:spacing w:line="240" w:lineRule="auto"/>
              <w:jc w:val="right"/>
            </w:pPr>
            <w:r>
              <w:t>2</w:t>
            </w:r>
          </w:p>
        </w:tc>
        <w:tc>
          <w:tcPr>
            <w:tcW w:w="809" w:type="dxa"/>
            <w:tcBorders>
              <w:top w:val="single" w:sz="2" w:space="0" w:color="auto"/>
              <w:bottom w:val="single" w:sz="2" w:space="0" w:color="auto"/>
            </w:tcBorders>
            <w:shd w:val="clear" w:color="auto" w:fill="auto"/>
            <w:noWrap/>
            <w:vAlign w:val="center"/>
            <w:hideMark/>
          </w:tcPr>
          <w:p w14:paraId="1BFB430D" w14:textId="77777777" w:rsidR="004D3571" w:rsidRPr="00AF04B7" w:rsidRDefault="004D3571" w:rsidP="00AF04B7">
            <w:pPr>
              <w:pStyle w:val="cuatexto"/>
              <w:spacing w:line="240" w:lineRule="auto"/>
              <w:jc w:val="right"/>
            </w:pPr>
            <w:r>
              <w:t>0</w:t>
            </w:r>
          </w:p>
        </w:tc>
        <w:tc>
          <w:tcPr>
            <w:tcW w:w="995" w:type="dxa"/>
            <w:tcBorders>
              <w:top w:val="single" w:sz="2" w:space="0" w:color="auto"/>
              <w:bottom w:val="single" w:sz="2" w:space="0" w:color="auto"/>
            </w:tcBorders>
            <w:shd w:val="clear" w:color="auto" w:fill="auto"/>
            <w:noWrap/>
            <w:vAlign w:val="center"/>
            <w:hideMark/>
          </w:tcPr>
          <w:p w14:paraId="1147F855" w14:textId="77777777" w:rsidR="004D3571" w:rsidRPr="00AF04B7" w:rsidRDefault="004D3571" w:rsidP="00AF04B7">
            <w:pPr>
              <w:pStyle w:val="cuatexto"/>
              <w:spacing w:line="240" w:lineRule="auto"/>
              <w:jc w:val="right"/>
            </w:pPr>
            <w:r>
              <w:t>191</w:t>
            </w:r>
          </w:p>
        </w:tc>
        <w:tc>
          <w:tcPr>
            <w:tcW w:w="1228" w:type="dxa"/>
            <w:tcBorders>
              <w:top w:val="single" w:sz="2" w:space="0" w:color="auto"/>
              <w:bottom w:val="single" w:sz="2" w:space="0" w:color="auto"/>
            </w:tcBorders>
            <w:shd w:val="clear" w:color="auto" w:fill="auto"/>
            <w:noWrap/>
            <w:vAlign w:val="center"/>
            <w:hideMark/>
          </w:tcPr>
          <w:p w14:paraId="110E879C" w14:textId="77777777" w:rsidR="004D3571" w:rsidRPr="00AF04B7" w:rsidRDefault="004D3571" w:rsidP="00AF04B7">
            <w:pPr>
              <w:pStyle w:val="cuatexto"/>
              <w:spacing w:line="240" w:lineRule="auto"/>
              <w:jc w:val="right"/>
            </w:pPr>
            <w:r>
              <w:t>0</w:t>
            </w:r>
          </w:p>
        </w:tc>
        <w:tc>
          <w:tcPr>
            <w:tcW w:w="1244" w:type="dxa"/>
            <w:tcBorders>
              <w:top w:val="single" w:sz="2" w:space="0" w:color="auto"/>
              <w:bottom w:val="single" w:sz="2" w:space="0" w:color="auto"/>
            </w:tcBorders>
            <w:shd w:val="clear" w:color="auto" w:fill="auto"/>
            <w:noWrap/>
            <w:vAlign w:val="center"/>
            <w:hideMark/>
          </w:tcPr>
          <w:p w14:paraId="75751E05" w14:textId="77777777" w:rsidR="004D3571" w:rsidRPr="00AF04B7" w:rsidRDefault="004D3571" w:rsidP="00AF04B7">
            <w:pPr>
              <w:pStyle w:val="cuatexto"/>
              <w:spacing w:line="240" w:lineRule="auto"/>
              <w:jc w:val="right"/>
            </w:pPr>
            <w:r>
              <w:t>0</w:t>
            </w:r>
          </w:p>
        </w:tc>
        <w:tc>
          <w:tcPr>
            <w:tcW w:w="901" w:type="dxa"/>
            <w:tcBorders>
              <w:top w:val="single" w:sz="2" w:space="0" w:color="auto"/>
              <w:bottom w:val="single" w:sz="2" w:space="0" w:color="auto"/>
              <w:right w:val="nil"/>
            </w:tcBorders>
            <w:shd w:val="clear" w:color="auto" w:fill="auto"/>
            <w:noWrap/>
            <w:vAlign w:val="center"/>
            <w:hideMark/>
          </w:tcPr>
          <w:p w14:paraId="290DA86B" w14:textId="77777777" w:rsidR="004D3571" w:rsidRPr="00AF04B7" w:rsidRDefault="004D3571" w:rsidP="00AF04B7">
            <w:pPr>
              <w:pStyle w:val="cuatexto"/>
              <w:spacing w:line="240" w:lineRule="auto"/>
              <w:jc w:val="right"/>
            </w:pPr>
            <w:r>
              <w:t> </w:t>
            </w:r>
          </w:p>
        </w:tc>
      </w:tr>
      <w:tr w:rsidR="004D3571" w:rsidRPr="00474131" w14:paraId="2B28D221" w14:textId="77777777" w:rsidTr="00AF04B7">
        <w:trPr>
          <w:trHeight w:val="227"/>
        </w:trPr>
        <w:tc>
          <w:tcPr>
            <w:tcW w:w="2765" w:type="dxa"/>
            <w:tcBorders>
              <w:top w:val="single" w:sz="2" w:space="0" w:color="auto"/>
              <w:left w:val="nil"/>
              <w:bottom w:val="single" w:sz="2" w:space="0" w:color="auto"/>
            </w:tcBorders>
            <w:shd w:val="clear" w:color="auto" w:fill="auto"/>
            <w:noWrap/>
            <w:vAlign w:val="center"/>
            <w:hideMark/>
          </w:tcPr>
          <w:p w14:paraId="64A8B42B" w14:textId="77777777" w:rsidR="004D3571" w:rsidRPr="00AF04B7" w:rsidRDefault="004D3571" w:rsidP="00AF04B7">
            <w:pPr>
              <w:pStyle w:val="cuatexto"/>
              <w:spacing w:line="240" w:lineRule="auto"/>
            </w:pPr>
            <w:r>
              <w:t>Beste prozedura batzuk</w:t>
            </w:r>
          </w:p>
        </w:tc>
        <w:tc>
          <w:tcPr>
            <w:tcW w:w="899" w:type="dxa"/>
            <w:tcBorders>
              <w:top w:val="single" w:sz="2" w:space="0" w:color="auto"/>
              <w:bottom w:val="single" w:sz="2" w:space="0" w:color="auto"/>
            </w:tcBorders>
            <w:shd w:val="clear" w:color="auto" w:fill="auto"/>
            <w:noWrap/>
            <w:vAlign w:val="center"/>
            <w:hideMark/>
          </w:tcPr>
          <w:p w14:paraId="3714D214" w14:textId="77777777" w:rsidR="004D3571" w:rsidRPr="00AF04B7" w:rsidRDefault="004D3571" w:rsidP="00AF04B7">
            <w:pPr>
              <w:pStyle w:val="cuatexto"/>
              <w:spacing w:line="240" w:lineRule="auto"/>
              <w:jc w:val="right"/>
            </w:pPr>
            <w:r>
              <w:t>13</w:t>
            </w:r>
          </w:p>
        </w:tc>
        <w:tc>
          <w:tcPr>
            <w:tcW w:w="809" w:type="dxa"/>
            <w:tcBorders>
              <w:top w:val="single" w:sz="2" w:space="0" w:color="auto"/>
              <w:bottom w:val="single" w:sz="2" w:space="0" w:color="auto"/>
            </w:tcBorders>
            <w:shd w:val="clear" w:color="auto" w:fill="auto"/>
            <w:noWrap/>
            <w:vAlign w:val="center"/>
            <w:hideMark/>
          </w:tcPr>
          <w:p w14:paraId="34CC17CB" w14:textId="77777777" w:rsidR="004D3571" w:rsidRPr="00AF04B7" w:rsidRDefault="004D3571" w:rsidP="00AF04B7">
            <w:pPr>
              <w:pStyle w:val="cuatexto"/>
              <w:spacing w:line="240" w:lineRule="auto"/>
              <w:jc w:val="right"/>
            </w:pPr>
            <w:r>
              <w:t>0</w:t>
            </w:r>
          </w:p>
        </w:tc>
        <w:tc>
          <w:tcPr>
            <w:tcW w:w="995" w:type="dxa"/>
            <w:tcBorders>
              <w:top w:val="single" w:sz="2" w:space="0" w:color="auto"/>
              <w:bottom w:val="single" w:sz="2" w:space="0" w:color="auto"/>
            </w:tcBorders>
            <w:shd w:val="clear" w:color="auto" w:fill="auto"/>
            <w:noWrap/>
            <w:vAlign w:val="center"/>
            <w:hideMark/>
          </w:tcPr>
          <w:p w14:paraId="14B98803" w14:textId="77777777" w:rsidR="004D3571" w:rsidRPr="00AF04B7" w:rsidRDefault="004D3571" w:rsidP="00AF04B7">
            <w:pPr>
              <w:pStyle w:val="cuatexto"/>
              <w:spacing w:line="240" w:lineRule="auto"/>
              <w:jc w:val="right"/>
            </w:pPr>
            <w:r>
              <w:t>370.998</w:t>
            </w:r>
          </w:p>
        </w:tc>
        <w:tc>
          <w:tcPr>
            <w:tcW w:w="1228" w:type="dxa"/>
            <w:tcBorders>
              <w:top w:val="single" w:sz="2" w:space="0" w:color="auto"/>
              <w:bottom w:val="single" w:sz="2" w:space="0" w:color="auto"/>
            </w:tcBorders>
            <w:shd w:val="clear" w:color="auto" w:fill="auto"/>
            <w:noWrap/>
            <w:vAlign w:val="center"/>
            <w:hideMark/>
          </w:tcPr>
          <w:p w14:paraId="2CA39696" w14:textId="77777777" w:rsidR="004D3571" w:rsidRPr="00AF04B7" w:rsidRDefault="004D3571" w:rsidP="00AF04B7">
            <w:pPr>
              <w:pStyle w:val="cuatexto"/>
              <w:spacing w:line="240" w:lineRule="auto"/>
              <w:jc w:val="right"/>
            </w:pPr>
            <w:r>
              <w:t>0</w:t>
            </w:r>
          </w:p>
        </w:tc>
        <w:tc>
          <w:tcPr>
            <w:tcW w:w="1244" w:type="dxa"/>
            <w:tcBorders>
              <w:top w:val="single" w:sz="2" w:space="0" w:color="auto"/>
              <w:bottom w:val="single" w:sz="2" w:space="0" w:color="auto"/>
            </w:tcBorders>
            <w:shd w:val="clear" w:color="auto" w:fill="auto"/>
            <w:noWrap/>
            <w:vAlign w:val="center"/>
            <w:hideMark/>
          </w:tcPr>
          <w:p w14:paraId="1AD4B483" w14:textId="77777777" w:rsidR="004D3571" w:rsidRPr="00AF04B7" w:rsidRDefault="004D3571" w:rsidP="00AF04B7">
            <w:pPr>
              <w:pStyle w:val="cuatexto"/>
              <w:spacing w:line="240" w:lineRule="auto"/>
              <w:jc w:val="right"/>
            </w:pPr>
            <w:r>
              <w:t>0</w:t>
            </w:r>
          </w:p>
        </w:tc>
        <w:tc>
          <w:tcPr>
            <w:tcW w:w="901" w:type="dxa"/>
            <w:tcBorders>
              <w:top w:val="single" w:sz="2" w:space="0" w:color="auto"/>
              <w:bottom w:val="single" w:sz="2" w:space="0" w:color="auto"/>
              <w:right w:val="nil"/>
            </w:tcBorders>
            <w:shd w:val="clear" w:color="auto" w:fill="auto"/>
            <w:noWrap/>
            <w:vAlign w:val="center"/>
            <w:hideMark/>
          </w:tcPr>
          <w:p w14:paraId="6D1DCC05" w14:textId="77777777" w:rsidR="004D3571" w:rsidRPr="00AF04B7" w:rsidRDefault="004D3571" w:rsidP="00AF04B7">
            <w:pPr>
              <w:pStyle w:val="cuatexto"/>
              <w:spacing w:line="240" w:lineRule="auto"/>
              <w:jc w:val="right"/>
            </w:pPr>
            <w:r>
              <w:t> </w:t>
            </w:r>
          </w:p>
        </w:tc>
      </w:tr>
      <w:tr w:rsidR="004D3571" w:rsidRPr="00474131" w14:paraId="60478B2D" w14:textId="77777777" w:rsidTr="00AF04B7">
        <w:trPr>
          <w:trHeight w:val="227"/>
        </w:trPr>
        <w:tc>
          <w:tcPr>
            <w:tcW w:w="2765" w:type="dxa"/>
            <w:tcBorders>
              <w:top w:val="single" w:sz="2" w:space="0" w:color="auto"/>
              <w:left w:val="nil"/>
              <w:bottom w:val="single" w:sz="2" w:space="0" w:color="auto"/>
            </w:tcBorders>
            <w:shd w:val="clear" w:color="auto" w:fill="auto"/>
            <w:noWrap/>
            <w:vAlign w:val="center"/>
            <w:hideMark/>
          </w:tcPr>
          <w:p w14:paraId="58120EA2" w14:textId="77777777" w:rsidR="004D3571" w:rsidRPr="00AF04B7" w:rsidRDefault="004D3571" w:rsidP="00AF04B7">
            <w:pPr>
              <w:pStyle w:val="cuatexto"/>
              <w:spacing w:line="240" w:lineRule="auto"/>
            </w:pPr>
            <w:r>
              <w:t>Finantza-eragiketak</w:t>
            </w:r>
          </w:p>
        </w:tc>
        <w:tc>
          <w:tcPr>
            <w:tcW w:w="899" w:type="dxa"/>
            <w:tcBorders>
              <w:top w:val="single" w:sz="2" w:space="0" w:color="auto"/>
              <w:bottom w:val="single" w:sz="2" w:space="0" w:color="auto"/>
            </w:tcBorders>
            <w:shd w:val="clear" w:color="auto" w:fill="auto"/>
            <w:noWrap/>
            <w:vAlign w:val="center"/>
            <w:hideMark/>
          </w:tcPr>
          <w:p w14:paraId="47C8441A" w14:textId="77777777" w:rsidR="004D3571" w:rsidRPr="00AF04B7" w:rsidRDefault="004D3571" w:rsidP="00AF04B7">
            <w:pPr>
              <w:pStyle w:val="cuatexto"/>
              <w:spacing w:line="240" w:lineRule="auto"/>
              <w:jc w:val="right"/>
            </w:pPr>
            <w:r>
              <w:t>0</w:t>
            </w:r>
          </w:p>
        </w:tc>
        <w:tc>
          <w:tcPr>
            <w:tcW w:w="809" w:type="dxa"/>
            <w:tcBorders>
              <w:top w:val="single" w:sz="2" w:space="0" w:color="auto"/>
              <w:bottom w:val="single" w:sz="2" w:space="0" w:color="auto"/>
            </w:tcBorders>
            <w:shd w:val="clear" w:color="auto" w:fill="auto"/>
            <w:noWrap/>
            <w:vAlign w:val="center"/>
            <w:hideMark/>
          </w:tcPr>
          <w:p w14:paraId="68E97ED2" w14:textId="77777777" w:rsidR="004D3571" w:rsidRPr="00AF04B7" w:rsidRDefault="004D3571" w:rsidP="00AF04B7">
            <w:pPr>
              <w:pStyle w:val="cuatexto"/>
              <w:spacing w:line="240" w:lineRule="auto"/>
              <w:jc w:val="right"/>
            </w:pPr>
            <w:r>
              <w:t>0</w:t>
            </w:r>
          </w:p>
        </w:tc>
        <w:tc>
          <w:tcPr>
            <w:tcW w:w="995" w:type="dxa"/>
            <w:tcBorders>
              <w:top w:val="single" w:sz="2" w:space="0" w:color="auto"/>
              <w:bottom w:val="single" w:sz="2" w:space="0" w:color="auto"/>
            </w:tcBorders>
            <w:shd w:val="clear" w:color="auto" w:fill="auto"/>
            <w:noWrap/>
            <w:vAlign w:val="center"/>
            <w:hideMark/>
          </w:tcPr>
          <w:p w14:paraId="60B33546" w14:textId="77777777" w:rsidR="004D3571" w:rsidRPr="00AF04B7" w:rsidRDefault="004D3571" w:rsidP="00AF04B7">
            <w:pPr>
              <w:pStyle w:val="cuatexto"/>
              <w:spacing w:line="240" w:lineRule="auto"/>
              <w:jc w:val="right"/>
            </w:pPr>
            <w:r>
              <w:t>0</w:t>
            </w:r>
          </w:p>
        </w:tc>
        <w:tc>
          <w:tcPr>
            <w:tcW w:w="1228" w:type="dxa"/>
            <w:tcBorders>
              <w:top w:val="single" w:sz="2" w:space="0" w:color="auto"/>
              <w:bottom w:val="single" w:sz="2" w:space="0" w:color="auto"/>
            </w:tcBorders>
            <w:shd w:val="clear" w:color="auto" w:fill="auto"/>
            <w:noWrap/>
            <w:vAlign w:val="center"/>
            <w:hideMark/>
          </w:tcPr>
          <w:p w14:paraId="560FA95A" w14:textId="77777777" w:rsidR="004D3571" w:rsidRPr="00AF04B7" w:rsidRDefault="004D3571" w:rsidP="00AF04B7">
            <w:pPr>
              <w:pStyle w:val="cuatexto"/>
              <w:spacing w:line="240" w:lineRule="auto"/>
              <w:jc w:val="right"/>
            </w:pPr>
            <w:r>
              <w:t>0</w:t>
            </w:r>
          </w:p>
        </w:tc>
        <w:tc>
          <w:tcPr>
            <w:tcW w:w="1244" w:type="dxa"/>
            <w:tcBorders>
              <w:top w:val="single" w:sz="2" w:space="0" w:color="auto"/>
              <w:bottom w:val="single" w:sz="2" w:space="0" w:color="auto"/>
            </w:tcBorders>
            <w:shd w:val="clear" w:color="auto" w:fill="auto"/>
            <w:noWrap/>
            <w:vAlign w:val="center"/>
            <w:hideMark/>
          </w:tcPr>
          <w:p w14:paraId="31E0C341" w14:textId="77777777" w:rsidR="004D3571" w:rsidRPr="00AF04B7" w:rsidRDefault="004D3571" w:rsidP="00AF04B7">
            <w:pPr>
              <w:pStyle w:val="cuatexto"/>
              <w:spacing w:line="240" w:lineRule="auto"/>
              <w:jc w:val="right"/>
            </w:pPr>
            <w:r>
              <w:t>0</w:t>
            </w:r>
          </w:p>
        </w:tc>
        <w:tc>
          <w:tcPr>
            <w:tcW w:w="901" w:type="dxa"/>
            <w:tcBorders>
              <w:top w:val="single" w:sz="2" w:space="0" w:color="auto"/>
              <w:bottom w:val="single" w:sz="2" w:space="0" w:color="auto"/>
              <w:right w:val="nil"/>
            </w:tcBorders>
            <w:shd w:val="clear" w:color="auto" w:fill="auto"/>
            <w:noWrap/>
            <w:vAlign w:val="center"/>
            <w:hideMark/>
          </w:tcPr>
          <w:p w14:paraId="16AF5B20" w14:textId="77777777" w:rsidR="004D3571" w:rsidRPr="00AF04B7" w:rsidRDefault="004D3571" w:rsidP="00AF04B7">
            <w:pPr>
              <w:pStyle w:val="cuatexto"/>
              <w:spacing w:line="240" w:lineRule="auto"/>
              <w:jc w:val="right"/>
            </w:pPr>
            <w:r>
              <w:t> </w:t>
            </w:r>
          </w:p>
        </w:tc>
      </w:tr>
      <w:tr w:rsidR="004D3571" w:rsidRPr="00474131" w14:paraId="3BC1384F" w14:textId="77777777" w:rsidTr="00AF04B7">
        <w:trPr>
          <w:trHeight w:val="227"/>
        </w:trPr>
        <w:tc>
          <w:tcPr>
            <w:tcW w:w="2765" w:type="dxa"/>
            <w:tcBorders>
              <w:top w:val="single" w:sz="2" w:space="0" w:color="auto"/>
              <w:left w:val="nil"/>
              <w:bottom w:val="single" w:sz="4" w:space="0" w:color="auto"/>
            </w:tcBorders>
            <w:shd w:val="clear" w:color="auto" w:fill="auto"/>
            <w:noWrap/>
            <w:vAlign w:val="center"/>
            <w:hideMark/>
          </w:tcPr>
          <w:p w14:paraId="33B33229" w14:textId="77777777" w:rsidR="004D3571" w:rsidRPr="00AF04B7" w:rsidRDefault="004D3571" w:rsidP="00AF04B7">
            <w:pPr>
              <w:pStyle w:val="cuatexto"/>
              <w:spacing w:line="240" w:lineRule="auto"/>
            </w:pPr>
            <w:r>
              <w:t>Adierazi gabe</w:t>
            </w:r>
          </w:p>
        </w:tc>
        <w:tc>
          <w:tcPr>
            <w:tcW w:w="899" w:type="dxa"/>
            <w:tcBorders>
              <w:top w:val="single" w:sz="2" w:space="0" w:color="auto"/>
              <w:bottom w:val="single" w:sz="4" w:space="0" w:color="auto"/>
            </w:tcBorders>
            <w:shd w:val="clear" w:color="auto" w:fill="auto"/>
            <w:noWrap/>
            <w:vAlign w:val="center"/>
            <w:hideMark/>
          </w:tcPr>
          <w:p w14:paraId="7C982F8C" w14:textId="77777777" w:rsidR="004D3571" w:rsidRPr="00AF04B7" w:rsidRDefault="004D3571" w:rsidP="00AF04B7">
            <w:pPr>
              <w:pStyle w:val="cuatexto"/>
              <w:spacing w:line="240" w:lineRule="auto"/>
              <w:jc w:val="right"/>
            </w:pPr>
            <w:r>
              <w:t>0</w:t>
            </w:r>
          </w:p>
        </w:tc>
        <w:tc>
          <w:tcPr>
            <w:tcW w:w="809" w:type="dxa"/>
            <w:tcBorders>
              <w:top w:val="single" w:sz="2" w:space="0" w:color="auto"/>
              <w:bottom w:val="single" w:sz="4" w:space="0" w:color="auto"/>
            </w:tcBorders>
            <w:shd w:val="clear" w:color="auto" w:fill="auto"/>
            <w:noWrap/>
            <w:vAlign w:val="center"/>
            <w:hideMark/>
          </w:tcPr>
          <w:p w14:paraId="75651A32" w14:textId="77777777" w:rsidR="004D3571" w:rsidRPr="00AF04B7" w:rsidRDefault="004D3571" w:rsidP="00AF04B7">
            <w:pPr>
              <w:pStyle w:val="cuatexto"/>
              <w:spacing w:line="240" w:lineRule="auto"/>
              <w:jc w:val="right"/>
            </w:pPr>
            <w:r>
              <w:t>5</w:t>
            </w:r>
          </w:p>
        </w:tc>
        <w:tc>
          <w:tcPr>
            <w:tcW w:w="995" w:type="dxa"/>
            <w:tcBorders>
              <w:top w:val="single" w:sz="2" w:space="0" w:color="auto"/>
              <w:bottom w:val="single" w:sz="4" w:space="0" w:color="auto"/>
            </w:tcBorders>
            <w:shd w:val="clear" w:color="auto" w:fill="auto"/>
            <w:noWrap/>
            <w:vAlign w:val="center"/>
            <w:hideMark/>
          </w:tcPr>
          <w:p w14:paraId="42AAF89C" w14:textId="77777777" w:rsidR="004D3571" w:rsidRPr="00AF04B7" w:rsidRDefault="004D3571" w:rsidP="00AF04B7">
            <w:pPr>
              <w:pStyle w:val="cuatexto"/>
              <w:spacing w:line="240" w:lineRule="auto"/>
              <w:jc w:val="right"/>
            </w:pPr>
            <w:r>
              <w:t>0</w:t>
            </w:r>
          </w:p>
        </w:tc>
        <w:tc>
          <w:tcPr>
            <w:tcW w:w="1228" w:type="dxa"/>
            <w:tcBorders>
              <w:top w:val="single" w:sz="2" w:space="0" w:color="auto"/>
              <w:bottom w:val="single" w:sz="4" w:space="0" w:color="auto"/>
            </w:tcBorders>
            <w:shd w:val="clear" w:color="auto" w:fill="auto"/>
            <w:noWrap/>
            <w:vAlign w:val="center"/>
            <w:hideMark/>
          </w:tcPr>
          <w:p w14:paraId="341049AC" w14:textId="77777777" w:rsidR="004D3571" w:rsidRPr="00AF04B7" w:rsidRDefault="004D3571" w:rsidP="00AF04B7">
            <w:pPr>
              <w:pStyle w:val="cuatexto"/>
              <w:spacing w:line="240" w:lineRule="auto"/>
              <w:jc w:val="right"/>
            </w:pPr>
            <w:r>
              <w:t>16.661</w:t>
            </w:r>
          </w:p>
        </w:tc>
        <w:tc>
          <w:tcPr>
            <w:tcW w:w="1244" w:type="dxa"/>
            <w:tcBorders>
              <w:top w:val="single" w:sz="2" w:space="0" w:color="auto"/>
              <w:bottom w:val="single" w:sz="4" w:space="0" w:color="auto"/>
            </w:tcBorders>
            <w:shd w:val="clear" w:color="auto" w:fill="auto"/>
            <w:noWrap/>
            <w:vAlign w:val="center"/>
            <w:hideMark/>
          </w:tcPr>
          <w:p w14:paraId="6FE70C85" w14:textId="77777777" w:rsidR="004D3571" w:rsidRPr="00AF04B7" w:rsidRDefault="004D3571" w:rsidP="00AF04B7">
            <w:pPr>
              <w:pStyle w:val="cuatexto"/>
              <w:spacing w:line="240" w:lineRule="auto"/>
              <w:jc w:val="right"/>
            </w:pPr>
            <w:r>
              <w:t>0</w:t>
            </w:r>
          </w:p>
        </w:tc>
        <w:tc>
          <w:tcPr>
            <w:tcW w:w="901" w:type="dxa"/>
            <w:tcBorders>
              <w:top w:val="single" w:sz="2" w:space="0" w:color="auto"/>
              <w:bottom w:val="single" w:sz="4" w:space="0" w:color="auto"/>
              <w:right w:val="nil"/>
            </w:tcBorders>
            <w:shd w:val="clear" w:color="auto" w:fill="auto"/>
            <w:noWrap/>
            <w:vAlign w:val="center"/>
            <w:hideMark/>
          </w:tcPr>
          <w:p w14:paraId="0DD83DA2" w14:textId="77777777" w:rsidR="004D3571" w:rsidRPr="00AF04B7" w:rsidRDefault="004D3571" w:rsidP="00AF04B7">
            <w:pPr>
              <w:pStyle w:val="cuatexto"/>
              <w:spacing w:line="240" w:lineRule="auto"/>
              <w:jc w:val="right"/>
            </w:pPr>
            <w:r>
              <w:t>1</w:t>
            </w:r>
          </w:p>
        </w:tc>
      </w:tr>
      <w:tr w:rsidR="004D3571" w:rsidRPr="00474131" w14:paraId="612A2DCA" w14:textId="77777777" w:rsidTr="00AF04B7">
        <w:trPr>
          <w:trHeight w:val="227"/>
        </w:trPr>
        <w:tc>
          <w:tcPr>
            <w:tcW w:w="2765" w:type="dxa"/>
            <w:tcBorders>
              <w:top w:val="single" w:sz="4" w:space="0" w:color="auto"/>
              <w:left w:val="nil"/>
              <w:bottom w:val="single" w:sz="4" w:space="0" w:color="auto"/>
            </w:tcBorders>
            <w:shd w:val="clear" w:color="auto" w:fill="FABF8F" w:themeFill="accent6" w:themeFillTint="99"/>
            <w:noWrap/>
            <w:vAlign w:val="center"/>
            <w:hideMark/>
          </w:tcPr>
          <w:p w14:paraId="7E99FAF9" w14:textId="77777777" w:rsidR="004D3571" w:rsidRPr="00AF04B7" w:rsidRDefault="004D3571" w:rsidP="00AF04B7">
            <w:pPr>
              <w:pStyle w:val="cuadroCabe"/>
              <w:spacing w:line="240" w:lineRule="auto"/>
            </w:pPr>
            <w:r>
              <w:t>Guztira</w:t>
            </w:r>
          </w:p>
        </w:tc>
        <w:tc>
          <w:tcPr>
            <w:tcW w:w="899" w:type="dxa"/>
            <w:tcBorders>
              <w:top w:val="single" w:sz="4" w:space="0" w:color="auto"/>
              <w:bottom w:val="single" w:sz="4" w:space="0" w:color="auto"/>
            </w:tcBorders>
            <w:shd w:val="clear" w:color="auto" w:fill="FABF8F" w:themeFill="accent6" w:themeFillTint="99"/>
            <w:noWrap/>
            <w:vAlign w:val="center"/>
            <w:hideMark/>
          </w:tcPr>
          <w:p w14:paraId="743E1F36" w14:textId="77777777" w:rsidR="004D3571" w:rsidRPr="00AF04B7" w:rsidRDefault="004D3571" w:rsidP="00AF04B7">
            <w:pPr>
              <w:pStyle w:val="cuadroCabe"/>
              <w:spacing w:line="240" w:lineRule="auto"/>
              <w:jc w:val="right"/>
            </w:pPr>
            <w:r>
              <w:t>168</w:t>
            </w:r>
          </w:p>
        </w:tc>
        <w:tc>
          <w:tcPr>
            <w:tcW w:w="809" w:type="dxa"/>
            <w:tcBorders>
              <w:top w:val="single" w:sz="4" w:space="0" w:color="auto"/>
              <w:bottom w:val="single" w:sz="4" w:space="0" w:color="auto"/>
            </w:tcBorders>
            <w:shd w:val="clear" w:color="auto" w:fill="FABF8F" w:themeFill="accent6" w:themeFillTint="99"/>
            <w:noWrap/>
            <w:vAlign w:val="center"/>
            <w:hideMark/>
          </w:tcPr>
          <w:p w14:paraId="0E404518" w14:textId="77777777" w:rsidR="004D3571" w:rsidRPr="00AF04B7" w:rsidRDefault="004D3571" w:rsidP="00AF04B7">
            <w:pPr>
              <w:pStyle w:val="cuadroCabe"/>
              <w:spacing w:line="240" w:lineRule="auto"/>
              <w:jc w:val="right"/>
            </w:pPr>
            <w:r>
              <w:t>188</w:t>
            </w:r>
          </w:p>
        </w:tc>
        <w:tc>
          <w:tcPr>
            <w:tcW w:w="995" w:type="dxa"/>
            <w:tcBorders>
              <w:top w:val="single" w:sz="4" w:space="0" w:color="auto"/>
              <w:bottom w:val="single" w:sz="4" w:space="0" w:color="auto"/>
            </w:tcBorders>
            <w:shd w:val="clear" w:color="auto" w:fill="FABF8F" w:themeFill="accent6" w:themeFillTint="99"/>
            <w:noWrap/>
            <w:vAlign w:val="center"/>
            <w:hideMark/>
          </w:tcPr>
          <w:p w14:paraId="52A7618A" w14:textId="77777777" w:rsidR="004D3571" w:rsidRPr="00AF04B7" w:rsidRDefault="004D3571" w:rsidP="00AF04B7">
            <w:pPr>
              <w:pStyle w:val="cuadroCabe"/>
              <w:spacing w:line="240" w:lineRule="auto"/>
              <w:jc w:val="right"/>
            </w:pPr>
            <w:r>
              <w:t>4.768.229</w:t>
            </w:r>
          </w:p>
        </w:tc>
        <w:tc>
          <w:tcPr>
            <w:tcW w:w="1228" w:type="dxa"/>
            <w:tcBorders>
              <w:top w:val="single" w:sz="4" w:space="0" w:color="auto"/>
              <w:bottom w:val="single" w:sz="4" w:space="0" w:color="auto"/>
            </w:tcBorders>
            <w:shd w:val="clear" w:color="auto" w:fill="FABF8F" w:themeFill="accent6" w:themeFillTint="99"/>
            <w:noWrap/>
            <w:vAlign w:val="center"/>
            <w:hideMark/>
          </w:tcPr>
          <w:p w14:paraId="7A55D155" w14:textId="77777777" w:rsidR="004D3571" w:rsidRPr="00AF04B7" w:rsidRDefault="004D3571" w:rsidP="00AF04B7">
            <w:pPr>
              <w:pStyle w:val="cuadroCabe"/>
              <w:spacing w:line="240" w:lineRule="auto"/>
              <w:jc w:val="right"/>
            </w:pPr>
            <w:r>
              <w:t>5.059.465</w:t>
            </w:r>
          </w:p>
        </w:tc>
        <w:tc>
          <w:tcPr>
            <w:tcW w:w="1244" w:type="dxa"/>
            <w:tcBorders>
              <w:top w:val="single" w:sz="4" w:space="0" w:color="auto"/>
              <w:bottom w:val="single" w:sz="4" w:space="0" w:color="auto"/>
            </w:tcBorders>
            <w:shd w:val="clear" w:color="auto" w:fill="FABF8F" w:themeFill="accent6" w:themeFillTint="99"/>
            <w:noWrap/>
            <w:vAlign w:val="center"/>
            <w:hideMark/>
          </w:tcPr>
          <w:p w14:paraId="494CA0CA" w14:textId="77777777" w:rsidR="004D3571" w:rsidRPr="00AF04B7" w:rsidRDefault="004D3571" w:rsidP="00AF04B7">
            <w:pPr>
              <w:pStyle w:val="cuadroCabe"/>
              <w:spacing w:line="240" w:lineRule="auto"/>
              <w:jc w:val="right"/>
            </w:pPr>
            <w:r>
              <w:t>6</w:t>
            </w:r>
          </w:p>
        </w:tc>
        <w:tc>
          <w:tcPr>
            <w:tcW w:w="901" w:type="dxa"/>
            <w:tcBorders>
              <w:top w:val="single" w:sz="4" w:space="0" w:color="auto"/>
              <w:bottom w:val="single" w:sz="4" w:space="0" w:color="auto"/>
              <w:right w:val="nil"/>
            </w:tcBorders>
            <w:shd w:val="clear" w:color="auto" w:fill="FABF8F" w:themeFill="accent6" w:themeFillTint="99"/>
            <w:noWrap/>
            <w:vAlign w:val="center"/>
            <w:hideMark/>
          </w:tcPr>
          <w:p w14:paraId="1BC1496A" w14:textId="77777777" w:rsidR="004D3571" w:rsidRPr="00AF04B7" w:rsidRDefault="004D3571" w:rsidP="00AF04B7">
            <w:pPr>
              <w:pStyle w:val="cuadroCabe"/>
              <w:spacing w:line="240" w:lineRule="auto"/>
              <w:jc w:val="right"/>
            </w:pPr>
            <w:r>
              <w:t>16</w:t>
            </w:r>
          </w:p>
        </w:tc>
      </w:tr>
    </w:tbl>
    <w:p w14:paraId="045EB145" w14:textId="4F2C3F54" w:rsidR="00AF04B7" w:rsidRPr="00AF04B7" w:rsidRDefault="00AF04B7" w:rsidP="00AF04B7">
      <w:pPr>
        <w:pStyle w:val="texto"/>
        <w:spacing w:after="0"/>
        <w:ind w:firstLine="0"/>
      </w:pPr>
    </w:p>
    <w:tbl>
      <w:tblPr>
        <w:tblW w:w="8791" w:type="dxa"/>
        <w:tblInd w:w="70"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474"/>
        <w:gridCol w:w="993"/>
        <w:gridCol w:w="638"/>
        <w:gridCol w:w="995"/>
        <w:gridCol w:w="995"/>
        <w:gridCol w:w="992"/>
        <w:gridCol w:w="704"/>
      </w:tblGrid>
      <w:tr w:rsidR="00DB537B" w:rsidRPr="00474131" w14:paraId="60485BBC" w14:textId="77777777" w:rsidTr="00AF04B7">
        <w:trPr>
          <w:trHeight w:val="227"/>
        </w:trPr>
        <w:tc>
          <w:tcPr>
            <w:tcW w:w="3474" w:type="dxa"/>
            <w:vMerge w:val="restart"/>
            <w:tcBorders>
              <w:top w:val="single" w:sz="4" w:space="0" w:color="auto"/>
              <w:bottom w:val="single" w:sz="2" w:space="0" w:color="auto"/>
            </w:tcBorders>
            <w:shd w:val="clear" w:color="auto" w:fill="FABF8F" w:themeFill="accent6" w:themeFillTint="99"/>
            <w:noWrap/>
            <w:vAlign w:val="center"/>
            <w:hideMark/>
          </w:tcPr>
          <w:p w14:paraId="3F815261" w14:textId="6FA871B2" w:rsidR="00DB537B" w:rsidRPr="00AF04B7" w:rsidRDefault="00DB537B" w:rsidP="00AF04B7">
            <w:pPr>
              <w:pStyle w:val="cuadroCabe"/>
              <w:spacing w:line="240" w:lineRule="auto"/>
            </w:pPr>
            <w:r>
              <w:t>Arau-haustea/Arrazoia</w:t>
            </w:r>
          </w:p>
        </w:tc>
        <w:tc>
          <w:tcPr>
            <w:tcW w:w="1631" w:type="dxa"/>
            <w:gridSpan w:val="2"/>
            <w:tcBorders>
              <w:top w:val="single" w:sz="4" w:space="0" w:color="auto"/>
              <w:bottom w:val="single" w:sz="2" w:space="0" w:color="auto"/>
            </w:tcBorders>
            <w:shd w:val="clear" w:color="auto" w:fill="FABF8F" w:themeFill="accent6" w:themeFillTint="99"/>
            <w:vAlign w:val="center"/>
            <w:hideMark/>
          </w:tcPr>
          <w:p w14:paraId="5F4220CA" w14:textId="0D878DF4" w:rsidR="00DB537B" w:rsidRPr="00AF04B7" w:rsidRDefault="00DB537B" w:rsidP="00AF04B7">
            <w:pPr>
              <w:pStyle w:val="cuadroCabe"/>
              <w:spacing w:line="240" w:lineRule="auto"/>
              <w:jc w:val="right"/>
            </w:pPr>
            <w:r>
              <w:t>Eragozpen-oharren kop.</w:t>
            </w:r>
          </w:p>
        </w:tc>
        <w:tc>
          <w:tcPr>
            <w:tcW w:w="1990" w:type="dxa"/>
            <w:gridSpan w:val="2"/>
            <w:tcBorders>
              <w:top w:val="single" w:sz="4" w:space="0" w:color="auto"/>
              <w:bottom w:val="single" w:sz="2" w:space="0" w:color="auto"/>
            </w:tcBorders>
            <w:shd w:val="clear" w:color="auto" w:fill="FABF8F" w:themeFill="accent6" w:themeFillTint="99"/>
            <w:vAlign w:val="center"/>
            <w:hideMark/>
          </w:tcPr>
          <w:p w14:paraId="06F0BF27" w14:textId="431DA057" w:rsidR="00DB537B" w:rsidRPr="00AF04B7" w:rsidRDefault="00DB537B" w:rsidP="00AF04B7">
            <w:pPr>
              <w:pStyle w:val="cuadroCabe"/>
              <w:spacing w:line="240" w:lineRule="auto"/>
              <w:jc w:val="right"/>
            </w:pPr>
            <w:r>
              <w:t>Zenbatekoa (euroak)</w:t>
            </w:r>
          </w:p>
        </w:tc>
        <w:tc>
          <w:tcPr>
            <w:tcW w:w="1696" w:type="dxa"/>
            <w:gridSpan w:val="2"/>
            <w:tcBorders>
              <w:top w:val="single" w:sz="4" w:space="0" w:color="auto"/>
              <w:bottom w:val="single" w:sz="2" w:space="0" w:color="auto"/>
            </w:tcBorders>
            <w:shd w:val="clear" w:color="auto" w:fill="FABF8F" w:themeFill="accent6" w:themeFillTint="99"/>
            <w:vAlign w:val="center"/>
            <w:hideMark/>
          </w:tcPr>
          <w:p w14:paraId="5CE1DF82" w14:textId="77777777" w:rsidR="00DB537B" w:rsidRPr="00AF04B7" w:rsidRDefault="00DB537B" w:rsidP="00AF04B7">
            <w:pPr>
              <w:pStyle w:val="cuadroCabe"/>
              <w:spacing w:line="240" w:lineRule="auto"/>
              <w:jc w:val="right"/>
            </w:pPr>
            <w:r>
              <w:t>Zenbatekorik gabe</w:t>
            </w:r>
          </w:p>
        </w:tc>
      </w:tr>
      <w:tr w:rsidR="00DB537B" w:rsidRPr="00474131" w14:paraId="632A5294" w14:textId="77777777" w:rsidTr="00AF04B7">
        <w:trPr>
          <w:trHeight w:val="227"/>
        </w:trPr>
        <w:tc>
          <w:tcPr>
            <w:tcW w:w="3474" w:type="dxa"/>
            <w:vMerge/>
            <w:tcBorders>
              <w:top w:val="single" w:sz="2" w:space="0" w:color="auto"/>
              <w:bottom w:val="single" w:sz="2" w:space="0" w:color="auto"/>
            </w:tcBorders>
            <w:shd w:val="clear" w:color="auto" w:fill="FABF8F" w:themeFill="accent6" w:themeFillTint="99"/>
            <w:vAlign w:val="center"/>
            <w:hideMark/>
          </w:tcPr>
          <w:p w14:paraId="52F42F83" w14:textId="77777777" w:rsidR="00DB537B" w:rsidRPr="00AF04B7" w:rsidRDefault="00DB537B" w:rsidP="00AF04B7">
            <w:pPr>
              <w:pStyle w:val="cuadroCabe"/>
              <w:spacing w:line="240" w:lineRule="auto"/>
            </w:pPr>
          </w:p>
        </w:tc>
        <w:tc>
          <w:tcPr>
            <w:tcW w:w="993" w:type="dxa"/>
            <w:tcBorders>
              <w:top w:val="single" w:sz="2" w:space="0" w:color="auto"/>
              <w:bottom w:val="single" w:sz="2" w:space="0" w:color="auto"/>
            </w:tcBorders>
            <w:shd w:val="clear" w:color="auto" w:fill="FABF8F" w:themeFill="accent6" w:themeFillTint="99"/>
            <w:noWrap/>
            <w:vAlign w:val="center"/>
            <w:hideMark/>
          </w:tcPr>
          <w:p w14:paraId="7CCF83DC" w14:textId="77777777" w:rsidR="00DB537B" w:rsidRPr="00AF04B7" w:rsidRDefault="00DB537B" w:rsidP="00AF04B7">
            <w:pPr>
              <w:pStyle w:val="cuadroCabe"/>
              <w:spacing w:line="240" w:lineRule="auto"/>
              <w:jc w:val="right"/>
            </w:pPr>
            <w:r>
              <w:t>2019</w:t>
            </w:r>
          </w:p>
        </w:tc>
        <w:tc>
          <w:tcPr>
            <w:tcW w:w="638" w:type="dxa"/>
            <w:tcBorders>
              <w:top w:val="single" w:sz="2" w:space="0" w:color="auto"/>
              <w:bottom w:val="single" w:sz="2" w:space="0" w:color="auto"/>
            </w:tcBorders>
            <w:shd w:val="clear" w:color="auto" w:fill="FABF8F" w:themeFill="accent6" w:themeFillTint="99"/>
            <w:noWrap/>
            <w:vAlign w:val="center"/>
            <w:hideMark/>
          </w:tcPr>
          <w:p w14:paraId="400295DE" w14:textId="77777777" w:rsidR="00DB537B" w:rsidRPr="00AF04B7" w:rsidRDefault="00DB537B" w:rsidP="00AF04B7">
            <w:pPr>
              <w:pStyle w:val="cuadroCabe"/>
              <w:spacing w:line="240" w:lineRule="auto"/>
              <w:jc w:val="right"/>
            </w:pPr>
            <w:r>
              <w:t>2020</w:t>
            </w:r>
          </w:p>
        </w:tc>
        <w:tc>
          <w:tcPr>
            <w:tcW w:w="995" w:type="dxa"/>
            <w:tcBorders>
              <w:top w:val="single" w:sz="2" w:space="0" w:color="auto"/>
              <w:bottom w:val="single" w:sz="2" w:space="0" w:color="auto"/>
            </w:tcBorders>
            <w:shd w:val="clear" w:color="auto" w:fill="FABF8F" w:themeFill="accent6" w:themeFillTint="99"/>
            <w:noWrap/>
            <w:vAlign w:val="center"/>
            <w:hideMark/>
          </w:tcPr>
          <w:p w14:paraId="3E3C44BC" w14:textId="77777777" w:rsidR="00DB537B" w:rsidRPr="00AF04B7" w:rsidRDefault="00DB537B" w:rsidP="00AF04B7">
            <w:pPr>
              <w:pStyle w:val="cuadroCabe"/>
              <w:spacing w:line="240" w:lineRule="auto"/>
              <w:jc w:val="right"/>
            </w:pPr>
            <w:r>
              <w:t>2019</w:t>
            </w:r>
          </w:p>
        </w:tc>
        <w:tc>
          <w:tcPr>
            <w:tcW w:w="995" w:type="dxa"/>
            <w:tcBorders>
              <w:top w:val="single" w:sz="2" w:space="0" w:color="auto"/>
              <w:bottom w:val="single" w:sz="2" w:space="0" w:color="auto"/>
            </w:tcBorders>
            <w:shd w:val="clear" w:color="auto" w:fill="FABF8F" w:themeFill="accent6" w:themeFillTint="99"/>
            <w:noWrap/>
            <w:vAlign w:val="center"/>
            <w:hideMark/>
          </w:tcPr>
          <w:p w14:paraId="2925A708" w14:textId="77777777" w:rsidR="00DB537B" w:rsidRPr="00AF04B7" w:rsidRDefault="00DB537B" w:rsidP="00AF04B7">
            <w:pPr>
              <w:pStyle w:val="cuadroCabe"/>
              <w:spacing w:line="240" w:lineRule="auto"/>
              <w:jc w:val="right"/>
            </w:pPr>
            <w:r>
              <w:t>2020</w:t>
            </w:r>
          </w:p>
        </w:tc>
        <w:tc>
          <w:tcPr>
            <w:tcW w:w="992" w:type="dxa"/>
            <w:tcBorders>
              <w:top w:val="single" w:sz="2" w:space="0" w:color="auto"/>
              <w:bottom w:val="single" w:sz="2" w:space="0" w:color="auto"/>
            </w:tcBorders>
            <w:shd w:val="clear" w:color="auto" w:fill="FABF8F" w:themeFill="accent6" w:themeFillTint="99"/>
            <w:noWrap/>
            <w:vAlign w:val="center"/>
            <w:hideMark/>
          </w:tcPr>
          <w:p w14:paraId="2485A35E" w14:textId="77777777" w:rsidR="00DB537B" w:rsidRPr="00AF04B7" w:rsidRDefault="00DB537B" w:rsidP="00AF04B7">
            <w:pPr>
              <w:pStyle w:val="cuadroCabe"/>
              <w:spacing w:line="240" w:lineRule="auto"/>
              <w:jc w:val="right"/>
            </w:pPr>
            <w:r>
              <w:t>2019</w:t>
            </w:r>
          </w:p>
        </w:tc>
        <w:tc>
          <w:tcPr>
            <w:tcW w:w="704" w:type="dxa"/>
            <w:tcBorders>
              <w:top w:val="single" w:sz="2" w:space="0" w:color="auto"/>
              <w:bottom w:val="single" w:sz="2" w:space="0" w:color="auto"/>
            </w:tcBorders>
            <w:shd w:val="clear" w:color="auto" w:fill="FABF8F" w:themeFill="accent6" w:themeFillTint="99"/>
            <w:noWrap/>
            <w:vAlign w:val="center"/>
            <w:hideMark/>
          </w:tcPr>
          <w:p w14:paraId="35D90F3C" w14:textId="77777777" w:rsidR="00DB537B" w:rsidRPr="00AF04B7" w:rsidRDefault="00DB537B" w:rsidP="00AF04B7">
            <w:pPr>
              <w:pStyle w:val="cuadroCabe"/>
              <w:spacing w:line="240" w:lineRule="auto"/>
              <w:jc w:val="right"/>
            </w:pPr>
            <w:r>
              <w:t>2020</w:t>
            </w:r>
          </w:p>
        </w:tc>
      </w:tr>
      <w:tr w:rsidR="004C5885" w:rsidRPr="00474131" w14:paraId="4E01123E" w14:textId="77777777" w:rsidTr="00AF04B7">
        <w:trPr>
          <w:trHeight w:val="227"/>
        </w:trPr>
        <w:tc>
          <w:tcPr>
            <w:tcW w:w="3474" w:type="dxa"/>
            <w:tcBorders>
              <w:top w:val="single" w:sz="2" w:space="0" w:color="auto"/>
              <w:bottom w:val="single" w:sz="2" w:space="0" w:color="auto"/>
            </w:tcBorders>
            <w:shd w:val="clear" w:color="auto" w:fill="auto"/>
            <w:noWrap/>
            <w:vAlign w:val="center"/>
            <w:hideMark/>
          </w:tcPr>
          <w:p w14:paraId="69AED32D" w14:textId="77777777" w:rsidR="004C5885" w:rsidRPr="00AF04B7" w:rsidRDefault="004C5885" w:rsidP="00AF04B7">
            <w:pPr>
              <w:pStyle w:val="cuatexto"/>
              <w:spacing w:line="240" w:lineRule="auto"/>
            </w:pPr>
            <w:r>
              <w:t>Kreditu nahikorik eza</w:t>
            </w:r>
          </w:p>
        </w:tc>
        <w:tc>
          <w:tcPr>
            <w:tcW w:w="993" w:type="dxa"/>
            <w:tcBorders>
              <w:top w:val="single" w:sz="2" w:space="0" w:color="auto"/>
              <w:bottom w:val="single" w:sz="2" w:space="0" w:color="auto"/>
            </w:tcBorders>
            <w:shd w:val="clear" w:color="auto" w:fill="auto"/>
            <w:noWrap/>
            <w:vAlign w:val="center"/>
            <w:hideMark/>
          </w:tcPr>
          <w:p w14:paraId="72E85643" w14:textId="77777777" w:rsidR="004C5885" w:rsidRPr="00AF04B7" w:rsidRDefault="004C5885" w:rsidP="00AF04B7">
            <w:pPr>
              <w:pStyle w:val="cuatexto"/>
              <w:spacing w:line="240" w:lineRule="auto"/>
              <w:jc w:val="right"/>
            </w:pPr>
            <w:r>
              <w:t>21</w:t>
            </w:r>
          </w:p>
        </w:tc>
        <w:tc>
          <w:tcPr>
            <w:tcW w:w="638" w:type="dxa"/>
            <w:tcBorders>
              <w:top w:val="single" w:sz="2" w:space="0" w:color="auto"/>
              <w:bottom w:val="single" w:sz="2" w:space="0" w:color="auto"/>
            </w:tcBorders>
            <w:shd w:val="clear" w:color="auto" w:fill="auto"/>
            <w:noWrap/>
            <w:vAlign w:val="center"/>
            <w:hideMark/>
          </w:tcPr>
          <w:p w14:paraId="56423E47" w14:textId="77777777" w:rsidR="004C5885" w:rsidRPr="00AF04B7" w:rsidRDefault="004C5885" w:rsidP="00AF04B7">
            <w:pPr>
              <w:pStyle w:val="cuatexto"/>
              <w:spacing w:line="240" w:lineRule="auto"/>
              <w:jc w:val="right"/>
            </w:pPr>
            <w:r>
              <w:t>29</w:t>
            </w:r>
          </w:p>
        </w:tc>
        <w:tc>
          <w:tcPr>
            <w:tcW w:w="995" w:type="dxa"/>
            <w:tcBorders>
              <w:top w:val="single" w:sz="2" w:space="0" w:color="auto"/>
              <w:bottom w:val="single" w:sz="2" w:space="0" w:color="auto"/>
            </w:tcBorders>
            <w:shd w:val="clear" w:color="auto" w:fill="auto"/>
            <w:noWrap/>
            <w:vAlign w:val="center"/>
            <w:hideMark/>
          </w:tcPr>
          <w:p w14:paraId="465C0009" w14:textId="77777777" w:rsidR="004C5885" w:rsidRPr="00AF04B7" w:rsidRDefault="004C5885" w:rsidP="00AF04B7">
            <w:pPr>
              <w:pStyle w:val="cuatexto"/>
              <w:spacing w:line="240" w:lineRule="auto"/>
              <w:jc w:val="right"/>
            </w:pPr>
            <w:r>
              <w:t>339.995</w:t>
            </w:r>
          </w:p>
        </w:tc>
        <w:tc>
          <w:tcPr>
            <w:tcW w:w="995" w:type="dxa"/>
            <w:tcBorders>
              <w:top w:val="single" w:sz="2" w:space="0" w:color="auto"/>
              <w:bottom w:val="single" w:sz="2" w:space="0" w:color="auto"/>
            </w:tcBorders>
            <w:shd w:val="clear" w:color="auto" w:fill="auto"/>
            <w:noWrap/>
            <w:vAlign w:val="center"/>
            <w:hideMark/>
          </w:tcPr>
          <w:p w14:paraId="527A35BB" w14:textId="77777777" w:rsidR="004C5885" w:rsidRPr="00AF04B7" w:rsidRDefault="004C5885" w:rsidP="00AF04B7">
            <w:pPr>
              <w:pStyle w:val="cuatexto"/>
              <w:spacing w:line="240" w:lineRule="auto"/>
              <w:jc w:val="right"/>
            </w:pPr>
            <w:r>
              <w:t>1.257.933</w:t>
            </w:r>
          </w:p>
        </w:tc>
        <w:tc>
          <w:tcPr>
            <w:tcW w:w="992" w:type="dxa"/>
            <w:tcBorders>
              <w:top w:val="single" w:sz="2" w:space="0" w:color="auto"/>
              <w:bottom w:val="single" w:sz="2" w:space="0" w:color="auto"/>
            </w:tcBorders>
            <w:shd w:val="clear" w:color="auto" w:fill="auto"/>
            <w:noWrap/>
            <w:vAlign w:val="center"/>
            <w:hideMark/>
          </w:tcPr>
          <w:p w14:paraId="356C2651" w14:textId="77777777" w:rsidR="004C5885" w:rsidRPr="00AF04B7" w:rsidRDefault="004C5885" w:rsidP="00AF04B7">
            <w:pPr>
              <w:pStyle w:val="cuatexto"/>
              <w:spacing w:line="240" w:lineRule="auto"/>
              <w:jc w:val="right"/>
            </w:pPr>
            <w:r>
              <w:t>2</w:t>
            </w:r>
          </w:p>
        </w:tc>
        <w:tc>
          <w:tcPr>
            <w:tcW w:w="704" w:type="dxa"/>
            <w:tcBorders>
              <w:top w:val="single" w:sz="2" w:space="0" w:color="auto"/>
              <w:bottom w:val="single" w:sz="2" w:space="0" w:color="auto"/>
            </w:tcBorders>
            <w:shd w:val="clear" w:color="auto" w:fill="auto"/>
            <w:noWrap/>
            <w:vAlign w:val="center"/>
            <w:hideMark/>
          </w:tcPr>
          <w:p w14:paraId="1106D409" w14:textId="77777777" w:rsidR="004C5885" w:rsidRPr="00AF04B7" w:rsidRDefault="004C5885" w:rsidP="00AF04B7">
            <w:pPr>
              <w:pStyle w:val="cuatexto"/>
              <w:spacing w:line="240" w:lineRule="auto"/>
              <w:jc w:val="right"/>
            </w:pPr>
            <w:r>
              <w:t>4</w:t>
            </w:r>
          </w:p>
        </w:tc>
      </w:tr>
      <w:tr w:rsidR="004C5885" w:rsidRPr="00474131" w14:paraId="3D806881" w14:textId="77777777" w:rsidTr="00AF04B7">
        <w:trPr>
          <w:trHeight w:val="227"/>
        </w:trPr>
        <w:tc>
          <w:tcPr>
            <w:tcW w:w="3474" w:type="dxa"/>
            <w:tcBorders>
              <w:top w:val="single" w:sz="2" w:space="0" w:color="auto"/>
              <w:bottom w:val="single" w:sz="2" w:space="0" w:color="auto"/>
            </w:tcBorders>
            <w:shd w:val="clear" w:color="auto" w:fill="auto"/>
            <w:noWrap/>
            <w:vAlign w:val="center"/>
            <w:hideMark/>
          </w:tcPr>
          <w:p w14:paraId="1A25BE7A" w14:textId="77777777" w:rsidR="004C5885" w:rsidRPr="00AF04B7" w:rsidRDefault="004C5885" w:rsidP="00AF04B7">
            <w:pPr>
              <w:pStyle w:val="cuatexto"/>
              <w:spacing w:line="240" w:lineRule="auto"/>
            </w:pPr>
            <w:r>
              <w:t>Kreditu ezegokia</w:t>
            </w:r>
          </w:p>
        </w:tc>
        <w:tc>
          <w:tcPr>
            <w:tcW w:w="993" w:type="dxa"/>
            <w:tcBorders>
              <w:top w:val="single" w:sz="2" w:space="0" w:color="auto"/>
              <w:bottom w:val="single" w:sz="2" w:space="0" w:color="auto"/>
            </w:tcBorders>
            <w:shd w:val="clear" w:color="auto" w:fill="auto"/>
            <w:noWrap/>
            <w:vAlign w:val="center"/>
            <w:hideMark/>
          </w:tcPr>
          <w:p w14:paraId="3508FBA7" w14:textId="77777777" w:rsidR="004C5885" w:rsidRPr="00AF04B7" w:rsidRDefault="004C5885" w:rsidP="00AF04B7">
            <w:pPr>
              <w:pStyle w:val="cuatexto"/>
              <w:spacing w:line="240" w:lineRule="auto"/>
              <w:jc w:val="right"/>
            </w:pPr>
            <w:r>
              <w:t>5</w:t>
            </w:r>
          </w:p>
        </w:tc>
        <w:tc>
          <w:tcPr>
            <w:tcW w:w="638" w:type="dxa"/>
            <w:tcBorders>
              <w:top w:val="single" w:sz="2" w:space="0" w:color="auto"/>
              <w:bottom w:val="single" w:sz="2" w:space="0" w:color="auto"/>
            </w:tcBorders>
            <w:shd w:val="clear" w:color="auto" w:fill="auto"/>
            <w:noWrap/>
            <w:vAlign w:val="center"/>
            <w:hideMark/>
          </w:tcPr>
          <w:p w14:paraId="34AB0B63" w14:textId="77777777" w:rsidR="004C5885" w:rsidRPr="00AF04B7" w:rsidRDefault="004C5885" w:rsidP="00AF04B7">
            <w:pPr>
              <w:pStyle w:val="cuatexto"/>
              <w:spacing w:line="240" w:lineRule="auto"/>
              <w:jc w:val="right"/>
            </w:pPr>
            <w:r>
              <w:t>8</w:t>
            </w:r>
          </w:p>
        </w:tc>
        <w:tc>
          <w:tcPr>
            <w:tcW w:w="995" w:type="dxa"/>
            <w:tcBorders>
              <w:top w:val="single" w:sz="2" w:space="0" w:color="auto"/>
              <w:bottom w:val="single" w:sz="2" w:space="0" w:color="auto"/>
            </w:tcBorders>
            <w:shd w:val="clear" w:color="auto" w:fill="auto"/>
            <w:noWrap/>
            <w:vAlign w:val="center"/>
            <w:hideMark/>
          </w:tcPr>
          <w:p w14:paraId="20E0A703" w14:textId="77777777" w:rsidR="004C5885" w:rsidRPr="00AF04B7" w:rsidRDefault="004C5885" w:rsidP="00AF04B7">
            <w:pPr>
              <w:pStyle w:val="cuatexto"/>
              <w:spacing w:line="240" w:lineRule="auto"/>
              <w:jc w:val="right"/>
            </w:pPr>
            <w:r>
              <w:t>78.246</w:t>
            </w:r>
          </w:p>
        </w:tc>
        <w:tc>
          <w:tcPr>
            <w:tcW w:w="995" w:type="dxa"/>
            <w:tcBorders>
              <w:top w:val="single" w:sz="2" w:space="0" w:color="auto"/>
              <w:bottom w:val="single" w:sz="2" w:space="0" w:color="auto"/>
            </w:tcBorders>
            <w:shd w:val="clear" w:color="auto" w:fill="auto"/>
            <w:noWrap/>
            <w:vAlign w:val="center"/>
            <w:hideMark/>
          </w:tcPr>
          <w:p w14:paraId="6573F3F5" w14:textId="77777777" w:rsidR="004C5885" w:rsidRPr="00AF04B7" w:rsidRDefault="004C5885" w:rsidP="00AF04B7">
            <w:pPr>
              <w:pStyle w:val="cuatexto"/>
              <w:spacing w:line="240" w:lineRule="auto"/>
              <w:jc w:val="right"/>
            </w:pPr>
            <w:r>
              <w:t>162.910</w:t>
            </w:r>
          </w:p>
        </w:tc>
        <w:tc>
          <w:tcPr>
            <w:tcW w:w="992" w:type="dxa"/>
            <w:tcBorders>
              <w:top w:val="single" w:sz="2" w:space="0" w:color="auto"/>
              <w:bottom w:val="single" w:sz="2" w:space="0" w:color="auto"/>
            </w:tcBorders>
            <w:shd w:val="clear" w:color="auto" w:fill="auto"/>
            <w:noWrap/>
            <w:vAlign w:val="center"/>
            <w:hideMark/>
          </w:tcPr>
          <w:p w14:paraId="2C62DDFD" w14:textId="77777777" w:rsidR="004C5885" w:rsidRPr="00AF04B7" w:rsidRDefault="004C5885" w:rsidP="00AF04B7">
            <w:pPr>
              <w:pStyle w:val="cuatexto"/>
              <w:spacing w:line="240" w:lineRule="auto"/>
              <w:jc w:val="right"/>
            </w:pPr>
            <w:r>
              <w:t>0</w:t>
            </w:r>
          </w:p>
        </w:tc>
        <w:tc>
          <w:tcPr>
            <w:tcW w:w="704" w:type="dxa"/>
            <w:tcBorders>
              <w:top w:val="single" w:sz="2" w:space="0" w:color="auto"/>
              <w:bottom w:val="single" w:sz="2" w:space="0" w:color="auto"/>
            </w:tcBorders>
            <w:shd w:val="clear" w:color="auto" w:fill="auto"/>
            <w:noWrap/>
            <w:vAlign w:val="center"/>
            <w:hideMark/>
          </w:tcPr>
          <w:p w14:paraId="67EB0089" w14:textId="77777777" w:rsidR="004C5885" w:rsidRPr="00AF04B7" w:rsidRDefault="004C5885" w:rsidP="00AF04B7">
            <w:pPr>
              <w:pStyle w:val="cuatexto"/>
              <w:spacing w:line="240" w:lineRule="auto"/>
              <w:jc w:val="right"/>
            </w:pPr>
            <w:r>
              <w:t>0</w:t>
            </w:r>
          </w:p>
        </w:tc>
      </w:tr>
      <w:tr w:rsidR="004C5885" w:rsidRPr="00474131" w14:paraId="775DDF79" w14:textId="77777777" w:rsidTr="00AF04B7">
        <w:trPr>
          <w:trHeight w:val="227"/>
        </w:trPr>
        <w:tc>
          <w:tcPr>
            <w:tcW w:w="3474" w:type="dxa"/>
            <w:tcBorders>
              <w:top w:val="single" w:sz="2" w:space="0" w:color="auto"/>
              <w:bottom w:val="single" w:sz="2" w:space="0" w:color="auto"/>
            </w:tcBorders>
            <w:shd w:val="clear" w:color="auto" w:fill="auto"/>
            <w:noWrap/>
            <w:vAlign w:val="center"/>
            <w:hideMark/>
          </w:tcPr>
          <w:p w14:paraId="0235E373" w14:textId="77777777" w:rsidR="004C5885" w:rsidRPr="00AF04B7" w:rsidRDefault="004C5885" w:rsidP="00AF04B7">
            <w:pPr>
              <w:pStyle w:val="cuatexto"/>
              <w:spacing w:line="240" w:lineRule="auto"/>
            </w:pPr>
            <w:r>
              <w:t>Fiskalizaziorik eza</w:t>
            </w:r>
          </w:p>
        </w:tc>
        <w:tc>
          <w:tcPr>
            <w:tcW w:w="993" w:type="dxa"/>
            <w:tcBorders>
              <w:top w:val="single" w:sz="2" w:space="0" w:color="auto"/>
              <w:bottom w:val="single" w:sz="2" w:space="0" w:color="auto"/>
            </w:tcBorders>
            <w:shd w:val="clear" w:color="auto" w:fill="auto"/>
            <w:noWrap/>
            <w:vAlign w:val="center"/>
            <w:hideMark/>
          </w:tcPr>
          <w:p w14:paraId="68636A4C" w14:textId="77777777" w:rsidR="004C5885" w:rsidRPr="00AF04B7" w:rsidRDefault="004C5885" w:rsidP="00AF04B7">
            <w:pPr>
              <w:pStyle w:val="cuatexto"/>
              <w:spacing w:line="240" w:lineRule="auto"/>
              <w:jc w:val="right"/>
            </w:pPr>
            <w:r>
              <w:t>11</w:t>
            </w:r>
          </w:p>
        </w:tc>
        <w:tc>
          <w:tcPr>
            <w:tcW w:w="638" w:type="dxa"/>
            <w:tcBorders>
              <w:top w:val="single" w:sz="2" w:space="0" w:color="auto"/>
              <w:bottom w:val="single" w:sz="2" w:space="0" w:color="auto"/>
            </w:tcBorders>
            <w:shd w:val="clear" w:color="auto" w:fill="auto"/>
            <w:noWrap/>
            <w:vAlign w:val="center"/>
            <w:hideMark/>
          </w:tcPr>
          <w:p w14:paraId="48F1D64E" w14:textId="77777777" w:rsidR="004C5885" w:rsidRPr="00AF04B7" w:rsidRDefault="004C5885" w:rsidP="00AF04B7">
            <w:pPr>
              <w:pStyle w:val="cuatexto"/>
              <w:spacing w:line="240" w:lineRule="auto"/>
              <w:jc w:val="right"/>
            </w:pPr>
            <w:r>
              <w:t>7</w:t>
            </w:r>
          </w:p>
        </w:tc>
        <w:tc>
          <w:tcPr>
            <w:tcW w:w="995" w:type="dxa"/>
            <w:tcBorders>
              <w:top w:val="single" w:sz="2" w:space="0" w:color="auto"/>
              <w:bottom w:val="single" w:sz="2" w:space="0" w:color="auto"/>
            </w:tcBorders>
            <w:shd w:val="clear" w:color="auto" w:fill="auto"/>
            <w:noWrap/>
            <w:vAlign w:val="center"/>
            <w:hideMark/>
          </w:tcPr>
          <w:p w14:paraId="00B74003" w14:textId="77777777" w:rsidR="004C5885" w:rsidRPr="00AF04B7" w:rsidRDefault="004C5885" w:rsidP="00AF04B7">
            <w:pPr>
              <w:pStyle w:val="cuatexto"/>
              <w:spacing w:line="240" w:lineRule="auto"/>
              <w:jc w:val="right"/>
            </w:pPr>
            <w:r>
              <w:t>28.238</w:t>
            </w:r>
          </w:p>
        </w:tc>
        <w:tc>
          <w:tcPr>
            <w:tcW w:w="995" w:type="dxa"/>
            <w:tcBorders>
              <w:top w:val="single" w:sz="2" w:space="0" w:color="auto"/>
              <w:bottom w:val="single" w:sz="2" w:space="0" w:color="auto"/>
            </w:tcBorders>
            <w:shd w:val="clear" w:color="auto" w:fill="auto"/>
            <w:noWrap/>
            <w:vAlign w:val="center"/>
            <w:hideMark/>
          </w:tcPr>
          <w:p w14:paraId="111F661F" w14:textId="77777777" w:rsidR="004C5885" w:rsidRPr="00AF04B7" w:rsidRDefault="004C5885" w:rsidP="00AF04B7">
            <w:pPr>
              <w:pStyle w:val="cuatexto"/>
              <w:spacing w:line="240" w:lineRule="auto"/>
              <w:jc w:val="right"/>
            </w:pPr>
            <w:r>
              <w:t>11.983</w:t>
            </w:r>
          </w:p>
        </w:tc>
        <w:tc>
          <w:tcPr>
            <w:tcW w:w="992" w:type="dxa"/>
            <w:tcBorders>
              <w:top w:val="single" w:sz="2" w:space="0" w:color="auto"/>
              <w:bottom w:val="single" w:sz="2" w:space="0" w:color="auto"/>
            </w:tcBorders>
            <w:shd w:val="clear" w:color="auto" w:fill="auto"/>
            <w:noWrap/>
            <w:vAlign w:val="center"/>
            <w:hideMark/>
          </w:tcPr>
          <w:p w14:paraId="7C9D5B1F" w14:textId="77777777" w:rsidR="004C5885" w:rsidRPr="00AF04B7" w:rsidRDefault="004C5885" w:rsidP="00AF04B7">
            <w:pPr>
              <w:pStyle w:val="cuatexto"/>
              <w:spacing w:line="240" w:lineRule="auto"/>
              <w:jc w:val="right"/>
            </w:pPr>
            <w:r>
              <w:t>0</w:t>
            </w:r>
          </w:p>
        </w:tc>
        <w:tc>
          <w:tcPr>
            <w:tcW w:w="704" w:type="dxa"/>
            <w:tcBorders>
              <w:top w:val="single" w:sz="2" w:space="0" w:color="auto"/>
              <w:bottom w:val="single" w:sz="2" w:space="0" w:color="auto"/>
            </w:tcBorders>
            <w:shd w:val="clear" w:color="auto" w:fill="auto"/>
            <w:noWrap/>
            <w:vAlign w:val="center"/>
            <w:hideMark/>
          </w:tcPr>
          <w:p w14:paraId="3BBDB1E1" w14:textId="77777777" w:rsidR="004C5885" w:rsidRPr="00AF04B7" w:rsidRDefault="004C5885" w:rsidP="00AF04B7">
            <w:pPr>
              <w:pStyle w:val="cuatexto"/>
              <w:spacing w:line="240" w:lineRule="auto"/>
              <w:jc w:val="right"/>
            </w:pPr>
            <w:r>
              <w:t>4</w:t>
            </w:r>
          </w:p>
        </w:tc>
      </w:tr>
      <w:tr w:rsidR="004C5885" w:rsidRPr="00474131" w14:paraId="2AD3D03C" w14:textId="77777777" w:rsidTr="00AF04B7">
        <w:trPr>
          <w:trHeight w:val="227"/>
        </w:trPr>
        <w:tc>
          <w:tcPr>
            <w:tcW w:w="3474" w:type="dxa"/>
            <w:tcBorders>
              <w:top w:val="single" w:sz="2" w:space="0" w:color="auto"/>
              <w:bottom w:val="single" w:sz="2" w:space="0" w:color="auto"/>
            </w:tcBorders>
            <w:shd w:val="clear" w:color="auto" w:fill="auto"/>
            <w:noWrap/>
            <w:vAlign w:val="center"/>
            <w:hideMark/>
          </w:tcPr>
          <w:p w14:paraId="675323E2" w14:textId="4D463DA1" w:rsidR="004C5885" w:rsidRPr="00AF04B7" w:rsidRDefault="004C5885" w:rsidP="00AF04B7">
            <w:pPr>
              <w:pStyle w:val="cuatexto"/>
              <w:spacing w:line="240" w:lineRule="auto"/>
            </w:pPr>
            <w:r>
              <w:t>Egiaztagirietan irregulartasunak egotea</w:t>
            </w:r>
          </w:p>
        </w:tc>
        <w:tc>
          <w:tcPr>
            <w:tcW w:w="993" w:type="dxa"/>
            <w:tcBorders>
              <w:top w:val="single" w:sz="2" w:space="0" w:color="auto"/>
              <w:bottom w:val="single" w:sz="2" w:space="0" w:color="auto"/>
            </w:tcBorders>
            <w:shd w:val="clear" w:color="auto" w:fill="auto"/>
            <w:noWrap/>
            <w:vAlign w:val="center"/>
            <w:hideMark/>
          </w:tcPr>
          <w:p w14:paraId="7B9489E9" w14:textId="77777777" w:rsidR="004C5885" w:rsidRPr="00AF04B7" w:rsidRDefault="004C5885" w:rsidP="00AF04B7">
            <w:pPr>
              <w:pStyle w:val="cuatexto"/>
              <w:spacing w:line="240" w:lineRule="auto"/>
              <w:jc w:val="right"/>
            </w:pPr>
            <w:r>
              <w:t>13</w:t>
            </w:r>
          </w:p>
        </w:tc>
        <w:tc>
          <w:tcPr>
            <w:tcW w:w="638" w:type="dxa"/>
            <w:tcBorders>
              <w:top w:val="single" w:sz="2" w:space="0" w:color="auto"/>
              <w:bottom w:val="single" w:sz="2" w:space="0" w:color="auto"/>
            </w:tcBorders>
            <w:shd w:val="clear" w:color="auto" w:fill="auto"/>
            <w:noWrap/>
            <w:vAlign w:val="center"/>
            <w:hideMark/>
          </w:tcPr>
          <w:p w14:paraId="0C7BB6AB" w14:textId="77777777" w:rsidR="004C5885" w:rsidRPr="00AF04B7" w:rsidRDefault="004C5885" w:rsidP="00AF04B7">
            <w:pPr>
              <w:pStyle w:val="cuatexto"/>
              <w:spacing w:line="240" w:lineRule="auto"/>
              <w:jc w:val="right"/>
            </w:pPr>
            <w:r>
              <w:t>5</w:t>
            </w:r>
          </w:p>
        </w:tc>
        <w:tc>
          <w:tcPr>
            <w:tcW w:w="995" w:type="dxa"/>
            <w:tcBorders>
              <w:top w:val="single" w:sz="2" w:space="0" w:color="auto"/>
              <w:bottom w:val="single" w:sz="2" w:space="0" w:color="auto"/>
            </w:tcBorders>
            <w:shd w:val="clear" w:color="auto" w:fill="auto"/>
            <w:noWrap/>
            <w:vAlign w:val="center"/>
            <w:hideMark/>
          </w:tcPr>
          <w:p w14:paraId="011B7DE4" w14:textId="77777777" w:rsidR="004C5885" w:rsidRPr="00AF04B7" w:rsidRDefault="004C5885" w:rsidP="00AF04B7">
            <w:pPr>
              <w:pStyle w:val="cuatexto"/>
              <w:spacing w:line="240" w:lineRule="auto"/>
              <w:jc w:val="right"/>
            </w:pPr>
            <w:r>
              <w:t>110.796</w:t>
            </w:r>
          </w:p>
        </w:tc>
        <w:tc>
          <w:tcPr>
            <w:tcW w:w="995" w:type="dxa"/>
            <w:tcBorders>
              <w:top w:val="single" w:sz="2" w:space="0" w:color="auto"/>
              <w:bottom w:val="single" w:sz="2" w:space="0" w:color="auto"/>
            </w:tcBorders>
            <w:shd w:val="clear" w:color="auto" w:fill="auto"/>
            <w:noWrap/>
            <w:vAlign w:val="center"/>
            <w:hideMark/>
          </w:tcPr>
          <w:p w14:paraId="16B9370C" w14:textId="77777777" w:rsidR="004C5885" w:rsidRPr="00AF04B7" w:rsidRDefault="004C5885" w:rsidP="00AF04B7">
            <w:pPr>
              <w:pStyle w:val="cuatexto"/>
              <w:spacing w:line="240" w:lineRule="auto"/>
              <w:jc w:val="right"/>
            </w:pPr>
            <w:r>
              <w:t>73.000</w:t>
            </w:r>
          </w:p>
        </w:tc>
        <w:tc>
          <w:tcPr>
            <w:tcW w:w="992" w:type="dxa"/>
            <w:tcBorders>
              <w:top w:val="single" w:sz="2" w:space="0" w:color="auto"/>
              <w:bottom w:val="single" w:sz="2" w:space="0" w:color="auto"/>
            </w:tcBorders>
            <w:shd w:val="clear" w:color="auto" w:fill="auto"/>
            <w:noWrap/>
            <w:vAlign w:val="center"/>
            <w:hideMark/>
          </w:tcPr>
          <w:p w14:paraId="5A818912" w14:textId="77777777" w:rsidR="004C5885" w:rsidRPr="00AF04B7" w:rsidRDefault="004C5885" w:rsidP="00AF04B7">
            <w:pPr>
              <w:pStyle w:val="cuatexto"/>
              <w:spacing w:line="240" w:lineRule="auto"/>
              <w:jc w:val="right"/>
            </w:pPr>
            <w:r>
              <w:t>0</w:t>
            </w:r>
          </w:p>
        </w:tc>
        <w:tc>
          <w:tcPr>
            <w:tcW w:w="704" w:type="dxa"/>
            <w:tcBorders>
              <w:top w:val="single" w:sz="2" w:space="0" w:color="auto"/>
              <w:bottom w:val="single" w:sz="2" w:space="0" w:color="auto"/>
            </w:tcBorders>
            <w:shd w:val="clear" w:color="auto" w:fill="auto"/>
            <w:noWrap/>
            <w:vAlign w:val="center"/>
            <w:hideMark/>
          </w:tcPr>
          <w:p w14:paraId="36746858" w14:textId="77777777" w:rsidR="004C5885" w:rsidRPr="00AF04B7" w:rsidRDefault="004C5885" w:rsidP="00AF04B7">
            <w:pPr>
              <w:pStyle w:val="cuatexto"/>
              <w:spacing w:line="240" w:lineRule="auto"/>
              <w:jc w:val="right"/>
            </w:pPr>
            <w:r>
              <w:t>0</w:t>
            </w:r>
          </w:p>
        </w:tc>
      </w:tr>
      <w:tr w:rsidR="004C5885" w:rsidRPr="00474131" w14:paraId="18A085DB" w14:textId="77777777" w:rsidTr="00AF04B7">
        <w:trPr>
          <w:trHeight w:val="227"/>
        </w:trPr>
        <w:tc>
          <w:tcPr>
            <w:tcW w:w="3474" w:type="dxa"/>
            <w:tcBorders>
              <w:top w:val="single" w:sz="2" w:space="0" w:color="auto"/>
              <w:bottom w:val="single" w:sz="2" w:space="0" w:color="auto"/>
            </w:tcBorders>
            <w:shd w:val="clear" w:color="auto" w:fill="auto"/>
            <w:noWrap/>
            <w:vAlign w:val="center"/>
            <w:hideMark/>
          </w:tcPr>
          <w:p w14:paraId="1AE86697" w14:textId="046B2BD1" w:rsidR="004C5885" w:rsidRPr="00AF04B7" w:rsidRDefault="004C5885" w:rsidP="00AF04B7">
            <w:pPr>
              <w:pStyle w:val="cuatexto"/>
              <w:spacing w:line="240" w:lineRule="auto"/>
            </w:pPr>
            <w:r>
              <w:t>Funtsezko betekizun edo izapideak ez betetzea</w:t>
            </w:r>
          </w:p>
        </w:tc>
        <w:tc>
          <w:tcPr>
            <w:tcW w:w="993" w:type="dxa"/>
            <w:tcBorders>
              <w:top w:val="single" w:sz="2" w:space="0" w:color="auto"/>
              <w:bottom w:val="single" w:sz="2" w:space="0" w:color="auto"/>
            </w:tcBorders>
            <w:shd w:val="clear" w:color="auto" w:fill="auto"/>
            <w:noWrap/>
            <w:vAlign w:val="center"/>
            <w:hideMark/>
          </w:tcPr>
          <w:p w14:paraId="60B46BB2" w14:textId="77777777" w:rsidR="004C5885" w:rsidRPr="00AF04B7" w:rsidRDefault="004C5885" w:rsidP="00AF04B7">
            <w:pPr>
              <w:pStyle w:val="cuatexto"/>
              <w:spacing w:line="240" w:lineRule="auto"/>
              <w:jc w:val="right"/>
            </w:pPr>
            <w:r>
              <w:t>99</w:t>
            </w:r>
          </w:p>
        </w:tc>
        <w:tc>
          <w:tcPr>
            <w:tcW w:w="638" w:type="dxa"/>
            <w:tcBorders>
              <w:top w:val="single" w:sz="2" w:space="0" w:color="auto"/>
              <w:bottom w:val="single" w:sz="2" w:space="0" w:color="auto"/>
            </w:tcBorders>
            <w:shd w:val="clear" w:color="auto" w:fill="auto"/>
            <w:noWrap/>
            <w:vAlign w:val="center"/>
            <w:hideMark/>
          </w:tcPr>
          <w:p w14:paraId="04947864" w14:textId="77777777" w:rsidR="004C5885" w:rsidRPr="00AF04B7" w:rsidRDefault="004C5885" w:rsidP="00AF04B7">
            <w:pPr>
              <w:pStyle w:val="cuatexto"/>
              <w:spacing w:line="240" w:lineRule="auto"/>
              <w:jc w:val="right"/>
            </w:pPr>
            <w:r>
              <w:t>122</w:t>
            </w:r>
          </w:p>
        </w:tc>
        <w:tc>
          <w:tcPr>
            <w:tcW w:w="995" w:type="dxa"/>
            <w:tcBorders>
              <w:top w:val="single" w:sz="2" w:space="0" w:color="auto"/>
              <w:bottom w:val="single" w:sz="2" w:space="0" w:color="auto"/>
            </w:tcBorders>
            <w:shd w:val="clear" w:color="auto" w:fill="auto"/>
            <w:noWrap/>
            <w:vAlign w:val="center"/>
            <w:hideMark/>
          </w:tcPr>
          <w:p w14:paraId="4EDB36F2" w14:textId="77777777" w:rsidR="004C5885" w:rsidRPr="00AF04B7" w:rsidRDefault="004C5885" w:rsidP="00AF04B7">
            <w:pPr>
              <w:pStyle w:val="cuatexto"/>
              <w:spacing w:line="240" w:lineRule="auto"/>
              <w:jc w:val="right"/>
            </w:pPr>
            <w:r>
              <w:t>2.864.717</w:t>
            </w:r>
          </w:p>
        </w:tc>
        <w:tc>
          <w:tcPr>
            <w:tcW w:w="995" w:type="dxa"/>
            <w:tcBorders>
              <w:top w:val="single" w:sz="2" w:space="0" w:color="auto"/>
              <w:bottom w:val="single" w:sz="2" w:space="0" w:color="auto"/>
            </w:tcBorders>
            <w:shd w:val="clear" w:color="auto" w:fill="auto"/>
            <w:noWrap/>
            <w:vAlign w:val="center"/>
            <w:hideMark/>
          </w:tcPr>
          <w:p w14:paraId="4AD7B89B" w14:textId="681E17E3" w:rsidR="004C5885" w:rsidRPr="00AF04B7" w:rsidRDefault="00F14730" w:rsidP="00AF04B7">
            <w:pPr>
              <w:pStyle w:val="cuatexto"/>
              <w:spacing w:line="240" w:lineRule="auto"/>
              <w:jc w:val="right"/>
            </w:pPr>
            <w:r>
              <w:t>3.201.997</w:t>
            </w:r>
          </w:p>
        </w:tc>
        <w:tc>
          <w:tcPr>
            <w:tcW w:w="992" w:type="dxa"/>
            <w:tcBorders>
              <w:top w:val="single" w:sz="2" w:space="0" w:color="auto"/>
              <w:bottom w:val="single" w:sz="2" w:space="0" w:color="auto"/>
            </w:tcBorders>
            <w:shd w:val="clear" w:color="auto" w:fill="auto"/>
            <w:noWrap/>
            <w:vAlign w:val="center"/>
            <w:hideMark/>
          </w:tcPr>
          <w:p w14:paraId="50D1F237" w14:textId="77777777" w:rsidR="004C5885" w:rsidRPr="00AF04B7" w:rsidRDefault="004C5885" w:rsidP="00AF04B7">
            <w:pPr>
              <w:pStyle w:val="cuatexto"/>
              <w:spacing w:line="240" w:lineRule="auto"/>
              <w:jc w:val="right"/>
            </w:pPr>
            <w:r>
              <w:t>3</w:t>
            </w:r>
          </w:p>
        </w:tc>
        <w:tc>
          <w:tcPr>
            <w:tcW w:w="704" w:type="dxa"/>
            <w:tcBorders>
              <w:top w:val="single" w:sz="2" w:space="0" w:color="auto"/>
              <w:bottom w:val="single" w:sz="2" w:space="0" w:color="auto"/>
            </w:tcBorders>
            <w:shd w:val="clear" w:color="auto" w:fill="auto"/>
            <w:noWrap/>
            <w:vAlign w:val="center"/>
            <w:hideMark/>
          </w:tcPr>
          <w:p w14:paraId="21461501" w14:textId="77777777" w:rsidR="004C5885" w:rsidRPr="00AF04B7" w:rsidRDefault="004C5885" w:rsidP="00AF04B7">
            <w:pPr>
              <w:pStyle w:val="cuatexto"/>
              <w:spacing w:line="240" w:lineRule="auto"/>
              <w:jc w:val="right"/>
            </w:pPr>
            <w:r>
              <w:t>5</w:t>
            </w:r>
          </w:p>
        </w:tc>
      </w:tr>
      <w:tr w:rsidR="004C5885" w:rsidRPr="00474131" w14:paraId="0DB461EC" w14:textId="77777777" w:rsidTr="00AF04B7">
        <w:trPr>
          <w:trHeight w:val="227"/>
        </w:trPr>
        <w:tc>
          <w:tcPr>
            <w:tcW w:w="3474" w:type="dxa"/>
            <w:tcBorders>
              <w:top w:val="single" w:sz="2" w:space="0" w:color="auto"/>
              <w:bottom w:val="single" w:sz="2" w:space="0" w:color="auto"/>
            </w:tcBorders>
            <w:shd w:val="clear" w:color="auto" w:fill="auto"/>
            <w:noWrap/>
            <w:vAlign w:val="center"/>
            <w:hideMark/>
          </w:tcPr>
          <w:p w14:paraId="613BE8C4" w14:textId="77777777" w:rsidR="004C5885" w:rsidRPr="00AF04B7" w:rsidRDefault="004C5885" w:rsidP="00AF04B7">
            <w:pPr>
              <w:pStyle w:val="cuatexto"/>
              <w:spacing w:line="240" w:lineRule="auto"/>
            </w:pPr>
            <w:r>
              <w:t>Obra, hornidura, erosketa eta zerbitzuen egiaztapen materiala</w:t>
            </w:r>
          </w:p>
        </w:tc>
        <w:tc>
          <w:tcPr>
            <w:tcW w:w="993" w:type="dxa"/>
            <w:tcBorders>
              <w:top w:val="single" w:sz="2" w:space="0" w:color="auto"/>
              <w:bottom w:val="single" w:sz="2" w:space="0" w:color="auto"/>
            </w:tcBorders>
            <w:shd w:val="clear" w:color="auto" w:fill="auto"/>
            <w:noWrap/>
            <w:vAlign w:val="center"/>
            <w:hideMark/>
          </w:tcPr>
          <w:p w14:paraId="525D889C" w14:textId="77777777" w:rsidR="004C5885" w:rsidRPr="00AF04B7" w:rsidRDefault="004C5885" w:rsidP="00AF04B7">
            <w:pPr>
              <w:pStyle w:val="cuatexto"/>
              <w:spacing w:line="240" w:lineRule="auto"/>
              <w:jc w:val="right"/>
            </w:pPr>
            <w:r>
              <w:t>0</w:t>
            </w:r>
          </w:p>
        </w:tc>
        <w:tc>
          <w:tcPr>
            <w:tcW w:w="638" w:type="dxa"/>
            <w:tcBorders>
              <w:top w:val="single" w:sz="2" w:space="0" w:color="auto"/>
              <w:bottom w:val="single" w:sz="2" w:space="0" w:color="auto"/>
            </w:tcBorders>
            <w:shd w:val="clear" w:color="auto" w:fill="auto"/>
            <w:noWrap/>
            <w:vAlign w:val="center"/>
            <w:hideMark/>
          </w:tcPr>
          <w:p w14:paraId="694EA79B" w14:textId="77777777" w:rsidR="004C5885" w:rsidRPr="00AF04B7" w:rsidRDefault="004C5885" w:rsidP="00AF04B7">
            <w:pPr>
              <w:pStyle w:val="cuatexto"/>
              <w:spacing w:line="240" w:lineRule="auto"/>
              <w:jc w:val="right"/>
            </w:pPr>
            <w:r>
              <w:t>2</w:t>
            </w:r>
          </w:p>
        </w:tc>
        <w:tc>
          <w:tcPr>
            <w:tcW w:w="995" w:type="dxa"/>
            <w:tcBorders>
              <w:top w:val="single" w:sz="2" w:space="0" w:color="auto"/>
              <w:bottom w:val="single" w:sz="2" w:space="0" w:color="auto"/>
            </w:tcBorders>
            <w:shd w:val="clear" w:color="auto" w:fill="auto"/>
            <w:noWrap/>
            <w:vAlign w:val="center"/>
            <w:hideMark/>
          </w:tcPr>
          <w:p w14:paraId="0980C479" w14:textId="77777777" w:rsidR="004C5885" w:rsidRPr="00AF04B7" w:rsidRDefault="004C5885" w:rsidP="00AF04B7">
            <w:pPr>
              <w:pStyle w:val="cuatexto"/>
              <w:spacing w:line="240" w:lineRule="auto"/>
              <w:jc w:val="right"/>
            </w:pPr>
            <w:r>
              <w:t>0</w:t>
            </w:r>
          </w:p>
        </w:tc>
        <w:tc>
          <w:tcPr>
            <w:tcW w:w="995" w:type="dxa"/>
            <w:tcBorders>
              <w:top w:val="single" w:sz="2" w:space="0" w:color="auto"/>
              <w:bottom w:val="single" w:sz="2" w:space="0" w:color="auto"/>
            </w:tcBorders>
            <w:shd w:val="clear" w:color="auto" w:fill="auto"/>
            <w:noWrap/>
            <w:vAlign w:val="center"/>
            <w:hideMark/>
          </w:tcPr>
          <w:p w14:paraId="2BFDFD4C" w14:textId="77777777" w:rsidR="004C5885" w:rsidRPr="00AF04B7" w:rsidRDefault="004C5885" w:rsidP="00AF04B7">
            <w:pPr>
              <w:pStyle w:val="cuatexto"/>
              <w:spacing w:line="240" w:lineRule="auto"/>
              <w:jc w:val="right"/>
            </w:pPr>
            <w:r>
              <w:t>6.476</w:t>
            </w:r>
          </w:p>
        </w:tc>
        <w:tc>
          <w:tcPr>
            <w:tcW w:w="992" w:type="dxa"/>
            <w:tcBorders>
              <w:top w:val="single" w:sz="2" w:space="0" w:color="auto"/>
              <w:bottom w:val="single" w:sz="2" w:space="0" w:color="auto"/>
            </w:tcBorders>
            <w:shd w:val="clear" w:color="auto" w:fill="auto"/>
            <w:noWrap/>
            <w:vAlign w:val="center"/>
            <w:hideMark/>
          </w:tcPr>
          <w:p w14:paraId="49EB0DF2" w14:textId="77777777" w:rsidR="004C5885" w:rsidRPr="00AF04B7" w:rsidRDefault="004C5885" w:rsidP="00AF04B7">
            <w:pPr>
              <w:pStyle w:val="cuatexto"/>
              <w:spacing w:line="240" w:lineRule="auto"/>
              <w:jc w:val="right"/>
            </w:pPr>
            <w:r>
              <w:t>0</w:t>
            </w:r>
          </w:p>
        </w:tc>
        <w:tc>
          <w:tcPr>
            <w:tcW w:w="704" w:type="dxa"/>
            <w:tcBorders>
              <w:top w:val="single" w:sz="2" w:space="0" w:color="auto"/>
              <w:bottom w:val="single" w:sz="2" w:space="0" w:color="auto"/>
            </w:tcBorders>
            <w:shd w:val="clear" w:color="auto" w:fill="auto"/>
            <w:noWrap/>
            <w:vAlign w:val="center"/>
            <w:hideMark/>
          </w:tcPr>
          <w:p w14:paraId="5982E5BD" w14:textId="77777777" w:rsidR="004C5885" w:rsidRPr="00AF04B7" w:rsidRDefault="004C5885" w:rsidP="00AF04B7">
            <w:pPr>
              <w:pStyle w:val="cuatexto"/>
              <w:spacing w:line="240" w:lineRule="auto"/>
              <w:jc w:val="right"/>
            </w:pPr>
            <w:r>
              <w:t>0</w:t>
            </w:r>
          </w:p>
        </w:tc>
      </w:tr>
      <w:tr w:rsidR="004C5885" w:rsidRPr="00474131" w14:paraId="60E75F5D" w14:textId="77777777" w:rsidTr="00AF04B7">
        <w:trPr>
          <w:trHeight w:val="227"/>
        </w:trPr>
        <w:tc>
          <w:tcPr>
            <w:tcW w:w="3474" w:type="dxa"/>
            <w:tcBorders>
              <w:top w:val="single" w:sz="2" w:space="0" w:color="auto"/>
              <w:bottom w:val="single" w:sz="2" w:space="0" w:color="auto"/>
            </w:tcBorders>
            <w:shd w:val="clear" w:color="auto" w:fill="auto"/>
            <w:noWrap/>
            <w:vAlign w:val="center"/>
            <w:hideMark/>
          </w:tcPr>
          <w:p w14:paraId="5C1D618A" w14:textId="76E4F119" w:rsidR="004C5885" w:rsidRPr="00AF04B7" w:rsidRDefault="00B51B98" w:rsidP="00AF04B7">
            <w:pPr>
              <w:pStyle w:val="cuatexto"/>
              <w:spacing w:line="240" w:lineRule="auto"/>
            </w:pPr>
            <w:r>
              <w:t>Ordenamendu juridikoaren aurkako beste egintza batzuk</w:t>
            </w:r>
          </w:p>
        </w:tc>
        <w:tc>
          <w:tcPr>
            <w:tcW w:w="993" w:type="dxa"/>
            <w:tcBorders>
              <w:top w:val="single" w:sz="2" w:space="0" w:color="auto"/>
              <w:bottom w:val="single" w:sz="2" w:space="0" w:color="auto"/>
            </w:tcBorders>
            <w:shd w:val="clear" w:color="auto" w:fill="auto"/>
            <w:noWrap/>
            <w:vAlign w:val="center"/>
            <w:hideMark/>
          </w:tcPr>
          <w:p w14:paraId="6E33DDEC" w14:textId="77777777" w:rsidR="004C5885" w:rsidRPr="00AF04B7" w:rsidRDefault="004C5885" w:rsidP="00AF04B7">
            <w:pPr>
              <w:pStyle w:val="cuatexto"/>
              <w:spacing w:line="240" w:lineRule="auto"/>
              <w:jc w:val="right"/>
            </w:pPr>
            <w:r>
              <w:t>19</w:t>
            </w:r>
          </w:p>
        </w:tc>
        <w:tc>
          <w:tcPr>
            <w:tcW w:w="638" w:type="dxa"/>
            <w:tcBorders>
              <w:top w:val="single" w:sz="2" w:space="0" w:color="auto"/>
              <w:bottom w:val="single" w:sz="2" w:space="0" w:color="auto"/>
            </w:tcBorders>
            <w:shd w:val="clear" w:color="auto" w:fill="auto"/>
            <w:noWrap/>
            <w:vAlign w:val="center"/>
            <w:hideMark/>
          </w:tcPr>
          <w:p w14:paraId="56D58B10" w14:textId="77777777" w:rsidR="004C5885" w:rsidRPr="00AF04B7" w:rsidRDefault="004C5885" w:rsidP="00AF04B7">
            <w:pPr>
              <w:pStyle w:val="cuatexto"/>
              <w:spacing w:line="240" w:lineRule="auto"/>
              <w:jc w:val="right"/>
            </w:pPr>
            <w:r>
              <w:t>9</w:t>
            </w:r>
          </w:p>
        </w:tc>
        <w:tc>
          <w:tcPr>
            <w:tcW w:w="995" w:type="dxa"/>
            <w:tcBorders>
              <w:top w:val="single" w:sz="2" w:space="0" w:color="auto"/>
              <w:bottom w:val="single" w:sz="2" w:space="0" w:color="auto"/>
            </w:tcBorders>
            <w:shd w:val="clear" w:color="auto" w:fill="auto"/>
            <w:noWrap/>
            <w:vAlign w:val="center"/>
            <w:hideMark/>
          </w:tcPr>
          <w:p w14:paraId="5944C70B" w14:textId="77777777" w:rsidR="004C5885" w:rsidRPr="00AF04B7" w:rsidRDefault="004C5885" w:rsidP="00AF04B7">
            <w:pPr>
              <w:pStyle w:val="cuatexto"/>
              <w:spacing w:line="240" w:lineRule="auto"/>
              <w:jc w:val="right"/>
            </w:pPr>
            <w:r>
              <w:t>1.346.237</w:t>
            </w:r>
          </w:p>
        </w:tc>
        <w:tc>
          <w:tcPr>
            <w:tcW w:w="995" w:type="dxa"/>
            <w:tcBorders>
              <w:top w:val="single" w:sz="2" w:space="0" w:color="auto"/>
              <w:bottom w:val="single" w:sz="2" w:space="0" w:color="auto"/>
            </w:tcBorders>
            <w:shd w:val="clear" w:color="auto" w:fill="auto"/>
            <w:noWrap/>
            <w:vAlign w:val="center"/>
            <w:hideMark/>
          </w:tcPr>
          <w:p w14:paraId="3E94CFDB" w14:textId="672EBC68" w:rsidR="004C5885" w:rsidRPr="00AF04B7" w:rsidRDefault="00F14730" w:rsidP="00AF04B7">
            <w:pPr>
              <w:pStyle w:val="cuatexto"/>
              <w:spacing w:line="240" w:lineRule="auto"/>
              <w:jc w:val="right"/>
            </w:pPr>
            <w:r>
              <w:t>29.093</w:t>
            </w:r>
          </w:p>
        </w:tc>
        <w:tc>
          <w:tcPr>
            <w:tcW w:w="992" w:type="dxa"/>
            <w:tcBorders>
              <w:top w:val="single" w:sz="2" w:space="0" w:color="auto"/>
              <w:bottom w:val="single" w:sz="2" w:space="0" w:color="auto"/>
            </w:tcBorders>
            <w:shd w:val="clear" w:color="auto" w:fill="auto"/>
            <w:noWrap/>
            <w:vAlign w:val="center"/>
            <w:hideMark/>
          </w:tcPr>
          <w:p w14:paraId="6DF6DCBF" w14:textId="77777777" w:rsidR="004C5885" w:rsidRPr="00AF04B7" w:rsidRDefault="004C5885" w:rsidP="00AF04B7">
            <w:pPr>
              <w:pStyle w:val="cuatexto"/>
              <w:spacing w:line="240" w:lineRule="auto"/>
              <w:jc w:val="right"/>
            </w:pPr>
            <w:r>
              <w:t>1</w:t>
            </w:r>
          </w:p>
        </w:tc>
        <w:tc>
          <w:tcPr>
            <w:tcW w:w="704" w:type="dxa"/>
            <w:tcBorders>
              <w:top w:val="single" w:sz="2" w:space="0" w:color="auto"/>
              <w:bottom w:val="single" w:sz="2" w:space="0" w:color="auto"/>
            </w:tcBorders>
            <w:shd w:val="clear" w:color="auto" w:fill="auto"/>
            <w:noWrap/>
            <w:vAlign w:val="center"/>
            <w:hideMark/>
          </w:tcPr>
          <w:p w14:paraId="327F8393" w14:textId="77777777" w:rsidR="004C5885" w:rsidRPr="00AF04B7" w:rsidRDefault="004C5885" w:rsidP="00AF04B7">
            <w:pPr>
              <w:pStyle w:val="cuatexto"/>
              <w:spacing w:line="240" w:lineRule="auto"/>
              <w:jc w:val="right"/>
            </w:pPr>
            <w:r>
              <w:t>3</w:t>
            </w:r>
          </w:p>
        </w:tc>
      </w:tr>
      <w:tr w:rsidR="004C5885" w:rsidRPr="00474131" w14:paraId="6425AE89" w14:textId="77777777" w:rsidTr="00AF04B7">
        <w:trPr>
          <w:trHeight w:val="227"/>
        </w:trPr>
        <w:tc>
          <w:tcPr>
            <w:tcW w:w="3474" w:type="dxa"/>
            <w:tcBorders>
              <w:top w:val="single" w:sz="2" w:space="0" w:color="auto"/>
              <w:bottom w:val="single" w:sz="4" w:space="0" w:color="auto"/>
            </w:tcBorders>
            <w:shd w:val="clear" w:color="auto" w:fill="auto"/>
            <w:noWrap/>
            <w:vAlign w:val="center"/>
            <w:hideMark/>
          </w:tcPr>
          <w:p w14:paraId="27425F22" w14:textId="77777777" w:rsidR="004C5885" w:rsidRPr="00AF04B7" w:rsidRDefault="004C5885" w:rsidP="00AF04B7">
            <w:pPr>
              <w:pStyle w:val="cuatexto"/>
              <w:spacing w:line="240" w:lineRule="auto"/>
            </w:pPr>
            <w:r>
              <w:t>Gastua onesteko eskumenik gabeko organoa</w:t>
            </w:r>
          </w:p>
        </w:tc>
        <w:tc>
          <w:tcPr>
            <w:tcW w:w="993" w:type="dxa"/>
            <w:tcBorders>
              <w:top w:val="single" w:sz="2" w:space="0" w:color="auto"/>
              <w:bottom w:val="single" w:sz="4" w:space="0" w:color="auto"/>
            </w:tcBorders>
            <w:shd w:val="clear" w:color="auto" w:fill="auto"/>
            <w:noWrap/>
            <w:vAlign w:val="center"/>
            <w:hideMark/>
          </w:tcPr>
          <w:p w14:paraId="384867DB" w14:textId="77777777" w:rsidR="004C5885" w:rsidRPr="00AF04B7" w:rsidRDefault="004C5885" w:rsidP="00AF04B7">
            <w:pPr>
              <w:pStyle w:val="cuatexto"/>
              <w:spacing w:line="240" w:lineRule="auto"/>
              <w:jc w:val="right"/>
            </w:pPr>
            <w:r>
              <w:t>0</w:t>
            </w:r>
          </w:p>
        </w:tc>
        <w:tc>
          <w:tcPr>
            <w:tcW w:w="638" w:type="dxa"/>
            <w:tcBorders>
              <w:top w:val="single" w:sz="2" w:space="0" w:color="auto"/>
              <w:bottom w:val="single" w:sz="4" w:space="0" w:color="auto"/>
            </w:tcBorders>
            <w:shd w:val="clear" w:color="auto" w:fill="auto"/>
            <w:noWrap/>
            <w:vAlign w:val="center"/>
            <w:hideMark/>
          </w:tcPr>
          <w:p w14:paraId="4CC5017E" w14:textId="77777777" w:rsidR="004C5885" w:rsidRPr="00AF04B7" w:rsidRDefault="004C5885" w:rsidP="00AF04B7">
            <w:pPr>
              <w:pStyle w:val="cuatexto"/>
              <w:spacing w:line="240" w:lineRule="auto"/>
              <w:jc w:val="right"/>
            </w:pPr>
            <w:r>
              <w:t>6</w:t>
            </w:r>
          </w:p>
        </w:tc>
        <w:tc>
          <w:tcPr>
            <w:tcW w:w="995" w:type="dxa"/>
            <w:tcBorders>
              <w:top w:val="single" w:sz="2" w:space="0" w:color="auto"/>
              <w:bottom w:val="single" w:sz="4" w:space="0" w:color="auto"/>
            </w:tcBorders>
            <w:shd w:val="clear" w:color="auto" w:fill="auto"/>
            <w:noWrap/>
            <w:vAlign w:val="center"/>
            <w:hideMark/>
          </w:tcPr>
          <w:p w14:paraId="3CD71CCF" w14:textId="77777777" w:rsidR="004C5885" w:rsidRPr="00AF04B7" w:rsidRDefault="004C5885" w:rsidP="00AF04B7">
            <w:pPr>
              <w:pStyle w:val="cuatexto"/>
              <w:spacing w:line="240" w:lineRule="auto"/>
              <w:jc w:val="right"/>
            </w:pPr>
            <w:r>
              <w:t>0</w:t>
            </w:r>
          </w:p>
        </w:tc>
        <w:tc>
          <w:tcPr>
            <w:tcW w:w="995" w:type="dxa"/>
            <w:tcBorders>
              <w:top w:val="single" w:sz="2" w:space="0" w:color="auto"/>
              <w:bottom w:val="single" w:sz="4" w:space="0" w:color="auto"/>
            </w:tcBorders>
            <w:shd w:val="clear" w:color="auto" w:fill="auto"/>
            <w:noWrap/>
            <w:vAlign w:val="center"/>
            <w:hideMark/>
          </w:tcPr>
          <w:p w14:paraId="23790978" w14:textId="1D87E969" w:rsidR="004C5885" w:rsidRPr="00AF04B7" w:rsidRDefault="004C5885" w:rsidP="00AF04B7">
            <w:pPr>
              <w:pStyle w:val="cuatexto"/>
              <w:spacing w:line="240" w:lineRule="auto"/>
              <w:jc w:val="right"/>
            </w:pPr>
            <w:r>
              <w:t>316.074</w:t>
            </w:r>
          </w:p>
        </w:tc>
        <w:tc>
          <w:tcPr>
            <w:tcW w:w="992" w:type="dxa"/>
            <w:tcBorders>
              <w:top w:val="single" w:sz="2" w:space="0" w:color="auto"/>
              <w:bottom w:val="single" w:sz="4" w:space="0" w:color="auto"/>
            </w:tcBorders>
            <w:shd w:val="clear" w:color="auto" w:fill="auto"/>
            <w:noWrap/>
            <w:vAlign w:val="center"/>
            <w:hideMark/>
          </w:tcPr>
          <w:p w14:paraId="756CF304" w14:textId="77777777" w:rsidR="004C5885" w:rsidRPr="00AF04B7" w:rsidRDefault="004C5885" w:rsidP="00AF04B7">
            <w:pPr>
              <w:pStyle w:val="cuatexto"/>
              <w:spacing w:line="240" w:lineRule="auto"/>
              <w:jc w:val="right"/>
            </w:pPr>
            <w:r>
              <w:t>0</w:t>
            </w:r>
          </w:p>
        </w:tc>
        <w:tc>
          <w:tcPr>
            <w:tcW w:w="704" w:type="dxa"/>
            <w:tcBorders>
              <w:top w:val="single" w:sz="2" w:space="0" w:color="auto"/>
              <w:bottom w:val="single" w:sz="4" w:space="0" w:color="auto"/>
            </w:tcBorders>
            <w:shd w:val="clear" w:color="auto" w:fill="auto"/>
            <w:noWrap/>
            <w:vAlign w:val="center"/>
            <w:hideMark/>
          </w:tcPr>
          <w:p w14:paraId="6FB3EA05" w14:textId="77777777" w:rsidR="004C5885" w:rsidRPr="00AF04B7" w:rsidRDefault="004C5885" w:rsidP="00AF04B7">
            <w:pPr>
              <w:pStyle w:val="cuatexto"/>
              <w:spacing w:line="240" w:lineRule="auto"/>
              <w:jc w:val="right"/>
            </w:pPr>
            <w:r>
              <w:t>0</w:t>
            </w:r>
          </w:p>
        </w:tc>
      </w:tr>
      <w:tr w:rsidR="004C5885" w:rsidRPr="00474131" w14:paraId="60F70ACC" w14:textId="77777777" w:rsidTr="00AF04B7">
        <w:trPr>
          <w:trHeight w:val="227"/>
        </w:trPr>
        <w:tc>
          <w:tcPr>
            <w:tcW w:w="3474" w:type="dxa"/>
            <w:tcBorders>
              <w:top w:val="single" w:sz="4" w:space="0" w:color="auto"/>
              <w:bottom w:val="single" w:sz="4" w:space="0" w:color="auto"/>
            </w:tcBorders>
            <w:shd w:val="clear" w:color="auto" w:fill="FABF8F" w:themeFill="accent6" w:themeFillTint="99"/>
            <w:noWrap/>
            <w:vAlign w:val="center"/>
            <w:hideMark/>
          </w:tcPr>
          <w:p w14:paraId="14A5AD31" w14:textId="77777777" w:rsidR="004C5885" w:rsidRPr="00AF04B7" w:rsidRDefault="004C5885" w:rsidP="00AF04B7">
            <w:pPr>
              <w:pStyle w:val="cuadroCabe"/>
              <w:spacing w:line="240" w:lineRule="auto"/>
            </w:pPr>
            <w:r>
              <w:t>Guztira</w:t>
            </w:r>
          </w:p>
        </w:tc>
        <w:tc>
          <w:tcPr>
            <w:tcW w:w="993" w:type="dxa"/>
            <w:tcBorders>
              <w:top w:val="single" w:sz="4" w:space="0" w:color="auto"/>
              <w:bottom w:val="single" w:sz="4" w:space="0" w:color="auto"/>
            </w:tcBorders>
            <w:shd w:val="clear" w:color="auto" w:fill="FABF8F" w:themeFill="accent6" w:themeFillTint="99"/>
            <w:noWrap/>
            <w:vAlign w:val="center"/>
            <w:hideMark/>
          </w:tcPr>
          <w:p w14:paraId="32F1E819" w14:textId="77777777" w:rsidR="004C5885" w:rsidRPr="00AF04B7" w:rsidRDefault="004C5885" w:rsidP="00AF04B7">
            <w:pPr>
              <w:pStyle w:val="cuadroCabe"/>
              <w:spacing w:line="240" w:lineRule="auto"/>
              <w:jc w:val="right"/>
            </w:pPr>
            <w:r>
              <w:t>168</w:t>
            </w:r>
          </w:p>
        </w:tc>
        <w:tc>
          <w:tcPr>
            <w:tcW w:w="638" w:type="dxa"/>
            <w:tcBorders>
              <w:top w:val="single" w:sz="4" w:space="0" w:color="auto"/>
              <w:bottom w:val="single" w:sz="4" w:space="0" w:color="auto"/>
            </w:tcBorders>
            <w:shd w:val="clear" w:color="auto" w:fill="FABF8F" w:themeFill="accent6" w:themeFillTint="99"/>
            <w:noWrap/>
            <w:vAlign w:val="center"/>
            <w:hideMark/>
          </w:tcPr>
          <w:p w14:paraId="0561E2E0" w14:textId="77777777" w:rsidR="004C5885" w:rsidRPr="00AF04B7" w:rsidRDefault="004C5885" w:rsidP="00AF04B7">
            <w:pPr>
              <w:pStyle w:val="cuadroCabe"/>
              <w:spacing w:line="240" w:lineRule="auto"/>
              <w:jc w:val="right"/>
            </w:pPr>
            <w:r>
              <w:t>188</w:t>
            </w:r>
          </w:p>
        </w:tc>
        <w:tc>
          <w:tcPr>
            <w:tcW w:w="995" w:type="dxa"/>
            <w:tcBorders>
              <w:top w:val="single" w:sz="4" w:space="0" w:color="auto"/>
              <w:bottom w:val="single" w:sz="4" w:space="0" w:color="auto"/>
            </w:tcBorders>
            <w:shd w:val="clear" w:color="auto" w:fill="FABF8F" w:themeFill="accent6" w:themeFillTint="99"/>
            <w:noWrap/>
            <w:vAlign w:val="center"/>
            <w:hideMark/>
          </w:tcPr>
          <w:p w14:paraId="17494C0C" w14:textId="77777777" w:rsidR="004C5885" w:rsidRPr="00AF04B7" w:rsidRDefault="004C5885" w:rsidP="00AF04B7">
            <w:pPr>
              <w:pStyle w:val="cuadroCabe"/>
              <w:spacing w:line="240" w:lineRule="auto"/>
              <w:jc w:val="right"/>
            </w:pPr>
            <w:r>
              <w:t>4.768.229</w:t>
            </w:r>
          </w:p>
        </w:tc>
        <w:tc>
          <w:tcPr>
            <w:tcW w:w="995" w:type="dxa"/>
            <w:tcBorders>
              <w:top w:val="single" w:sz="4" w:space="0" w:color="auto"/>
              <w:bottom w:val="single" w:sz="4" w:space="0" w:color="auto"/>
            </w:tcBorders>
            <w:shd w:val="clear" w:color="auto" w:fill="FABF8F" w:themeFill="accent6" w:themeFillTint="99"/>
            <w:noWrap/>
            <w:vAlign w:val="center"/>
            <w:hideMark/>
          </w:tcPr>
          <w:p w14:paraId="71F72353" w14:textId="52838D10" w:rsidR="004C5885" w:rsidRPr="00AF04B7" w:rsidRDefault="00F14730" w:rsidP="00AF04B7">
            <w:pPr>
              <w:pStyle w:val="cuadroCabe"/>
              <w:spacing w:line="240" w:lineRule="auto"/>
              <w:jc w:val="right"/>
            </w:pPr>
            <w:r>
              <w:t>5.059.465</w:t>
            </w:r>
          </w:p>
        </w:tc>
        <w:tc>
          <w:tcPr>
            <w:tcW w:w="992" w:type="dxa"/>
            <w:tcBorders>
              <w:top w:val="single" w:sz="4" w:space="0" w:color="auto"/>
              <w:bottom w:val="single" w:sz="4" w:space="0" w:color="auto"/>
            </w:tcBorders>
            <w:shd w:val="clear" w:color="auto" w:fill="FABF8F" w:themeFill="accent6" w:themeFillTint="99"/>
            <w:noWrap/>
            <w:vAlign w:val="center"/>
            <w:hideMark/>
          </w:tcPr>
          <w:p w14:paraId="3113257C" w14:textId="77777777" w:rsidR="004C5885" w:rsidRPr="00AF04B7" w:rsidRDefault="004C5885" w:rsidP="00AF04B7">
            <w:pPr>
              <w:pStyle w:val="cuadroCabe"/>
              <w:spacing w:line="240" w:lineRule="auto"/>
              <w:jc w:val="right"/>
            </w:pPr>
            <w:r>
              <w:t>6</w:t>
            </w:r>
          </w:p>
        </w:tc>
        <w:tc>
          <w:tcPr>
            <w:tcW w:w="704" w:type="dxa"/>
            <w:tcBorders>
              <w:top w:val="single" w:sz="4" w:space="0" w:color="auto"/>
              <w:bottom w:val="single" w:sz="4" w:space="0" w:color="auto"/>
            </w:tcBorders>
            <w:shd w:val="clear" w:color="auto" w:fill="FABF8F" w:themeFill="accent6" w:themeFillTint="99"/>
            <w:noWrap/>
            <w:vAlign w:val="center"/>
            <w:hideMark/>
          </w:tcPr>
          <w:p w14:paraId="4691C31D" w14:textId="77777777" w:rsidR="004C5885" w:rsidRPr="00AF04B7" w:rsidRDefault="004C5885" w:rsidP="00AF04B7">
            <w:pPr>
              <w:pStyle w:val="cuadroCabe"/>
              <w:spacing w:line="240" w:lineRule="auto"/>
              <w:jc w:val="right"/>
            </w:pPr>
            <w:r>
              <w:t>16</w:t>
            </w:r>
          </w:p>
        </w:tc>
      </w:tr>
    </w:tbl>
    <w:p w14:paraId="45EBEBF5" w14:textId="38B76C87" w:rsidR="00AE13D4" w:rsidRPr="00DB537B" w:rsidRDefault="00AE13D4" w:rsidP="00AF04B7">
      <w:pPr>
        <w:tabs>
          <w:tab w:val="left" w:pos="1630"/>
          <w:tab w:val="left" w:pos="2480"/>
          <w:tab w:val="left" w:pos="3189"/>
          <w:tab w:val="left" w:pos="4039"/>
          <w:tab w:val="left" w:pos="4748"/>
          <w:tab w:val="left" w:pos="5740"/>
          <w:tab w:val="left" w:pos="6733"/>
          <w:tab w:val="left" w:pos="7725"/>
        </w:tabs>
        <w:spacing w:before="120"/>
        <w:ind w:left="68" w:firstLine="215"/>
        <w:jc w:val="left"/>
        <w:rPr>
          <w:color w:val="000000"/>
          <w:sz w:val="26"/>
          <w:szCs w:val="26"/>
        </w:rPr>
      </w:pPr>
      <w:r>
        <w:rPr>
          <w:color w:val="000000" w:themeColor="text1"/>
          <w:sz w:val="26"/>
        </w:rPr>
        <w:t>Kontratazio publikoaren arloan biltzen dira eragozpen-oharren ehuneko 61 eta ukitutako zenbatekoaren ehuneko 86, eta atzetik langileen eta dirulaguntzen arloak datoz. Bestalde, eragozpen-oharren arrazoi ohikoenak dira espedientean funtsezko betekizunak edo izapideak falta izatea (ehuneko 65) eta aurrekontu-kreditu nahikorik ez egotea (ehuneko 15).</w:t>
      </w:r>
    </w:p>
    <w:p w14:paraId="06C7FD1C" w14:textId="736C99EB" w:rsidR="00AE13D4" w:rsidRDefault="008B5AD0" w:rsidP="00EC2B57">
      <w:pPr>
        <w:spacing w:after="0"/>
        <w:ind w:firstLine="0"/>
        <w:jc w:val="left"/>
        <w:rPr>
          <w:rFonts w:cs="Arial"/>
          <w:color w:val="000000" w:themeColor="text1"/>
          <w:spacing w:val="6"/>
          <w:sz w:val="26"/>
          <w:szCs w:val="24"/>
        </w:rPr>
      </w:pPr>
      <w:r>
        <w:rPr>
          <w:color w:val="000000" w:themeColor="text1"/>
          <w:sz w:val="26"/>
        </w:rPr>
        <w:t>Beheko taulan, azkenik, ukitutako zenbatekoaren arabera sailkatu dira 2020ko eragozpen-oharrak:</w:t>
      </w:r>
    </w:p>
    <w:p w14:paraId="5B6251A1" w14:textId="1F226469" w:rsidR="00297E99" w:rsidRPr="0003647B" w:rsidRDefault="00AF04B7" w:rsidP="00297E99">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(Euroak)</w:t>
      </w:r>
    </w:p>
    <w:tbl>
      <w:tblPr>
        <w:tblW w:w="8789" w:type="dxa"/>
        <w:tblBorders>
          <w:top w:val="single" w:sz="4" w:space="0" w:color="auto"/>
          <w:bottom w:val="single" w:sz="4" w:space="0" w:color="auto"/>
          <w:insideH w:val="single" w:sz="2" w:space="0" w:color="auto"/>
        </w:tblBorders>
        <w:tblCellMar>
          <w:left w:w="0" w:type="dxa"/>
          <w:right w:w="0" w:type="dxa"/>
        </w:tblCellMar>
        <w:tblLook w:val="04A0" w:firstRow="1" w:lastRow="0" w:firstColumn="1" w:lastColumn="0" w:noHBand="0" w:noVBand="1"/>
      </w:tblPr>
      <w:tblGrid>
        <w:gridCol w:w="3261"/>
        <w:gridCol w:w="1256"/>
        <w:gridCol w:w="2545"/>
        <w:gridCol w:w="1727"/>
      </w:tblGrid>
      <w:tr w:rsidR="00AE13D4" w:rsidRPr="00AF04B7" w14:paraId="641BE269" w14:textId="77777777" w:rsidTr="00565DBB">
        <w:trPr>
          <w:trHeight w:val="227"/>
        </w:trPr>
        <w:tc>
          <w:tcPr>
            <w:tcW w:w="3261" w:type="dxa"/>
            <w:shd w:val="clear" w:color="auto" w:fill="FABF8F" w:themeFill="accent6" w:themeFillTint="99"/>
            <w:noWrap/>
            <w:tcMar>
              <w:top w:w="0" w:type="dxa"/>
              <w:left w:w="70" w:type="dxa"/>
              <w:bottom w:w="0" w:type="dxa"/>
              <w:right w:w="70" w:type="dxa"/>
            </w:tcMar>
            <w:vAlign w:val="center"/>
            <w:hideMark/>
          </w:tcPr>
          <w:p w14:paraId="4145CC40" w14:textId="77777777" w:rsidR="00AE13D4" w:rsidRPr="00AF04B7" w:rsidRDefault="00AE13D4" w:rsidP="00AF04B7">
            <w:pPr>
              <w:pStyle w:val="cuadroCabe"/>
              <w:spacing w:line="240" w:lineRule="auto"/>
            </w:pPr>
            <w:r>
              <w:t>Diru-zenbatekoaren tartea</w:t>
            </w:r>
          </w:p>
        </w:tc>
        <w:tc>
          <w:tcPr>
            <w:tcW w:w="1256" w:type="dxa"/>
            <w:shd w:val="clear" w:color="auto" w:fill="FABF8F" w:themeFill="accent6" w:themeFillTint="99"/>
            <w:noWrap/>
            <w:tcMar>
              <w:top w:w="0" w:type="dxa"/>
              <w:left w:w="70" w:type="dxa"/>
              <w:bottom w:w="0" w:type="dxa"/>
              <w:right w:w="70" w:type="dxa"/>
            </w:tcMar>
            <w:vAlign w:val="center"/>
            <w:hideMark/>
          </w:tcPr>
          <w:p w14:paraId="2DB98C1E" w14:textId="77777777" w:rsidR="00AE13D4" w:rsidRPr="00AF04B7" w:rsidRDefault="00AE13D4" w:rsidP="00AF04B7">
            <w:pPr>
              <w:pStyle w:val="cuadroCabe"/>
              <w:spacing w:line="240" w:lineRule="auto"/>
              <w:jc w:val="right"/>
            </w:pPr>
            <w:r>
              <w:t>Eragozpen-oharren kopurua</w:t>
            </w:r>
          </w:p>
        </w:tc>
        <w:tc>
          <w:tcPr>
            <w:tcW w:w="2545" w:type="dxa"/>
            <w:shd w:val="clear" w:color="auto" w:fill="FABF8F" w:themeFill="accent6" w:themeFillTint="99"/>
            <w:noWrap/>
            <w:tcMar>
              <w:top w:w="0" w:type="dxa"/>
              <w:left w:w="70" w:type="dxa"/>
              <w:bottom w:w="0" w:type="dxa"/>
              <w:right w:w="70" w:type="dxa"/>
            </w:tcMar>
            <w:vAlign w:val="center"/>
            <w:hideMark/>
          </w:tcPr>
          <w:p w14:paraId="42411EB5" w14:textId="77777777" w:rsidR="00AE13D4" w:rsidRPr="00AF04B7" w:rsidRDefault="00AE13D4" w:rsidP="00AF04B7">
            <w:pPr>
              <w:pStyle w:val="cuadroCabe"/>
              <w:spacing w:line="240" w:lineRule="auto"/>
              <w:jc w:val="right"/>
            </w:pPr>
            <w:r>
              <w:t>Zenbatetsi den diru kopurua, guztira</w:t>
            </w:r>
          </w:p>
        </w:tc>
        <w:tc>
          <w:tcPr>
            <w:tcW w:w="1727" w:type="dxa"/>
            <w:shd w:val="clear" w:color="auto" w:fill="FABF8F" w:themeFill="accent6" w:themeFillTint="99"/>
            <w:noWrap/>
            <w:tcMar>
              <w:top w:w="0" w:type="dxa"/>
              <w:left w:w="70" w:type="dxa"/>
              <w:bottom w:w="0" w:type="dxa"/>
              <w:right w:w="70" w:type="dxa"/>
            </w:tcMar>
            <w:vAlign w:val="center"/>
            <w:hideMark/>
          </w:tcPr>
          <w:p w14:paraId="5743EE5A" w14:textId="77777777" w:rsidR="00AE13D4" w:rsidRPr="00AF04B7" w:rsidRDefault="00AE13D4" w:rsidP="00AF04B7">
            <w:pPr>
              <w:pStyle w:val="cuadroCabe"/>
              <w:spacing w:line="240" w:lineRule="auto"/>
              <w:jc w:val="right"/>
            </w:pPr>
            <w:r>
              <w:t>Batez besteko diru kopurua</w:t>
            </w:r>
          </w:p>
        </w:tc>
      </w:tr>
      <w:tr w:rsidR="004C5885" w:rsidRPr="00AF04B7" w14:paraId="580F3C84" w14:textId="77777777" w:rsidTr="00565DBB">
        <w:trPr>
          <w:trHeight w:val="227"/>
        </w:trPr>
        <w:tc>
          <w:tcPr>
            <w:tcW w:w="3261" w:type="dxa"/>
            <w:noWrap/>
            <w:tcMar>
              <w:top w:w="0" w:type="dxa"/>
              <w:left w:w="70" w:type="dxa"/>
              <w:bottom w:w="0" w:type="dxa"/>
              <w:right w:w="70" w:type="dxa"/>
            </w:tcMar>
            <w:vAlign w:val="center"/>
            <w:hideMark/>
          </w:tcPr>
          <w:p w14:paraId="1CC9CFAE" w14:textId="0890CA2A" w:rsidR="004C5885" w:rsidRPr="00AF04B7" w:rsidRDefault="004C5885" w:rsidP="00AF04B7">
            <w:pPr>
              <w:pStyle w:val="cuatexto"/>
              <w:spacing w:line="240" w:lineRule="auto"/>
            </w:pPr>
            <w:r>
              <w:t>1.000 euro bitarte</w:t>
            </w:r>
          </w:p>
        </w:tc>
        <w:tc>
          <w:tcPr>
            <w:tcW w:w="1256" w:type="dxa"/>
            <w:noWrap/>
            <w:tcMar>
              <w:top w:w="0" w:type="dxa"/>
              <w:left w:w="70" w:type="dxa"/>
              <w:bottom w:w="0" w:type="dxa"/>
              <w:right w:w="70" w:type="dxa"/>
            </w:tcMar>
            <w:vAlign w:val="center"/>
            <w:hideMark/>
          </w:tcPr>
          <w:p w14:paraId="05311185" w14:textId="77777777" w:rsidR="004C5885" w:rsidRPr="00AF04B7" w:rsidRDefault="004C5885" w:rsidP="00AF04B7">
            <w:pPr>
              <w:pStyle w:val="cuatexto"/>
              <w:spacing w:line="240" w:lineRule="auto"/>
              <w:jc w:val="right"/>
            </w:pPr>
            <w:r>
              <w:t>17</w:t>
            </w:r>
          </w:p>
        </w:tc>
        <w:tc>
          <w:tcPr>
            <w:tcW w:w="2545" w:type="dxa"/>
            <w:noWrap/>
            <w:tcMar>
              <w:top w:w="0" w:type="dxa"/>
              <w:left w:w="70" w:type="dxa"/>
              <w:bottom w:w="0" w:type="dxa"/>
              <w:right w:w="70" w:type="dxa"/>
            </w:tcMar>
            <w:vAlign w:val="center"/>
            <w:hideMark/>
          </w:tcPr>
          <w:p w14:paraId="4679BD7C" w14:textId="77777777" w:rsidR="004C5885" w:rsidRPr="00AF04B7" w:rsidRDefault="004C5885" w:rsidP="00AF04B7">
            <w:pPr>
              <w:pStyle w:val="cuatexto"/>
              <w:spacing w:line="240" w:lineRule="auto"/>
              <w:jc w:val="right"/>
            </w:pPr>
            <w:r>
              <w:t xml:space="preserve">             10.448 </w:t>
            </w:r>
          </w:p>
        </w:tc>
        <w:tc>
          <w:tcPr>
            <w:tcW w:w="1727" w:type="dxa"/>
            <w:noWrap/>
            <w:tcMar>
              <w:top w:w="0" w:type="dxa"/>
              <w:left w:w="70" w:type="dxa"/>
              <w:bottom w:w="0" w:type="dxa"/>
              <w:right w:w="70" w:type="dxa"/>
            </w:tcMar>
            <w:vAlign w:val="center"/>
            <w:hideMark/>
          </w:tcPr>
          <w:p w14:paraId="4767114B" w14:textId="77777777" w:rsidR="004C5885" w:rsidRPr="00AF04B7" w:rsidRDefault="004C5885" w:rsidP="00AF04B7">
            <w:pPr>
              <w:pStyle w:val="cuatexto"/>
              <w:spacing w:line="240" w:lineRule="auto"/>
              <w:jc w:val="right"/>
            </w:pPr>
            <w:r>
              <w:t xml:space="preserve">                  615 </w:t>
            </w:r>
          </w:p>
        </w:tc>
      </w:tr>
      <w:tr w:rsidR="004C5885" w:rsidRPr="00AF04B7" w14:paraId="661C9FB1" w14:textId="77777777" w:rsidTr="00565DBB">
        <w:trPr>
          <w:trHeight w:val="227"/>
        </w:trPr>
        <w:tc>
          <w:tcPr>
            <w:tcW w:w="3261" w:type="dxa"/>
            <w:noWrap/>
            <w:tcMar>
              <w:top w:w="0" w:type="dxa"/>
              <w:left w:w="70" w:type="dxa"/>
              <w:bottom w:w="0" w:type="dxa"/>
              <w:right w:w="70" w:type="dxa"/>
            </w:tcMar>
            <w:vAlign w:val="center"/>
            <w:hideMark/>
          </w:tcPr>
          <w:p w14:paraId="5B917EB9" w14:textId="7E3F3AA2" w:rsidR="004C5885" w:rsidRPr="00AF04B7" w:rsidRDefault="004C5885" w:rsidP="00AF04B7">
            <w:pPr>
              <w:pStyle w:val="cuatexto"/>
              <w:spacing w:line="240" w:lineRule="auto"/>
            </w:pPr>
            <w:r>
              <w:t>1.001 - 5.000 euro</w:t>
            </w:r>
          </w:p>
        </w:tc>
        <w:tc>
          <w:tcPr>
            <w:tcW w:w="1256" w:type="dxa"/>
            <w:noWrap/>
            <w:tcMar>
              <w:top w:w="0" w:type="dxa"/>
              <w:left w:w="70" w:type="dxa"/>
              <w:bottom w:w="0" w:type="dxa"/>
              <w:right w:w="70" w:type="dxa"/>
            </w:tcMar>
            <w:vAlign w:val="center"/>
            <w:hideMark/>
          </w:tcPr>
          <w:p w14:paraId="77B77930" w14:textId="77777777" w:rsidR="004C5885" w:rsidRPr="00AF04B7" w:rsidRDefault="004C5885" w:rsidP="00AF04B7">
            <w:pPr>
              <w:pStyle w:val="cuatexto"/>
              <w:spacing w:line="240" w:lineRule="auto"/>
              <w:jc w:val="right"/>
            </w:pPr>
            <w:r>
              <w:t>72</w:t>
            </w:r>
          </w:p>
        </w:tc>
        <w:tc>
          <w:tcPr>
            <w:tcW w:w="2545" w:type="dxa"/>
            <w:noWrap/>
            <w:tcMar>
              <w:top w:w="0" w:type="dxa"/>
              <w:left w:w="70" w:type="dxa"/>
              <w:bottom w:w="0" w:type="dxa"/>
              <w:right w:w="70" w:type="dxa"/>
            </w:tcMar>
            <w:vAlign w:val="center"/>
            <w:hideMark/>
          </w:tcPr>
          <w:p w14:paraId="54B11B8D" w14:textId="77777777" w:rsidR="004C5885" w:rsidRPr="00AF04B7" w:rsidRDefault="004C5885" w:rsidP="00AF04B7">
            <w:pPr>
              <w:pStyle w:val="cuatexto"/>
              <w:spacing w:line="240" w:lineRule="auto"/>
              <w:jc w:val="right"/>
            </w:pPr>
            <w:r>
              <w:t xml:space="preserve">           202.235 </w:t>
            </w:r>
          </w:p>
        </w:tc>
        <w:tc>
          <w:tcPr>
            <w:tcW w:w="1727" w:type="dxa"/>
            <w:noWrap/>
            <w:tcMar>
              <w:top w:w="0" w:type="dxa"/>
              <w:left w:w="70" w:type="dxa"/>
              <w:bottom w:w="0" w:type="dxa"/>
              <w:right w:w="70" w:type="dxa"/>
            </w:tcMar>
            <w:vAlign w:val="center"/>
            <w:hideMark/>
          </w:tcPr>
          <w:p w14:paraId="297AC678" w14:textId="77777777" w:rsidR="004C5885" w:rsidRPr="00AF04B7" w:rsidRDefault="004C5885" w:rsidP="00AF04B7">
            <w:pPr>
              <w:pStyle w:val="cuatexto"/>
              <w:spacing w:line="240" w:lineRule="auto"/>
              <w:jc w:val="right"/>
            </w:pPr>
            <w:r>
              <w:t xml:space="preserve">               2.809 </w:t>
            </w:r>
          </w:p>
        </w:tc>
      </w:tr>
      <w:tr w:rsidR="004C5885" w:rsidRPr="00AF04B7" w14:paraId="2369BC8C" w14:textId="77777777" w:rsidTr="00565DBB">
        <w:trPr>
          <w:trHeight w:val="227"/>
        </w:trPr>
        <w:tc>
          <w:tcPr>
            <w:tcW w:w="3261" w:type="dxa"/>
            <w:noWrap/>
            <w:tcMar>
              <w:top w:w="0" w:type="dxa"/>
              <w:left w:w="70" w:type="dxa"/>
              <w:bottom w:w="0" w:type="dxa"/>
              <w:right w:w="70" w:type="dxa"/>
            </w:tcMar>
            <w:vAlign w:val="center"/>
            <w:hideMark/>
          </w:tcPr>
          <w:p w14:paraId="732728AF" w14:textId="2A95DF27" w:rsidR="004C5885" w:rsidRPr="00AF04B7" w:rsidRDefault="004C5885" w:rsidP="00AF04B7">
            <w:pPr>
              <w:pStyle w:val="cuatexto"/>
              <w:spacing w:line="240" w:lineRule="auto"/>
            </w:pPr>
            <w:r>
              <w:t>5.001 - 10.000 euro</w:t>
            </w:r>
          </w:p>
        </w:tc>
        <w:tc>
          <w:tcPr>
            <w:tcW w:w="1256" w:type="dxa"/>
            <w:noWrap/>
            <w:tcMar>
              <w:top w:w="0" w:type="dxa"/>
              <w:left w:w="70" w:type="dxa"/>
              <w:bottom w:w="0" w:type="dxa"/>
              <w:right w:w="70" w:type="dxa"/>
            </w:tcMar>
            <w:vAlign w:val="center"/>
            <w:hideMark/>
          </w:tcPr>
          <w:p w14:paraId="4050A42E" w14:textId="77777777" w:rsidR="004C5885" w:rsidRPr="00AF04B7" w:rsidRDefault="004C5885" w:rsidP="00AF04B7">
            <w:pPr>
              <w:pStyle w:val="cuatexto"/>
              <w:spacing w:line="240" w:lineRule="auto"/>
              <w:jc w:val="right"/>
            </w:pPr>
            <w:r>
              <w:t>21</w:t>
            </w:r>
          </w:p>
        </w:tc>
        <w:tc>
          <w:tcPr>
            <w:tcW w:w="2545" w:type="dxa"/>
            <w:noWrap/>
            <w:tcMar>
              <w:top w:w="0" w:type="dxa"/>
              <w:left w:w="70" w:type="dxa"/>
              <w:bottom w:w="0" w:type="dxa"/>
              <w:right w:w="70" w:type="dxa"/>
            </w:tcMar>
            <w:vAlign w:val="center"/>
            <w:hideMark/>
          </w:tcPr>
          <w:p w14:paraId="70B7540C" w14:textId="1AD3774F" w:rsidR="004C5885" w:rsidRPr="00AF04B7" w:rsidRDefault="00F14730" w:rsidP="00AF04B7">
            <w:pPr>
              <w:pStyle w:val="cuatexto"/>
              <w:spacing w:line="240" w:lineRule="auto"/>
              <w:jc w:val="right"/>
            </w:pPr>
            <w:r>
              <w:t xml:space="preserve">162.088 </w:t>
            </w:r>
          </w:p>
        </w:tc>
        <w:tc>
          <w:tcPr>
            <w:tcW w:w="1727" w:type="dxa"/>
            <w:noWrap/>
            <w:tcMar>
              <w:top w:w="0" w:type="dxa"/>
              <w:left w:w="70" w:type="dxa"/>
              <w:bottom w:w="0" w:type="dxa"/>
              <w:right w:w="70" w:type="dxa"/>
            </w:tcMar>
            <w:vAlign w:val="center"/>
            <w:hideMark/>
          </w:tcPr>
          <w:p w14:paraId="44203A4F" w14:textId="6977FE83" w:rsidR="004C5885" w:rsidRPr="00AF04B7" w:rsidRDefault="00F14730" w:rsidP="00AF04B7">
            <w:pPr>
              <w:pStyle w:val="cuatexto"/>
              <w:spacing w:line="240" w:lineRule="auto"/>
              <w:jc w:val="right"/>
            </w:pPr>
            <w:r>
              <w:t xml:space="preserve">7.718 </w:t>
            </w:r>
          </w:p>
        </w:tc>
      </w:tr>
      <w:tr w:rsidR="004C5885" w:rsidRPr="00AF04B7" w14:paraId="74F97E52" w14:textId="77777777" w:rsidTr="00565DBB">
        <w:trPr>
          <w:trHeight w:val="227"/>
        </w:trPr>
        <w:tc>
          <w:tcPr>
            <w:tcW w:w="3261" w:type="dxa"/>
            <w:noWrap/>
            <w:tcMar>
              <w:top w:w="0" w:type="dxa"/>
              <w:left w:w="70" w:type="dxa"/>
              <w:bottom w:w="0" w:type="dxa"/>
              <w:right w:w="70" w:type="dxa"/>
            </w:tcMar>
            <w:vAlign w:val="center"/>
            <w:hideMark/>
          </w:tcPr>
          <w:p w14:paraId="2A730427" w14:textId="44226403" w:rsidR="004C5885" w:rsidRPr="00AF04B7" w:rsidRDefault="004C5885" w:rsidP="00AF04B7">
            <w:pPr>
              <w:pStyle w:val="cuatexto"/>
              <w:spacing w:line="240" w:lineRule="auto"/>
            </w:pPr>
            <w:r>
              <w:t>10.001 - 20.000 euro</w:t>
            </w:r>
          </w:p>
        </w:tc>
        <w:tc>
          <w:tcPr>
            <w:tcW w:w="1256" w:type="dxa"/>
            <w:noWrap/>
            <w:tcMar>
              <w:top w:w="0" w:type="dxa"/>
              <w:left w:w="70" w:type="dxa"/>
              <w:bottom w:w="0" w:type="dxa"/>
              <w:right w:w="70" w:type="dxa"/>
            </w:tcMar>
            <w:vAlign w:val="center"/>
            <w:hideMark/>
          </w:tcPr>
          <w:p w14:paraId="197315FA" w14:textId="77777777" w:rsidR="004C5885" w:rsidRPr="00AF04B7" w:rsidRDefault="004C5885" w:rsidP="00AF04B7">
            <w:pPr>
              <w:pStyle w:val="cuatexto"/>
              <w:spacing w:line="240" w:lineRule="auto"/>
              <w:jc w:val="right"/>
            </w:pPr>
            <w:r>
              <w:t>18</w:t>
            </w:r>
          </w:p>
        </w:tc>
        <w:tc>
          <w:tcPr>
            <w:tcW w:w="2545" w:type="dxa"/>
            <w:noWrap/>
            <w:tcMar>
              <w:top w:w="0" w:type="dxa"/>
              <w:left w:w="70" w:type="dxa"/>
              <w:bottom w:w="0" w:type="dxa"/>
              <w:right w:w="70" w:type="dxa"/>
            </w:tcMar>
            <w:vAlign w:val="center"/>
            <w:hideMark/>
          </w:tcPr>
          <w:p w14:paraId="6F1EC812" w14:textId="4020D962" w:rsidR="004C5885" w:rsidRPr="00AF04B7" w:rsidRDefault="00F14730" w:rsidP="00AF04B7">
            <w:pPr>
              <w:pStyle w:val="cuatexto"/>
              <w:spacing w:line="240" w:lineRule="auto"/>
              <w:jc w:val="right"/>
            </w:pPr>
            <w:r>
              <w:t xml:space="preserve">254.689 </w:t>
            </w:r>
          </w:p>
        </w:tc>
        <w:tc>
          <w:tcPr>
            <w:tcW w:w="1727" w:type="dxa"/>
            <w:noWrap/>
            <w:tcMar>
              <w:top w:w="0" w:type="dxa"/>
              <w:left w:w="70" w:type="dxa"/>
              <w:bottom w:w="0" w:type="dxa"/>
              <w:right w:w="70" w:type="dxa"/>
            </w:tcMar>
            <w:vAlign w:val="center"/>
            <w:hideMark/>
          </w:tcPr>
          <w:p w14:paraId="0AEE59D9" w14:textId="07E83E7E" w:rsidR="004C5885" w:rsidRPr="00AF04B7" w:rsidRDefault="00F14730" w:rsidP="00AF04B7">
            <w:pPr>
              <w:pStyle w:val="cuatexto"/>
              <w:spacing w:line="240" w:lineRule="auto"/>
              <w:jc w:val="right"/>
            </w:pPr>
            <w:r>
              <w:t xml:space="preserve">14.149 </w:t>
            </w:r>
          </w:p>
        </w:tc>
      </w:tr>
      <w:tr w:rsidR="004C5885" w:rsidRPr="00AF04B7" w14:paraId="7D902641" w14:textId="77777777" w:rsidTr="00565DBB">
        <w:trPr>
          <w:trHeight w:val="227"/>
        </w:trPr>
        <w:tc>
          <w:tcPr>
            <w:tcW w:w="3261" w:type="dxa"/>
            <w:noWrap/>
            <w:tcMar>
              <w:top w:w="0" w:type="dxa"/>
              <w:left w:w="70" w:type="dxa"/>
              <w:bottom w:w="0" w:type="dxa"/>
              <w:right w:w="70" w:type="dxa"/>
            </w:tcMar>
            <w:vAlign w:val="center"/>
            <w:hideMark/>
          </w:tcPr>
          <w:p w14:paraId="226FFB3D" w14:textId="1BB5505C" w:rsidR="004C5885" w:rsidRPr="00AF04B7" w:rsidRDefault="004C5885" w:rsidP="00AF04B7">
            <w:pPr>
              <w:pStyle w:val="cuatexto"/>
              <w:spacing w:line="240" w:lineRule="auto"/>
            </w:pPr>
            <w:r>
              <w:t>20.000 eurotik gora</w:t>
            </w:r>
          </w:p>
        </w:tc>
        <w:tc>
          <w:tcPr>
            <w:tcW w:w="1256" w:type="dxa"/>
            <w:noWrap/>
            <w:tcMar>
              <w:top w:w="0" w:type="dxa"/>
              <w:left w:w="70" w:type="dxa"/>
              <w:bottom w:w="0" w:type="dxa"/>
              <w:right w:w="70" w:type="dxa"/>
            </w:tcMar>
            <w:vAlign w:val="center"/>
            <w:hideMark/>
          </w:tcPr>
          <w:p w14:paraId="3D0618EB" w14:textId="77777777" w:rsidR="004C5885" w:rsidRPr="00AF04B7" w:rsidRDefault="004C5885" w:rsidP="00AF04B7">
            <w:pPr>
              <w:pStyle w:val="cuatexto"/>
              <w:spacing w:line="240" w:lineRule="auto"/>
              <w:jc w:val="right"/>
            </w:pPr>
            <w:r>
              <w:t>44</w:t>
            </w:r>
          </w:p>
        </w:tc>
        <w:tc>
          <w:tcPr>
            <w:tcW w:w="2545" w:type="dxa"/>
            <w:noWrap/>
            <w:tcMar>
              <w:top w:w="0" w:type="dxa"/>
              <w:left w:w="70" w:type="dxa"/>
              <w:bottom w:w="0" w:type="dxa"/>
              <w:right w:w="70" w:type="dxa"/>
            </w:tcMar>
            <w:vAlign w:val="center"/>
            <w:hideMark/>
          </w:tcPr>
          <w:p w14:paraId="2DF6CD55" w14:textId="269DE7C6" w:rsidR="004C5885" w:rsidRPr="00AF04B7" w:rsidRDefault="00F14730" w:rsidP="00AF04B7">
            <w:pPr>
              <w:pStyle w:val="cuatexto"/>
              <w:spacing w:line="240" w:lineRule="auto"/>
              <w:jc w:val="right"/>
            </w:pPr>
            <w:r>
              <w:t xml:space="preserve">4.430.005 </w:t>
            </w:r>
          </w:p>
        </w:tc>
        <w:tc>
          <w:tcPr>
            <w:tcW w:w="1727" w:type="dxa"/>
            <w:noWrap/>
            <w:tcMar>
              <w:top w:w="0" w:type="dxa"/>
              <w:left w:w="70" w:type="dxa"/>
              <w:bottom w:w="0" w:type="dxa"/>
              <w:right w:w="70" w:type="dxa"/>
            </w:tcMar>
            <w:vAlign w:val="center"/>
            <w:hideMark/>
          </w:tcPr>
          <w:p w14:paraId="7030072C" w14:textId="45791F87" w:rsidR="004C5885" w:rsidRPr="00AF04B7" w:rsidRDefault="00F14730" w:rsidP="00AF04B7">
            <w:pPr>
              <w:pStyle w:val="cuatexto"/>
              <w:spacing w:line="240" w:lineRule="auto"/>
              <w:jc w:val="right"/>
            </w:pPr>
            <w:r>
              <w:t xml:space="preserve">100.682 </w:t>
            </w:r>
          </w:p>
        </w:tc>
      </w:tr>
      <w:tr w:rsidR="004C5885" w:rsidRPr="00AF04B7" w14:paraId="2BF0CFCF" w14:textId="77777777" w:rsidTr="00565DBB">
        <w:trPr>
          <w:trHeight w:val="227"/>
        </w:trPr>
        <w:tc>
          <w:tcPr>
            <w:tcW w:w="3261" w:type="dxa"/>
            <w:shd w:val="clear" w:color="auto" w:fill="FABF8F" w:themeFill="accent6" w:themeFillTint="99"/>
            <w:noWrap/>
            <w:tcMar>
              <w:top w:w="0" w:type="dxa"/>
              <w:left w:w="70" w:type="dxa"/>
              <w:bottom w:w="0" w:type="dxa"/>
              <w:right w:w="70" w:type="dxa"/>
            </w:tcMar>
            <w:vAlign w:val="center"/>
            <w:hideMark/>
          </w:tcPr>
          <w:p w14:paraId="1E1894CF" w14:textId="77777777" w:rsidR="004C5885" w:rsidRPr="00AF04B7" w:rsidRDefault="004C5885" w:rsidP="00AF04B7">
            <w:pPr>
              <w:pStyle w:val="cuadroCabe"/>
              <w:spacing w:line="240" w:lineRule="auto"/>
            </w:pPr>
            <w:r>
              <w:t>Guztira</w:t>
            </w:r>
          </w:p>
        </w:tc>
        <w:tc>
          <w:tcPr>
            <w:tcW w:w="1256" w:type="dxa"/>
            <w:shd w:val="clear" w:color="auto" w:fill="FABF8F" w:themeFill="accent6" w:themeFillTint="99"/>
            <w:noWrap/>
            <w:tcMar>
              <w:top w:w="0" w:type="dxa"/>
              <w:left w:w="70" w:type="dxa"/>
              <w:bottom w:w="0" w:type="dxa"/>
              <w:right w:w="70" w:type="dxa"/>
            </w:tcMar>
            <w:vAlign w:val="center"/>
            <w:hideMark/>
          </w:tcPr>
          <w:p w14:paraId="30119328" w14:textId="77777777" w:rsidR="004C5885" w:rsidRPr="00AF04B7" w:rsidRDefault="004C5885" w:rsidP="00AF04B7">
            <w:pPr>
              <w:pStyle w:val="cuadroCabe"/>
              <w:spacing w:line="240" w:lineRule="auto"/>
              <w:jc w:val="right"/>
            </w:pPr>
            <w:r>
              <w:t>172</w:t>
            </w:r>
          </w:p>
        </w:tc>
        <w:tc>
          <w:tcPr>
            <w:tcW w:w="2545" w:type="dxa"/>
            <w:shd w:val="clear" w:color="auto" w:fill="FABF8F" w:themeFill="accent6" w:themeFillTint="99"/>
            <w:noWrap/>
            <w:tcMar>
              <w:top w:w="0" w:type="dxa"/>
              <w:left w:w="70" w:type="dxa"/>
              <w:bottom w:w="0" w:type="dxa"/>
              <w:right w:w="70" w:type="dxa"/>
            </w:tcMar>
            <w:vAlign w:val="center"/>
            <w:hideMark/>
          </w:tcPr>
          <w:p w14:paraId="2D4723B9" w14:textId="475B1031" w:rsidR="004C5885" w:rsidRPr="00AF04B7" w:rsidRDefault="00F14730" w:rsidP="00AF04B7">
            <w:pPr>
              <w:pStyle w:val="cuadroCabe"/>
              <w:spacing w:line="240" w:lineRule="auto"/>
              <w:jc w:val="right"/>
            </w:pPr>
            <w:r>
              <w:t xml:space="preserve">5.059.465 </w:t>
            </w:r>
          </w:p>
        </w:tc>
        <w:tc>
          <w:tcPr>
            <w:tcW w:w="1727" w:type="dxa"/>
            <w:shd w:val="clear" w:color="auto" w:fill="FABF8F" w:themeFill="accent6" w:themeFillTint="99"/>
            <w:noWrap/>
            <w:tcMar>
              <w:top w:w="0" w:type="dxa"/>
              <w:left w:w="70" w:type="dxa"/>
              <w:bottom w:w="0" w:type="dxa"/>
              <w:right w:w="70" w:type="dxa"/>
            </w:tcMar>
            <w:vAlign w:val="center"/>
            <w:hideMark/>
          </w:tcPr>
          <w:p w14:paraId="1D3240E8" w14:textId="579F5092" w:rsidR="004C5885" w:rsidRPr="00AF04B7" w:rsidRDefault="00F14730" w:rsidP="00AF04B7">
            <w:pPr>
              <w:pStyle w:val="cuadroCabe"/>
              <w:spacing w:line="240" w:lineRule="auto"/>
              <w:jc w:val="right"/>
            </w:pPr>
            <w:r>
              <w:t xml:space="preserve">29.415 </w:t>
            </w:r>
          </w:p>
        </w:tc>
      </w:tr>
    </w:tbl>
    <w:p w14:paraId="3787D519" w14:textId="77777777" w:rsidR="00DB537B" w:rsidRPr="00EF0883" w:rsidRDefault="004B044B" w:rsidP="00AF04B7">
      <w:pPr>
        <w:pStyle w:val="Ttulo2"/>
        <w:spacing w:after="120"/>
        <w:rPr>
          <w:szCs w:val="25"/>
        </w:rPr>
      </w:pPr>
      <w:bookmarkStart w:id="104" w:name="_Toc126061985"/>
      <w:r>
        <w:t>IX.4. Diru-sarreren arloko anomalia nagusiak</w:t>
      </w:r>
      <w:bookmarkEnd w:id="104"/>
    </w:p>
    <w:p w14:paraId="423E7093" w14:textId="2BA8AD1E" w:rsidR="001B2567" w:rsidRDefault="00DB537B" w:rsidP="00AF04B7">
      <w:pPr>
        <w:tabs>
          <w:tab w:val="left" w:pos="1630"/>
          <w:tab w:val="left" w:pos="2480"/>
          <w:tab w:val="left" w:pos="3189"/>
          <w:tab w:val="left" w:pos="4039"/>
          <w:tab w:val="left" w:pos="4748"/>
          <w:tab w:val="left" w:pos="5740"/>
          <w:tab w:val="left" w:pos="6733"/>
          <w:tab w:val="left" w:pos="7725"/>
        </w:tabs>
        <w:spacing w:after="240"/>
        <w:ind w:left="68" w:firstLine="216"/>
        <w:rPr>
          <w:color w:val="000000" w:themeColor="text1"/>
        </w:rPr>
      </w:pPr>
      <w:r>
        <w:rPr>
          <w:color w:val="000000"/>
          <w:sz w:val="26"/>
        </w:rPr>
        <w:t xml:space="preserve">Diru-sarreren arloko zazpi anomaliaren berri eman da, eta 353.631 euroko diru kopurua ukitzen dute; anomalia horietako hiruk guztizko zenbatekoaren ehuneko 87 </w:t>
      </w:r>
      <w:r>
        <w:rPr>
          <w:color w:val="000000"/>
          <w:sz w:val="26"/>
        </w:rPr>
        <w:lastRenderedPageBreak/>
        <w:t xml:space="preserve">ukitzen dute eta hirurak udal berari dagozkio.  2020an anomaliek ukitutako guztizko zenbatekoa aurreko ekitaldikoa baino askoz txikiagoa da, orduan 27 anomalia atzeman baitziren, guztira 794.836 euro hartzen zituztenak. </w:t>
      </w:r>
      <w:r>
        <w:br w:type="page"/>
      </w:r>
    </w:p>
    <w:p w14:paraId="70718BC5" w14:textId="77777777" w:rsidR="00683931" w:rsidRPr="004248BF" w:rsidRDefault="00683931" w:rsidP="004248BF">
      <w:pPr>
        <w:pStyle w:val="Ttulo1"/>
        <w:ind w:firstLine="0"/>
        <w:rPr>
          <w:szCs w:val="25"/>
        </w:rPr>
      </w:pPr>
      <w:bookmarkStart w:id="105" w:name="_Toc126061986"/>
      <w:r>
        <w:lastRenderedPageBreak/>
        <w:t>X. Konparazio-azterketa</w:t>
      </w:r>
      <w:bookmarkEnd w:id="105"/>
    </w:p>
    <w:p w14:paraId="4F0BF2A3" w14:textId="77777777" w:rsidR="00683931" w:rsidRPr="00EF0883" w:rsidRDefault="00683931" w:rsidP="004248BF">
      <w:pPr>
        <w:pStyle w:val="Ttulo2"/>
        <w:rPr>
          <w:szCs w:val="25"/>
        </w:rPr>
      </w:pPr>
      <w:bookmarkStart w:id="106" w:name="_Toc126061987"/>
      <w:r>
        <w:t>X.1. Nafarroako udalen arteko konparazioa biztanleria-tarteen arabera</w:t>
      </w:r>
      <w:bookmarkEnd w:id="106"/>
    </w:p>
    <w:p w14:paraId="18682A9D" w14:textId="5050E41F" w:rsidR="00683931" w:rsidRPr="005C70E8" w:rsidRDefault="00FB2CFA" w:rsidP="005C70E8">
      <w:pPr>
        <w:pStyle w:val="texto"/>
      </w:pPr>
      <w:r>
        <w:t xml:space="preserve">Beheko taulan alderatzen diren adierazleetan alde nabarmen batzuk suma daitezke biztanle-tarte desberdinetako Nafarroako udalen artean. </w:t>
      </w:r>
    </w:p>
    <w:tbl>
      <w:tblPr>
        <w:tblW w:w="8788" w:type="dxa"/>
        <w:jc w:val="center"/>
        <w:tblLayout w:type="fixed"/>
        <w:tblCellMar>
          <w:left w:w="70" w:type="dxa"/>
          <w:right w:w="70" w:type="dxa"/>
        </w:tblCellMar>
        <w:tblLook w:val="04A0" w:firstRow="1" w:lastRow="0" w:firstColumn="1" w:lastColumn="0" w:noHBand="0" w:noVBand="1"/>
      </w:tblPr>
      <w:tblGrid>
        <w:gridCol w:w="3119"/>
        <w:gridCol w:w="851"/>
        <w:gridCol w:w="1275"/>
        <w:gridCol w:w="1275"/>
        <w:gridCol w:w="1418"/>
        <w:gridCol w:w="850"/>
      </w:tblGrid>
      <w:tr w:rsidR="00FB2CFA" w:rsidRPr="00ED1AC4" w14:paraId="15FC458A" w14:textId="77777777" w:rsidTr="00C01180">
        <w:trPr>
          <w:trHeight w:val="255"/>
          <w:jc w:val="center"/>
        </w:trPr>
        <w:tc>
          <w:tcPr>
            <w:tcW w:w="3119" w:type="dxa"/>
            <w:tcBorders>
              <w:top w:val="single" w:sz="4" w:space="0" w:color="auto"/>
              <w:left w:val="nil"/>
              <w:bottom w:val="single" w:sz="4" w:space="0" w:color="auto"/>
              <w:right w:val="nil"/>
            </w:tcBorders>
            <w:shd w:val="clear" w:color="auto" w:fill="FABF8F" w:themeFill="accent6" w:themeFillTint="99"/>
            <w:noWrap/>
            <w:vAlign w:val="center"/>
            <w:hideMark/>
          </w:tcPr>
          <w:p w14:paraId="6F3782E1" w14:textId="77777777" w:rsidR="00FB2CFA" w:rsidRPr="00ED1AC4" w:rsidRDefault="00FB2CFA" w:rsidP="00ED1AC4">
            <w:pPr>
              <w:pStyle w:val="cuadroCabe"/>
              <w:spacing w:line="240" w:lineRule="auto"/>
              <w:rPr>
                <w:sz w:val="16"/>
                <w:szCs w:val="16"/>
              </w:rPr>
            </w:pPr>
            <w:r>
              <w:rPr>
                <w:sz w:val="16"/>
              </w:rPr>
              <w:t>Biztanleria</w:t>
            </w:r>
          </w:p>
        </w:tc>
        <w:tc>
          <w:tcPr>
            <w:tcW w:w="851" w:type="dxa"/>
            <w:tcBorders>
              <w:top w:val="single" w:sz="4" w:space="0" w:color="auto"/>
              <w:left w:val="nil"/>
              <w:bottom w:val="single" w:sz="4" w:space="0" w:color="auto"/>
              <w:right w:val="nil"/>
            </w:tcBorders>
            <w:shd w:val="clear" w:color="auto" w:fill="FABF8F" w:themeFill="accent6" w:themeFillTint="99"/>
            <w:vAlign w:val="center"/>
            <w:hideMark/>
          </w:tcPr>
          <w:p w14:paraId="3FA4D445" w14:textId="77777777" w:rsidR="00FB2CFA" w:rsidRPr="00ED1AC4" w:rsidRDefault="00FB2CFA" w:rsidP="00ED1AC4">
            <w:pPr>
              <w:pStyle w:val="cuadroCabe"/>
              <w:spacing w:line="240" w:lineRule="auto"/>
              <w:jc w:val="right"/>
              <w:rPr>
                <w:sz w:val="16"/>
                <w:szCs w:val="16"/>
              </w:rPr>
            </w:pPr>
            <w:r>
              <w:rPr>
                <w:sz w:val="16"/>
              </w:rPr>
              <w:t>&lt;  1.000</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14:paraId="31702F83" w14:textId="77777777" w:rsidR="00FB2CFA" w:rsidRPr="00ED1AC4" w:rsidRDefault="00AE13D4" w:rsidP="00ED1AC4">
            <w:pPr>
              <w:pStyle w:val="cuadroCabe"/>
              <w:spacing w:line="240" w:lineRule="auto"/>
              <w:jc w:val="right"/>
              <w:rPr>
                <w:sz w:val="16"/>
                <w:szCs w:val="16"/>
              </w:rPr>
            </w:pPr>
            <w:r>
              <w:rPr>
                <w:sz w:val="16"/>
              </w:rPr>
              <w:t>1.000-5.000</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14:paraId="37DB8344" w14:textId="77777777" w:rsidR="00FB2CFA" w:rsidRPr="00ED1AC4" w:rsidRDefault="00AE13D4" w:rsidP="00ED1AC4">
            <w:pPr>
              <w:pStyle w:val="cuadroCabe"/>
              <w:spacing w:line="240" w:lineRule="auto"/>
              <w:jc w:val="right"/>
              <w:rPr>
                <w:sz w:val="16"/>
                <w:szCs w:val="16"/>
              </w:rPr>
            </w:pPr>
            <w:r>
              <w:rPr>
                <w:sz w:val="16"/>
              </w:rPr>
              <w:t>5.000-10.000</w:t>
            </w: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14:paraId="7B4796E6" w14:textId="77777777" w:rsidR="00FB2CFA" w:rsidRPr="00ED1AC4" w:rsidRDefault="00AE13D4" w:rsidP="00ED1AC4">
            <w:pPr>
              <w:pStyle w:val="cuadroCabe"/>
              <w:spacing w:line="240" w:lineRule="auto"/>
              <w:jc w:val="right"/>
              <w:rPr>
                <w:sz w:val="16"/>
                <w:szCs w:val="16"/>
              </w:rPr>
            </w:pPr>
            <w:r>
              <w:rPr>
                <w:sz w:val="16"/>
              </w:rPr>
              <w:t>10.000-40.000</w:t>
            </w: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14:paraId="0474F589" w14:textId="77777777" w:rsidR="00FB2CFA" w:rsidRPr="00ED1AC4" w:rsidRDefault="00FB2CFA" w:rsidP="00ED1AC4">
            <w:pPr>
              <w:pStyle w:val="cuadroCabe"/>
              <w:spacing w:line="240" w:lineRule="auto"/>
              <w:jc w:val="right"/>
              <w:rPr>
                <w:sz w:val="16"/>
                <w:szCs w:val="16"/>
              </w:rPr>
            </w:pPr>
            <w:r>
              <w:rPr>
                <w:sz w:val="16"/>
              </w:rPr>
              <w:t>&gt; 40.000</w:t>
            </w:r>
          </w:p>
        </w:tc>
      </w:tr>
      <w:tr w:rsidR="00FB2CFA" w:rsidRPr="00ED1AC4" w14:paraId="1050521E" w14:textId="77777777" w:rsidTr="00BA63E6">
        <w:trPr>
          <w:trHeight w:val="255"/>
          <w:jc w:val="center"/>
        </w:trPr>
        <w:tc>
          <w:tcPr>
            <w:tcW w:w="3119" w:type="dxa"/>
            <w:tcBorders>
              <w:top w:val="nil"/>
              <w:left w:val="nil"/>
              <w:bottom w:val="single" w:sz="2" w:space="0" w:color="auto"/>
              <w:right w:val="nil"/>
            </w:tcBorders>
            <w:shd w:val="clear" w:color="auto" w:fill="auto"/>
            <w:noWrap/>
            <w:vAlign w:val="center"/>
          </w:tcPr>
          <w:p w14:paraId="0A047E87" w14:textId="77777777" w:rsidR="00FB2CFA" w:rsidRPr="00ED1AC4" w:rsidRDefault="00FB2CFA" w:rsidP="00ED1AC4">
            <w:pPr>
              <w:pStyle w:val="cuatexto"/>
              <w:spacing w:line="240" w:lineRule="auto"/>
              <w:rPr>
                <w:sz w:val="18"/>
                <w:szCs w:val="18"/>
              </w:rPr>
            </w:pPr>
            <w:r>
              <w:rPr>
                <w:sz w:val="18"/>
              </w:rPr>
              <w:t>Udalen kopurua</w:t>
            </w:r>
          </w:p>
        </w:tc>
        <w:tc>
          <w:tcPr>
            <w:tcW w:w="851" w:type="dxa"/>
            <w:tcBorders>
              <w:top w:val="nil"/>
              <w:left w:val="nil"/>
              <w:bottom w:val="single" w:sz="2" w:space="0" w:color="auto"/>
              <w:right w:val="nil"/>
            </w:tcBorders>
            <w:shd w:val="clear" w:color="auto" w:fill="auto"/>
            <w:vAlign w:val="center"/>
          </w:tcPr>
          <w:p w14:paraId="6976A7C7" w14:textId="77777777" w:rsidR="00FB2CFA" w:rsidRPr="00ED1AC4" w:rsidRDefault="00FB2CFA" w:rsidP="00ED1AC4">
            <w:pPr>
              <w:pStyle w:val="cuatexto"/>
              <w:spacing w:line="240" w:lineRule="auto"/>
              <w:jc w:val="right"/>
              <w:rPr>
                <w:sz w:val="18"/>
                <w:szCs w:val="18"/>
              </w:rPr>
            </w:pPr>
            <w:r>
              <w:rPr>
                <w:sz w:val="18"/>
              </w:rPr>
              <w:t>180</w:t>
            </w:r>
          </w:p>
        </w:tc>
        <w:tc>
          <w:tcPr>
            <w:tcW w:w="1275" w:type="dxa"/>
            <w:tcBorders>
              <w:top w:val="nil"/>
              <w:left w:val="nil"/>
              <w:bottom w:val="single" w:sz="2" w:space="0" w:color="auto"/>
              <w:right w:val="nil"/>
            </w:tcBorders>
            <w:shd w:val="clear" w:color="auto" w:fill="auto"/>
            <w:vAlign w:val="center"/>
          </w:tcPr>
          <w:p w14:paraId="080F79FA" w14:textId="77777777" w:rsidR="00FB2CFA" w:rsidRPr="00ED1AC4" w:rsidRDefault="00FB2CFA" w:rsidP="00ED1AC4">
            <w:pPr>
              <w:pStyle w:val="cuatexto"/>
              <w:spacing w:line="240" w:lineRule="auto"/>
              <w:jc w:val="right"/>
              <w:rPr>
                <w:sz w:val="18"/>
                <w:szCs w:val="18"/>
              </w:rPr>
            </w:pPr>
            <w:r>
              <w:rPr>
                <w:sz w:val="18"/>
              </w:rPr>
              <w:t>59</w:t>
            </w:r>
          </w:p>
        </w:tc>
        <w:tc>
          <w:tcPr>
            <w:tcW w:w="1275" w:type="dxa"/>
            <w:tcBorders>
              <w:top w:val="nil"/>
              <w:left w:val="nil"/>
              <w:bottom w:val="single" w:sz="2" w:space="0" w:color="auto"/>
              <w:right w:val="nil"/>
            </w:tcBorders>
            <w:shd w:val="clear" w:color="auto" w:fill="auto"/>
            <w:vAlign w:val="center"/>
          </w:tcPr>
          <w:p w14:paraId="54C728E3" w14:textId="77777777" w:rsidR="00FB2CFA" w:rsidRPr="00ED1AC4" w:rsidRDefault="00FB2CFA" w:rsidP="00ED1AC4">
            <w:pPr>
              <w:pStyle w:val="cuatexto"/>
              <w:spacing w:line="240" w:lineRule="auto"/>
              <w:jc w:val="right"/>
              <w:rPr>
                <w:sz w:val="18"/>
                <w:szCs w:val="18"/>
              </w:rPr>
            </w:pPr>
            <w:r>
              <w:rPr>
                <w:sz w:val="18"/>
              </w:rPr>
              <w:t>9</w:t>
            </w:r>
          </w:p>
        </w:tc>
        <w:tc>
          <w:tcPr>
            <w:tcW w:w="1418" w:type="dxa"/>
            <w:tcBorders>
              <w:top w:val="nil"/>
              <w:left w:val="nil"/>
              <w:bottom w:val="single" w:sz="2" w:space="0" w:color="auto"/>
              <w:right w:val="nil"/>
            </w:tcBorders>
            <w:shd w:val="clear" w:color="auto" w:fill="auto"/>
            <w:vAlign w:val="center"/>
          </w:tcPr>
          <w:p w14:paraId="777867B9" w14:textId="77777777" w:rsidR="00FB2CFA" w:rsidRPr="00ED1AC4" w:rsidRDefault="00FB2CFA" w:rsidP="00ED1AC4">
            <w:pPr>
              <w:pStyle w:val="cuatexto"/>
              <w:spacing w:line="240" w:lineRule="auto"/>
              <w:jc w:val="right"/>
              <w:rPr>
                <w:sz w:val="18"/>
                <w:szCs w:val="18"/>
              </w:rPr>
            </w:pPr>
            <w:r>
              <w:rPr>
                <w:sz w:val="18"/>
              </w:rPr>
              <w:t>11</w:t>
            </w:r>
          </w:p>
        </w:tc>
        <w:tc>
          <w:tcPr>
            <w:tcW w:w="850" w:type="dxa"/>
            <w:tcBorders>
              <w:top w:val="nil"/>
              <w:left w:val="nil"/>
              <w:bottom w:val="single" w:sz="2" w:space="0" w:color="auto"/>
              <w:right w:val="nil"/>
            </w:tcBorders>
            <w:shd w:val="clear" w:color="auto" w:fill="auto"/>
            <w:vAlign w:val="center"/>
          </w:tcPr>
          <w:p w14:paraId="61302D8D" w14:textId="77777777" w:rsidR="00FB2CFA" w:rsidRPr="00ED1AC4" w:rsidRDefault="00FB2CFA" w:rsidP="00ED1AC4">
            <w:pPr>
              <w:pStyle w:val="cuatexto"/>
              <w:spacing w:line="240" w:lineRule="auto"/>
              <w:jc w:val="right"/>
              <w:rPr>
                <w:sz w:val="18"/>
                <w:szCs w:val="18"/>
              </w:rPr>
            </w:pPr>
            <w:r>
              <w:rPr>
                <w:sz w:val="18"/>
              </w:rPr>
              <w:t>1</w:t>
            </w:r>
          </w:p>
        </w:tc>
      </w:tr>
      <w:tr w:rsidR="00FB2CFA" w:rsidRPr="00ED1AC4" w14:paraId="79814A15" w14:textId="77777777" w:rsidTr="00BA63E6">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746AFED8" w14:textId="77777777" w:rsidR="00FB2CFA" w:rsidRPr="00ED1AC4" w:rsidRDefault="00FB2CFA" w:rsidP="00ED1AC4">
            <w:pPr>
              <w:pStyle w:val="cuatexto"/>
              <w:spacing w:line="240" w:lineRule="auto"/>
              <w:rPr>
                <w:sz w:val="18"/>
                <w:szCs w:val="18"/>
              </w:rPr>
            </w:pPr>
            <w:r>
              <w:rPr>
                <w:sz w:val="18"/>
              </w:rPr>
              <w:t>Biztanleria osoa</w:t>
            </w:r>
          </w:p>
        </w:tc>
        <w:tc>
          <w:tcPr>
            <w:tcW w:w="851" w:type="dxa"/>
            <w:tcBorders>
              <w:top w:val="single" w:sz="2" w:space="0" w:color="auto"/>
              <w:left w:val="nil"/>
              <w:bottom w:val="single" w:sz="2" w:space="0" w:color="auto"/>
              <w:right w:val="nil"/>
            </w:tcBorders>
            <w:shd w:val="clear" w:color="auto" w:fill="auto"/>
            <w:vAlign w:val="center"/>
            <w:hideMark/>
          </w:tcPr>
          <w:p w14:paraId="47BF9C47" w14:textId="77777777" w:rsidR="00FB2CFA" w:rsidRPr="00ED1AC4" w:rsidRDefault="00FB2CFA" w:rsidP="00ED1AC4">
            <w:pPr>
              <w:pStyle w:val="cuatexto"/>
              <w:spacing w:line="240" w:lineRule="auto"/>
              <w:jc w:val="right"/>
              <w:rPr>
                <w:sz w:val="18"/>
                <w:szCs w:val="18"/>
              </w:rPr>
            </w:pPr>
            <w:r>
              <w:rPr>
                <w:sz w:val="18"/>
              </w:rPr>
              <w:t>53.009</w:t>
            </w:r>
          </w:p>
        </w:tc>
        <w:tc>
          <w:tcPr>
            <w:tcW w:w="1275" w:type="dxa"/>
            <w:tcBorders>
              <w:top w:val="single" w:sz="2" w:space="0" w:color="auto"/>
              <w:left w:val="nil"/>
              <w:bottom w:val="single" w:sz="2" w:space="0" w:color="auto"/>
              <w:right w:val="nil"/>
            </w:tcBorders>
            <w:shd w:val="clear" w:color="auto" w:fill="auto"/>
            <w:vAlign w:val="center"/>
            <w:hideMark/>
          </w:tcPr>
          <w:p w14:paraId="1CDB3AB8" w14:textId="77777777" w:rsidR="00FB2CFA" w:rsidRPr="00ED1AC4" w:rsidRDefault="00FB2CFA" w:rsidP="00ED1AC4">
            <w:pPr>
              <w:pStyle w:val="cuatexto"/>
              <w:spacing w:line="240" w:lineRule="auto"/>
              <w:jc w:val="right"/>
              <w:rPr>
                <w:sz w:val="18"/>
                <w:szCs w:val="18"/>
              </w:rPr>
            </w:pPr>
            <w:r>
              <w:rPr>
                <w:sz w:val="18"/>
              </w:rPr>
              <w:t>146.927</w:t>
            </w:r>
          </w:p>
        </w:tc>
        <w:tc>
          <w:tcPr>
            <w:tcW w:w="1275" w:type="dxa"/>
            <w:tcBorders>
              <w:top w:val="single" w:sz="2" w:space="0" w:color="auto"/>
              <w:left w:val="nil"/>
              <w:bottom w:val="single" w:sz="2" w:space="0" w:color="auto"/>
              <w:right w:val="nil"/>
            </w:tcBorders>
            <w:shd w:val="clear" w:color="auto" w:fill="auto"/>
            <w:vAlign w:val="center"/>
            <w:hideMark/>
          </w:tcPr>
          <w:p w14:paraId="2168600A" w14:textId="77777777" w:rsidR="00FB2CFA" w:rsidRPr="00ED1AC4" w:rsidRDefault="00FB2CFA" w:rsidP="00ED1AC4">
            <w:pPr>
              <w:pStyle w:val="cuatexto"/>
              <w:spacing w:line="240" w:lineRule="auto"/>
              <w:jc w:val="right"/>
              <w:rPr>
                <w:sz w:val="18"/>
                <w:szCs w:val="18"/>
              </w:rPr>
            </w:pPr>
            <w:r>
              <w:rPr>
                <w:sz w:val="18"/>
              </w:rPr>
              <w:t>66.825</w:t>
            </w:r>
          </w:p>
        </w:tc>
        <w:tc>
          <w:tcPr>
            <w:tcW w:w="1418" w:type="dxa"/>
            <w:tcBorders>
              <w:top w:val="single" w:sz="2" w:space="0" w:color="auto"/>
              <w:left w:val="nil"/>
              <w:bottom w:val="single" w:sz="2" w:space="0" w:color="auto"/>
              <w:right w:val="nil"/>
            </w:tcBorders>
            <w:shd w:val="clear" w:color="auto" w:fill="auto"/>
            <w:vAlign w:val="center"/>
            <w:hideMark/>
          </w:tcPr>
          <w:p w14:paraId="3C392624" w14:textId="77777777" w:rsidR="00FB2CFA" w:rsidRPr="00ED1AC4" w:rsidRDefault="00FB2CFA" w:rsidP="00ED1AC4">
            <w:pPr>
              <w:pStyle w:val="cuatexto"/>
              <w:spacing w:line="240" w:lineRule="auto"/>
              <w:jc w:val="right"/>
              <w:rPr>
                <w:sz w:val="18"/>
                <w:szCs w:val="18"/>
              </w:rPr>
            </w:pPr>
            <w:r>
              <w:rPr>
                <w:sz w:val="18"/>
              </w:rPr>
              <w:t>180.906</w:t>
            </w:r>
          </w:p>
        </w:tc>
        <w:tc>
          <w:tcPr>
            <w:tcW w:w="850" w:type="dxa"/>
            <w:tcBorders>
              <w:top w:val="single" w:sz="2" w:space="0" w:color="auto"/>
              <w:left w:val="nil"/>
              <w:bottom w:val="single" w:sz="2" w:space="0" w:color="auto"/>
              <w:right w:val="nil"/>
            </w:tcBorders>
            <w:shd w:val="clear" w:color="auto" w:fill="auto"/>
            <w:vAlign w:val="center"/>
            <w:hideMark/>
          </w:tcPr>
          <w:p w14:paraId="777909FE" w14:textId="77777777" w:rsidR="00FB2CFA" w:rsidRPr="00ED1AC4" w:rsidRDefault="00FB2CFA" w:rsidP="00ED1AC4">
            <w:pPr>
              <w:pStyle w:val="cuatexto"/>
              <w:spacing w:line="240" w:lineRule="auto"/>
              <w:jc w:val="right"/>
              <w:rPr>
                <w:sz w:val="18"/>
                <w:szCs w:val="18"/>
              </w:rPr>
            </w:pPr>
            <w:r>
              <w:rPr>
                <w:sz w:val="18"/>
              </w:rPr>
              <w:t>203.944</w:t>
            </w:r>
          </w:p>
        </w:tc>
      </w:tr>
      <w:tr w:rsidR="00FB2CFA" w:rsidRPr="00ED1AC4" w14:paraId="3ABA0488" w14:textId="77777777" w:rsidTr="00BA63E6">
        <w:trPr>
          <w:trHeight w:val="255"/>
          <w:jc w:val="center"/>
        </w:trPr>
        <w:tc>
          <w:tcPr>
            <w:tcW w:w="3119" w:type="dxa"/>
            <w:tcBorders>
              <w:top w:val="single" w:sz="2" w:space="0" w:color="auto"/>
              <w:left w:val="nil"/>
              <w:bottom w:val="single" w:sz="2" w:space="0" w:color="auto"/>
              <w:right w:val="nil"/>
            </w:tcBorders>
            <w:shd w:val="clear" w:color="auto" w:fill="auto"/>
            <w:vAlign w:val="center"/>
            <w:hideMark/>
          </w:tcPr>
          <w:p w14:paraId="70040EB9" w14:textId="77777777" w:rsidR="00FB2CFA" w:rsidRPr="00ED1AC4" w:rsidRDefault="00FB2CFA" w:rsidP="00ED1AC4">
            <w:pPr>
              <w:pStyle w:val="cuatexto"/>
              <w:spacing w:line="240" w:lineRule="auto"/>
              <w:rPr>
                <w:sz w:val="18"/>
                <w:szCs w:val="18"/>
              </w:rPr>
            </w:pPr>
            <w:r>
              <w:rPr>
                <w:sz w:val="18"/>
              </w:rPr>
              <w:t>Diru-sarrera arruntak (biztanleko)</w:t>
            </w:r>
          </w:p>
        </w:tc>
        <w:tc>
          <w:tcPr>
            <w:tcW w:w="851" w:type="dxa"/>
            <w:tcBorders>
              <w:top w:val="single" w:sz="2" w:space="0" w:color="auto"/>
              <w:left w:val="nil"/>
              <w:bottom w:val="single" w:sz="2" w:space="0" w:color="auto"/>
              <w:right w:val="nil"/>
            </w:tcBorders>
            <w:shd w:val="clear" w:color="auto" w:fill="auto"/>
            <w:noWrap/>
            <w:vAlign w:val="center"/>
            <w:hideMark/>
          </w:tcPr>
          <w:p w14:paraId="66B5BC3A" w14:textId="77777777" w:rsidR="00FB2CFA" w:rsidRPr="00ED1AC4" w:rsidRDefault="00FB2CFA" w:rsidP="00ED1AC4">
            <w:pPr>
              <w:pStyle w:val="cuatexto"/>
              <w:spacing w:line="240" w:lineRule="auto"/>
              <w:jc w:val="right"/>
              <w:rPr>
                <w:sz w:val="18"/>
                <w:szCs w:val="18"/>
              </w:rPr>
            </w:pPr>
            <w:r>
              <w:rPr>
                <w:sz w:val="18"/>
              </w:rPr>
              <w:t>1.221</w:t>
            </w:r>
          </w:p>
        </w:tc>
        <w:tc>
          <w:tcPr>
            <w:tcW w:w="1275" w:type="dxa"/>
            <w:tcBorders>
              <w:top w:val="single" w:sz="2" w:space="0" w:color="auto"/>
              <w:left w:val="nil"/>
              <w:bottom w:val="single" w:sz="2" w:space="0" w:color="auto"/>
              <w:right w:val="nil"/>
            </w:tcBorders>
            <w:shd w:val="clear" w:color="auto" w:fill="auto"/>
            <w:noWrap/>
            <w:vAlign w:val="center"/>
            <w:hideMark/>
          </w:tcPr>
          <w:p w14:paraId="6502E1FF" w14:textId="77777777" w:rsidR="00FB2CFA" w:rsidRPr="00ED1AC4" w:rsidRDefault="00FB2CFA" w:rsidP="00ED1AC4">
            <w:pPr>
              <w:pStyle w:val="cuatexto"/>
              <w:spacing w:line="240" w:lineRule="auto"/>
              <w:jc w:val="right"/>
              <w:rPr>
                <w:sz w:val="18"/>
                <w:szCs w:val="18"/>
              </w:rPr>
            </w:pPr>
            <w:r>
              <w:rPr>
                <w:sz w:val="18"/>
              </w:rPr>
              <w:t>1.079</w:t>
            </w:r>
          </w:p>
        </w:tc>
        <w:tc>
          <w:tcPr>
            <w:tcW w:w="1275" w:type="dxa"/>
            <w:tcBorders>
              <w:top w:val="single" w:sz="2" w:space="0" w:color="auto"/>
              <w:left w:val="nil"/>
              <w:bottom w:val="single" w:sz="2" w:space="0" w:color="auto"/>
              <w:right w:val="nil"/>
            </w:tcBorders>
            <w:shd w:val="clear" w:color="auto" w:fill="auto"/>
            <w:noWrap/>
            <w:vAlign w:val="center"/>
            <w:hideMark/>
          </w:tcPr>
          <w:p w14:paraId="3AA4E72D" w14:textId="77777777" w:rsidR="00FB2CFA" w:rsidRPr="00ED1AC4" w:rsidRDefault="00FB2CFA" w:rsidP="00ED1AC4">
            <w:pPr>
              <w:pStyle w:val="cuatexto"/>
              <w:spacing w:line="240" w:lineRule="auto"/>
              <w:jc w:val="right"/>
              <w:rPr>
                <w:sz w:val="18"/>
                <w:szCs w:val="18"/>
              </w:rPr>
            </w:pPr>
            <w:r>
              <w:rPr>
                <w:sz w:val="18"/>
              </w:rPr>
              <w:t>989</w:t>
            </w:r>
          </w:p>
        </w:tc>
        <w:tc>
          <w:tcPr>
            <w:tcW w:w="1418" w:type="dxa"/>
            <w:tcBorders>
              <w:top w:val="single" w:sz="2" w:space="0" w:color="auto"/>
              <w:left w:val="nil"/>
              <w:bottom w:val="single" w:sz="2" w:space="0" w:color="auto"/>
              <w:right w:val="nil"/>
            </w:tcBorders>
            <w:shd w:val="clear" w:color="auto" w:fill="auto"/>
            <w:noWrap/>
            <w:vAlign w:val="center"/>
            <w:hideMark/>
          </w:tcPr>
          <w:p w14:paraId="634586A2" w14:textId="77777777" w:rsidR="00FB2CFA" w:rsidRPr="00ED1AC4" w:rsidRDefault="00FB2CFA" w:rsidP="00ED1AC4">
            <w:pPr>
              <w:pStyle w:val="cuatexto"/>
              <w:spacing w:line="240" w:lineRule="auto"/>
              <w:jc w:val="right"/>
              <w:rPr>
                <w:sz w:val="18"/>
                <w:szCs w:val="18"/>
              </w:rPr>
            </w:pPr>
            <w:r>
              <w:rPr>
                <w:sz w:val="18"/>
              </w:rPr>
              <w:t>877</w:t>
            </w:r>
          </w:p>
        </w:tc>
        <w:tc>
          <w:tcPr>
            <w:tcW w:w="850" w:type="dxa"/>
            <w:tcBorders>
              <w:top w:val="single" w:sz="2" w:space="0" w:color="auto"/>
              <w:left w:val="nil"/>
              <w:bottom w:val="single" w:sz="2" w:space="0" w:color="auto"/>
              <w:right w:val="nil"/>
            </w:tcBorders>
            <w:shd w:val="clear" w:color="auto" w:fill="auto"/>
            <w:noWrap/>
            <w:vAlign w:val="center"/>
            <w:hideMark/>
          </w:tcPr>
          <w:p w14:paraId="7D4AD428" w14:textId="77777777" w:rsidR="00FB2CFA" w:rsidRPr="00ED1AC4" w:rsidRDefault="00FB2CFA" w:rsidP="00ED1AC4">
            <w:pPr>
              <w:pStyle w:val="cuatexto"/>
              <w:spacing w:line="240" w:lineRule="auto"/>
              <w:jc w:val="right"/>
              <w:rPr>
                <w:sz w:val="18"/>
                <w:szCs w:val="18"/>
              </w:rPr>
            </w:pPr>
            <w:r>
              <w:rPr>
                <w:sz w:val="18"/>
              </w:rPr>
              <w:t>1.065</w:t>
            </w:r>
          </w:p>
        </w:tc>
      </w:tr>
      <w:tr w:rsidR="00FB2CFA" w:rsidRPr="00ED1AC4" w14:paraId="10976124" w14:textId="77777777" w:rsidTr="00BA63E6">
        <w:trPr>
          <w:trHeight w:val="255"/>
          <w:jc w:val="center"/>
        </w:trPr>
        <w:tc>
          <w:tcPr>
            <w:tcW w:w="3119" w:type="dxa"/>
            <w:tcBorders>
              <w:top w:val="single" w:sz="2" w:space="0" w:color="auto"/>
              <w:left w:val="nil"/>
              <w:bottom w:val="single" w:sz="2" w:space="0" w:color="auto"/>
              <w:right w:val="nil"/>
            </w:tcBorders>
            <w:shd w:val="clear" w:color="auto" w:fill="auto"/>
            <w:vAlign w:val="center"/>
            <w:hideMark/>
          </w:tcPr>
          <w:p w14:paraId="0D4CB4F1" w14:textId="46123429" w:rsidR="00FB2CFA" w:rsidRPr="00ED1AC4" w:rsidRDefault="00BA63E6" w:rsidP="00ED1AC4">
            <w:pPr>
              <w:pStyle w:val="cuatexto"/>
              <w:spacing w:line="240" w:lineRule="auto"/>
              <w:rPr>
                <w:sz w:val="18"/>
                <w:szCs w:val="18"/>
              </w:rPr>
            </w:pPr>
            <w:r>
              <w:rPr>
                <w:sz w:val="18"/>
              </w:rPr>
              <w:t>Funtzionamendu gastuak (biztanleko.)</w:t>
            </w:r>
          </w:p>
        </w:tc>
        <w:tc>
          <w:tcPr>
            <w:tcW w:w="851" w:type="dxa"/>
            <w:tcBorders>
              <w:top w:val="single" w:sz="2" w:space="0" w:color="auto"/>
              <w:left w:val="nil"/>
              <w:bottom w:val="single" w:sz="2" w:space="0" w:color="auto"/>
              <w:right w:val="nil"/>
            </w:tcBorders>
            <w:shd w:val="clear" w:color="auto" w:fill="auto"/>
            <w:noWrap/>
            <w:vAlign w:val="center"/>
            <w:hideMark/>
          </w:tcPr>
          <w:p w14:paraId="52C64BBB" w14:textId="77777777" w:rsidR="00FB2CFA" w:rsidRPr="00ED1AC4" w:rsidRDefault="00FB2CFA" w:rsidP="00ED1AC4">
            <w:pPr>
              <w:pStyle w:val="cuatexto"/>
              <w:spacing w:line="240" w:lineRule="auto"/>
              <w:jc w:val="right"/>
              <w:rPr>
                <w:sz w:val="18"/>
                <w:szCs w:val="18"/>
              </w:rPr>
            </w:pPr>
            <w:r>
              <w:rPr>
                <w:sz w:val="18"/>
              </w:rPr>
              <w:t>865</w:t>
            </w:r>
          </w:p>
        </w:tc>
        <w:tc>
          <w:tcPr>
            <w:tcW w:w="1275" w:type="dxa"/>
            <w:tcBorders>
              <w:top w:val="single" w:sz="2" w:space="0" w:color="auto"/>
              <w:left w:val="nil"/>
              <w:bottom w:val="single" w:sz="2" w:space="0" w:color="auto"/>
              <w:right w:val="nil"/>
            </w:tcBorders>
            <w:shd w:val="clear" w:color="auto" w:fill="auto"/>
            <w:noWrap/>
            <w:vAlign w:val="center"/>
            <w:hideMark/>
          </w:tcPr>
          <w:p w14:paraId="1C541808" w14:textId="77777777" w:rsidR="00FB2CFA" w:rsidRPr="00ED1AC4" w:rsidRDefault="00FB2CFA" w:rsidP="00ED1AC4">
            <w:pPr>
              <w:pStyle w:val="cuatexto"/>
              <w:spacing w:line="240" w:lineRule="auto"/>
              <w:jc w:val="right"/>
              <w:rPr>
                <w:sz w:val="18"/>
                <w:szCs w:val="18"/>
              </w:rPr>
            </w:pPr>
            <w:r>
              <w:rPr>
                <w:sz w:val="18"/>
              </w:rPr>
              <w:t>822</w:t>
            </w:r>
          </w:p>
        </w:tc>
        <w:tc>
          <w:tcPr>
            <w:tcW w:w="1275" w:type="dxa"/>
            <w:tcBorders>
              <w:top w:val="single" w:sz="2" w:space="0" w:color="auto"/>
              <w:left w:val="nil"/>
              <w:bottom w:val="single" w:sz="2" w:space="0" w:color="auto"/>
              <w:right w:val="nil"/>
            </w:tcBorders>
            <w:shd w:val="clear" w:color="auto" w:fill="auto"/>
            <w:noWrap/>
            <w:vAlign w:val="center"/>
            <w:hideMark/>
          </w:tcPr>
          <w:p w14:paraId="612AAF3D" w14:textId="77777777" w:rsidR="00FB2CFA" w:rsidRPr="00ED1AC4" w:rsidRDefault="00FB2CFA" w:rsidP="00ED1AC4">
            <w:pPr>
              <w:pStyle w:val="cuatexto"/>
              <w:spacing w:line="240" w:lineRule="auto"/>
              <w:jc w:val="right"/>
              <w:rPr>
                <w:sz w:val="18"/>
                <w:szCs w:val="18"/>
              </w:rPr>
            </w:pPr>
            <w:r>
              <w:rPr>
                <w:sz w:val="18"/>
              </w:rPr>
              <w:t>798</w:t>
            </w:r>
          </w:p>
        </w:tc>
        <w:tc>
          <w:tcPr>
            <w:tcW w:w="1418" w:type="dxa"/>
            <w:tcBorders>
              <w:top w:val="single" w:sz="2" w:space="0" w:color="auto"/>
              <w:left w:val="nil"/>
              <w:bottom w:val="single" w:sz="2" w:space="0" w:color="auto"/>
              <w:right w:val="nil"/>
            </w:tcBorders>
            <w:shd w:val="clear" w:color="auto" w:fill="auto"/>
            <w:noWrap/>
            <w:vAlign w:val="center"/>
            <w:hideMark/>
          </w:tcPr>
          <w:p w14:paraId="3D91AA2D" w14:textId="77777777" w:rsidR="00FB2CFA" w:rsidRPr="00ED1AC4" w:rsidRDefault="00FB2CFA" w:rsidP="00ED1AC4">
            <w:pPr>
              <w:pStyle w:val="cuatexto"/>
              <w:spacing w:line="240" w:lineRule="auto"/>
              <w:jc w:val="right"/>
              <w:rPr>
                <w:sz w:val="18"/>
                <w:szCs w:val="18"/>
              </w:rPr>
            </w:pPr>
            <w:r>
              <w:rPr>
                <w:sz w:val="18"/>
              </w:rPr>
              <w:t>750</w:t>
            </w:r>
          </w:p>
        </w:tc>
        <w:tc>
          <w:tcPr>
            <w:tcW w:w="850" w:type="dxa"/>
            <w:tcBorders>
              <w:top w:val="single" w:sz="2" w:space="0" w:color="auto"/>
              <w:left w:val="nil"/>
              <w:bottom w:val="single" w:sz="2" w:space="0" w:color="auto"/>
              <w:right w:val="nil"/>
            </w:tcBorders>
            <w:shd w:val="clear" w:color="auto" w:fill="auto"/>
            <w:noWrap/>
            <w:vAlign w:val="center"/>
            <w:hideMark/>
          </w:tcPr>
          <w:p w14:paraId="183A5339" w14:textId="77777777" w:rsidR="00FB2CFA" w:rsidRPr="00ED1AC4" w:rsidRDefault="00FB2CFA" w:rsidP="00ED1AC4">
            <w:pPr>
              <w:pStyle w:val="cuatexto"/>
              <w:spacing w:line="240" w:lineRule="auto"/>
              <w:jc w:val="right"/>
              <w:rPr>
                <w:sz w:val="18"/>
                <w:szCs w:val="18"/>
              </w:rPr>
            </w:pPr>
            <w:r>
              <w:rPr>
                <w:sz w:val="18"/>
              </w:rPr>
              <w:t>912</w:t>
            </w:r>
          </w:p>
        </w:tc>
      </w:tr>
      <w:tr w:rsidR="00FB2CFA" w:rsidRPr="00ED1AC4" w14:paraId="37C6816A" w14:textId="77777777" w:rsidTr="00BA63E6">
        <w:trPr>
          <w:trHeight w:val="255"/>
          <w:jc w:val="center"/>
        </w:trPr>
        <w:tc>
          <w:tcPr>
            <w:tcW w:w="3119" w:type="dxa"/>
            <w:tcBorders>
              <w:top w:val="single" w:sz="2" w:space="0" w:color="auto"/>
              <w:left w:val="nil"/>
              <w:bottom w:val="single" w:sz="2" w:space="0" w:color="auto"/>
              <w:right w:val="nil"/>
            </w:tcBorders>
            <w:shd w:val="clear" w:color="auto" w:fill="auto"/>
            <w:vAlign w:val="center"/>
            <w:hideMark/>
          </w:tcPr>
          <w:p w14:paraId="1A7654BB" w14:textId="6CE3D04E" w:rsidR="00FB2CFA" w:rsidRPr="00ED1AC4" w:rsidRDefault="00FB2CFA" w:rsidP="00ED1AC4">
            <w:pPr>
              <w:pStyle w:val="cuatexto"/>
              <w:spacing w:line="240" w:lineRule="auto"/>
              <w:rPr>
                <w:sz w:val="18"/>
                <w:szCs w:val="18"/>
              </w:rPr>
            </w:pPr>
            <w:r>
              <w:rPr>
                <w:sz w:val="18"/>
              </w:rPr>
              <w:t>Finantza-zama (biztanleko)</w:t>
            </w:r>
          </w:p>
        </w:tc>
        <w:tc>
          <w:tcPr>
            <w:tcW w:w="851" w:type="dxa"/>
            <w:tcBorders>
              <w:top w:val="single" w:sz="2" w:space="0" w:color="auto"/>
              <w:left w:val="nil"/>
              <w:bottom w:val="single" w:sz="2" w:space="0" w:color="auto"/>
              <w:right w:val="nil"/>
            </w:tcBorders>
            <w:shd w:val="clear" w:color="auto" w:fill="auto"/>
            <w:noWrap/>
            <w:vAlign w:val="center"/>
            <w:hideMark/>
          </w:tcPr>
          <w:p w14:paraId="489D5BAE" w14:textId="77777777" w:rsidR="00FB2CFA" w:rsidRPr="00ED1AC4" w:rsidRDefault="00FB2CFA" w:rsidP="00ED1AC4">
            <w:pPr>
              <w:pStyle w:val="cuatexto"/>
              <w:spacing w:line="240" w:lineRule="auto"/>
              <w:jc w:val="right"/>
              <w:rPr>
                <w:sz w:val="18"/>
                <w:szCs w:val="18"/>
              </w:rPr>
            </w:pPr>
            <w:r>
              <w:rPr>
                <w:sz w:val="18"/>
              </w:rPr>
              <w:t>44</w:t>
            </w:r>
          </w:p>
        </w:tc>
        <w:tc>
          <w:tcPr>
            <w:tcW w:w="1275" w:type="dxa"/>
            <w:tcBorders>
              <w:top w:val="single" w:sz="2" w:space="0" w:color="auto"/>
              <w:left w:val="nil"/>
              <w:bottom w:val="single" w:sz="2" w:space="0" w:color="auto"/>
              <w:right w:val="nil"/>
            </w:tcBorders>
            <w:shd w:val="clear" w:color="auto" w:fill="auto"/>
            <w:noWrap/>
            <w:vAlign w:val="center"/>
            <w:hideMark/>
          </w:tcPr>
          <w:p w14:paraId="57D30291" w14:textId="77777777" w:rsidR="00FB2CFA" w:rsidRPr="00ED1AC4" w:rsidRDefault="00FB2CFA" w:rsidP="00ED1AC4">
            <w:pPr>
              <w:pStyle w:val="cuatexto"/>
              <w:spacing w:line="240" w:lineRule="auto"/>
              <w:jc w:val="right"/>
              <w:rPr>
                <w:sz w:val="18"/>
                <w:szCs w:val="18"/>
              </w:rPr>
            </w:pPr>
            <w:r>
              <w:rPr>
                <w:sz w:val="18"/>
              </w:rPr>
              <w:t>43</w:t>
            </w:r>
          </w:p>
        </w:tc>
        <w:tc>
          <w:tcPr>
            <w:tcW w:w="1275" w:type="dxa"/>
            <w:tcBorders>
              <w:top w:val="single" w:sz="2" w:space="0" w:color="auto"/>
              <w:left w:val="nil"/>
              <w:bottom w:val="single" w:sz="2" w:space="0" w:color="auto"/>
              <w:right w:val="nil"/>
            </w:tcBorders>
            <w:shd w:val="clear" w:color="auto" w:fill="auto"/>
            <w:noWrap/>
            <w:vAlign w:val="center"/>
            <w:hideMark/>
          </w:tcPr>
          <w:p w14:paraId="55166524" w14:textId="77777777" w:rsidR="00FB2CFA" w:rsidRPr="00ED1AC4" w:rsidRDefault="00FB2CFA" w:rsidP="00ED1AC4">
            <w:pPr>
              <w:pStyle w:val="cuatexto"/>
              <w:spacing w:line="240" w:lineRule="auto"/>
              <w:jc w:val="right"/>
              <w:rPr>
                <w:sz w:val="18"/>
                <w:szCs w:val="18"/>
              </w:rPr>
            </w:pPr>
            <w:r>
              <w:rPr>
                <w:sz w:val="18"/>
              </w:rPr>
              <w:t>30</w:t>
            </w:r>
          </w:p>
        </w:tc>
        <w:tc>
          <w:tcPr>
            <w:tcW w:w="1418" w:type="dxa"/>
            <w:tcBorders>
              <w:top w:val="single" w:sz="2" w:space="0" w:color="auto"/>
              <w:left w:val="nil"/>
              <w:bottom w:val="single" w:sz="2" w:space="0" w:color="auto"/>
              <w:right w:val="nil"/>
            </w:tcBorders>
            <w:shd w:val="clear" w:color="auto" w:fill="auto"/>
            <w:noWrap/>
            <w:vAlign w:val="center"/>
            <w:hideMark/>
          </w:tcPr>
          <w:p w14:paraId="57330891" w14:textId="77777777" w:rsidR="00FB2CFA" w:rsidRPr="00ED1AC4" w:rsidRDefault="00FB2CFA" w:rsidP="00ED1AC4">
            <w:pPr>
              <w:pStyle w:val="cuatexto"/>
              <w:spacing w:line="240" w:lineRule="auto"/>
              <w:jc w:val="right"/>
              <w:rPr>
                <w:sz w:val="18"/>
                <w:szCs w:val="18"/>
              </w:rPr>
            </w:pPr>
            <w:r>
              <w:rPr>
                <w:sz w:val="18"/>
              </w:rPr>
              <w:t>46</w:t>
            </w:r>
          </w:p>
        </w:tc>
        <w:tc>
          <w:tcPr>
            <w:tcW w:w="850" w:type="dxa"/>
            <w:tcBorders>
              <w:top w:val="single" w:sz="2" w:space="0" w:color="auto"/>
              <w:left w:val="nil"/>
              <w:bottom w:val="single" w:sz="2" w:space="0" w:color="auto"/>
              <w:right w:val="nil"/>
            </w:tcBorders>
            <w:shd w:val="clear" w:color="auto" w:fill="auto"/>
            <w:noWrap/>
            <w:vAlign w:val="center"/>
            <w:hideMark/>
          </w:tcPr>
          <w:p w14:paraId="5BDC917E" w14:textId="77777777" w:rsidR="00FB2CFA" w:rsidRPr="00ED1AC4" w:rsidRDefault="00FB2CFA" w:rsidP="00ED1AC4">
            <w:pPr>
              <w:pStyle w:val="cuatexto"/>
              <w:spacing w:line="240" w:lineRule="auto"/>
              <w:jc w:val="right"/>
              <w:rPr>
                <w:sz w:val="18"/>
                <w:szCs w:val="18"/>
              </w:rPr>
            </w:pPr>
            <w:r>
              <w:rPr>
                <w:sz w:val="18"/>
              </w:rPr>
              <w:t>46</w:t>
            </w:r>
          </w:p>
        </w:tc>
      </w:tr>
      <w:tr w:rsidR="00FB2CFA" w:rsidRPr="00ED1AC4" w14:paraId="2843CAD5" w14:textId="77777777" w:rsidTr="00BA63E6">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555F95E6" w14:textId="77777777" w:rsidR="00FB2CFA" w:rsidRPr="00ED1AC4" w:rsidRDefault="00FB2CFA" w:rsidP="00ED1AC4">
            <w:pPr>
              <w:pStyle w:val="cuatexto"/>
              <w:spacing w:line="240" w:lineRule="auto"/>
              <w:rPr>
                <w:sz w:val="18"/>
                <w:szCs w:val="18"/>
              </w:rPr>
            </w:pPr>
            <w:r>
              <w:rPr>
                <w:sz w:val="18"/>
              </w:rPr>
              <w:t>Aurrezki gordina (biztanleko)</w:t>
            </w:r>
          </w:p>
        </w:tc>
        <w:tc>
          <w:tcPr>
            <w:tcW w:w="851" w:type="dxa"/>
            <w:tcBorders>
              <w:top w:val="single" w:sz="2" w:space="0" w:color="auto"/>
              <w:left w:val="nil"/>
              <w:bottom w:val="single" w:sz="2" w:space="0" w:color="auto"/>
              <w:right w:val="nil"/>
            </w:tcBorders>
            <w:shd w:val="clear" w:color="auto" w:fill="auto"/>
            <w:noWrap/>
            <w:vAlign w:val="center"/>
            <w:hideMark/>
          </w:tcPr>
          <w:p w14:paraId="4F0682F4" w14:textId="77777777" w:rsidR="00FB2CFA" w:rsidRPr="00ED1AC4" w:rsidRDefault="00FB2CFA" w:rsidP="00ED1AC4">
            <w:pPr>
              <w:pStyle w:val="cuatexto"/>
              <w:spacing w:line="240" w:lineRule="auto"/>
              <w:jc w:val="right"/>
              <w:rPr>
                <w:sz w:val="18"/>
                <w:szCs w:val="18"/>
              </w:rPr>
            </w:pPr>
            <w:r>
              <w:rPr>
                <w:sz w:val="18"/>
              </w:rPr>
              <w:t>356</w:t>
            </w:r>
          </w:p>
        </w:tc>
        <w:tc>
          <w:tcPr>
            <w:tcW w:w="1275" w:type="dxa"/>
            <w:tcBorders>
              <w:top w:val="single" w:sz="2" w:space="0" w:color="auto"/>
              <w:left w:val="nil"/>
              <w:bottom w:val="single" w:sz="2" w:space="0" w:color="auto"/>
              <w:right w:val="nil"/>
            </w:tcBorders>
            <w:shd w:val="clear" w:color="auto" w:fill="auto"/>
            <w:noWrap/>
            <w:vAlign w:val="center"/>
            <w:hideMark/>
          </w:tcPr>
          <w:p w14:paraId="47DAA1C8" w14:textId="77777777" w:rsidR="00FB2CFA" w:rsidRPr="00ED1AC4" w:rsidRDefault="00FB2CFA" w:rsidP="00ED1AC4">
            <w:pPr>
              <w:pStyle w:val="cuatexto"/>
              <w:spacing w:line="240" w:lineRule="auto"/>
              <w:jc w:val="right"/>
              <w:rPr>
                <w:sz w:val="18"/>
                <w:szCs w:val="18"/>
              </w:rPr>
            </w:pPr>
            <w:r>
              <w:rPr>
                <w:sz w:val="18"/>
              </w:rPr>
              <w:t>257</w:t>
            </w:r>
          </w:p>
        </w:tc>
        <w:tc>
          <w:tcPr>
            <w:tcW w:w="1275" w:type="dxa"/>
            <w:tcBorders>
              <w:top w:val="single" w:sz="2" w:space="0" w:color="auto"/>
              <w:left w:val="nil"/>
              <w:bottom w:val="single" w:sz="2" w:space="0" w:color="auto"/>
              <w:right w:val="nil"/>
            </w:tcBorders>
            <w:shd w:val="clear" w:color="auto" w:fill="auto"/>
            <w:noWrap/>
            <w:vAlign w:val="center"/>
            <w:hideMark/>
          </w:tcPr>
          <w:p w14:paraId="297D5903" w14:textId="77777777" w:rsidR="00FB2CFA" w:rsidRPr="00ED1AC4" w:rsidRDefault="00FB2CFA" w:rsidP="00ED1AC4">
            <w:pPr>
              <w:pStyle w:val="cuatexto"/>
              <w:spacing w:line="240" w:lineRule="auto"/>
              <w:jc w:val="right"/>
              <w:rPr>
                <w:sz w:val="18"/>
                <w:szCs w:val="18"/>
              </w:rPr>
            </w:pPr>
            <w:r>
              <w:rPr>
                <w:sz w:val="18"/>
              </w:rPr>
              <w:t>191</w:t>
            </w:r>
          </w:p>
        </w:tc>
        <w:tc>
          <w:tcPr>
            <w:tcW w:w="1418" w:type="dxa"/>
            <w:tcBorders>
              <w:top w:val="single" w:sz="2" w:space="0" w:color="auto"/>
              <w:left w:val="nil"/>
              <w:bottom w:val="single" w:sz="2" w:space="0" w:color="auto"/>
              <w:right w:val="nil"/>
            </w:tcBorders>
            <w:shd w:val="clear" w:color="auto" w:fill="auto"/>
            <w:noWrap/>
            <w:vAlign w:val="center"/>
            <w:hideMark/>
          </w:tcPr>
          <w:p w14:paraId="48CC9C62" w14:textId="77777777" w:rsidR="00FB2CFA" w:rsidRPr="00ED1AC4" w:rsidRDefault="00FB2CFA" w:rsidP="00ED1AC4">
            <w:pPr>
              <w:pStyle w:val="cuatexto"/>
              <w:spacing w:line="240" w:lineRule="auto"/>
              <w:jc w:val="right"/>
              <w:rPr>
                <w:sz w:val="18"/>
                <w:szCs w:val="18"/>
              </w:rPr>
            </w:pPr>
            <w:r>
              <w:rPr>
                <w:sz w:val="18"/>
              </w:rPr>
              <w:t>127</w:t>
            </w:r>
          </w:p>
        </w:tc>
        <w:tc>
          <w:tcPr>
            <w:tcW w:w="850" w:type="dxa"/>
            <w:tcBorders>
              <w:top w:val="single" w:sz="2" w:space="0" w:color="auto"/>
              <w:left w:val="nil"/>
              <w:bottom w:val="single" w:sz="2" w:space="0" w:color="auto"/>
              <w:right w:val="nil"/>
            </w:tcBorders>
            <w:shd w:val="clear" w:color="auto" w:fill="auto"/>
            <w:noWrap/>
            <w:vAlign w:val="center"/>
            <w:hideMark/>
          </w:tcPr>
          <w:p w14:paraId="6C9842B3" w14:textId="77777777" w:rsidR="00FB2CFA" w:rsidRPr="00ED1AC4" w:rsidRDefault="00FB2CFA" w:rsidP="00ED1AC4">
            <w:pPr>
              <w:pStyle w:val="cuatexto"/>
              <w:spacing w:line="240" w:lineRule="auto"/>
              <w:jc w:val="right"/>
              <w:rPr>
                <w:sz w:val="18"/>
                <w:szCs w:val="18"/>
              </w:rPr>
            </w:pPr>
            <w:r>
              <w:rPr>
                <w:sz w:val="18"/>
              </w:rPr>
              <w:t>152</w:t>
            </w:r>
          </w:p>
        </w:tc>
      </w:tr>
      <w:tr w:rsidR="00FB2CFA" w:rsidRPr="00ED1AC4" w14:paraId="40C0AB10" w14:textId="77777777" w:rsidTr="00BA63E6">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4BC92652" w14:textId="77777777" w:rsidR="00FB2CFA" w:rsidRPr="00ED1AC4" w:rsidRDefault="00FB2CFA" w:rsidP="00ED1AC4">
            <w:pPr>
              <w:pStyle w:val="cuatexto"/>
              <w:spacing w:line="240" w:lineRule="auto"/>
              <w:rPr>
                <w:sz w:val="18"/>
                <w:szCs w:val="18"/>
              </w:rPr>
            </w:pPr>
            <w:r>
              <w:rPr>
                <w:sz w:val="18"/>
              </w:rPr>
              <w:t>Aurrezki garbia (biztanleko)</w:t>
            </w:r>
          </w:p>
        </w:tc>
        <w:tc>
          <w:tcPr>
            <w:tcW w:w="851" w:type="dxa"/>
            <w:tcBorders>
              <w:top w:val="single" w:sz="2" w:space="0" w:color="auto"/>
              <w:left w:val="nil"/>
              <w:bottom w:val="single" w:sz="2" w:space="0" w:color="auto"/>
              <w:right w:val="nil"/>
            </w:tcBorders>
            <w:shd w:val="clear" w:color="auto" w:fill="auto"/>
            <w:noWrap/>
            <w:vAlign w:val="center"/>
            <w:hideMark/>
          </w:tcPr>
          <w:p w14:paraId="7ECFE290" w14:textId="77777777" w:rsidR="00FB2CFA" w:rsidRPr="00ED1AC4" w:rsidRDefault="00FB2CFA" w:rsidP="00ED1AC4">
            <w:pPr>
              <w:pStyle w:val="cuatexto"/>
              <w:spacing w:line="240" w:lineRule="auto"/>
              <w:jc w:val="right"/>
              <w:rPr>
                <w:sz w:val="18"/>
                <w:szCs w:val="18"/>
              </w:rPr>
            </w:pPr>
            <w:r>
              <w:rPr>
                <w:sz w:val="18"/>
              </w:rPr>
              <w:t>311</w:t>
            </w:r>
          </w:p>
        </w:tc>
        <w:tc>
          <w:tcPr>
            <w:tcW w:w="1275" w:type="dxa"/>
            <w:tcBorders>
              <w:top w:val="single" w:sz="2" w:space="0" w:color="auto"/>
              <w:left w:val="nil"/>
              <w:bottom w:val="single" w:sz="2" w:space="0" w:color="auto"/>
              <w:right w:val="nil"/>
            </w:tcBorders>
            <w:shd w:val="clear" w:color="auto" w:fill="auto"/>
            <w:noWrap/>
            <w:vAlign w:val="center"/>
            <w:hideMark/>
          </w:tcPr>
          <w:p w14:paraId="0833B929" w14:textId="77777777" w:rsidR="00FB2CFA" w:rsidRPr="00ED1AC4" w:rsidRDefault="00FB2CFA" w:rsidP="00ED1AC4">
            <w:pPr>
              <w:pStyle w:val="cuatexto"/>
              <w:spacing w:line="240" w:lineRule="auto"/>
              <w:jc w:val="right"/>
              <w:rPr>
                <w:sz w:val="18"/>
                <w:szCs w:val="18"/>
              </w:rPr>
            </w:pPr>
            <w:r>
              <w:rPr>
                <w:sz w:val="18"/>
              </w:rPr>
              <w:t>214</w:t>
            </w:r>
          </w:p>
        </w:tc>
        <w:tc>
          <w:tcPr>
            <w:tcW w:w="1275" w:type="dxa"/>
            <w:tcBorders>
              <w:top w:val="single" w:sz="2" w:space="0" w:color="auto"/>
              <w:left w:val="nil"/>
              <w:bottom w:val="single" w:sz="2" w:space="0" w:color="auto"/>
              <w:right w:val="nil"/>
            </w:tcBorders>
            <w:shd w:val="clear" w:color="auto" w:fill="auto"/>
            <w:noWrap/>
            <w:vAlign w:val="center"/>
            <w:hideMark/>
          </w:tcPr>
          <w:p w14:paraId="4352FD56" w14:textId="77777777" w:rsidR="00FB2CFA" w:rsidRPr="00ED1AC4" w:rsidRDefault="00FB2CFA" w:rsidP="00ED1AC4">
            <w:pPr>
              <w:pStyle w:val="cuatexto"/>
              <w:spacing w:line="240" w:lineRule="auto"/>
              <w:jc w:val="right"/>
              <w:rPr>
                <w:sz w:val="18"/>
                <w:szCs w:val="18"/>
              </w:rPr>
            </w:pPr>
            <w:r>
              <w:rPr>
                <w:sz w:val="18"/>
              </w:rPr>
              <w:t>161</w:t>
            </w:r>
          </w:p>
        </w:tc>
        <w:tc>
          <w:tcPr>
            <w:tcW w:w="1418" w:type="dxa"/>
            <w:tcBorders>
              <w:top w:val="single" w:sz="2" w:space="0" w:color="auto"/>
              <w:left w:val="nil"/>
              <w:bottom w:val="single" w:sz="2" w:space="0" w:color="auto"/>
              <w:right w:val="nil"/>
            </w:tcBorders>
            <w:shd w:val="clear" w:color="auto" w:fill="auto"/>
            <w:noWrap/>
            <w:vAlign w:val="center"/>
            <w:hideMark/>
          </w:tcPr>
          <w:p w14:paraId="61CDA2DC" w14:textId="77777777" w:rsidR="00FB2CFA" w:rsidRPr="00ED1AC4" w:rsidRDefault="00FB2CFA" w:rsidP="00ED1AC4">
            <w:pPr>
              <w:pStyle w:val="cuatexto"/>
              <w:spacing w:line="240" w:lineRule="auto"/>
              <w:jc w:val="right"/>
              <w:rPr>
                <w:sz w:val="18"/>
                <w:szCs w:val="18"/>
              </w:rPr>
            </w:pPr>
            <w:r>
              <w:rPr>
                <w:sz w:val="18"/>
              </w:rPr>
              <w:t>81</w:t>
            </w:r>
          </w:p>
        </w:tc>
        <w:tc>
          <w:tcPr>
            <w:tcW w:w="850" w:type="dxa"/>
            <w:tcBorders>
              <w:top w:val="single" w:sz="2" w:space="0" w:color="auto"/>
              <w:left w:val="nil"/>
              <w:bottom w:val="single" w:sz="2" w:space="0" w:color="auto"/>
              <w:right w:val="nil"/>
            </w:tcBorders>
            <w:shd w:val="clear" w:color="auto" w:fill="auto"/>
            <w:noWrap/>
            <w:vAlign w:val="center"/>
            <w:hideMark/>
          </w:tcPr>
          <w:p w14:paraId="28EDAADD" w14:textId="77777777" w:rsidR="00FB2CFA" w:rsidRPr="00ED1AC4" w:rsidRDefault="00FB2CFA" w:rsidP="00ED1AC4">
            <w:pPr>
              <w:pStyle w:val="cuatexto"/>
              <w:spacing w:line="240" w:lineRule="auto"/>
              <w:jc w:val="right"/>
              <w:rPr>
                <w:sz w:val="18"/>
                <w:szCs w:val="18"/>
              </w:rPr>
            </w:pPr>
            <w:r>
              <w:rPr>
                <w:sz w:val="18"/>
              </w:rPr>
              <w:t>107</w:t>
            </w:r>
          </w:p>
        </w:tc>
      </w:tr>
      <w:tr w:rsidR="00FB2CFA" w:rsidRPr="00ED1AC4" w14:paraId="406D6045" w14:textId="77777777" w:rsidTr="00BA63E6">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3A6F694B" w14:textId="77777777" w:rsidR="00FB2CFA" w:rsidRPr="00ED1AC4" w:rsidRDefault="00FB2CFA" w:rsidP="00ED1AC4">
            <w:pPr>
              <w:pStyle w:val="cuatexto"/>
              <w:spacing w:line="240" w:lineRule="auto"/>
              <w:rPr>
                <w:sz w:val="18"/>
                <w:szCs w:val="18"/>
              </w:rPr>
            </w:pPr>
            <w:r>
              <w:rPr>
                <w:sz w:val="18"/>
              </w:rPr>
              <w:t>Finantza-zamaren indizea (3. eta 9. kapituluak zati diru-sarrera arruntak)</w:t>
            </w:r>
          </w:p>
        </w:tc>
        <w:tc>
          <w:tcPr>
            <w:tcW w:w="851" w:type="dxa"/>
            <w:tcBorders>
              <w:top w:val="single" w:sz="2" w:space="0" w:color="auto"/>
              <w:left w:val="nil"/>
              <w:bottom w:val="single" w:sz="2" w:space="0" w:color="auto"/>
              <w:right w:val="nil"/>
            </w:tcBorders>
            <w:shd w:val="clear" w:color="auto" w:fill="auto"/>
            <w:noWrap/>
            <w:vAlign w:val="center"/>
            <w:hideMark/>
          </w:tcPr>
          <w:p w14:paraId="5F272BF9" w14:textId="77777777" w:rsidR="00FB2CFA" w:rsidRPr="00ED1AC4" w:rsidRDefault="00FB2CFA" w:rsidP="00ED1AC4">
            <w:pPr>
              <w:pStyle w:val="cuatexto"/>
              <w:spacing w:line="240" w:lineRule="auto"/>
              <w:jc w:val="right"/>
              <w:rPr>
                <w:sz w:val="18"/>
                <w:szCs w:val="18"/>
              </w:rPr>
            </w:pPr>
            <w:r>
              <w:rPr>
                <w:sz w:val="18"/>
              </w:rPr>
              <w:t>% 4</w:t>
            </w:r>
          </w:p>
        </w:tc>
        <w:tc>
          <w:tcPr>
            <w:tcW w:w="1275" w:type="dxa"/>
            <w:tcBorders>
              <w:top w:val="single" w:sz="2" w:space="0" w:color="auto"/>
              <w:left w:val="nil"/>
              <w:bottom w:val="single" w:sz="2" w:space="0" w:color="auto"/>
              <w:right w:val="nil"/>
            </w:tcBorders>
            <w:shd w:val="clear" w:color="auto" w:fill="auto"/>
            <w:noWrap/>
            <w:vAlign w:val="center"/>
            <w:hideMark/>
          </w:tcPr>
          <w:p w14:paraId="7CCEE577" w14:textId="77777777" w:rsidR="00FB2CFA" w:rsidRPr="00ED1AC4" w:rsidRDefault="00FB2CFA" w:rsidP="00ED1AC4">
            <w:pPr>
              <w:pStyle w:val="cuatexto"/>
              <w:spacing w:line="240" w:lineRule="auto"/>
              <w:jc w:val="right"/>
              <w:rPr>
                <w:sz w:val="18"/>
                <w:szCs w:val="18"/>
              </w:rPr>
            </w:pPr>
            <w:r>
              <w:rPr>
                <w:sz w:val="18"/>
              </w:rPr>
              <w:t>% 4</w:t>
            </w:r>
          </w:p>
        </w:tc>
        <w:tc>
          <w:tcPr>
            <w:tcW w:w="1275" w:type="dxa"/>
            <w:tcBorders>
              <w:top w:val="single" w:sz="2" w:space="0" w:color="auto"/>
              <w:left w:val="nil"/>
              <w:bottom w:val="single" w:sz="2" w:space="0" w:color="auto"/>
              <w:right w:val="nil"/>
            </w:tcBorders>
            <w:shd w:val="clear" w:color="auto" w:fill="auto"/>
            <w:noWrap/>
            <w:vAlign w:val="center"/>
            <w:hideMark/>
          </w:tcPr>
          <w:p w14:paraId="284609A8" w14:textId="77777777" w:rsidR="00FB2CFA" w:rsidRPr="00ED1AC4" w:rsidRDefault="00FB2CFA" w:rsidP="00ED1AC4">
            <w:pPr>
              <w:pStyle w:val="cuatexto"/>
              <w:spacing w:line="240" w:lineRule="auto"/>
              <w:jc w:val="right"/>
              <w:rPr>
                <w:sz w:val="18"/>
                <w:szCs w:val="18"/>
              </w:rPr>
            </w:pPr>
            <w:r>
              <w:rPr>
                <w:sz w:val="18"/>
              </w:rPr>
              <w:t>% 3</w:t>
            </w:r>
          </w:p>
        </w:tc>
        <w:tc>
          <w:tcPr>
            <w:tcW w:w="1418" w:type="dxa"/>
            <w:tcBorders>
              <w:top w:val="single" w:sz="2" w:space="0" w:color="auto"/>
              <w:left w:val="nil"/>
              <w:bottom w:val="single" w:sz="2" w:space="0" w:color="auto"/>
              <w:right w:val="nil"/>
            </w:tcBorders>
            <w:shd w:val="clear" w:color="auto" w:fill="auto"/>
            <w:noWrap/>
            <w:vAlign w:val="center"/>
            <w:hideMark/>
          </w:tcPr>
          <w:p w14:paraId="21ED3C96" w14:textId="77777777" w:rsidR="00FB2CFA" w:rsidRPr="00ED1AC4" w:rsidRDefault="00FB2CFA" w:rsidP="00ED1AC4">
            <w:pPr>
              <w:pStyle w:val="cuatexto"/>
              <w:spacing w:line="240" w:lineRule="auto"/>
              <w:jc w:val="right"/>
              <w:rPr>
                <w:sz w:val="18"/>
                <w:szCs w:val="18"/>
              </w:rPr>
            </w:pPr>
            <w:r>
              <w:rPr>
                <w:sz w:val="18"/>
              </w:rPr>
              <w:t>% 5</w:t>
            </w:r>
          </w:p>
        </w:tc>
        <w:tc>
          <w:tcPr>
            <w:tcW w:w="850" w:type="dxa"/>
            <w:tcBorders>
              <w:top w:val="single" w:sz="2" w:space="0" w:color="auto"/>
              <w:left w:val="nil"/>
              <w:bottom w:val="single" w:sz="2" w:space="0" w:color="auto"/>
              <w:right w:val="nil"/>
            </w:tcBorders>
            <w:shd w:val="clear" w:color="auto" w:fill="auto"/>
            <w:noWrap/>
            <w:vAlign w:val="center"/>
            <w:hideMark/>
          </w:tcPr>
          <w:p w14:paraId="253A1611" w14:textId="77777777" w:rsidR="00FB2CFA" w:rsidRPr="00ED1AC4" w:rsidRDefault="00FB2CFA" w:rsidP="00ED1AC4">
            <w:pPr>
              <w:pStyle w:val="cuatexto"/>
              <w:spacing w:line="240" w:lineRule="auto"/>
              <w:jc w:val="right"/>
              <w:rPr>
                <w:sz w:val="18"/>
                <w:szCs w:val="18"/>
              </w:rPr>
            </w:pPr>
            <w:r>
              <w:rPr>
                <w:sz w:val="18"/>
              </w:rPr>
              <w:t>% 4</w:t>
            </w:r>
          </w:p>
        </w:tc>
      </w:tr>
      <w:tr w:rsidR="00FB2CFA" w:rsidRPr="00ED1AC4" w14:paraId="61B6D794" w14:textId="77777777" w:rsidTr="00BA63E6">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3F130597" w14:textId="05E89AED" w:rsidR="00FB2CFA" w:rsidRPr="00ED1AC4" w:rsidRDefault="00FB2CFA" w:rsidP="00ED1AC4">
            <w:pPr>
              <w:pStyle w:val="cuatexto"/>
              <w:spacing w:line="240" w:lineRule="auto"/>
              <w:rPr>
                <w:sz w:val="18"/>
                <w:szCs w:val="18"/>
              </w:rPr>
            </w:pPr>
            <w:r>
              <w:rPr>
                <w:sz w:val="18"/>
              </w:rPr>
              <w:t>Aurrezki gordinaren ehunekoa diru-sarrera arrunten gainean (</w:t>
            </w:r>
            <w:proofErr w:type="spellStart"/>
            <w:r>
              <w:rPr>
                <w:sz w:val="18"/>
              </w:rPr>
              <w:t>d.s</w:t>
            </w:r>
            <w:proofErr w:type="spellEnd"/>
            <w:r>
              <w:rPr>
                <w:sz w:val="18"/>
              </w:rPr>
              <w:t xml:space="preserve">. arr. - </w:t>
            </w:r>
            <w:proofErr w:type="spellStart"/>
            <w:r>
              <w:rPr>
                <w:sz w:val="18"/>
              </w:rPr>
              <w:t>funtz</w:t>
            </w:r>
            <w:proofErr w:type="spellEnd"/>
            <w:r>
              <w:rPr>
                <w:sz w:val="18"/>
              </w:rPr>
              <w:t xml:space="preserve">. </w:t>
            </w:r>
            <w:proofErr w:type="spellStart"/>
            <w:r>
              <w:rPr>
                <w:sz w:val="18"/>
              </w:rPr>
              <w:t>gast</w:t>
            </w:r>
            <w:proofErr w:type="spellEnd"/>
            <w:r>
              <w:rPr>
                <w:sz w:val="18"/>
              </w:rPr>
              <w:t xml:space="preserve">. / </w:t>
            </w:r>
            <w:proofErr w:type="spellStart"/>
            <w:r>
              <w:rPr>
                <w:sz w:val="18"/>
              </w:rPr>
              <w:t>d.s</w:t>
            </w:r>
            <w:proofErr w:type="spellEnd"/>
            <w:r>
              <w:rPr>
                <w:sz w:val="18"/>
              </w:rPr>
              <w:t>. arr.)</w:t>
            </w:r>
          </w:p>
        </w:tc>
        <w:tc>
          <w:tcPr>
            <w:tcW w:w="851" w:type="dxa"/>
            <w:tcBorders>
              <w:top w:val="single" w:sz="2" w:space="0" w:color="auto"/>
              <w:left w:val="nil"/>
              <w:bottom w:val="single" w:sz="2" w:space="0" w:color="auto"/>
              <w:right w:val="nil"/>
            </w:tcBorders>
            <w:shd w:val="clear" w:color="auto" w:fill="auto"/>
            <w:noWrap/>
            <w:vAlign w:val="center"/>
            <w:hideMark/>
          </w:tcPr>
          <w:p w14:paraId="57CA597B" w14:textId="77777777" w:rsidR="00FB2CFA" w:rsidRPr="00ED1AC4" w:rsidRDefault="00FB2CFA" w:rsidP="00ED1AC4">
            <w:pPr>
              <w:pStyle w:val="cuatexto"/>
              <w:spacing w:line="240" w:lineRule="auto"/>
              <w:jc w:val="right"/>
              <w:rPr>
                <w:sz w:val="18"/>
                <w:szCs w:val="18"/>
              </w:rPr>
            </w:pPr>
            <w:r>
              <w:rPr>
                <w:sz w:val="18"/>
              </w:rPr>
              <w:t>% 29</w:t>
            </w:r>
          </w:p>
        </w:tc>
        <w:tc>
          <w:tcPr>
            <w:tcW w:w="1275" w:type="dxa"/>
            <w:tcBorders>
              <w:top w:val="single" w:sz="2" w:space="0" w:color="auto"/>
              <w:left w:val="nil"/>
              <w:bottom w:val="single" w:sz="2" w:space="0" w:color="auto"/>
              <w:right w:val="nil"/>
            </w:tcBorders>
            <w:shd w:val="clear" w:color="auto" w:fill="auto"/>
            <w:noWrap/>
            <w:vAlign w:val="center"/>
            <w:hideMark/>
          </w:tcPr>
          <w:p w14:paraId="08D7A58B" w14:textId="77777777" w:rsidR="00FB2CFA" w:rsidRPr="00ED1AC4" w:rsidRDefault="00FB2CFA" w:rsidP="00ED1AC4">
            <w:pPr>
              <w:pStyle w:val="cuatexto"/>
              <w:spacing w:line="240" w:lineRule="auto"/>
              <w:jc w:val="right"/>
              <w:rPr>
                <w:sz w:val="18"/>
                <w:szCs w:val="18"/>
              </w:rPr>
            </w:pPr>
            <w:r>
              <w:rPr>
                <w:sz w:val="18"/>
              </w:rPr>
              <w:t>% 24</w:t>
            </w:r>
          </w:p>
        </w:tc>
        <w:tc>
          <w:tcPr>
            <w:tcW w:w="1275" w:type="dxa"/>
            <w:tcBorders>
              <w:top w:val="single" w:sz="2" w:space="0" w:color="auto"/>
              <w:left w:val="nil"/>
              <w:bottom w:val="single" w:sz="2" w:space="0" w:color="auto"/>
              <w:right w:val="nil"/>
            </w:tcBorders>
            <w:shd w:val="clear" w:color="auto" w:fill="auto"/>
            <w:noWrap/>
            <w:vAlign w:val="center"/>
            <w:hideMark/>
          </w:tcPr>
          <w:p w14:paraId="53F68183" w14:textId="77777777" w:rsidR="00FB2CFA" w:rsidRPr="00ED1AC4" w:rsidRDefault="00FB2CFA" w:rsidP="00ED1AC4">
            <w:pPr>
              <w:pStyle w:val="cuatexto"/>
              <w:spacing w:line="240" w:lineRule="auto"/>
              <w:jc w:val="right"/>
              <w:rPr>
                <w:sz w:val="18"/>
                <w:szCs w:val="18"/>
              </w:rPr>
            </w:pPr>
            <w:r>
              <w:rPr>
                <w:sz w:val="18"/>
              </w:rPr>
              <w:t>% 19</w:t>
            </w:r>
          </w:p>
        </w:tc>
        <w:tc>
          <w:tcPr>
            <w:tcW w:w="1418" w:type="dxa"/>
            <w:tcBorders>
              <w:top w:val="single" w:sz="2" w:space="0" w:color="auto"/>
              <w:left w:val="nil"/>
              <w:bottom w:val="single" w:sz="2" w:space="0" w:color="auto"/>
              <w:right w:val="nil"/>
            </w:tcBorders>
            <w:shd w:val="clear" w:color="auto" w:fill="auto"/>
            <w:noWrap/>
            <w:vAlign w:val="center"/>
            <w:hideMark/>
          </w:tcPr>
          <w:p w14:paraId="32D36B63" w14:textId="77777777" w:rsidR="00FB2CFA" w:rsidRPr="00ED1AC4" w:rsidRDefault="00FB2CFA" w:rsidP="00ED1AC4">
            <w:pPr>
              <w:pStyle w:val="cuatexto"/>
              <w:spacing w:line="240" w:lineRule="auto"/>
              <w:jc w:val="right"/>
              <w:rPr>
                <w:sz w:val="18"/>
                <w:szCs w:val="18"/>
              </w:rPr>
            </w:pPr>
            <w:r>
              <w:rPr>
                <w:sz w:val="18"/>
              </w:rPr>
              <w:t>% 14</w:t>
            </w:r>
          </w:p>
        </w:tc>
        <w:tc>
          <w:tcPr>
            <w:tcW w:w="850" w:type="dxa"/>
            <w:tcBorders>
              <w:top w:val="single" w:sz="2" w:space="0" w:color="auto"/>
              <w:left w:val="nil"/>
              <w:bottom w:val="single" w:sz="2" w:space="0" w:color="auto"/>
              <w:right w:val="nil"/>
            </w:tcBorders>
            <w:shd w:val="clear" w:color="auto" w:fill="auto"/>
            <w:noWrap/>
            <w:vAlign w:val="center"/>
            <w:hideMark/>
          </w:tcPr>
          <w:p w14:paraId="73CB84E9" w14:textId="77777777" w:rsidR="00FB2CFA" w:rsidRPr="00ED1AC4" w:rsidRDefault="00FB2CFA" w:rsidP="00ED1AC4">
            <w:pPr>
              <w:pStyle w:val="cuatexto"/>
              <w:spacing w:line="240" w:lineRule="auto"/>
              <w:jc w:val="right"/>
              <w:rPr>
                <w:sz w:val="18"/>
                <w:szCs w:val="18"/>
              </w:rPr>
            </w:pPr>
            <w:r>
              <w:rPr>
                <w:sz w:val="18"/>
              </w:rPr>
              <w:t>% 14</w:t>
            </w:r>
          </w:p>
        </w:tc>
      </w:tr>
      <w:tr w:rsidR="00FB2CFA" w:rsidRPr="00ED1AC4" w14:paraId="7F6E66F9" w14:textId="77777777" w:rsidTr="00BA63E6">
        <w:trPr>
          <w:trHeight w:val="255"/>
          <w:jc w:val="center"/>
        </w:trPr>
        <w:tc>
          <w:tcPr>
            <w:tcW w:w="3119" w:type="dxa"/>
            <w:tcBorders>
              <w:top w:val="single" w:sz="2" w:space="0" w:color="auto"/>
              <w:left w:val="nil"/>
              <w:bottom w:val="single" w:sz="4" w:space="0" w:color="auto"/>
              <w:right w:val="nil"/>
            </w:tcBorders>
            <w:shd w:val="clear" w:color="auto" w:fill="auto"/>
            <w:noWrap/>
            <w:vAlign w:val="center"/>
            <w:hideMark/>
          </w:tcPr>
          <w:p w14:paraId="3E792933" w14:textId="77777777" w:rsidR="00FB2CFA" w:rsidRPr="00ED1AC4" w:rsidRDefault="00FB2CFA" w:rsidP="00ED1AC4">
            <w:pPr>
              <w:pStyle w:val="cuatexto"/>
              <w:spacing w:line="240" w:lineRule="auto"/>
              <w:rPr>
                <w:sz w:val="18"/>
                <w:szCs w:val="18"/>
              </w:rPr>
            </w:pPr>
            <w:r>
              <w:rPr>
                <w:sz w:val="18"/>
              </w:rPr>
              <w:t>Transferentzia arruntez finantzatutako gastu arrunten ehunekoa</w:t>
            </w:r>
          </w:p>
        </w:tc>
        <w:tc>
          <w:tcPr>
            <w:tcW w:w="851" w:type="dxa"/>
            <w:tcBorders>
              <w:top w:val="single" w:sz="2" w:space="0" w:color="auto"/>
              <w:left w:val="nil"/>
              <w:bottom w:val="single" w:sz="4" w:space="0" w:color="auto"/>
              <w:right w:val="nil"/>
            </w:tcBorders>
            <w:shd w:val="clear" w:color="auto" w:fill="auto"/>
            <w:noWrap/>
            <w:vAlign w:val="center"/>
            <w:hideMark/>
          </w:tcPr>
          <w:p w14:paraId="492E5A99" w14:textId="77777777" w:rsidR="00FB2CFA" w:rsidRPr="00ED1AC4" w:rsidRDefault="00FB2CFA" w:rsidP="00ED1AC4">
            <w:pPr>
              <w:pStyle w:val="cuatexto"/>
              <w:spacing w:line="240" w:lineRule="auto"/>
              <w:jc w:val="right"/>
              <w:rPr>
                <w:sz w:val="18"/>
                <w:szCs w:val="18"/>
              </w:rPr>
            </w:pPr>
            <w:r>
              <w:rPr>
                <w:sz w:val="18"/>
              </w:rPr>
              <w:t>% 62</w:t>
            </w:r>
          </w:p>
        </w:tc>
        <w:tc>
          <w:tcPr>
            <w:tcW w:w="1275" w:type="dxa"/>
            <w:tcBorders>
              <w:top w:val="single" w:sz="2" w:space="0" w:color="auto"/>
              <w:left w:val="nil"/>
              <w:bottom w:val="single" w:sz="4" w:space="0" w:color="auto"/>
              <w:right w:val="nil"/>
            </w:tcBorders>
            <w:shd w:val="clear" w:color="auto" w:fill="auto"/>
            <w:noWrap/>
            <w:vAlign w:val="center"/>
            <w:hideMark/>
          </w:tcPr>
          <w:p w14:paraId="12568DF4" w14:textId="77777777" w:rsidR="00FB2CFA" w:rsidRPr="00ED1AC4" w:rsidRDefault="00FB2CFA" w:rsidP="00ED1AC4">
            <w:pPr>
              <w:pStyle w:val="cuatexto"/>
              <w:spacing w:line="240" w:lineRule="auto"/>
              <w:jc w:val="right"/>
              <w:rPr>
                <w:sz w:val="18"/>
                <w:szCs w:val="18"/>
              </w:rPr>
            </w:pPr>
            <w:r>
              <w:rPr>
                <w:sz w:val="18"/>
              </w:rPr>
              <w:t>% 59</w:t>
            </w:r>
          </w:p>
        </w:tc>
        <w:tc>
          <w:tcPr>
            <w:tcW w:w="1275" w:type="dxa"/>
            <w:tcBorders>
              <w:top w:val="single" w:sz="2" w:space="0" w:color="auto"/>
              <w:left w:val="nil"/>
              <w:bottom w:val="single" w:sz="4" w:space="0" w:color="auto"/>
              <w:right w:val="nil"/>
            </w:tcBorders>
            <w:shd w:val="clear" w:color="auto" w:fill="auto"/>
            <w:noWrap/>
            <w:vAlign w:val="center"/>
            <w:hideMark/>
          </w:tcPr>
          <w:p w14:paraId="1D909279" w14:textId="77777777" w:rsidR="00FB2CFA" w:rsidRPr="00ED1AC4" w:rsidRDefault="00FB2CFA" w:rsidP="00ED1AC4">
            <w:pPr>
              <w:pStyle w:val="cuatexto"/>
              <w:spacing w:line="240" w:lineRule="auto"/>
              <w:jc w:val="right"/>
              <w:rPr>
                <w:sz w:val="18"/>
                <w:szCs w:val="18"/>
              </w:rPr>
            </w:pPr>
            <w:r>
              <w:rPr>
                <w:sz w:val="18"/>
              </w:rPr>
              <w:t>% 54</w:t>
            </w:r>
          </w:p>
        </w:tc>
        <w:tc>
          <w:tcPr>
            <w:tcW w:w="1418" w:type="dxa"/>
            <w:tcBorders>
              <w:top w:val="single" w:sz="2" w:space="0" w:color="auto"/>
              <w:left w:val="nil"/>
              <w:bottom w:val="single" w:sz="4" w:space="0" w:color="auto"/>
              <w:right w:val="nil"/>
            </w:tcBorders>
            <w:shd w:val="clear" w:color="auto" w:fill="auto"/>
            <w:noWrap/>
            <w:vAlign w:val="center"/>
            <w:hideMark/>
          </w:tcPr>
          <w:p w14:paraId="4E4FF4B6" w14:textId="77777777" w:rsidR="00FB2CFA" w:rsidRPr="00ED1AC4" w:rsidRDefault="00FB2CFA" w:rsidP="00ED1AC4">
            <w:pPr>
              <w:pStyle w:val="cuatexto"/>
              <w:spacing w:line="240" w:lineRule="auto"/>
              <w:jc w:val="right"/>
              <w:rPr>
                <w:sz w:val="18"/>
                <w:szCs w:val="18"/>
              </w:rPr>
            </w:pPr>
            <w:r>
              <w:rPr>
                <w:sz w:val="18"/>
              </w:rPr>
              <w:t>% 54</w:t>
            </w:r>
          </w:p>
        </w:tc>
        <w:tc>
          <w:tcPr>
            <w:tcW w:w="850" w:type="dxa"/>
            <w:tcBorders>
              <w:top w:val="single" w:sz="2" w:space="0" w:color="auto"/>
              <w:left w:val="nil"/>
              <w:bottom w:val="single" w:sz="4" w:space="0" w:color="auto"/>
              <w:right w:val="nil"/>
            </w:tcBorders>
            <w:shd w:val="clear" w:color="auto" w:fill="auto"/>
            <w:noWrap/>
            <w:vAlign w:val="center"/>
            <w:hideMark/>
          </w:tcPr>
          <w:p w14:paraId="6C6BD244" w14:textId="77777777" w:rsidR="00FB2CFA" w:rsidRPr="00ED1AC4" w:rsidRDefault="00FB2CFA" w:rsidP="00ED1AC4">
            <w:pPr>
              <w:pStyle w:val="cuatexto"/>
              <w:spacing w:line="240" w:lineRule="auto"/>
              <w:jc w:val="right"/>
              <w:rPr>
                <w:sz w:val="18"/>
                <w:szCs w:val="18"/>
              </w:rPr>
            </w:pPr>
            <w:r>
              <w:rPr>
                <w:sz w:val="18"/>
              </w:rPr>
              <w:t>% 62</w:t>
            </w:r>
          </w:p>
        </w:tc>
      </w:tr>
    </w:tbl>
    <w:p w14:paraId="49714A6E" w14:textId="4BCFA8D8" w:rsidR="00683931" w:rsidRPr="00BA63E6" w:rsidRDefault="003C17BD" w:rsidP="00BA63E6">
      <w:pPr>
        <w:pStyle w:val="atitulo1"/>
        <w:spacing w:before="60" w:after="0"/>
        <w:rPr>
          <w:b w:val="0"/>
          <w:color w:val="000000" w:themeColor="text1"/>
          <w:sz w:val="14"/>
          <w:szCs w:val="14"/>
        </w:rPr>
      </w:pPr>
      <w:r>
        <w:rPr>
          <w:b w:val="0"/>
          <w:color w:val="000000" w:themeColor="text1"/>
          <w:sz w:val="14"/>
        </w:rPr>
        <w:t>(*) Udalen datuak haien menpeko erakunde autonomoekin bateratuta.</w:t>
      </w:r>
    </w:p>
    <w:p w14:paraId="1A412E10" w14:textId="6D899757" w:rsidR="00FB2CFA" w:rsidRPr="005C70E8" w:rsidRDefault="00AE13D4" w:rsidP="005C70E8">
      <w:pPr>
        <w:pStyle w:val="texto"/>
        <w:spacing w:before="240"/>
      </w:pPr>
      <w:r>
        <w:t>Iruñean izan ezik, bera baita 40.000 biztanletik gorako udalerri bakarra, udalerria zenbat eta handiagoa izan orduan eta txikiagoak dira diru-sarrera arruntak, funtzionamendu gastuak eta aurrezki gordina eta garbia biztanleko.</w:t>
      </w:r>
    </w:p>
    <w:p w14:paraId="3C6CF00C" w14:textId="7C5A7332" w:rsidR="00345C6C" w:rsidRPr="00EF0883" w:rsidRDefault="00683931" w:rsidP="004248BF">
      <w:pPr>
        <w:pStyle w:val="Ttulo2"/>
        <w:rPr>
          <w:szCs w:val="25"/>
        </w:rPr>
      </w:pPr>
      <w:bookmarkStart w:id="107" w:name="_Toc126061988"/>
      <w:r>
        <w:t>X.2. Nafarroako udalen, EAEkoen eta Estatukoen arteko konparazioa</w:t>
      </w:r>
      <w:bookmarkStart w:id="108" w:name="_Toc52348297"/>
      <w:bookmarkEnd w:id="97"/>
      <w:bookmarkEnd w:id="98"/>
      <w:bookmarkEnd w:id="107"/>
    </w:p>
    <w:p w14:paraId="3A41C03F" w14:textId="77777777" w:rsidR="00E54FF7" w:rsidRDefault="007618A7" w:rsidP="00E54FF7">
      <w:pPr>
        <w:ind w:firstLine="284"/>
        <w:rPr>
          <w:rStyle w:val="textoCar"/>
          <w:color w:val="000000" w:themeColor="text1"/>
          <w:szCs w:val="26"/>
        </w:rPr>
      </w:pPr>
      <w:r>
        <w:rPr>
          <w:rStyle w:val="textoCar"/>
          <w:color w:val="000000" w:themeColor="text1"/>
        </w:rPr>
        <w:t>Atal honetan, adierazle ekonomiko-finantzarioen multzo bat erabiliz, Nafarroako udalak alderatzen dira Euskal Autonomia Erkidegokoekin eta Estatuko gainerakoekin, zeinek finantzaketa sistema desberdinak baitituzte. Horretarako oinarritzat hartzen da toki sektore publikoaren 2020ko finantza egoerari buruz Toki Administrazioaren eta Despopulazioaren Zuzendaritza Nagusiak egindako txosteneko informazioa.</w:t>
      </w:r>
    </w:p>
    <w:p w14:paraId="0778FA18" w14:textId="16CD3A27" w:rsidR="00345C6C" w:rsidRDefault="007618A7" w:rsidP="00534BA4">
      <w:pPr>
        <w:spacing w:after="240"/>
        <w:ind w:firstLine="284"/>
        <w:rPr>
          <w:rStyle w:val="textoCar"/>
          <w:color w:val="000000" w:themeColor="text1"/>
          <w:szCs w:val="26"/>
        </w:rPr>
      </w:pPr>
      <w:r>
        <w:rPr>
          <w:rStyle w:val="textoCar"/>
          <w:color w:val="000000" w:themeColor="text1"/>
        </w:rPr>
        <w:t xml:space="preserve">Nafarroako udalak txikiak direnez, konparazioa homogeneoa izan dadin, 40.000 biztanle baino gutxiago dituzten eta probintziako hiriburu ez diren udalak bakarrik hartu dira (Nafarroan denak, Iruña izan ezik). Hala, </w:t>
      </w:r>
      <w:bookmarkEnd w:id="108"/>
      <w:r>
        <w:rPr>
          <w:rStyle w:val="textoCar"/>
          <w:color w:val="000000" w:themeColor="text1"/>
        </w:rPr>
        <w:t>honako udalerri eta biztanleria hauei dagozkien datuak konparatu dira:</w:t>
      </w:r>
    </w:p>
    <w:tbl>
      <w:tblPr>
        <w:tblW w:w="8861" w:type="dxa"/>
        <w:tblCellMar>
          <w:left w:w="70" w:type="dxa"/>
          <w:right w:w="70" w:type="dxa"/>
        </w:tblCellMar>
        <w:tblLook w:val="04A0" w:firstRow="1" w:lastRow="0" w:firstColumn="1" w:lastColumn="0" w:noHBand="0" w:noVBand="1"/>
      </w:tblPr>
      <w:tblGrid>
        <w:gridCol w:w="2480"/>
        <w:gridCol w:w="1418"/>
        <w:gridCol w:w="1559"/>
        <w:gridCol w:w="2056"/>
        <w:gridCol w:w="1348"/>
      </w:tblGrid>
      <w:tr w:rsidR="004367EF" w:rsidRPr="00534BA4" w14:paraId="4DFF921F" w14:textId="77777777" w:rsidTr="00C01180">
        <w:trPr>
          <w:trHeight w:val="300"/>
        </w:trPr>
        <w:tc>
          <w:tcPr>
            <w:tcW w:w="2480" w:type="dxa"/>
            <w:tcBorders>
              <w:top w:val="single" w:sz="4" w:space="0" w:color="auto"/>
              <w:left w:val="nil"/>
              <w:bottom w:val="single" w:sz="4" w:space="0" w:color="auto"/>
              <w:right w:val="nil"/>
            </w:tcBorders>
            <w:shd w:val="clear" w:color="auto" w:fill="FABF8F" w:themeFill="accent6" w:themeFillTint="99"/>
            <w:noWrap/>
            <w:vAlign w:val="center"/>
            <w:hideMark/>
          </w:tcPr>
          <w:p w14:paraId="471F2FF4" w14:textId="77777777" w:rsidR="004367EF" w:rsidRPr="00534BA4" w:rsidRDefault="004367EF" w:rsidP="00534BA4">
            <w:pPr>
              <w:pStyle w:val="cuadroCabe"/>
            </w:pPr>
            <w:r>
              <w:t>Adierazlea</w:t>
            </w:r>
          </w:p>
        </w:tc>
        <w:tc>
          <w:tcPr>
            <w:tcW w:w="1418" w:type="dxa"/>
            <w:tcBorders>
              <w:top w:val="single" w:sz="4" w:space="0" w:color="auto"/>
              <w:left w:val="nil"/>
              <w:bottom w:val="single" w:sz="4" w:space="0" w:color="auto"/>
              <w:right w:val="nil"/>
            </w:tcBorders>
            <w:shd w:val="clear" w:color="auto" w:fill="FABF8F" w:themeFill="accent6" w:themeFillTint="99"/>
            <w:noWrap/>
            <w:vAlign w:val="center"/>
            <w:hideMark/>
          </w:tcPr>
          <w:p w14:paraId="127F7730" w14:textId="77777777" w:rsidR="004367EF" w:rsidRPr="00534BA4" w:rsidRDefault="004367EF" w:rsidP="00534BA4">
            <w:pPr>
              <w:pStyle w:val="cuadroCabe"/>
              <w:jc w:val="right"/>
            </w:pPr>
            <w:r>
              <w:t>Nafarroa</w:t>
            </w:r>
          </w:p>
        </w:tc>
        <w:tc>
          <w:tcPr>
            <w:tcW w:w="1559" w:type="dxa"/>
            <w:tcBorders>
              <w:top w:val="single" w:sz="4" w:space="0" w:color="auto"/>
              <w:left w:val="nil"/>
              <w:bottom w:val="single" w:sz="4" w:space="0" w:color="auto"/>
              <w:right w:val="nil"/>
            </w:tcBorders>
            <w:shd w:val="clear" w:color="auto" w:fill="FABF8F" w:themeFill="accent6" w:themeFillTint="99"/>
            <w:noWrap/>
            <w:vAlign w:val="center"/>
            <w:hideMark/>
          </w:tcPr>
          <w:p w14:paraId="3F0C3438" w14:textId="77777777" w:rsidR="004367EF" w:rsidRPr="00534BA4" w:rsidRDefault="004367EF" w:rsidP="00534BA4">
            <w:pPr>
              <w:pStyle w:val="cuadroCabe"/>
              <w:jc w:val="right"/>
            </w:pPr>
            <w:r>
              <w:t>EAE*</w:t>
            </w:r>
          </w:p>
        </w:tc>
        <w:tc>
          <w:tcPr>
            <w:tcW w:w="2056" w:type="dxa"/>
            <w:tcBorders>
              <w:top w:val="single" w:sz="4" w:space="0" w:color="auto"/>
              <w:left w:val="nil"/>
              <w:bottom w:val="single" w:sz="4" w:space="0" w:color="auto"/>
              <w:right w:val="nil"/>
            </w:tcBorders>
            <w:shd w:val="clear" w:color="auto" w:fill="FABF8F" w:themeFill="accent6" w:themeFillTint="99"/>
            <w:vAlign w:val="center"/>
            <w:hideMark/>
          </w:tcPr>
          <w:p w14:paraId="523C22A2" w14:textId="77777777" w:rsidR="004367EF" w:rsidRPr="00534BA4" w:rsidRDefault="004C5885" w:rsidP="00534BA4">
            <w:pPr>
              <w:pStyle w:val="cuadroCabe"/>
              <w:jc w:val="right"/>
            </w:pPr>
            <w:r>
              <w:t>Estatuko gainerakoak*</w:t>
            </w:r>
          </w:p>
        </w:tc>
        <w:tc>
          <w:tcPr>
            <w:tcW w:w="1348" w:type="dxa"/>
            <w:tcBorders>
              <w:top w:val="single" w:sz="4" w:space="0" w:color="auto"/>
              <w:left w:val="nil"/>
              <w:bottom w:val="single" w:sz="4" w:space="0" w:color="auto"/>
              <w:right w:val="nil"/>
            </w:tcBorders>
            <w:shd w:val="clear" w:color="auto" w:fill="FABF8F" w:themeFill="accent6" w:themeFillTint="99"/>
            <w:vAlign w:val="center"/>
            <w:hideMark/>
          </w:tcPr>
          <w:p w14:paraId="680975F8" w14:textId="77777777" w:rsidR="004367EF" w:rsidRPr="00534BA4" w:rsidRDefault="004367EF" w:rsidP="00534BA4">
            <w:pPr>
              <w:pStyle w:val="cuadroCabe"/>
              <w:jc w:val="right"/>
            </w:pPr>
            <w:r>
              <w:t>Guztira</w:t>
            </w:r>
          </w:p>
        </w:tc>
      </w:tr>
      <w:tr w:rsidR="004367EF" w:rsidRPr="00534BA4" w14:paraId="08384EC6" w14:textId="77777777" w:rsidTr="00534BA4">
        <w:trPr>
          <w:trHeight w:val="300"/>
        </w:trPr>
        <w:tc>
          <w:tcPr>
            <w:tcW w:w="2480" w:type="dxa"/>
            <w:tcBorders>
              <w:top w:val="nil"/>
              <w:left w:val="nil"/>
              <w:bottom w:val="single" w:sz="2" w:space="0" w:color="auto"/>
              <w:right w:val="nil"/>
            </w:tcBorders>
            <w:shd w:val="clear" w:color="auto" w:fill="auto"/>
            <w:vAlign w:val="center"/>
            <w:hideMark/>
          </w:tcPr>
          <w:p w14:paraId="14602B2D" w14:textId="77777777" w:rsidR="00EE32F4" w:rsidRPr="00534BA4" w:rsidRDefault="004367EF" w:rsidP="00534BA4">
            <w:pPr>
              <w:pStyle w:val="cuatexto"/>
            </w:pPr>
            <w:r>
              <w:t xml:space="preserve">Udalerrien kopurua </w:t>
            </w:r>
          </w:p>
          <w:p w14:paraId="60957FBC" w14:textId="19FCDABC" w:rsidR="004367EF" w:rsidRPr="00534BA4" w:rsidRDefault="004367EF" w:rsidP="00534BA4">
            <w:pPr>
              <w:pStyle w:val="cuatexto"/>
            </w:pPr>
            <w:r>
              <w:t>&lt; 40.000 biztanle</w:t>
            </w:r>
          </w:p>
        </w:tc>
        <w:tc>
          <w:tcPr>
            <w:tcW w:w="1418" w:type="dxa"/>
            <w:tcBorders>
              <w:top w:val="nil"/>
              <w:left w:val="nil"/>
              <w:bottom w:val="single" w:sz="2" w:space="0" w:color="auto"/>
              <w:right w:val="nil"/>
            </w:tcBorders>
            <w:shd w:val="clear" w:color="auto" w:fill="auto"/>
            <w:noWrap/>
            <w:vAlign w:val="center"/>
            <w:hideMark/>
          </w:tcPr>
          <w:p w14:paraId="62522C48" w14:textId="77777777" w:rsidR="004367EF" w:rsidRPr="00534BA4" w:rsidRDefault="004367EF" w:rsidP="00534BA4">
            <w:pPr>
              <w:pStyle w:val="cuatexto"/>
              <w:jc w:val="right"/>
            </w:pPr>
            <w:r>
              <w:t>259</w:t>
            </w:r>
          </w:p>
        </w:tc>
        <w:tc>
          <w:tcPr>
            <w:tcW w:w="1559" w:type="dxa"/>
            <w:tcBorders>
              <w:top w:val="nil"/>
              <w:left w:val="nil"/>
              <w:bottom w:val="single" w:sz="2" w:space="0" w:color="auto"/>
              <w:right w:val="nil"/>
            </w:tcBorders>
            <w:shd w:val="clear" w:color="auto" w:fill="auto"/>
            <w:noWrap/>
            <w:vAlign w:val="center"/>
            <w:hideMark/>
          </w:tcPr>
          <w:p w14:paraId="0579AFF5" w14:textId="77777777" w:rsidR="004367EF" w:rsidRPr="00534BA4" w:rsidRDefault="004367EF" w:rsidP="00534BA4">
            <w:pPr>
              <w:pStyle w:val="cuatexto"/>
              <w:jc w:val="right"/>
            </w:pPr>
            <w:r>
              <w:t>174</w:t>
            </w:r>
          </w:p>
        </w:tc>
        <w:tc>
          <w:tcPr>
            <w:tcW w:w="2056" w:type="dxa"/>
            <w:tcBorders>
              <w:top w:val="nil"/>
              <w:left w:val="nil"/>
              <w:bottom w:val="single" w:sz="2" w:space="0" w:color="auto"/>
              <w:right w:val="nil"/>
            </w:tcBorders>
            <w:shd w:val="clear" w:color="auto" w:fill="auto"/>
            <w:noWrap/>
            <w:vAlign w:val="center"/>
            <w:hideMark/>
          </w:tcPr>
          <w:p w14:paraId="28600FC4" w14:textId="77777777" w:rsidR="004367EF" w:rsidRPr="00534BA4" w:rsidRDefault="004367EF" w:rsidP="00534BA4">
            <w:pPr>
              <w:pStyle w:val="cuatexto"/>
              <w:jc w:val="right"/>
            </w:pPr>
            <w:r>
              <w:t>6.604</w:t>
            </w:r>
          </w:p>
        </w:tc>
        <w:tc>
          <w:tcPr>
            <w:tcW w:w="1348" w:type="dxa"/>
            <w:tcBorders>
              <w:top w:val="nil"/>
              <w:left w:val="nil"/>
              <w:bottom w:val="single" w:sz="2" w:space="0" w:color="auto"/>
              <w:right w:val="nil"/>
            </w:tcBorders>
            <w:shd w:val="clear" w:color="auto" w:fill="auto"/>
            <w:noWrap/>
            <w:vAlign w:val="center"/>
            <w:hideMark/>
          </w:tcPr>
          <w:p w14:paraId="084989CE" w14:textId="77777777" w:rsidR="004367EF" w:rsidRPr="00534BA4" w:rsidRDefault="004367EF" w:rsidP="00534BA4">
            <w:pPr>
              <w:pStyle w:val="cuatexto"/>
              <w:jc w:val="right"/>
            </w:pPr>
            <w:r>
              <w:t>7.037</w:t>
            </w:r>
          </w:p>
        </w:tc>
      </w:tr>
      <w:tr w:rsidR="004367EF" w:rsidRPr="00534BA4" w14:paraId="7F29B78A" w14:textId="77777777" w:rsidTr="00534BA4">
        <w:trPr>
          <w:trHeight w:val="191"/>
        </w:trPr>
        <w:tc>
          <w:tcPr>
            <w:tcW w:w="2480" w:type="dxa"/>
            <w:tcBorders>
              <w:top w:val="single" w:sz="2" w:space="0" w:color="auto"/>
              <w:left w:val="nil"/>
              <w:bottom w:val="single" w:sz="2" w:space="0" w:color="auto"/>
              <w:right w:val="nil"/>
            </w:tcBorders>
            <w:shd w:val="clear" w:color="auto" w:fill="auto"/>
            <w:vAlign w:val="center"/>
            <w:hideMark/>
          </w:tcPr>
          <w:p w14:paraId="7332B87A" w14:textId="77777777" w:rsidR="004367EF" w:rsidRPr="00534BA4" w:rsidRDefault="004367EF" w:rsidP="00534BA4">
            <w:pPr>
              <w:pStyle w:val="cuatexto"/>
            </w:pPr>
            <w:r>
              <w:t>Erreferentziako biztanle kopuru osoa</w:t>
            </w:r>
          </w:p>
        </w:tc>
        <w:tc>
          <w:tcPr>
            <w:tcW w:w="1418" w:type="dxa"/>
            <w:tcBorders>
              <w:top w:val="single" w:sz="2" w:space="0" w:color="auto"/>
              <w:left w:val="nil"/>
              <w:bottom w:val="single" w:sz="2" w:space="0" w:color="auto"/>
              <w:right w:val="nil"/>
            </w:tcBorders>
            <w:shd w:val="clear" w:color="auto" w:fill="auto"/>
            <w:noWrap/>
            <w:vAlign w:val="center"/>
            <w:hideMark/>
          </w:tcPr>
          <w:p w14:paraId="7BDC0326" w14:textId="77777777" w:rsidR="004367EF" w:rsidRPr="00534BA4" w:rsidRDefault="004367EF" w:rsidP="00534BA4">
            <w:pPr>
              <w:pStyle w:val="cuatexto"/>
              <w:jc w:val="right"/>
            </w:pPr>
            <w:r>
              <w:t>447.667</w:t>
            </w:r>
          </w:p>
        </w:tc>
        <w:tc>
          <w:tcPr>
            <w:tcW w:w="1559" w:type="dxa"/>
            <w:tcBorders>
              <w:top w:val="single" w:sz="2" w:space="0" w:color="auto"/>
              <w:left w:val="nil"/>
              <w:bottom w:val="single" w:sz="2" w:space="0" w:color="auto"/>
              <w:right w:val="nil"/>
            </w:tcBorders>
            <w:shd w:val="clear" w:color="auto" w:fill="auto"/>
            <w:noWrap/>
            <w:vAlign w:val="center"/>
            <w:hideMark/>
          </w:tcPr>
          <w:p w14:paraId="4271B91F" w14:textId="77777777" w:rsidR="004367EF" w:rsidRPr="00534BA4" w:rsidRDefault="004367EF" w:rsidP="00534BA4">
            <w:pPr>
              <w:pStyle w:val="cuatexto"/>
              <w:jc w:val="right"/>
            </w:pPr>
            <w:r>
              <w:t>858.530</w:t>
            </w:r>
          </w:p>
        </w:tc>
        <w:tc>
          <w:tcPr>
            <w:tcW w:w="2056" w:type="dxa"/>
            <w:tcBorders>
              <w:top w:val="single" w:sz="2" w:space="0" w:color="auto"/>
              <w:left w:val="nil"/>
              <w:bottom w:val="single" w:sz="2" w:space="0" w:color="auto"/>
              <w:right w:val="nil"/>
            </w:tcBorders>
            <w:shd w:val="clear" w:color="auto" w:fill="auto"/>
            <w:noWrap/>
            <w:vAlign w:val="center"/>
            <w:hideMark/>
          </w:tcPr>
          <w:p w14:paraId="1FD7BEE5" w14:textId="77777777" w:rsidR="004367EF" w:rsidRPr="00534BA4" w:rsidRDefault="004367EF" w:rsidP="00534BA4">
            <w:pPr>
              <w:pStyle w:val="cuatexto"/>
              <w:jc w:val="right"/>
            </w:pPr>
            <w:r>
              <w:t>18.379.497</w:t>
            </w:r>
          </w:p>
        </w:tc>
        <w:tc>
          <w:tcPr>
            <w:tcW w:w="1348" w:type="dxa"/>
            <w:tcBorders>
              <w:top w:val="single" w:sz="2" w:space="0" w:color="auto"/>
              <w:left w:val="nil"/>
              <w:bottom w:val="single" w:sz="2" w:space="0" w:color="auto"/>
              <w:right w:val="nil"/>
            </w:tcBorders>
            <w:shd w:val="clear" w:color="auto" w:fill="auto"/>
            <w:noWrap/>
            <w:vAlign w:val="center"/>
            <w:hideMark/>
          </w:tcPr>
          <w:p w14:paraId="32C3087F" w14:textId="77777777" w:rsidR="004367EF" w:rsidRPr="00534BA4" w:rsidRDefault="004367EF" w:rsidP="00534BA4">
            <w:pPr>
              <w:pStyle w:val="cuatexto"/>
              <w:jc w:val="right"/>
            </w:pPr>
            <w:r>
              <w:t>19.685.694</w:t>
            </w:r>
          </w:p>
        </w:tc>
      </w:tr>
      <w:tr w:rsidR="004367EF" w:rsidRPr="00534BA4" w14:paraId="6F464B9B" w14:textId="77777777" w:rsidTr="00534BA4">
        <w:trPr>
          <w:trHeight w:val="167"/>
        </w:trPr>
        <w:tc>
          <w:tcPr>
            <w:tcW w:w="2480" w:type="dxa"/>
            <w:tcBorders>
              <w:top w:val="single" w:sz="2" w:space="0" w:color="auto"/>
              <w:left w:val="nil"/>
              <w:bottom w:val="single" w:sz="4" w:space="0" w:color="auto"/>
              <w:right w:val="nil"/>
            </w:tcBorders>
            <w:shd w:val="clear" w:color="auto" w:fill="auto"/>
            <w:vAlign w:val="center"/>
            <w:hideMark/>
          </w:tcPr>
          <w:p w14:paraId="7E732D4E" w14:textId="77777777" w:rsidR="004367EF" w:rsidRPr="00534BA4" w:rsidRDefault="004367EF" w:rsidP="00534BA4">
            <w:pPr>
              <w:pStyle w:val="cuatexto"/>
            </w:pPr>
            <w:r>
              <w:t>Batez besteko biztanle kopurua</w:t>
            </w:r>
          </w:p>
        </w:tc>
        <w:tc>
          <w:tcPr>
            <w:tcW w:w="1418" w:type="dxa"/>
            <w:tcBorders>
              <w:top w:val="single" w:sz="2" w:space="0" w:color="auto"/>
              <w:left w:val="nil"/>
              <w:bottom w:val="single" w:sz="4" w:space="0" w:color="auto"/>
              <w:right w:val="nil"/>
            </w:tcBorders>
            <w:shd w:val="clear" w:color="auto" w:fill="auto"/>
            <w:noWrap/>
            <w:vAlign w:val="center"/>
            <w:hideMark/>
          </w:tcPr>
          <w:p w14:paraId="239DF310" w14:textId="77777777" w:rsidR="004367EF" w:rsidRPr="00534BA4" w:rsidRDefault="004367EF" w:rsidP="00534BA4">
            <w:pPr>
              <w:pStyle w:val="cuatexto"/>
              <w:jc w:val="right"/>
            </w:pPr>
            <w:r>
              <w:t>1.728</w:t>
            </w:r>
          </w:p>
        </w:tc>
        <w:tc>
          <w:tcPr>
            <w:tcW w:w="1559" w:type="dxa"/>
            <w:tcBorders>
              <w:top w:val="single" w:sz="2" w:space="0" w:color="auto"/>
              <w:left w:val="nil"/>
              <w:bottom w:val="single" w:sz="4" w:space="0" w:color="auto"/>
              <w:right w:val="nil"/>
            </w:tcBorders>
            <w:shd w:val="clear" w:color="auto" w:fill="auto"/>
            <w:noWrap/>
            <w:vAlign w:val="center"/>
            <w:hideMark/>
          </w:tcPr>
          <w:p w14:paraId="7D826BAD" w14:textId="77777777" w:rsidR="004367EF" w:rsidRPr="00534BA4" w:rsidRDefault="004367EF" w:rsidP="00534BA4">
            <w:pPr>
              <w:pStyle w:val="cuatexto"/>
              <w:jc w:val="right"/>
            </w:pPr>
            <w:r>
              <w:t>4.934</w:t>
            </w:r>
          </w:p>
        </w:tc>
        <w:tc>
          <w:tcPr>
            <w:tcW w:w="2056" w:type="dxa"/>
            <w:tcBorders>
              <w:top w:val="single" w:sz="2" w:space="0" w:color="auto"/>
              <w:left w:val="nil"/>
              <w:bottom w:val="single" w:sz="4" w:space="0" w:color="auto"/>
              <w:right w:val="nil"/>
            </w:tcBorders>
            <w:shd w:val="clear" w:color="auto" w:fill="auto"/>
            <w:noWrap/>
            <w:vAlign w:val="center"/>
            <w:hideMark/>
          </w:tcPr>
          <w:p w14:paraId="0F69B4E7" w14:textId="77777777" w:rsidR="004367EF" w:rsidRPr="00534BA4" w:rsidRDefault="004367EF" w:rsidP="00534BA4">
            <w:pPr>
              <w:pStyle w:val="cuatexto"/>
              <w:jc w:val="right"/>
            </w:pPr>
            <w:r>
              <w:t>2.783</w:t>
            </w:r>
          </w:p>
        </w:tc>
        <w:tc>
          <w:tcPr>
            <w:tcW w:w="1348" w:type="dxa"/>
            <w:tcBorders>
              <w:top w:val="single" w:sz="2" w:space="0" w:color="auto"/>
              <w:left w:val="nil"/>
              <w:bottom w:val="single" w:sz="4" w:space="0" w:color="auto"/>
              <w:right w:val="nil"/>
            </w:tcBorders>
            <w:shd w:val="clear" w:color="auto" w:fill="auto"/>
            <w:noWrap/>
            <w:vAlign w:val="center"/>
            <w:hideMark/>
          </w:tcPr>
          <w:p w14:paraId="654DA881" w14:textId="77777777" w:rsidR="004367EF" w:rsidRPr="00534BA4" w:rsidRDefault="004367EF" w:rsidP="00534BA4">
            <w:pPr>
              <w:pStyle w:val="cuatexto"/>
              <w:jc w:val="right"/>
            </w:pPr>
            <w:r>
              <w:t>2.797</w:t>
            </w:r>
          </w:p>
        </w:tc>
      </w:tr>
    </w:tbl>
    <w:p w14:paraId="76CF64FA" w14:textId="6D7670E2" w:rsidR="004367EF" w:rsidRPr="004B1F4E" w:rsidRDefault="00974F8A" w:rsidP="00534BA4">
      <w:pPr>
        <w:spacing w:before="120" w:after="0"/>
        <w:ind w:firstLine="0"/>
        <w:rPr>
          <w:rStyle w:val="textoCar"/>
          <w:rFonts w:ascii="Arial" w:hAnsi="Arial" w:cs="Arial"/>
          <w:color w:val="000000" w:themeColor="text1"/>
          <w:sz w:val="14"/>
          <w:szCs w:val="14"/>
        </w:rPr>
      </w:pPr>
      <w:r>
        <w:rPr>
          <w:rStyle w:val="textoCar"/>
          <w:rFonts w:ascii="Arial" w:hAnsi="Arial"/>
          <w:color w:val="000000" w:themeColor="text1"/>
          <w:sz w:val="14"/>
        </w:rPr>
        <w:lastRenderedPageBreak/>
        <w:t xml:space="preserve">(*) </w:t>
      </w:r>
      <w:proofErr w:type="spellStart"/>
      <w:r>
        <w:rPr>
          <w:rStyle w:val="textoCar"/>
          <w:rFonts w:ascii="Arial" w:hAnsi="Arial"/>
          <w:color w:val="000000" w:themeColor="text1"/>
          <w:sz w:val="14"/>
        </w:rPr>
        <w:t>TADZNren</w:t>
      </w:r>
      <w:proofErr w:type="spellEnd"/>
      <w:r>
        <w:rPr>
          <w:rStyle w:val="textoCar"/>
          <w:rFonts w:ascii="Arial" w:hAnsi="Arial"/>
          <w:color w:val="000000" w:themeColor="text1"/>
          <w:sz w:val="14"/>
        </w:rPr>
        <w:t xml:space="preserve"> txostena egin zenean Ogasun Ministerioaren webgunean informazioa argitaratuta zeukaten udalak. Euskal Autonomia Erkidegoan ez da Arabako udalik hartu.</w:t>
      </w:r>
    </w:p>
    <w:p w14:paraId="0D61CBC6" w14:textId="77777777" w:rsidR="004367EF" w:rsidRDefault="004367EF" w:rsidP="004367EF">
      <w:pPr>
        <w:ind w:firstLine="284"/>
        <w:rPr>
          <w:rStyle w:val="textoCar"/>
          <w:color w:val="000000" w:themeColor="text1"/>
          <w:szCs w:val="26"/>
        </w:rPr>
      </w:pPr>
      <w:r>
        <w:rPr>
          <w:rStyle w:val="textoCar"/>
          <w:color w:val="000000" w:themeColor="text1"/>
        </w:rPr>
        <w:t xml:space="preserve">Ikus daitekeenez, azterketa 40.000 biztanletik beherako udaletara mugatuta ere, Nafarroako udalen batez besteko biztanle kopurua nabarmen txikiagoa da Estatuko gainerakoena baino, eta are txikiagoa EAEko batezbestekoarekin alderatuta. </w:t>
      </w:r>
    </w:p>
    <w:p w14:paraId="7BD335A1" w14:textId="77777777" w:rsidR="00345C6C" w:rsidRDefault="00345C6C" w:rsidP="002B5258">
      <w:pPr>
        <w:spacing w:after="240"/>
        <w:ind w:firstLine="284"/>
        <w:rPr>
          <w:rStyle w:val="textoCar"/>
          <w:szCs w:val="26"/>
        </w:rPr>
      </w:pPr>
      <w:bookmarkStart w:id="109" w:name="_Toc52348299"/>
      <w:r>
        <w:rPr>
          <w:rStyle w:val="textoCar"/>
        </w:rPr>
        <w:t>Beheko tauletan diru-sarrerak eta gastuak azaltzen dira kapitulu ekonomikoaren arabera eta biztanle bakoitzeko:</w:t>
      </w:r>
    </w:p>
    <w:tbl>
      <w:tblPr>
        <w:tblW w:w="8923" w:type="dxa"/>
        <w:jc w:val="center"/>
        <w:tblCellMar>
          <w:left w:w="70" w:type="dxa"/>
          <w:right w:w="70" w:type="dxa"/>
        </w:tblCellMar>
        <w:tblLook w:val="04A0" w:firstRow="1" w:lastRow="0" w:firstColumn="1" w:lastColumn="0" w:noHBand="0" w:noVBand="1"/>
      </w:tblPr>
      <w:tblGrid>
        <w:gridCol w:w="3403"/>
        <w:gridCol w:w="850"/>
        <w:gridCol w:w="1061"/>
        <w:gridCol w:w="831"/>
        <w:gridCol w:w="2360"/>
        <w:gridCol w:w="621"/>
        <w:gridCol w:w="928"/>
      </w:tblGrid>
      <w:tr w:rsidR="004367EF" w:rsidRPr="008F7ECB" w14:paraId="36EEEA2D" w14:textId="77777777" w:rsidTr="00565DBB">
        <w:trPr>
          <w:trHeight w:val="227"/>
          <w:jc w:val="center"/>
        </w:trPr>
        <w:tc>
          <w:tcPr>
            <w:tcW w:w="3403" w:type="dxa"/>
            <w:vMerge w:val="restart"/>
            <w:tcBorders>
              <w:top w:val="single" w:sz="4" w:space="0" w:color="auto"/>
              <w:left w:val="nil"/>
              <w:bottom w:val="single" w:sz="4" w:space="0" w:color="000000"/>
              <w:right w:val="nil"/>
            </w:tcBorders>
            <w:shd w:val="clear" w:color="auto" w:fill="FABF8F" w:themeFill="accent6" w:themeFillTint="99"/>
            <w:noWrap/>
            <w:vAlign w:val="center"/>
            <w:hideMark/>
          </w:tcPr>
          <w:p w14:paraId="70BD655C" w14:textId="77777777" w:rsidR="004367EF" w:rsidRPr="008F7ECB" w:rsidRDefault="004367EF" w:rsidP="00A16FC4">
            <w:pPr>
              <w:pStyle w:val="cuadroCabe"/>
              <w:spacing w:line="240" w:lineRule="auto"/>
              <w:rPr>
                <w:sz w:val="16"/>
                <w:szCs w:val="16"/>
              </w:rPr>
            </w:pPr>
            <w:r>
              <w:rPr>
                <w:sz w:val="16"/>
              </w:rPr>
              <w:t>DIRU-SARRERAK</w:t>
            </w:r>
          </w:p>
        </w:tc>
        <w:tc>
          <w:tcPr>
            <w:tcW w:w="1915" w:type="dxa"/>
            <w:gridSpan w:val="2"/>
            <w:tcBorders>
              <w:top w:val="single" w:sz="4" w:space="0" w:color="auto"/>
              <w:left w:val="nil"/>
              <w:bottom w:val="single" w:sz="4" w:space="0" w:color="auto"/>
              <w:right w:val="nil"/>
            </w:tcBorders>
            <w:shd w:val="clear" w:color="auto" w:fill="FABF8F" w:themeFill="accent6" w:themeFillTint="99"/>
            <w:vAlign w:val="center"/>
            <w:hideMark/>
          </w:tcPr>
          <w:p w14:paraId="2CE66EA3" w14:textId="77777777" w:rsidR="004367EF" w:rsidRPr="008F7ECB" w:rsidRDefault="004367EF" w:rsidP="00A16FC4">
            <w:pPr>
              <w:pStyle w:val="cuadroCabe"/>
              <w:spacing w:line="240" w:lineRule="auto"/>
              <w:jc w:val="center"/>
              <w:rPr>
                <w:sz w:val="16"/>
                <w:szCs w:val="16"/>
              </w:rPr>
            </w:pPr>
            <w:r>
              <w:rPr>
                <w:sz w:val="16"/>
              </w:rPr>
              <w:t>Nafarroa</w:t>
            </w:r>
          </w:p>
        </w:tc>
        <w:tc>
          <w:tcPr>
            <w:tcW w:w="0" w:type="auto"/>
            <w:gridSpan w:val="2"/>
            <w:tcBorders>
              <w:top w:val="single" w:sz="4" w:space="0" w:color="auto"/>
              <w:left w:val="nil"/>
              <w:bottom w:val="single" w:sz="4" w:space="0" w:color="auto"/>
              <w:right w:val="nil"/>
            </w:tcBorders>
            <w:shd w:val="clear" w:color="auto" w:fill="FABF8F" w:themeFill="accent6" w:themeFillTint="99"/>
            <w:noWrap/>
            <w:vAlign w:val="center"/>
            <w:hideMark/>
          </w:tcPr>
          <w:p w14:paraId="1F2F3291" w14:textId="77777777" w:rsidR="004367EF" w:rsidRPr="008F7ECB" w:rsidRDefault="004367EF" w:rsidP="00A16FC4">
            <w:pPr>
              <w:pStyle w:val="cuadroCabe"/>
              <w:spacing w:line="240" w:lineRule="auto"/>
              <w:jc w:val="center"/>
              <w:rPr>
                <w:sz w:val="16"/>
                <w:szCs w:val="16"/>
              </w:rPr>
            </w:pPr>
            <w:r>
              <w:rPr>
                <w:sz w:val="16"/>
              </w:rPr>
              <w:t>EAE</w:t>
            </w:r>
          </w:p>
        </w:tc>
        <w:tc>
          <w:tcPr>
            <w:tcW w:w="0" w:type="auto"/>
            <w:gridSpan w:val="2"/>
            <w:tcBorders>
              <w:top w:val="single" w:sz="4" w:space="0" w:color="auto"/>
              <w:left w:val="nil"/>
              <w:bottom w:val="single" w:sz="4" w:space="0" w:color="auto"/>
              <w:right w:val="nil"/>
            </w:tcBorders>
            <w:shd w:val="clear" w:color="auto" w:fill="FABF8F" w:themeFill="accent6" w:themeFillTint="99"/>
            <w:vAlign w:val="center"/>
            <w:hideMark/>
          </w:tcPr>
          <w:p w14:paraId="70B3A5DC" w14:textId="77777777" w:rsidR="004367EF" w:rsidRPr="008F7ECB" w:rsidRDefault="004367EF" w:rsidP="00A16FC4">
            <w:pPr>
              <w:pStyle w:val="cuadroCabe"/>
              <w:spacing w:line="240" w:lineRule="auto"/>
              <w:jc w:val="center"/>
              <w:rPr>
                <w:sz w:val="16"/>
                <w:szCs w:val="16"/>
              </w:rPr>
            </w:pPr>
            <w:r>
              <w:rPr>
                <w:sz w:val="16"/>
              </w:rPr>
              <w:t>Estatuko gainerakoak</w:t>
            </w:r>
          </w:p>
        </w:tc>
      </w:tr>
      <w:tr w:rsidR="004367EF" w:rsidRPr="008F7ECB" w14:paraId="21E37703" w14:textId="77777777" w:rsidTr="00565DBB">
        <w:trPr>
          <w:trHeight w:val="227"/>
          <w:jc w:val="center"/>
        </w:trPr>
        <w:tc>
          <w:tcPr>
            <w:tcW w:w="3403" w:type="dxa"/>
            <w:vMerge/>
            <w:tcBorders>
              <w:top w:val="single" w:sz="4" w:space="0" w:color="auto"/>
              <w:left w:val="nil"/>
              <w:bottom w:val="single" w:sz="4" w:space="0" w:color="000000"/>
              <w:right w:val="nil"/>
            </w:tcBorders>
            <w:shd w:val="clear" w:color="auto" w:fill="FBD4B4" w:themeFill="accent6" w:themeFillTint="66"/>
            <w:vAlign w:val="center"/>
            <w:hideMark/>
          </w:tcPr>
          <w:p w14:paraId="069A8091" w14:textId="77777777" w:rsidR="004367EF" w:rsidRPr="008F7ECB" w:rsidRDefault="004367EF" w:rsidP="00A16FC4">
            <w:pPr>
              <w:pStyle w:val="cuadroCabe"/>
              <w:spacing w:line="240" w:lineRule="auto"/>
              <w:rPr>
                <w:sz w:val="16"/>
                <w:szCs w:val="16"/>
                <w:lang w:val="es-ES" w:eastAsia="es-ES"/>
              </w:rPr>
            </w:pPr>
          </w:p>
        </w:tc>
        <w:tc>
          <w:tcPr>
            <w:tcW w:w="850" w:type="dxa"/>
            <w:tcBorders>
              <w:top w:val="nil"/>
              <w:left w:val="nil"/>
              <w:bottom w:val="single" w:sz="4" w:space="0" w:color="auto"/>
              <w:right w:val="nil"/>
            </w:tcBorders>
            <w:shd w:val="clear" w:color="auto" w:fill="FABF8F" w:themeFill="accent6" w:themeFillTint="99"/>
            <w:vAlign w:val="center"/>
            <w:hideMark/>
          </w:tcPr>
          <w:p w14:paraId="7042E156" w14:textId="77777777" w:rsidR="004367EF" w:rsidRPr="00A16FC4" w:rsidRDefault="004367EF" w:rsidP="00A16FC4">
            <w:pPr>
              <w:pStyle w:val="cuadroCabe"/>
              <w:spacing w:line="240" w:lineRule="auto"/>
              <w:jc w:val="right"/>
              <w:rPr>
                <w:sz w:val="14"/>
                <w:szCs w:val="14"/>
              </w:rPr>
            </w:pPr>
            <w:r>
              <w:rPr>
                <w:sz w:val="14"/>
              </w:rPr>
              <w:t>Per capita</w:t>
            </w:r>
          </w:p>
        </w:tc>
        <w:tc>
          <w:tcPr>
            <w:tcW w:w="1061" w:type="dxa"/>
            <w:tcBorders>
              <w:top w:val="nil"/>
              <w:left w:val="nil"/>
              <w:bottom w:val="single" w:sz="4" w:space="0" w:color="auto"/>
              <w:right w:val="nil"/>
            </w:tcBorders>
            <w:shd w:val="clear" w:color="auto" w:fill="FABF8F" w:themeFill="accent6" w:themeFillTint="99"/>
            <w:noWrap/>
            <w:vAlign w:val="center"/>
            <w:hideMark/>
          </w:tcPr>
          <w:p w14:paraId="50CB95F4" w14:textId="77777777" w:rsidR="004367EF" w:rsidRPr="00A16FC4" w:rsidRDefault="004367EF" w:rsidP="00A16FC4">
            <w:pPr>
              <w:pStyle w:val="cuadroCabe"/>
              <w:spacing w:line="240" w:lineRule="auto"/>
              <w:jc w:val="right"/>
              <w:rPr>
                <w:sz w:val="14"/>
                <w:szCs w:val="14"/>
              </w:rPr>
            </w:pPr>
            <w:r>
              <w:rPr>
                <w:sz w:val="14"/>
              </w:rPr>
              <w:t>Ehunekoa, guztizkoaren gainean</w:t>
            </w:r>
          </w:p>
        </w:tc>
        <w:tc>
          <w:tcPr>
            <w:tcW w:w="0" w:type="auto"/>
            <w:tcBorders>
              <w:top w:val="nil"/>
              <w:left w:val="nil"/>
              <w:bottom w:val="single" w:sz="4" w:space="0" w:color="auto"/>
              <w:right w:val="nil"/>
            </w:tcBorders>
            <w:shd w:val="clear" w:color="auto" w:fill="FABF8F" w:themeFill="accent6" w:themeFillTint="99"/>
            <w:noWrap/>
            <w:vAlign w:val="center"/>
            <w:hideMark/>
          </w:tcPr>
          <w:p w14:paraId="2D449945" w14:textId="77777777" w:rsidR="004367EF" w:rsidRPr="00A16FC4" w:rsidRDefault="004367EF" w:rsidP="00A16FC4">
            <w:pPr>
              <w:pStyle w:val="cuadroCabe"/>
              <w:spacing w:line="240" w:lineRule="auto"/>
              <w:jc w:val="right"/>
              <w:rPr>
                <w:sz w:val="14"/>
                <w:szCs w:val="14"/>
              </w:rPr>
            </w:pPr>
            <w:r>
              <w:rPr>
                <w:sz w:val="14"/>
              </w:rPr>
              <w:t>Per capita</w:t>
            </w:r>
          </w:p>
        </w:tc>
        <w:tc>
          <w:tcPr>
            <w:tcW w:w="0" w:type="auto"/>
            <w:tcBorders>
              <w:top w:val="nil"/>
              <w:left w:val="nil"/>
              <w:bottom w:val="single" w:sz="4" w:space="0" w:color="auto"/>
              <w:right w:val="nil"/>
            </w:tcBorders>
            <w:shd w:val="clear" w:color="auto" w:fill="FABF8F" w:themeFill="accent6" w:themeFillTint="99"/>
            <w:noWrap/>
            <w:vAlign w:val="center"/>
            <w:hideMark/>
          </w:tcPr>
          <w:p w14:paraId="3BB8A78F" w14:textId="77777777" w:rsidR="004367EF" w:rsidRPr="00A16FC4" w:rsidRDefault="004367EF" w:rsidP="00A16FC4">
            <w:pPr>
              <w:pStyle w:val="cuadroCabe"/>
              <w:spacing w:line="240" w:lineRule="auto"/>
              <w:jc w:val="right"/>
              <w:rPr>
                <w:sz w:val="14"/>
                <w:szCs w:val="14"/>
              </w:rPr>
            </w:pPr>
            <w:r>
              <w:rPr>
                <w:sz w:val="14"/>
              </w:rPr>
              <w:t>Ehunekoa, guztizkoaren gainean</w:t>
            </w:r>
          </w:p>
        </w:tc>
        <w:tc>
          <w:tcPr>
            <w:tcW w:w="0" w:type="auto"/>
            <w:tcBorders>
              <w:top w:val="nil"/>
              <w:left w:val="nil"/>
              <w:bottom w:val="single" w:sz="4" w:space="0" w:color="auto"/>
              <w:right w:val="nil"/>
            </w:tcBorders>
            <w:shd w:val="clear" w:color="auto" w:fill="FABF8F" w:themeFill="accent6" w:themeFillTint="99"/>
            <w:vAlign w:val="center"/>
            <w:hideMark/>
          </w:tcPr>
          <w:p w14:paraId="3600FB55" w14:textId="77777777" w:rsidR="004367EF" w:rsidRPr="00A16FC4" w:rsidRDefault="004367EF" w:rsidP="00A16FC4">
            <w:pPr>
              <w:pStyle w:val="cuadroCabe"/>
              <w:spacing w:line="240" w:lineRule="auto"/>
              <w:jc w:val="right"/>
              <w:rPr>
                <w:sz w:val="14"/>
                <w:szCs w:val="14"/>
              </w:rPr>
            </w:pPr>
            <w:r>
              <w:rPr>
                <w:sz w:val="14"/>
              </w:rPr>
              <w:t>Per capita</w:t>
            </w:r>
          </w:p>
        </w:tc>
        <w:tc>
          <w:tcPr>
            <w:tcW w:w="0" w:type="auto"/>
            <w:tcBorders>
              <w:top w:val="nil"/>
              <w:left w:val="nil"/>
              <w:bottom w:val="single" w:sz="4" w:space="0" w:color="auto"/>
              <w:right w:val="nil"/>
            </w:tcBorders>
            <w:shd w:val="clear" w:color="auto" w:fill="FABF8F" w:themeFill="accent6" w:themeFillTint="99"/>
            <w:vAlign w:val="center"/>
            <w:hideMark/>
          </w:tcPr>
          <w:p w14:paraId="5EB6B24F" w14:textId="77777777" w:rsidR="004367EF" w:rsidRPr="00A16FC4" w:rsidRDefault="004367EF" w:rsidP="00A16FC4">
            <w:pPr>
              <w:pStyle w:val="cuadroCabe"/>
              <w:spacing w:line="240" w:lineRule="auto"/>
              <w:jc w:val="right"/>
              <w:rPr>
                <w:sz w:val="14"/>
                <w:szCs w:val="14"/>
              </w:rPr>
            </w:pPr>
            <w:r>
              <w:rPr>
                <w:sz w:val="14"/>
              </w:rPr>
              <w:t>Ehunekoa, guztizkoaren gainean</w:t>
            </w:r>
          </w:p>
        </w:tc>
      </w:tr>
      <w:tr w:rsidR="004367EF" w:rsidRPr="00EE13C5" w14:paraId="6C4A4063"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2E5980AA" w14:textId="2A567283" w:rsidR="004367EF" w:rsidRPr="00EE13C5" w:rsidRDefault="004367EF" w:rsidP="00A16FC4">
            <w:pPr>
              <w:pStyle w:val="cuatexto"/>
              <w:spacing w:line="240" w:lineRule="auto"/>
              <w:rPr>
                <w:sz w:val="18"/>
                <w:szCs w:val="18"/>
              </w:rPr>
            </w:pPr>
            <w:r>
              <w:rPr>
                <w:sz w:val="18"/>
              </w:rPr>
              <w:t>Zuzeneko zergak</w:t>
            </w:r>
          </w:p>
        </w:tc>
        <w:tc>
          <w:tcPr>
            <w:tcW w:w="850" w:type="dxa"/>
            <w:tcBorders>
              <w:top w:val="nil"/>
              <w:left w:val="nil"/>
              <w:bottom w:val="single" w:sz="4" w:space="0" w:color="auto"/>
              <w:right w:val="nil"/>
            </w:tcBorders>
            <w:shd w:val="clear" w:color="auto" w:fill="auto"/>
            <w:noWrap/>
            <w:vAlign w:val="center"/>
            <w:hideMark/>
          </w:tcPr>
          <w:p w14:paraId="3AA9B3AE" w14:textId="77777777" w:rsidR="004367EF" w:rsidRPr="00EE13C5" w:rsidRDefault="004367EF" w:rsidP="00A16FC4">
            <w:pPr>
              <w:pStyle w:val="cuatexto"/>
              <w:spacing w:line="240" w:lineRule="auto"/>
              <w:jc w:val="right"/>
              <w:rPr>
                <w:color w:val="000000"/>
                <w:sz w:val="18"/>
                <w:szCs w:val="18"/>
              </w:rPr>
            </w:pPr>
            <w:r>
              <w:rPr>
                <w:color w:val="000000"/>
                <w:sz w:val="18"/>
              </w:rPr>
              <w:t>316</w:t>
            </w:r>
          </w:p>
        </w:tc>
        <w:tc>
          <w:tcPr>
            <w:tcW w:w="1061" w:type="dxa"/>
            <w:tcBorders>
              <w:top w:val="nil"/>
              <w:left w:val="nil"/>
              <w:bottom w:val="single" w:sz="4" w:space="0" w:color="auto"/>
              <w:right w:val="nil"/>
            </w:tcBorders>
            <w:shd w:val="clear" w:color="auto" w:fill="auto"/>
            <w:noWrap/>
            <w:vAlign w:val="center"/>
            <w:hideMark/>
          </w:tcPr>
          <w:p w14:paraId="1B5EDD59" w14:textId="1CD2CE86" w:rsidR="004367EF" w:rsidRPr="00EE13C5" w:rsidRDefault="004367EF" w:rsidP="00A16FC4">
            <w:pPr>
              <w:pStyle w:val="cuatexto"/>
              <w:spacing w:line="240" w:lineRule="auto"/>
              <w:jc w:val="right"/>
              <w:rPr>
                <w:color w:val="000000"/>
                <w:sz w:val="18"/>
                <w:szCs w:val="18"/>
              </w:rPr>
            </w:pPr>
            <w:r>
              <w:rPr>
                <w:color w:val="000000"/>
                <w:sz w:val="18"/>
              </w:rPr>
              <w:t xml:space="preserve">28,1 </w:t>
            </w:r>
          </w:p>
        </w:tc>
        <w:tc>
          <w:tcPr>
            <w:tcW w:w="0" w:type="auto"/>
            <w:tcBorders>
              <w:top w:val="nil"/>
              <w:left w:val="nil"/>
              <w:bottom w:val="single" w:sz="4" w:space="0" w:color="auto"/>
              <w:right w:val="nil"/>
            </w:tcBorders>
            <w:shd w:val="clear" w:color="auto" w:fill="auto"/>
            <w:noWrap/>
            <w:vAlign w:val="center"/>
            <w:hideMark/>
          </w:tcPr>
          <w:p w14:paraId="215E6F95" w14:textId="77777777" w:rsidR="004367EF" w:rsidRPr="00EE13C5" w:rsidRDefault="004367EF" w:rsidP="00A16FC4">
            <w:pPr>
              <w:pStyle w:val="cuatexto"/>
              <w:spacing w:line="240" w:lineRule="auto"/>
              <w:jc w:val="right"/>
              <w:rPr>
                <w:color w:val="000000"/>
                <w:sz w:val="18"/>
                <w:szCs w:val="18"/>
              </w:rPr>
            </w:pPr>
            <w:r>
              <w:rPr>
                <w:color w:val="000000"/>
                <w:sz w:val="18"/>
              </w:rPr>
              <w:t>312</w:t>
            </w:r>
          </w:p>
        </w:tc>
        <w:tc>
          <w:tcPr>
            <w:tcW w:w="0" w:type="auto"/>
            <w:tcBorders>
              <w:top w:val="nil"/>
              <w:left w:val="nil"/>
              <w:bottom w:val="single" w:sz="4" w:space="0" w:color="auto"/>
              <w:right w:val="nil"/>
            </w:tcBorders>
            <w:shd w:val="clear" w:color="auto" w:fill="auto"/>
            <w:noWrap/>
            <w:vAlign w:val="center"/>
            <w:hideMark/>
          </w:tcPr>
          <w:p w14:paraId="3EEB6F36" w14:textId="77777777" w:rsidR="004367EF" w:rsidRPr="00EE13C5" w:rsidRDefault="004367EF" w:rsidP="00A16FC4">
            <w:pPr>
              <w:pStyle w:val="cuatexto"/>
              <w:spacing w:line="240" w:lineRule="auto"/>
              <w:jc w:val="right"/>
              <w:rPr>
                <w:color w:val="000000"/>
                <w:sz w:val="18"/>
                <w:szCs w:val="18"/>
              </w:rPr>
            </w:pPr>
            <w:r>
              <w:rPr>
                <w:color w:val="000000"/>
                <w:sz w:val="18"/>
              </w:rPr>
              <w:t xml:space="preserve">         23,2 </w:t>
            </w:r>
          </w:p>
        </w:tc>
        <w:tc>
          <w:tcPr>
            <w:tcW w:w="0" w:type="auto"/>
            <w:tcBorders>
              <w:top w:val="nil"/>
              <w:left w:val="nil"/>
              <w:bottom w:val="single" w:sz="4" w:space="0" w:color="auto"/>
              <w:right w:val="nil"/>
            </w:tcBorders>
            <w:shd w:val="clear" w:color="auto" w:fill="auto"/>
            <w:noWrap/>
            <w:vAlign w:val="center"/>
            <w:hideMark/>
          </w:tcPr>
          <w:p w14:paraId="69163A6A" w14:textId="77777777" w:rsidR="004367EF" w:rsidRPr="00EE13C5" w:rsidRDefault="004367EF" w:rsidP="00A16FC4">
            <w:pPr>
              <w:pStyle w:val="cuatexto"/>
              <w:spacing w:line="240" w:lineRule="auto"/>
              <w:jc w:val="right"/>
              <w:rPr>
                <w:color w:val="000000"/>
                <w:sz w:val="18"/>
                <w:szCs w:val="18"/>
              </w:rPr>
            </w:pPr>
            <w:r>
              <w:rPr>
                <w:color w:val="000000"/>
                <w:sz w:val="18"/>
              </w:rPr>
              <w:t>423</w:t>
            </w:r>
          </w:p>
        </w:tc>
        <w:tc>
          <w:tcPr>
            <w:tcW w:w="0" w:type="auto"/>
            <w:tcBorders>
              <w:top w:val="nil"/>
              <w:left w:val="nil"/>
              <w:bottom w:val="single" w:sz="4" w:space="0" w:color="auto"/>
              <w:right w:val="nil"/>
            </w:tcBorders>
            <w:shd w:val="clear" w:color="auto" w:fill="auto"/>
            <w:noWrap/>
            <w:vAlign w:val="center"/>
            <w:hideMark/>
          </w:tcPr>
          <w:p w14:paraId="14CBDF82" w14:textId="77777777" w:rsidR="004367EF" w:rsidRPr="00EE13C5" w:rsidRDefault="004367EF" w:rsidP="00A16FC4">
            <w:pPr>
              <w:pStyle w:val="cuatexto"/>
              <w:spacing w:line="240" w:lineRule="auto"/>
              <w:jc w:val="right"/>
              <w:rPr>
                <w:color w:val="000000"/>
                <w:sz w:val="18"/>
                <w:szCs w:val="18"/>
              </w:rPr>
            </w:pPr>
            <w:r>
              <w:rPr>
                <w:color w:val="000000"/>
                <w:sz w:val="18"/>
              </w:rPr>
              <w:t xml:space="preserve">          38,2 </w:t>
            </w:r>
          </w:p>
        </w:tc>
      </w:tr>
      <w:tr w:rsidR="004367EF" w:rsidRPr="00EE13C5" w14:paraId="1BE79A38"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7794FEB6" w14:textId="77777777" w:rsidR="004367EF" w:rsidRPr="00EE13C5" w:rsidRDefault="004367EF" w:rsidP="00A16FC4">
            <w:pPr>
              <w:pStyle w:val="cuatexto"/>
              <w:spacing w:line="240" w:lineRule="auto"/>
              <w:rPr>
                <w:sz w:val="18"/>
                <w:szCs w:val="18"/>
              </w:rPr>
            </w:pPr>
            <w:r>
              <w:rPr>
                <w:sz w:val="18"/>
              </w:rPr>
              <w:t>Zeharkako zergak</w:t>
            </w:r>
          </w:p>
        </w:tc>
        <w:tc>
          <w:tcPr>
            <w:tcW w:w="850" w:type="dxa"/>
            <w:tcBorders>
              <w:top w:val="nil"/>
              <w:left w:val="nil"/>
              <w:bottom w:val="single" w:sz="4" w:space="0" w:color="auto"/>
              <w:right w:val="nil"/>
            </w:tcBorders>
            <w:shd w:val="clear" w:color="auto" w:fill="auto"/>
            <w:noWrap/>
            <w:vAlign w:val="center"/>
            <w:hideMark/>
          </w:tcPr>
          <w:p w14:paraId="29FC89EC" w14:textId="77777777" w:rsidR="004367EF" w:rsidRPr="00EE13C5" w:rsidRDefault="004367EF" w:rsidP="00A16FC4">
            <w:pPr>
              <w:pStyle w:val="cuatexto"/>
              <w:spacing w:line="240" w:lineRule="auto"/>
              <w:jc w:val="right"/>
              <w:rPr>
                <w:color w:val="000000"/>
                <w:sz w:val="18"/>
                <w:szCs w:val="18"/>
              </w:rPr>
            </w:pPr>
            <w:r>
              <w:rPr>
                <w:color w:val="000000"/>
                <w:sz w:val="18"/>
              </w:rPr>
              <w:t>31</w:t>
            </w:r>
          </w:p>
        </w:tc>
        <w:tc>
          <w:tcPr>
            <w:tcW w:w="1061" w:type="dxa"/>
            <w:tcBorders>
              <w:top w:val="nil"/>
              <w:left w:val="nil"/>
              <w:bottom w:val="single" w:sz="4" w:space="0" w:color="auto"/>
              <w:right w:val="nil"/>
            </w:tcBorders>
            <w:shd w:val="clear" w:color="auto" w:fill="auto"/>
            <w:noWrap/>
            <w:vAlign w:val="center"/>
            <w:hideMark/>
          </w:tcPr>
          <w:p w14:paraId="5843FBAC" w14:textId="51C691A9" w:rsidR="004367EF" w:rsidRPr="00EE13C5" w:rsidRDefault="004367EF" w:rsidP="00A16FC4">
            <w:pPr>
              <w:pStyle w:val="cuatexto"/>
              <w:spacing w:line="240" w:lineRule="auto"/>
              <w:jc w:val="right"/>
              <w:rPr>
                <w:sz w:val="18"/>
                <w:szCs w:val="18"/>
              </w:rPr>
            </w:pPr>
            <w:r>
              <w:rPr>
                <w:sz w:val="18"/>
              </w:rPr>
              <w:t xml:space="preserve">2,8 </w:t>
            </w:r>
          </w:p>
        </w:tc>
        <w:tc>
          <w:tcPr>
            <w:tcW w:w="0" w:type="auto"/>
            <w:tcBorders>
              <w:top w:val="nil"/>
              <w:left w:val="nil"/>
              <w:bottom w:val="single" w:sz="4" w:space="0" w:color="auto"/>
              <w:right w:val="nil"/>
            </w:tcBorders>
            <w:shd w:val="clear" w:color="auto" w:fill="auto"/>
            <w:noWrap/>
            <w:vAlign w:val="center"/>
            <w:hideMark/>
          </w:tcPr>
          <w:p w14:paraId="431AE6A0" w14:textId="77777777" w:rsidR="004367EF" w:rsidRPr="00EE13C5" w:rsidRDefault="004367EF" w:rsidP="00A16FC4">
            <w:pPr>
              <w:pStyle w:val="cuatexto"/>
              <w:spacing w:line="240" w:lineRule="auto"/>
              <w:jc w:val="right"/>
              <w:rPr>
                <w:color w:val="000000"/>
                <w:sz w:val="18"/>
                <w:szCs w:val="18"/>
              </w:rPr>
            </w:pPr>
            <w:r>
              <w:rPr>
                <w:color w:val="000000"/>
                <w:sz w:val="18"/>
              </w:rPr>
              <w:t>29</w:t>
            </w:r>
          </w:p>
        </w:tc>
        <w:tc>
          <w:tcPr>
            <w:tcW w:w="0" w:type="auto"/>
            <w:tcBorders>
              <w:top w:val="nil"/>
              <w:left w:val="nil"/>
              <w:bottom w:val="single" w:sz="4" w:space="0" w:color="auto"/>
              <w:right w:val="nil"/>
            </w:tcBorders>
            <w:shd w:val="clear" w:color="auto" w:fill="auto"/>
            <w:noWrap/>
            <w:vAlign w:val="center"/>
            <w:hideMark/>
          </w:tcPr>
          <w:p w14:paraId="7A0E6C9A" w14:textId="77777777" w:rsidR="004367EF" w:rsidRPr="00EE13C5" w:rsidRDefault="004367EF" w:rsidP="00A16FC4">
            <w:pPr>
              <w:pStyle w:val="cuatexto"/>
              <w:spacing w:line="240" w:lineRule="auto"/>
              <w:jc w:val="right"/>
              <w:rPr>
                <w:sz w:val="18"/>
                <w:szCs w:val="18"/>
              </w:rPr>
            </w:pPr>
            <w:r>
              <w:rPr>
                <w:sz w:val="18"/>
              </w:rPr>
              <w:t xml:space="preserve">           2,1 </w:t>
            </w:r>
          </w:p>
        </w:tc>
        <w:tc>
          <w:tcPr>
            <w:tcW w:w="0" w:type="auto"/>
            <w:tcBorders>
              <w:top w:val="nil"/>
              <w:left w:val="nil"/>
              <w:bottom w:val="single" w:sz="4" w:space="0" w:color="auto"/>
              <w:right w:val="nil"/>
            </w:tcBorders>
            <w:shd w:val="clear" w:color="auto" w:fill="auto"/>
            <w:noWrap/>
            <w:vAlign w:val="center"/>
            <w:hideMark/>
          </w:tcPr>
          <w:p w14:paraId="1669400A" w14:textId="77777777" w:rsidR="004367EF" w:rsidRPr="00EE13C5" w:rsidRDefault="004367EF" w:rsidP="00A16FC4">
            <w:pPr>
              <w:pStyle w:val="cuatexto"/>
              <w:spacing w:line="240" w:lineRule="auto"/>
              <w:jc w:val="right"/>
              <w:rPr>
                <w:color w:val="000000"/>
                <w:sz w:val="18"/>
                <w:szCs w:val="18"/>
              </w:rPr>
            </w:pPr>
            <w:r>
              <w:rPr>
                <w:color w:val="000000"/>
                <w:sz w:val="18"/>
              </w:rPr>
              <w:t>28</w:t>
            </w:r>
          </w:p>
        </w:tc>
        <w:tc>
          <w:tcPr>
            <w:tcW w:w="0" w:type="auto"/>
            <w:tcBorders>
              <w:top w:val="nil"/>
              <w:left w:val="nil"/>
              <w:bottom w:val="single" w:sz="4" w:space="0" w:color="auto"/>
              <w:right w:val="nil"/>
            </w:tcBorders>
            <w:shd w:val="clear" w:color="auto" w:fill="auto"/>
            <w:noWrap/>
            <w:vAlign w:val="center"/>
            <w:hideMark/>
          </w:tcPr>
          <w:p w14:paraId="5ECA8F48" w14:textId="77777777" w:rsidR="004367EF" w:rsidRPr="00EE13C5" w:rsidRDefault="004367EF" w:rsidP="00A16FC4">
            <w:pPr>
              <w:pStyle w:val="cuatexto"/>
              <w:spacing w:line="240" w:lineRule="auto"/>
              <w:jc w:val="right"/>
              <w:rPr>
                <w:sz w:val="18"/>
                <w:szCs w:val="18"/>
              </w:rPr>
            </w:pPr>
            <w:r>
              <w:rPr>
                <w:sz w:val="18"/>
              </w:rPr>
              <w:t xml:space="preserve">            2,6 </w:t>
            </w:r>
          </w:p>
        </w:tc>
      </w:tr>
      <w:tr w:rsidR="004367EF" w:rsidRPr="00EE13C5" w14:paraId="479FE5FE"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1F1420C0" w14:textId="77777777" w:rsidR="004367EF" w:rsidRPr="00EE13C5" w:rsidRDefault="004367EF" w:rsidP="00A16FC4">
            <w:pPr>
              <w:pStyle w:val="cuatexto"/>
              <w:spacing w:line="240" w:lineRule="auto"/>
              <w:rPr>
                <w:sz w:val="18"/>
                <w:szCs w:val="18"/>
              </w:rPr>
            </w:pPr>
            <w:r>
              <w:rPr>
                <w:sz w:val="18"/>
              </w:rPr>
              <w:t>Tasak, prezio publikoak eta beste diru-sarrera batzuk</w:t>
            </w:r>
          </w:p>
        </w:tc>
        <w:tc>
          <w:tcPr>
            <w:tcW w:w="850" w:type="dxa"/>
            <w:tcBorders>
              <w:top w:val="nil"/>
              <w:left w:val="nil"/>
              <w:bottom w:val="single" w:sz="4" w:space="0" w:color="auto"/>
              <w:right w:val="nil"/>
            </w:tcBorders>
            <w:shd w:val="clear" w:color="auto" w:fill="auto"/>
            <w:noWrap/>
            <w:vAlign w:val="center"/>
            <w:hideMark/>
          </w:tcPr>
          <w:p w14:paraId="62392763" w14:textId="77777777" w:rsidR="004367EF" w:rsidRPr="00EE13C5" w:rsidRDefault="004367EF" w:rsidP="00A16FC4">
            <w:pPr>
              <w:pStyle w:val="cuatexto"/>
              <w:spacing w:line="240" w:lineRule="auto"/>
              <w:jc w:val="right"/>
              <w:rPr>
                <w:color w:val="000000"/>
                <w:sz w:val="18"/>
                <w:szCs w:val="18"/>
              </w:rPr>
            </w:pPr>
            <w:r>
              <w:rPr>
                <w:color w:val="000000"/>
                <w:sz w:val="18"/>
              </w:rPr>
              <w:t>148</w:t>
            </w:r>
          </w:p>
        </w:tc>
        <w:tc>
          <w:tcPr>
            <w:tcW w:w="1061" w:type="dxa"/>
            <w:tcBorders>
              <w:top w:val="nil"/>
              <w:left w:val="nil"/>
              <w:bottom w:val="single" w:sz="4" w:space="0" w:color="auto"/>
              <w:right w:val="nil"/>
            </w:tcBorders>
            <w:shd w:val="clear" w:color="auto" w:fill="auto"/>
            <w:noWrap/>
            <w:vAlign w:val="center"/>
            <w:hideMark/>
          </w:tcPr>
          <w:p w14:paraId="45A8DF4D" w14:textId="28C13519" w:rsidR="004367EF" w:rsidRPr="00EE13C5" w:rsidRDefault="004367EF" w:rsidP="00A16FC4">
            <w:pPr>
              <w:pStyle w:val="cuatexto"/>
              <w:spacing w:line="240" w:lineRule="auto"/>
              <w:jc w:val="right"/>
              <w:rPr>
                <w:sz w:val="18"/>
                <w:szCs w:val="18"/>
              </w:rPr>
            </w:pPr>
            <w:r>
              <w:rPr>
                <w:sz w:val="18"/>
              </w:rPr>
              <w:t xml:space="preserve">13,1 </w:t>
            </w:r>
          </w:p>
        </w:tc>
        <w:tc>
          <w:tcPr>
            <w:tcW w:w="0" w:type="auto"/>
            <w:tcBorders>
              <w:top w:val="nil"/>
              <w:left w:val="nil"/>
              <w:bottom w:val="single" w:sz="4" w:space="0" w:color="auto"/>
              <w:right w:val="nil"/>
            </w:tcBorders>
            <w:shd w:val="clear" w:color="auto" w:fill="auto"/>
            <w:noWrap/>
            <w:vAlign w:val="center"/>
            <w:hideMark/>
          </w:tcPr>
          <w:p w14:paraId="7A8B5ABF" w14:textId="77777777" w:rsidR="004367EF" w:rsidRPr="00EE13C5" w:rsidRDefault="004367EF" w:rsidP="00A16FC4">
            <w:pPr>
              <w:pStyle w:val="cuatexto"/>
              <w:spacing w:line="240" w:lineRule="auto"/>
              <w:jc w:val="right"/>
              <w:rPr>
                <w:color w:val="000000"/>
                <w:sz w:val="18"/>
                <w:szCs w:val="18"/>
              </w:rPr>
            </w:pPr>
            <w:r>
              <w:rPr>
                <w:color w:val="000000"/>
                <w:sz w:val="18"/>
              </w:rPr>
              <w:t>203</w:t>
            </w:r>
          </w:p>
        </w:tc>
        <w:tc>
          <w:tcPr>
            <w:tcW w:w="0" w:type="auto"/>
            <w:tcBorders>
              <w:top w:val="nil"/>
              <w:left w:val="nil"/>
              <w:bottom w:val="single" w:sz="4" w:space="0" w:color="auto"/>
              <w:right w:val="nil"/>
            </w:tcBorders>
            <w:shd w:val="clear" w:color="auto" w:fill="auto"/>
            <w:noWrap/>
            <w:vAlign w:val="center"/>
            <w:hideMark/>
          </w:tcPr>
          <w:p w14:paraId="4F25400E" w14:textId="77777777" w:rsidR="004367EF" w:rsidRPr="00EE13C5" w:rsidRDefault="004367EF" w:rsidP="00A16FC4">
            <w:pPr>
              <w:pStyle w:val="cuatexto"/>
              <w:spacing w:line="240" w:lineRule="auto"/>
              <w:jc w:val="right"/>
              <w:rPr>
                <w:sz w:val="18"/>
                <w:szCs w:val="18"/>
              </w:rPr>
            </w:pPr>
            <w:r>
              <w:rPr>
                <w:sz w:val="18"/>
              </w:rPr>
              <w:t xml:space="preserve">         15,1 </w:t>
            </w:r>
          </w:p>
        </w:tc>
        <w:tc>
          <w:tcPr>
            <w:tcW w:w="0" w:type="auto"/>
            <w:tcBorders>
              <w:top w:val="nil"/>
              <w:left w:val="nil"/>
              <w:bottom w:val="single" w:sz="4" w:space="0" w:color="auto"/>
              <w:right w:val="nil"/>
            </w:tcBorders>
            <w:shd w:val="clear" w:color="auto" w:fill="auto"/>
            <w:noWrap/>
            <w:vAlign w:val="center"/>
            <w:hideMark/>
          </w:tcPr>
          <w:p w14:paraId="63173DDD" w14:textId="77777777" w:rsidR="004367EF" w:rsidRPr="00EE13C5" w:rsidRDefault="004367EF" w:rsidP="00A16FC4">
            <w:pPr>
              <w:pStyle w:val="cuatexto"/>
              <w:spacing w:line="240" w:lineRule="auto"/>
              <w:jc w:val="right"/>
              <w:rPr>
                <w:color w:val="000000"/>
                <w:sz w:val="18"/>
                <w:szCs w:val="18"/>
              </w:rPr>
            </w:pPr>
            <w:r>
              <w:rPr>
                <w:color w:val="000000"/>
                <w:sz w:val="18"/>
              </w:rPr>
              <w:t>160</w:t>
            </w:r>
          </w:p>
        </w:tc>
        <w:tc>
          <w:tcPr>
            <w:tcW w:w="0" w:type="auto"/>
            <w:tcBorders>
              <w:top w:val="nil"/>
              <w:left w:val="nil"/>
              <w:bottom w:val="single" w:sz="4" w:space="0" w:color="auto"/>
              <w:right w:val="nil"/>
            </w:tcBorders>
            <w:shd w:val="clear" w:color="auto" w:fill="auto"/>
            <w:noWrap/>
            <w:vAlign w:val="center"/>
            <w:hideMark/>
          </w:tcPr>
          <w:p w14:paraId="0DAD2CE4" w14:textId="77777777" w:rsidR="004367EF" w:rsidRPr="00EE13C5" w:rsidRDefault="004367EF" w:rsidP="00A16FC4">
            <w:pPr>
              <w:pStyle w:val="cuatexto"/>
              <w:spacing w:line="240" w:lineRule="auto"/>
              <w:jc w:val="right"/>
              <w:rPr>
                <w:sz w:val="18"/>
                <w:szCs w:val="18"/>
              </w:rPr>
            </w:pPr>
            <w:r>
              <w:rPr>
                <w:sz w:val="18"/>
              </w:rPr>
              <w:t xml:space="preserve">          14,5 </w:t>
            </w:r>
          </w:p>
        </w:tc>
      </w:tr>
      <w:tr w:rsidR="004367EF" w:rsidRPr="00EE13C5" w14:paraId="097EE7F2"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5C471FD5" w14:textId="77777777" w:rsidR="004367EF" w:rsidRPr="00EE13C5" w:rsidRDefault="004367EF" w:rsidP="00A16FC4">
            <w:pPr>
              <w:pStyle w:val="cuatexto"/>
              <w:spacing w:line="240" w:lineRule="auto"/>
              <w:rPr>
                <w:sz w:val="18"/>
                <w:szCs w:val="18"/>
              </w:rPr>
            </w:pPr>
            <w:r>
              <w:rPr>
                <w:sz w:val="18"/>
              </w:rPr>
              <w:t>Transferentzia arruntak</w:t>
            </w:r>
          </w:p>
        </w:tc>
        <w:tc>
          <w:tcPr>
            <w:tcW w:w="850" w:type="dxa"/>
            <w:tcBorders>
              <w:top w:val="nil"/>
              <w:left w:val="nil"/>
              <w:bottom w:val="single" w:sz="4" w:space="0" w:color="auto"/>
              <w:right w:val="nil"/>
            </w:tcBorders>
            <w:shd w:val="clear" w:color="auto" w:fill="auto"/>
            <w:noWrap/>
            <w:vAlign w:val="center"/>
            <w:hideMark/>
          </w:tcPr>
          <w:p w14:paraId="2F9D1110" w14:textId="77777777" w:rsidR="004367EF" w:rsidRPr="00EE13C5" w:rsidRDefault="004367EF" w:rsidP="00A16FC4">
            <w:pPr>
              <w:pStyle w:val="cuatexto"/>
              <w:spacing w:line="240" w:lineRule="auto"/>
              <w:jc w:val="right"/>
              <w:rPr>
                <w:color w:val="000000"/>
                <w:sz w:val="18"/>
                <w:szCs w:val="18"/>
              </w:rPr>
            </w:pPr>
            <w:r>
              <w:rPr>
                <w:color w:val="000000"/>
                <w:sz w:val="18"/>
              </w:rPr>
              <w:t>452</w:t>
            </w:r>
          </w:p>
        </w:tc>
        <w:tc>
          <w:tcPr>
            <w:tcW w:w="1061" w:type="dxa"/>
            <w:tcBorders>
              <w:top w:val="nil"/>
              <w:left w:val="nil"/>
              <w:bottom w:val="single" w:sz="4" w:space="0" w:color="auto"/>
              <w:right w:val="nil"/>
            </w:tcBorders>
            <w:shd w:val="clear" w:color="auto" w:fill="auto"/>
            <w:noWrap/>
            <w:vAlign w:val="center"/>
            <w:hideMark/>
          </w:tcPr>
          <w:p w14:paraId="37A44EC2" w14:textId="6FE8ACA3" w:rsidR="004367EF" w:rsidRPr="00EE13C5" w:rsidRDefault="004367EF" w:rsidP="00A16FC4">
            <w:pPr>
              <w:pStyle w:val="cuatexto"/>
              <w:spacing w:line="240" w:lineRule="auto"/>
              <w:jc w:val="right"/>
              <w:rPr>
                <w:sz w:val="18"/>
                <w:szCs w:val="18"/>
              </w:rPr>
            </w:pPr>
            <w:r>
              <w:rPr>
                <w:sz w:val="18"/>
              </w:rPr>
              <w:t xml:space="preserve">40,2 </w:t>
            </w:r>
          </w:p>
        </w:tc>
        <w:tc>
          <w:tcPr>
            <w:tcW w:w="0" w:type="auto"/>
            <w:tcBorders>
              <w:top w:val="nil"/>
              <w:left w:val="nil"/>
              <w:bottom w:val="single" w:sz="4" w:space="0" w:color="auto"/>
              <w:right w:val="nil"/>
            </w:tcBorders>
            <w:shd w:val="clear" w:color="auto" w:fill="auto"/>
            <w:noWrap/>
            <w:vAlign w:val="center"/>
            <w:hideMark/>
          </w:tcPr>
          <w:p w14:paraId="356E27F1" w14:textId="77777777" w:rsidR="004367EF" w:rsidRPr="00EE13C5" w:rsidRDefault="004367EF" w:rsidP="00A16FC4">
            <w:pPr>
              <w:pStyle w:val="cuatexto"/>
              <w:spacing w:line="240" w:lineRule="auto"/>
              <w:jc w:val="right"/>
              <w:rPr>
                <w:color w:val="000000"/>
                <w:sz w:val="18"/>
                <w:szCs w:val="18"/>
              </w:rPr>
            </w:pPr>
            <w:r>
              <w:rPr>
                <w:color w:val="000000"/>
                <w:sz w:val="18"/>
              </w:rPr>
              <w:t>734</w:t>
            </w:r>
          </w:p>
        </w:tc>
        <w:tc>
          <w:tcPr>
            <w:tcW w:w="0" w:type="auto"/>
            <w:tcBorders>
              <w:top w:val="nil"/>
              <w:left w:val="nil"/>
              <w:bottom w:val="single" w:sz="4" w:space="0" w:color="auto"/>
              <w:right w:val="nil"/>
            </w:tcBorders>
            <w:shd w:val="clear" w:color="auto" w:fill="auto"/>
            <w:noWrap/>
            <w:vAlign w:val="center"/>
            <w:hideMark/>
          </w:tcPr>
          <w:p w14:paraId="5DFF1C9E" w14:textId="77777777" w:rsidR="004367EF" w:rsidRPr="00EE13C5" w:rsidRDefault="004367EF" w:rsidP="00A16FC4">
            <w:pPr>
              <w:pStyle w:val="cuatexto"/>
              <w:spacing w:line="240" w:lineRule="auto"/>
              <w:jc w:val="right"/>
              <w:rPr>
                <w:sz w:val="18"/>
                <w:szCs w:val="18"/>
              </w:rPr>
            </w:pPr>
            <w:r>
              <w:rPr>
                <w:sz w:val="18"/>
              </w:rPr>
              <w:t xml:space="preserve">         54,6 </w:t>
            </w:r>
          </w:p>
        </w:tc>
        <w:tc>
          <w:tcPr>
            <w:tcW w:w="0" w:type="auto"/>
            <w:tcBorders>
              <w:top w:val="nil"/>
              <w:left w:val="nil"/>
              <w:bottom w:val="single" w:sz="4" w:space="0" w:color="auto"/>
              <w:right w:val="nil"/>
            </w:tcBorders>
            <w:shd w:val="clear" w:color="auto" w:fill="auto"/>
            <w:noWrap/>
            <w:vAlign w:val="center"/>
            <w:hideMark/>
          </w:tcPr>
          <w:p w14:paraId="1EF9D1F6" w14:textId="77777777" w:rsidR="004367EF" w:rsidRPr="00EE13C5" w:rsidRDefault="004367EF" w:rsidP="00A16FC4">
            <w:pPr>
              <w:pStyle w:val="cuatexto"/>
              <w:spacing w:line="240" w:lineRule="auto"/>
              <w:jc w:val="right"/>
              <w:rPr>
                <w:color w:val="000000"/>
                <w:sz w:val="18"/>
                <w:szCs w:val="18"/>
              </w:rPr>
            </w:pPr>
            <w:r>
              <w:rPr>
                <w:color w:val="000000"/>
                <w:sz w:val="18"/>
              </w:rPr>
              <w:t>378</w:t>
            </w:r>
          </w:p>
        </w:tc>
        <w:tc>
          <w:tcPr>
            <w:tcW w:w="0" w:type="auto"/>
            <w:tcBorders>
              <w:top w:val="nil"/>
              <w:left w:val="nil"/>
              <w:bottom w:val="single" w:sz="4" w:space="0" w:color="auto"/>
              <w:right w:val="nil"/>
            </w:tcBorders>
            <w:shd w:val="clear" w:color="auto" w:fill="auto"/>
            <w:noWrap/>
            <w:vAlign w:val="center"/>
            <w:hideMark/>
          </w:tcPr>
          <w:p w14:paraId="70F887CE" w14:textId="77777777" w:rsidR="004367EF" w:rsidRPr="00EE13C5" w:rsidRDefault="004367EF" w:rsidP="00A16FC4">
            <w:pPr>
              <w:pStyle w:val="cuatexto"/>
              <w:spacing w:line="240" w:lineRule="auto"/>
              <w:jc w:val="right"/>
              <w:rPr>
                <w:sz w:val="18"/>
                <w:szCs w:val="18"/>
              </w:rPr>
            </w:pPr>
            <w:r>
              <w:rPr>
                <w:sz w:val="18"/>
              </w:rPr>
              <w:t xml:space="preserve">          34,2 </w:t>
            </w:r>
          </w:p>
        </w:tc>
      </w:tr>
      <w:tr w:rsidR="004367EF" w:rsidRPr="00EE13C5" w14:paraId="1EFB5931"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2A5A6166" w14:textId="77777777" w:rsidR="00EE13C5" w:rsidRDefault="004367EF" w:rsidP="00A16FC4">
            <w:pPr>
              <w:pStyle w:val="cuatexto"/>
              <w:spacing w:line="240" w:lineRule="auto"/>
              <w:rPr>
                <w:sz w:val="18"/>
                <w:szCs w:val="18"/>
              </w:rPr>
            </w:pPr>
            <w:r>
              <w:rPr>
                <w:sz w:val="18"/>
              </w:rPr>
              <w:t>Ondarearen bidezko diru-sarrerak eta herri-aprobetxamenduak</w:t>
            </w:r>
          </w:p>
          <w:p w14:paraId="6494D700" w14:textId="699C4044" w:rsidR="004367EF" w:rsidRPr="00EE13C5" w:rsidRDefault="004367EF" w:rsidP="00A16FC4">
            <w:pPr>
              <w:pStyle w:val="cuatexto"/>
              <w:spacing w:line="240" w:lineRule="auto"/>
              <w:rPr>
                <w:sz w:val="18"/>
                <w:szCs w:val="18"/>
              </w:rPr>
            </w:pPr>
            <w:r>
              <w:rPr>
                <w:sz w:val="18"/>
              </w:rPr>
              <w:t xml:space="preserve"> </w:t>
            </w:r>
          </w:p>
        </w:tc>
        <w:tc>
          <w:tcPr>
            <w:tcW w:w="850" w:type="dxa"/>
            <w:tcBorders>
              <w:top w:val="nil"/>
              <w:left w:val="nil"/>
              <w:bottom w:val="single" w:sz="4" w:space="0" w:color="auto"/>
              <w:right w:val="nil"/>
            </w:tcBorders>
            <w:shd w:val="clear" w:color="auto" w:fill="auto"/>
            <w:noWrap/>
            <w:vAlign w:val="center"/>
            <w:hideMark/>
          </w:tcPr>
          <w:p w14:paraId="3D08FBA8" w14:textId="77777777" w:rsidR="004367EF" w:rsidRPr="00EE13C5" w:rsidRDefault="004367EF" w:rsidP="00A16FC4">
            <w:pPr>
              <w:pStyle w:val="cuatexto"/>
              <w:spacing w:line="240" w:lineRule="auto"/>
              <w:jc w:val="right"/>
              <w:rPr>
                <w:color w:val="000000"/>
                <w:sz w:val="18"/>
                <w:szCs w:val="18"/>
              </w:rPr>
            </w:pPr>
            <w:r>
              <w:rPr>
                <w:color w:val="000000"/>
                <w:sz w:val="18"/>
              </w:rPr>
              <w:t>56</w:t>
            </w:r>
          </w:p>
        </w:tc>
        <w:tc>
          <w:tcPr>
            <w:tcW w:w="1061" w:type="dxa"/>
            <w:tcBorders>
              <w:top w:val="nil"/>
              <w:left w:val="nil"/>
              <w:bottom w:val="single" w:sz="4" w:space="0" w:color="auto"/>
              <w:right w:val="nil"/>
            </w:tcBorders>
            <w:shd w:val="clear" w:color="auto" w:fill="auto"/>
            <w:noWrap/>
            <w:vAlign w:val="center"/>
            <w:hideMark/>
          </w:tcPr>
          <w:p w14:paraId="1CAB4203" w14:textId="3476D40E" w:rsidR="004367EF" w:rsidRPr="00EE13C5" w:rsidRDefault="004367EF" w:rsidP="00A16FC4">
            <w:pPr>
              <w:pStyle w:val="cuatexto"/>
              <w:spacing w:line="240" w:lineRule="auto"/>
              <w:jc w:val="right"/>
              <w:rPr>
                <w:sz w:val="18"/>
                <w:szCs w:val="18"/>
              </w:rPr>
            </w:pPr>
            <w:r>
              <w:rPr>
                <w:sz w:val="18"/>
              </w:rPr>
              <w:t xml:space="preserve">5,0 </w:t>
            </w:r>
          </w:p>
        </w:tc>
        <w:tc>
          <w:tcPr>
            <w:tcW w:w="0" w:type="auto"/>
            <w:tcBorders>
              <w:top w:val="nil"/>
              <w:left w:val="nil"/>
              <w:bottom w:val="single" w:sz="4" w:space="0" w:color="auto"/>
              <w:right w:val="nil"/>
            </w:tcBorders>
            <w:shd w:val="clear" w:color="auto" w:fill="auto"/>
            <w:noWrap/>
            <w:vAlign w:val="center"/>
            <w:hideMark/>
          </w:tcPr>
          <w:p w14:paraId="711028BB" w14:textId="77777777" w:rsidR="004367EF" w:rsidRPr="00EE13C5" w:rsidRDefault="004367EF" w:rsidP="00A16FC4">
            <w:pPr>
              <w:pStyle w:val="cuatexto"/>
              <w:spacing w:line="240" w:lineRule="auto"/>
              <w:jc w:val="right"/>
              <w:rPr>
                <w:color w:val="000000"/>
                <w:sz w:val="18"/>
                <w:szCs w:val="18"/>
              </w:rPr>
            </w:pPr>
            <w:r>
              <w:rPr>
                <w:color w:val="000000"/>
                <w:sz w:val="18"/>
              </w:rPr>
              <w:t>13</w:t>
            </w:r>
          </w:p>
        </w:tc>
        <w:tc>
          <w:tcPr>
            <w:tcW w:w="0" w:type="auto"/>
            <w:tcBorders>
              <w:top w:val="nil"/>
              <w:left w:val="nil"/>
              <w:bottom w:val="single" w:sz="4" w:space="0" w:color="auto"/>
              <w:right w:val="nil"/>
            </w:tcBorders>
            <w:shd w:val="clear" w:color="auto" w:fill="auto"/>
            <w:noWrap/>
            <w:vAlign w:val="center"/>
            <w:hideMark/>
          </w:tcPr>
          <w:p w14:paraId="13F77E41" w14:textId="77777777" w:rsidR="004367EF" w:rsidRPr="00EE13C5" w:rsidRDefault="004367EF" w:rsidP="00A16FC4">
            <w:pPr>
              <w:pStyle w:val="cuatexto"/>
              <w:spacing w:line="240" w:lineRule="auto"/>
              <w:jc w:val="right"/>
              <w:rPr>
                <w:sz w:val="18"/>
                <w:szCs w:val="18"/>
              </w:rPr>
            </w:pPr>
            <w:r>
              <w:rPr>
                <w:sz w:val="18"/>
              </w:rPr>
              <w:t xml:space="preserve">           1,0 </w:t>
            </w:r>
          </w:p>
        </w:tc>
        <w:tc>
          <w:tcPr>
            <w:tcW w:w="0" w:type="auto"/>
            <w:tcBorders>
              <w:top w:val="nil"/>
              <w:left w:val="nil"/>
              <w:bottom w:val="single" w:sz="4" w:space="0" w:color="auto"/>
              <w:right w:val="nil"/>
            </w:tcBorders>
            <w:shd w:val="clear" w:color="auto" w:fill="auto"/>
            <w:noWrap/>
            <w:vAlign w:val="center"/>
            <w:hideMark/>
          </w:tcPr>
          <w:p w14:paraId="18B341E2" w14:textId="77777777" w:rsidR="004367EF" w:rsidRPr="00EE13C5" w:rsidRDefault="004367EF" w:rsidP="00A16FC4">
            <w:pPr>
              <w:pStyle w:val="cuatexto"/>
              <w:spacing w:line="240" w:lineRule="auto"/>
              <w:jc w:val="right"/>
              <w:rPr>
                <w:color w:val="000000"/>
                <w:sz w:val="18"/>
                <w:szCs w:val="18"/>
              </w:rPr>
            </w:pPr>
            <w:r>
              <w:rPr>
                <w:color w:val="000000"/>
                <w:sz w:val="18"/>
              </w:rPr>
              <w:t>17</w:t>
            </w:r>
          </w:p>
        </w:tc>
        <w:tc>
          <w:tcPr>
            <w:tcW w:w="0" w:type="auto"/>
            <w:tcBorders>
              <w:top w:val="nil"/>
              <w:left w:val="nil"/>
              <w:bottom w:val="single" w:sz="4" w:space="0" w:color="auto"/>
              <w:right w:val="nil"/>
            </w:tcBorders>
            <w:shd w:val="clear" w:color="auto" w:fill="auto"/>
            <w:noWrap/>
            <w:vAlign w:val="center"/>
            <w:hideMark/>
          </w:tcPr>
          <w:p w14:paraId="2FF32C68" w14:textId="77777777" w:rsidR="004367EF" w:rsidRPr="00EE13C5" w:rsidRDefault="004367EF" w:rsidP="00A16FC4">
            <w:pPr>
              <w:pStyle w:val="cuatexto"/>
              <w:spacing w:line="240" w:lineRule="auto"/>
              <w:jc w:val="right"/>
              <w:rPr>
                <w:sz w:val="18"/>
                <w:szCs w:val="18"/>
              </w:rPr>
            </w:pPr>
            <w:r>
              <w:rPr>
                <w:sz w:val="18"/>
              </w:rPr>
              <w:t xml:space="preserve">            1,6 </w:t>
            </w:r>
          </w:p>
        </w:tc>
      </w:tr>
      <w:tr w:rsidR="004367EF" w:rsidRPr="00EE13C5" w14:paraId="4EF9C927" w14:textId="77777777" w:rsidTr="00565DBB">
        <w:trPr>
          <w:trHeight w:val="227"/>
          <w:jc w:val="center"/>
        </w:trPr>
        <w:tc>
          <w:tcPr>
            <w:tcW w:w="3403" w:type="dxa"/>
            <w:tcBorders>
              <w:top w:val="nil"/>
              <w:left w:val="nil"/>
              <w:bottom w:val="single" w:sz="4" w:space="0" w:color="auto"/>
              <w:right w:val="nil"/>
            </w:tcBorders>
            <w:shd w:val="clear" w:color="000000" w:fill="D9D9D9"/>
            <w:noWrap/>
            <w:vAlign w:val="center"/>
            <w:hideMark/>
          </w:tcPr>
          <w:p w14:paraId="2B996440" w14:textId="2E1C0B60" w:rsidR="004367EF" w:rsidRPr="00EE13C5" w:rsidRDefault="004D3571" w:rsidP="00A16FC4">
            <w:pPr>
              <w:pStyle w:val="cuatexto"/>
              <w:spacing w:line="240" w:lineRule="auto"/>
              <w:rPr>
                <w:b/>
                <w:bCs/>
                <w:i/>
                <w:iCs/>
                <w:sz w:val="18"/>
                <w:szCs w:val="18"/>
              </w:rPr>
            </w:pPr>
            <w:r>
              <w:rPr>
                <w:b/>
                <w:i/>
                <w:sz w:val="18"/>
              </w:rPr>
              <w:t>Eragiketa arruntak</w:t>
            </w:r>
          </w:p>
        </w:tc>
        <w:tc>
          <w:tcPr>
            <w:tcW w:w="850" w:type="dxa"/>
            <w:tcBorders>
              <w:top w:val="nil"/>
              <w:left w:val="nil"/>
              <w:bottom w:val="single" w:sz="4" w:space="0" w:color="auto"/>
              <w:right w:val="nil"/>
            </w:tcBorders>
            <w:shd w:val="clear" w:color="000000" w:fill="D9D9D9"/>
            <w:noWrap/>
            <w:vAlign w:val="center"/>
            <w:hideMark/>
          </w:tcPr>
          <w:p w14:paraId="36A7AE9D" w14:textId="77777777" w:rsidR="004367EF" w:rsidRPr="00EE13C5" w:rsidRDefault="004367EF" w:rsidP="00A16FC4">
            <w:pPr>
              <w:pStyle w:val="cuatexto"/>
              <w:spacing w:line="240" w:lineRule="auto"/>
              <w:jc w:val="right"/>
              <w:rPr>
                <w:b/>
                <w:bCs/>
                <w:i/>
                <w:iCs/>
                <w:color w:val="000000"/>
                <w:sz w:val="18"/>
                <w:szCs w:val="18"/>
              </w:rPr>
            </w:pPr>
            <w:r>
              <w:rPr>
                <w:b/>
                <w:i/>
                <w:color w:val="000000"/>
                <w:sz w:val="18"/>
              </w:rPr>
              <w:t>1.002</w:t>
            </w:r>
          </w:p>
        </w:tc>
        <w:tc>
          <w:tcPr>
            <w:tcW w:w="1061" w:type="dxa"/>
            <w:tcBorders>
              <w:top w:val="nil"/>
              <w:left w:val="nil"/>
              <w:bottom w:val="single" w:sz="4" w:space="0" w:color="auto"/>
              <w:right w:val="nil"/>
            </w:tcBorders>
            <w:shd w:val="clear" w:color="000000" w:fill="D9D9D9"/>
            <w:noWrap/>
            <w:vAlign w:val="center"/>
            <w:hideMark/>
          </w:tcPr>
          <w:p w14:paraId="59E27BD3" w14:textId="04696163" w:rsidR="004367EF" w:rsidRPr="00EE13C5" w:rsidRDefault="004367EF" w:rsidP="00A16FC4">
            <w:pPr>
              <w:pStyle w:val="cuatexto"/>
              <w:spacing w:line="240" w:lineRule="auto"/>
              <w:jc w:val="right"/>
              <w:rPr>
                <w:b/>
                <w:bCs/>
                <w:i/>
                <w:iCs/>
                <w:sz w:val="18"/>
                <w:szCs w:val="18"/>
              </w:rPr>
            </w:pPr>
            <w:r>
              <w:rPr>
                <w:b/>
                <w:i/>
                <w:sz w:val="18"/>
              </w:rPr>
              <w:t xml:space="preserve">89,2 </w:t>
            </w:r>
          </w:p>
        </w:tc>
        <w:tc>
          <w:tcPr>
            <w:tcW w:w="0" w:type="auto"/>
            <w:tcBorders>
              <w:top w:val="nil"/>
              <w:left w:val="nil"/>
              <w:bottom w:val="single" w:sz="4" w:space="0" w:color="auto"/>
              <w:right w:val="nil"/>
            </w:tcBorders>
            <w:shd w:val="clear" w:color="000000" w:fill="D9D9D9"/>
            <w:noWrap/>
            <w:vAlign w:val="center"/>
            <w:hideMark/>
          </w:tcPr>
          <w:p w14:paraId="60B52FBB" w14:textId="77777777" w:rsidR="004367EF" w:rsidRPr="00EE13C5" w:rsidRDefault="004367EF" w:rsidP="00A16FC4">
            <w:pPr>
              <w:pStyle w:val="cuatexto"/>
              <w:spacing w:line="240" w:lineRule="auto"/>
              <w:jc w:val="right"/>
              <w:rPr>
                <w:b/>
                <w:bCs/>
                <w:i/>
                <w:iCs/>
                <w:color w:val="000000"/>
                <w:sz w:val="18"/>
                <w:szCs w:val="18"/>
              </w:rPr>
            </w:pPr>
            <w:r>
              <w:rPr>
                <w:b/>
                <w:i/>
                <w:color w:val="000000"/>
                <w:sz w:val="18"/>
              </w:rPr>
              <w:t>1.291</w:t>
            </w:r>
          </w:p>
        </w:tc>
        <w:tc>
          <w:tcPr>
            <w:tcW w:w="0" w:type="auto"/>
            <w:tcBorders>
              <w:top w:val="nil"/>
              <w:left w:val="nil"/>
              <w:bottom w:val="single" w:sz="4" w:space="0" w:color="auto"/>
              <w:right w:val="nil"/>
            </w:tcBorders>
            <w:shd w:val="clear" w:color="000000" w:fill="D9D9D9"/>
            <w:noWrap/>
            <w:vAlign w:val="center"/>
            <w:hideMark/>
          </w:tcPr>
          <w:p w14:paraId="21F51039" w14:textId="77777777" w:rsidR="004367EF" w:rsidRPr="00EE13C5" w:rsidRDefault="004367EF" w:rsidP="00A16FC4">
            <w:pPr>
              <w:pStyle w:val="cuatexto"/>
              <w:spacing w:line="240" w:lineRule="auto"/>
              <w:jc w:val="right"/>
              <w:rPr>
                <w:b/>
                <w:bCs/>
                <w:i/>
                <w:iCs/>
                <w:sz w:val="18"/>
                <w:szCs w:val="18"/>
              </w:rPr>
            </w:pPr>
            <w:r>
              <w:rPr>
                <w:b/>
                <w:i/>
                <w:sz w:val="18"/>
              </w:rPr>
              <w:t xml:space="preserve">       96,0 </w:t>
            </w:r>
          </w:p>
        </w:tc>
        <w:tc>
          <w:tcPr>
            <w:tcW w:w="0" w:type="auto"/>
            <w:tcBorders>
              <w:top w:val="nil"/>
              <w:left w:val="nil"/>
              <w:bottom w:val="single" w:sz="4" w:space="0" w:color="auto"/>
              <w:right w:val="nil"/>
            </w:tcBorders>
            <w:shd w:val="clear" w:color="000000" w:fill="D9D9D9"/>
            <w:noWrap/>
            <w:vAlign w:val="center"/>
            <w:hideMark/>
          </w:tcPr>
          <w:p w14:paraId="517C14C7" w14:textId="77777777" w:rsidR="004367EF" w:rsidRPr="00EE13C5" w:rsidRDefault="004367EF" w:rsidP="00A16FC4">
            <w:pPr>
              <w:pStyle w:val="cuatexto"/>
              <w:spacing w:line="240" w:lineRule="auto"/>
              <w:jc w:val="right"/>
              <w:rPr>
                <w:b/>
                <w:bCs/>
                <w:i/>
                <w:iCs/>
                <w:color w:val="000000"/>
                <w:sz w:val="18"/>
                <w:szCs w:val="18"/>
              </w:rPr>
            </w:pPr>
            <w:r>
              <w:rPr>
                <w:b/>
                <w:i/>
                <w:color w:val="000000"/>
                <w:sz w:val="18"/>
              </w:rPr>
              <w:t>1.007</w:t>
            </w:r>
          </w:p>
        </w:tc>
        <w:tc>
          <w:tcPr>
            <w:tcW w:w="0" w:type="auto"/>
            <w:tcBorders>
              <w:top w:val="nil"/>
              <w:left w:val="nil"/>
              <w:bottom w:val="single" w:sz="4" w:space="0" w:color="auto"/>
              <w:right w:val="nil"/>
            </w:tcBorders>
            <w:shd w:val="clear" w:color="000000" w:fill="D9D9D9"/>
            <w:noWrap/>
            <w:vAlign w:val="center"/>
            <w:hideMark/>
          </w:tcPr>
          <w:p w14:paraId="2035E75E" w14:textId="77777777" w:rsidR="004367EF" w:rsidRPr="00EE13C5" w:rsidRDefault="004367EF" w:rsidP="00A16FC4">
            <w:pPr>
              <w:pStyle w:val="cuatexto"/>
              <w:spacing w:line="240" w:lineRule="auto"/>
              <w:jc w:val="right"/>
              <w:rPr>
                <w:b/>
                <w:bCs/>
                <w:i/>
                <w:iCs/>
                <w:sz w:val="18"/>
                <w:szCs w:val="18"/>
              </w:rPr>
            </w:pPr>
            <w:r>
              <w:rPr>
                <w:b/>
                <w:i/>
                <w:sz w:val="18"/>
              </w:rPr>
              <w:t xml:space="preserve">        91,0 </w:t>
            </w:r>
          </w:p>
        </w:tc>
      </w:tr>
      <w:tr w:rsidR="004367EF" w:rsidRPr="00EE13C5" w14:paraId="088A51A8"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5FA6CC5C" w14:textId="77777777" w:rsidR="004367EF" w:rsidRPr="00EE13C5" w:rsidRDefault="004367EF" w:rsidP="00A16FC4">
            <w:pPr>
              <w:pStyle w:val="cuatexto"/>
              <w:spacing w:line="240" w:lineRule="auto"/>
              <w:rPr>
                <w:sz w:val="18"/>
                <w:szCs w:val="18"/>
              </w:rPr>
            </w:pPr>
            <w:r>
              <w:rPr>
                <w:sz w:val="18"/>
              </w:rPr>
              <w:t>Inbertsio errealak besterentzea</w:t>
            </w:r>
          </w:p>
        </w:tc>
        <w:tc>
          <w:tcPr>
            <w:tcW w:w="850" w:type="dxa"/>
            <w:tcBorders>
              <w:top w:val="nil"/>
              <w:left w:val="nil"/>
              <w:bottom w:val="single" w:sz="4" w:space="0" w:color="auto"/>
              <w:right w:val="nil"/>
            </w:tcBorders>
            <w:shd w:val="clear" w:color="auto" w:fill="auto"/>
            <w:noWrap/>
            <w:vAlign w:val="center"/>
            <w:hideMark/>
          </w:tcPr>
          <w:p w14:paraId="1CFAD48B" w14:textId="77777777" w:rsidR="004367EF" w:rsidRPr="00EE13C5" w:rsidRDefault="004367EF" w:rsidP="00A16FC4">
            <w:pPr>
              <w:pStyle w:val="cuatexto"/>
              <w:spacing w:line="240" w:lineRule="auto"/>
              <w:jc w:val="right"/>
              <w:rPr>
                <w:color w:val="000000"/>
                <w:sz w:val="18"/>
                <w:szCs w:val="18"/>
              </w:rPr>
            </w:pPr>
            <w:r>
              <w:rPr>
                <w:color w:val="000000"/>
                <w:sz w:val="18"/>
              </w:rPr>
              <w:t>10</w:t>
            </w:r>
          </w:p>
        </w:tc>
        <w:tc>
          <w:tcPr>
            <w:tcW w:w="1061" w:type="dxa"/>
            <w:tcBorders>
              <w:top w:val="nil"/>
              <w:left w:val="nil"/>
              <w:bottom w:val="single" w:sz="4" w:space="0" w:color="auto"/>
              <w:right w:val="nil"/>
            </w:tcBorders>
            <w:shd w:val="clear" w:color="auto" w:fill="auto"/>
            <w:noWrap/>
            <w:vAlign w:val="center"/>
            <w:hideMark/>
          </w:tcPr>
          <w:p w14:paraId="5DB89A48" w14:textId="3C7D140F" w:rsidR="004367EF" w:rsidRPr="00EE13C5" w:rsidRDefault="004367EF" w:rsidP="00A16FC4">
            <w:pPr>
              <w:pStyle w:val="cuatexto"/>
              <w:spacing w:line="240" w:lineRule="auto"/>
              <w:jc w:val="right"/>
              <w:rPr>
                <w:sz w:val="18"/>
                <w:szCs w:val="18"/>
              </w:rPr>
            </w:pPr>
            <w:r>
              <w:rPr>
                <w:sz w:val="18"/>
              </w:rPr>
              <w:t xml:space="preserve">0,9 </w:t>
            </w:r>
          </w:p>
        </w:tc>
        <w:tc>
          <w:tcPr>
            <w:tcW w:w="0" w:type="auto"/>
            <w:tcBorders>
              <w:top w:val="nil"/>
              <w:left w:val="nil"/>
              <w:bottom w:val="single" w:sz="4" w:space="0" w:color="auto"/>
              <w:right w:val="nil"/>
            </w:tcBorders>
            <w:shd w:val="clear" w:color="auto" w:fill="auto"/>
            <w:noWrap/>
            <w:vAlign w:val="center"/>
            <w:hideMark/>
          </w:tcPr>
          <w:p w14:paraId="0E03A86E" w14:textId="77777777" w:rsidR="004367EF" w:rsidRPr="00EE13C5" w:rsidRDefault="004367EF" w:rsidP="00A16FC4">
            <w:pPr>
              <w:pStyle w:val="cuatexto"/>
              <w:spacing w:line="240" w:lineRule="auto"/>
              <w:jc w:val="right"/>
              <w:rPr>
                <w:color w:val="000000"/>
                <w:sz w:val="18"/>
                <w:szCs w:val="18"/>
              </w:rPr>
            </w:pPr>
            <w:r>
              <w:rPr>
                <w:color w:val="000000"/>
                <w:sz w:val="18"/>
              </w:rPr>
              <w:t>16</w:t>
            </w:r>
          </w:p>
        </w:tc>
        <w:tc>
          <w:tcPr>
            <w:tcW w:w="0" w:type="auto"/>
            <w:tcBorders>
              <w:top w:val="nil"/>
              <w:left w:val="nil"/>
              <w:bottom w:val="single" w:sz="4" w:space="0" w:color="auto"/>
              <w:right w:val="nil"/>
            </w:tcBorders>
            <w:shd w:val="clear" w:color="auto" w:fill="auto"/>
            <w:noWrap/>
            <w:vAlign w:val="center"/>
            <w:hideMark/>
          </w:tcPr>
          <w:p w14:paraId="3D61497F" w14:textId="77777777" w:rsidR="004367EF" w:rsidRPr="00EE13C5" w:rsidRDefault="004367EF" w:rsidP="00A16FC4">
            <w:pPr>
              <w:pStyle w:val="cuatexto"/>
              <w:spacing w:line="240" w:lineRule="auto"/>
              <w:jc w:val="right"/>
              <w:rPr>
                <w:sz w:val="18"/>
                <w:szCs w:val="18"/>
              </w:rPr>
            </w:pPr>
            <w:r>
              <w:rPr>
                <w:sz w:val="18"/>
              </w:rPr>
              <w:t xml:space="preserve">           1,2 </w:t>
            </w:r>
          </w:p>
        </w:tc>
        <w:tc>
          <w:tcPr>
            <w:tcW w:w="0" w:type="auto"/>
            <w:tcBorders>
              <w:top w:val="nil"/>
              <w:left w:val="nil"/>
              <w:bottom w:val="single" w:sz="4" w:space="0" w:color="auto"/>
              <w:right w:val="nil"/>
            </w:tcBorders>
            <w:shd w:val="clear" w:color="auto" w:fill="auto"/>
            <w:noWrap/>
            <w:vAlign w:val="center"/>
            <w:hideMark/>
          </w:tcPr>
          <w:p w14:paraId="584D5631" w14:textId="77777777" w:rsidR="004367EF" w:rsidRPr="00EE13C5" w:rsidRDefault="004367EF" w:rsidP="00A16FC4">
            <w:pPr>
              <w:pStyle w:val="cuatexto"/>
              <w:spacing w:line="240" w:lineRule="auto"/>
              <w:jc w:val="right"/>
              <w:rPr>
                <w:color w:val="000000"/>
                <w:sz w:val="18"/>
                <w:szCs w:val="18"/>
              </w:rPr>
            </w:pPr>
            <w:r>
              <w:rPr>
                <w:color w:val="000000"/>
                <w:sz w:val="18"/>
              </w:rPr>
              <w:t>3</w:t>
            </w:r>
          </w:p>
        </w:tc>
        <w:tc>
          <w:tcPr>
            <w:tcW w:w="0" w:type="auto"/>
            <w:tcBorders>
              <w:top w:val="nil"/>
              <w:left w:val="nil"/>
              <w:bottom w:val="single" w:sz="4" w:space="0" w:color="auto"/>
              <w:right w:val="nil"/>
            </w:tcBorders>
            <w:shd w:val="clear" w:color="auto" w:fill="auto"/>
            <w:noWrap/>
            <w:vAlign w:val="center"/>
            <w:hideMark/>
          </w:tcPr>
          <w:p w14:paraId="29F07376" w14:textId="77777777" w:rsidR="004367EF" w:rsidRPr="00EE13C5" w:rsidRDefault="004367EF" w:rsidP="00A16FC4">
            <w:pPr>
              <w:pStyle w:val="cuatexto"/>
              <w:spacing w:line="240" w:lineRule="auto"/>
              <w:jc w:val="right"/>
              <w:rPr>
                <w:sz w:val="18"/>
                <w:szCs w:val="18"/>
              </w:rPr>
            </w:pPr>
            <w:r>
              <w:rPr>
                <w:sz w:val="18"/>
              </w:rPr>
              <w:t xml:space="preserve">            0,3 </w:t>
            </w:r>
          </w:p>
        </w:tc>
      </w:tr>
      <w:tr w:rsidR="004367EF" w:rsidRPr="00EE13C5" w14:paraId="1AA3F401"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330068B4" w14:textId="77777777" w:rsidR="00EE13C5" w:rsidRDefault="004367EF" w:rsidP="00A16FC4">
            <w:pPr>
              <w:pStyle w:val="cuatexto"/>
              <w:spacing w:line="240" w:lineRule="auto"/>
              <w:rPr>
                <w:sz w:val="18"/>
                <w:szCs w:val="18"/>
              </w:rPr>
            </w:pPr>
            <w:r>
              <w:rPr>
                <w:sz w:val="18"/>
              </w:rPr>
              <w:t>Kapital-transferentziak eta kapitaleko beste diru-sarrera batzuk</w:t>
            </w:r>
          </w:p>
          <w:p w14:paraId="3D6B6110" w14:textId="65A98280" w:rsidR="004367EF" w:rsidRPr="00EE13C5" w:rsidRDefault="004367EF" w:rsidP="00A16FC4">
            <w:pPr>
              <w:pStyle w:val="cuatexto"/>
              <w:spacing w:line="240" w:lineRule="auto"/>
              <w:rPr>
                <w:sz w:val="18"/>
                <w:szCs w:val="18"/>
              </w:rPr>
            </w:pPr>
            <w:r>
              <w:rPr>
                <w:sz w:val="18"/>
              </w:rPr>
              <w:t xml:space="preserve"> </w:t>
            </w:r>
          </w:p>
        </w:tc>
        <w:tc>
          <w:tcPr>
            <w:tcW w:w="850" w:type="dxa"/>
            <w:tcBorders>
              <w:top w:val="nil"/>
              <w:left w:val="nil"/>
              <w:bottom w:val="single" w:sz="4" w:space="0" w:color="auto"/>
              <w:right w:val="nil"/>
            </w:tcBorders>
            <w:shd w:val="clear" w:color="auto" w:fill="auto"/>
            <w:noWrap/>
            <w:vAlign w:val="center"/>
            <w:hideMark/>
          </w:tcPr>
          <w:p w14:paraId="5B778425" w14:textId="77777777" w:rsidR="004367EF" w:rsidRPr="00EE13C5" w:rsidRDefault="004367EF" w:rsidP="00A16FC4">
            <w:pPr>
              <w:pStyle w:val="cuatexto"/>
              <w:spacing w:line="240" w:lineRule="auto"/>
              <w:jc w:val="right"/>
              <w:rPr>
                <w:color w:val="000000"/>
                <w:sz w:val="18"/>
                <w:szCs w:val="18"/>
              </w:rPr>
            </w:pPr>
            <w:r>
              <w:rPr>
                <w:color w:val="000000"/>
                <w:sz w:val="18"/>
              </w:rPr>
              <w:t>96</w:t>
            </w:r>
          </w:p>
        </w:tc>
        <w:tc>
          <w:tcPr>
            <w:tcW w:w="1061" w:type="dxa"/>
            <w:tcBorders>
              <w:top w:val="nil"/>
              <w:left w:val="nil"/>
              <w:bottom w:val="single" w:sz="4" w:space="0" w:color="auto"/>
              <w:right w:val="nil"/>
            </w:tcBorders>
            <w:shd w:val="clear" w:color="auto" w:fill="auto"/>
            <w:noWrap/>
            <w:vAlign w:val="center"/>
            <w:hideMark/>
          </w:tcPr>
          <w:p w14:paraId="13155769" w14:textId="48E76F05" w:rsidR="004367EF" w:rsidRPr="00EE13C5" w:rsidRDefault="004367EF" w:rsidP="00A16FC4">
            <w:pPr>
              <w:pStyle w:val="cuatexto"/>
              <w:spacing w:line="240" w:lineRule="auto"/>
              <w:jc w:val="right"/>
              <w:rPr>
                <w:sz w:val="18"/>
                <w:szCs w:val="18"/>
              </w:rPr>
            </w:pPr>
            <w:r>
              <w:rPr>
                <w:sz w:val="18"/>
              </w:rPr>
              <w:t xml:space="preserve">8,5 </w:t>
            </w:r>
          </w:p>
        </w:tc>
        <w:tc>
          <w:tcPr>
            <w:tcW w:w="0" w:type="auto"/>
            <w:tcBorders>
              <w:top w:val="nil"/>
              <w:left w:val="nil"/>
              <w:bottom w:val="single" w:sz="4" w:space="0" w:color="auto"/>
              <w:right w:val="nil"/>
            </w:tcBorders>
            <w:shd w:val="clear" w:color="auto" w:fill="auto"/>
            <w:noWrap/>
            <w:vAlign w:val="center"/>
            <w:hideMark/>
          </w:tcPr>
          <w:p w14:paraId="34C71410" w14:textId="77777777" w:rsidR="004367EF" w:rsidRPr="00EE13C5" w:rsidRDefault="004367EF" w:rsidP="00A16FC4">
            <w:pPr>
              <w:pStyle w:val="cuatexto"/>
              <w:spacing w:line="240" w:lineRule="auto"/>
              <w:jc w:val="right"/>
              <w:rPr>
                <w:color w:val="000000"/>
                <w:sz w:val="18"/>
                <w:szCs w:val="18"/>
              </w:rPr>
            </w:pPr>
            <w:r>
              <w:rPr>
                <w:color w:val="000000"/>
                <w:sz w:val="18"/>
              </w:rPr>
              <w:t>31</w:t>
            </w:r>
          </w:p>
        </w:tc>
        <w:tc>
          <w:tcPr>
            <w:tcW w:w="0" w:type="auto"/>
            <w:tcBorders>
              <w:top w:val="nil"/>
              <w:left w:val="nil"/>
              <w:bottom w:val="single" w:sz="4" w:space="0" w:color="auto"/>
              <w:right w:val="nil"/>
            </w:tcBorders>
            <w:shd w:val="clear" w:color="auto" w:fill="auto"/>
            <w:noWrap/>
            <w:vAlign w:val="center"/>
            <w:hideMark/>
          </w:tcPr>
          <w:p w14:paraId="54597723" w14:textId="77777777" w:rsidR="004367EF" w:rsidRPr="00EE13C5" w:rsidRDefault="004367EF" w:rsidP="00A16FC4">
            <w:pPr>
              <w:pStyle w:val="cuatexto"/>
              <w:spacing w:line="240" w:lineRule="auto"/>
              <w:jc w:val="right"/>
              <w:rPr>
                <w:sz w:val="18"/>
                <w:szCs w:val="18"/>
              </w:rPr>
            </w:pPr>
            <w:r>
              <w:rPr>
                <w:sz w:val="18"/>
              </w:rPr>
              <w:t xml:space="preserve">           2,3 </w:t>
            </w:r>
          </w:p>
        </w:tc>
        <w:tc>
          <w:tcPr>
            <w:tcW w:w="0" w:type="auto"/>
            <w:tcBorders>
              <w:top w:val="nil"/>
              <w:left w:val="nil"/>
              <w:bottom w:val="single" w:sz="4" w:space="0" w:color="auto"/>
              <w:right w:val="nil"/>
            </w:tcBorders>
            <w:shd w:val="clear" w:color="auto" w:fill="auto"/>
            <w:noWrap/>
            <w:vAlign w:val="center"/>
            <w:hideMark/>
          </w:tcPr>
          <w:p w14:paraId="073C64F1" w14:textId="77777777" w:rsidR="004367EF" w:rsidRPr="00EE13C5" w:rsidRDefault="004367EF" w:rsidP="00A16FC4">
            <w:pPr>
              <w:pStyle w:val="cuatexto"/>
              <w:spacing w:line="240" w:lineRule="auto"/>
              <w:jc w:val="right"/>
              <w:rPr>
                <w:color w:val="000000"/>
                <w:sz w:val="18"/>
                <w:szCs w:val="18"/>
              </w:rPr>
            </w:pPr>
            <w:r>
              <w:rPr>
                <w:color w:val="000000"/>
                <w:sz w:val="18"/>
              </w:rPr>
              <w:t>73</w:t>
            </w:r>
          </w:p>
        </w:tc>
        <w:tc>
          <w:tcPr>
            <w:tcW w:w="0" w:type="auto"/>
            <w:tcBorders>
              <w:top w:val="nil"/>
              <w:left w:val="nil"/>
              <w:bottom w:val="single" w:sz="4" w:space="0" w:color="auto"/>
              <w:right w:val="nil"/>
            </w:tcBorders>
            <w:shd w:val="clear" w:color="auto" w:fill="auto"/>
            <w:noWrap/>
            <w:vAlign w:val="center"/>
            <w:hideMark/>
          </w:tcPr>
          <w:p w14:paraId="32F92241" w14:textId="77777777" w:rsidR="004367EF" w:rsidRPr="00EE13C5" w:rsidRDefault="004367EF" w:rsidP="00A16FC4">
            <w:pPr>
              <w:pStyle w:val="cuatexto"/>
              <w:spacing w:line="240" w:lineRule="auto"/>
              <w:jc w:val="right"/>
              <w:rPr>
                <w:sz w:val="18"/>
                <w:szCs w:val="18"/>
              </w:rPr>
            </w:pPr>
            <w:r>
              <w:rPr>
                <w:sz w:val="18"/>
              </w:rPr>
              <w:t xml:space="preserve">            6,6 </w:t>
            </w:r>
          </w:p>
        </w:tc>
      </w:tr>
      <w:tr w:rsidR="004367EF" w:rsidRPr="00EE13C5" w14:paraId="3EB1EAAC" w14:textId="77777777" w:rsidTr="00565DBB">
        <w:trPr>
          <w:trHeight w:val="227"/>
          <w:jc w:val="center"/>
        </w:trPr>
        <w:tc>
          <w:tcPr>
            <w:tcW w:w="3403" w:type="dxa"/>
            <w:tcBorders>
              <w:top w:val="nil"/>
              <w:left w:val="nil"/>
              <w:bottom w:val="single" w:sz="4" w:space="0" w:color="auto"/>
              <w:right w:val="nil"/>
            </w:tcBorders>
            <w:shd w:val="clear" w:color="000000" w:fill="D9D9D9"/>
            <w:noWrap/>
            <w:vAlign w:val="center"/>
            <w:hideMark/>
          </w:tcPr>
          <w:p w14:paraId="1ED47C6B" w14:textId="418A6249" w:rsidR="004367EF" w:rsidRPr="00EE13C5" w:rsidRDefault="004D3571" w:rsidP="00A16FC4">
            <w:pPr>
              <w:pStyle w:val="cuatexto"/>
              <w:spacing w:line="240" w:lineRule="auto"/>
              <w:rPr>
                <w:b/>
                <w:bCs/>
                <w:i/>
                <w:iCs/>
                <w:sz w:val="18"/>
                <w:szCs w:val="18"/>
              </w:rPr>
            </w:pPr>
            <w:r>
              <w:rPr>
                <w:b/>
                <w:i/>
                <w:sz w:val="18"/>
              </w:rPr>
              <w:t>Kapital-eragiketak</w:t>
            </w:r>
          </w:p>
        </w:tc>
        <w:tc>
          <w:tcPr>
            <w:tcW w:w="850" w:type="dxa"/>
            <w:tcBorders>
              <w:top w:val="nil"/>
              <w:left w:val="nil"/>
              <w:bottom w:val="single" w:sz="4" w:space="0" w:color="auto"/>
              <w:right w:val="nil"/>
            </w:tcBorders>
            <w:shd w:val="clear" w:color="000000" w:fill="D9D9D9"/>
            <w:noWrap/>
            <w:vAlign w:val="center"/>
            <w:hideMark/>
          </w:tcPr>
          <w:p w14:paraId="58B5D53C" w14:textId="77777777" w:rsidR="004367EF" w:rsidRPr="00EE13C5" w:rsidRDefault="004367EF" w:rsidP="00A16FC4">
            <w:pPr>
              <w:pStyle w:val="cuatexto"/>
              <w:spacing w:line="240" w:lineRule="auto"/>
              <w:jc w:val="right"/>
              <w:rPr>
                <w:b/>
                <w:bCs/>
                <w:i/>
                <w:iCs/>
                <w:color w:val="000000"/>
                <w:sz w:val="18"/>
                <w:szCs w:val="18"/>
              </w:rPr>
            </w:pPr>
            <w:r>
              <w:rPr>
                <w:b/>
                <w:i/>
                <w:color w:val="000000"/>
                <w:sz w:val="18"/>
              </w:rPr>
              <w:t>106</w:t>
            </w:r>
          </w:p>
        </w:tc>
        <w:tc>
          <w:tcPr>
            <w:tcW w:w="1061" w:type="dxa"/>
            <w:tcBorders>
              <w:top w:val="nil"/>
              <w:left w:val="nil"/>
              <w:bottom w:val="single" w:sz="4" w:space="0" w:color="auto"/>
              <w:right w:val="nil"/>
            </w:tcBorders>
            <w:shd w:val="clear" w:color="000000" w:fill="D9D9D9"/>
            <w:noWrap/>
            <w:vAlign w:val="center"/>
            <w:hideMark/>
          </w:tcPr>
          <w:p w14:paraId="52C239C2" w14:textId="46E3DFBA" w:rsidR="004367EF" w:rsidRPr="00EE13C5" w:rsidRDefault="004367EF" w:rsidP="00A16FC4">
            <w:pPr>
              <w:pStyle w:val="cuatexto"/>
              <w:spacing w:line="240" w:lineRule="auto"/>
              <w:jc w:val="right"/>
              <w:rPr>
                <w:b/>
                <w:bCs/>
                <w:i/>
                <w:iCs/>
                <w:sz w:val="18"/>
                <w:szCs w:val="18"/>
              </w:rPr>
            </w:pPr>
            <w:r>
              <w:rPr>
                <w:b/>
                <w:i/>
                <w:sz w:val="18"/>
              </w:rPr>
              <w:t xml:space="preserve"> 9,4 </w:t>
            </w:r>
          </w:p>
        </w:tc>
        <w:tc>
          <w:tcPr>
            <w:tcW w:w="0" w:type="auto"/>
            <w:tcBorders>
              <w:top w:val="nil"/>
              <w:left w:val="nil"/>
              <w:bottom w:val="single" w:sz="4" w:space="0" w:color="auto"/>
              <w:right w:val="nil"/>
            </w:tcBorders>
            <w:shd w:val="clear" w:color="000000" w:fill="D9D9D9"/>
            <w:noWrap/>
            <w:vAlign w:val="center"/>
            <w:hideMark/>
          </w:tcPr>
          <w:p w14:paraId="002EB4F3" w14:textId="77777777" w:rsidR="004367EF" w:rsidRPr="00EE13C5" w:rsidRDefault="004367EF" w:rsidP="00A16FC4">
            <w:pPr>
              <w:pStyle w:val="cuatexto"/>
              <w:spacing w:line="240" w:lineRule="auto"/>
              <w:jc w:val="right"/>
              <w:rPr>
                <w:b/>
                <w:bCs/>
                <w:i/>
                <w:iCs/>
                <w:color w:val="000000"/>
                <w:sz w:val="18"/>
                <w:szCs w:val="18"/>
              </w:rPr>
            </w:pPr>
            <w:r>
              <w:rPr>
                <w:b/>
                <w:i/>
                <w:color w:val="000000"/>
                <w:sz w:val="18"/>
              </w:rPr>
              <w:t>47</w:t>
            </w:r>
          </w:p>
        </w:tc>
        <w:tc>
          <w:tcPr>
            <w:tcW w:w="0" w:type="auto"/>
            <w:tcBorders>
              <w:top w:val="nil"/>
              <w:left w:val="nil"/>
              <w:bottom w:val="single" w:sz="4" w:space="0" w:color="auto"/>
              <w:right w:val="nil"/>
            </w:tcBorders>
            <w:shd w:val="clear" w:color="000000" w:fill="D9D9D9"/>
            <w:noWrap/>
            <w:vAlign w:val="center"/>
            <w:hideMark/>
          </w:tcPr>
          <w:p w14:paraId="1AE09038" w14:textId="77777777" w:rsidR="004367EF" w:rsidRPr="00EE13C5" w:rsidRDefault="004367EF" w:rsidP="00A16FC4">
            <w:pPr>
              <w:pStyle w:val="cuatexto"/>
              <w:spacing w:line="240" w:lineRule="auto"/>
              <w:jc w:val="right"/>
              <w:rPr>
                <w:b/>
                <w:bCs/>
                <w:i/>
                <w:iCs/>
                <w:sz w:val="18"/>
                <w:szCs w:val="18"/>
              </w:rPr>
            </w:pPr>
            <w:r>
              <w:rPr>
                <w:b/>
                <w:i/>
                <w:sz w:val="18"/>
              </w:rPr>
              <w:t xml:space="preserve">         3,5 </w:t>
            </w:r>
          </w:p>
        </w:tc>
        <w:tc>
          <w:tcPr>
            <w:tcW w:w="0" w:type="auto"/>
            <w:tcBorders>
              <w:top w:val="nil"/>
              <w:left w:val="nil"/>
              <w:bottom w:val="single" w:sz="4" w:space="0" w:color="auto"/>
              <w:right w:val="nil"/>
            </w:tcBorders>
            <w:shd w:val="clear" w:color="000000" w:fill="D9D9D9"/>
            <w:noWrap/>
            <w:vAlign w:val="center"/>
            <w:hideMark/>
          </w:tcPr>
          <w:p w14:paraId="340961D4" w14:textId="77777777" w:rsidR="004367EF" w:rsidRPr="00EE13C5" w:rsidRDefault="004367EF" w:rsidP="00A16FC4">
            <w:pPr>
              <w:pStyle w:val="cuatexto"/>
              <w:spacing w:line="240" w:lineRule="auto"/>
              <w:jc w:val="right"/>
              <w:rPr>
                <w:b/>
                <w:bCs/>
                <w:i/>
                <w:iCs/>
                <w:color w:val="000000"/>
                <w:sz w:val="18"/>
                <w:szCs w:val="18"/>
              </w:rPr>
            </w:pPr>
            <w:r>
              <w:rPr>
                <w:b/>
                <w:i/>
                <w:color w:val="000000"/>
                <w:sz w:val="18"/>
              </w:rPr>
              <w:t>76</w:t>
            </w:r>
          </w:p>
        </w:tc>
        <w:tc>
          <w:tcPr>
            <w:tcW w:w="0" w:type="auto"/>
            <w:tcBorders>
              <w:top w:val="nil"/>
              <w:left w:val="nil"/>
              <w:bottom w:val="single" w:sz="4" w:space="0" w:color="auto"/>
              <w:right w:val="nil"/>
            </w:tcBorders>
            <w:shd w:val="clear" w:color="000000" w:fill="D9D9D9"/>
            <w:noWrap/>
            <w:vAlign w:val="center"/>
            <w:hideMark/>
          </w:tcPr>
          <w:p w14:paraId="66FACDB1" w14:textId="77777777" w:rsidR="004367EF" w:rsidRPr="00EE13C5" w:rsidRDefault="004367EF" w:rsidP="00A16FC4">
            <w:pPr>
              <w:pStyle w:val="cuatexto"/>
              <w:spacing w:line="240" w:lineRule="auto"/>
              <w:jc w:val="right"/>
              <w:rPr>
                <w:b/>
                <w:bCs/>
                <w:i/>
                <w:iCs/>
                <w:sz w:val="18"/>
                <w:szCs w:val="18"/>
              </w:rPr>
            </w:pPr>
            <w:r>
              <w:rPr>
                <w:b/>
                <w:i/>
                <w:sz w:val="18"/>
              </w:rPr>
              <w:t xml:space="preserve">          6,9 </w:t>
            </w:r>
          </w:p>
        </w:tc>
      </w:tr>
      <w:tr w:rsidR="004367EF" w:rsidRPr="00EE13C5" w14:paraId="098BA0A2"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4A84AD7D" w14:textId="77777777" w:rsidR="004367EF" w:rsidRPr="00EE13C5" w:rsidRDefault="004367EF" w:rsidP="00A16FC4">
            <w:pPr>
              <w:pStyle w:val="cuatexto"/>
              <w:spacing w:line="240" w:lineRule="auto"/>
              <w:rPr>
                <w:sz w:val="18"/>
                <w:szCs w:val="18"/>
              </w:rPr>
            </w:pPr>
            <w:r>
              <w:rPr>
                <w:sz w:val="18"/>
              </w:rPr>
              <w:t>Finantza-aktiboak</w:t>
            </w:r>
          </w:p>
        </w:tc>
        <w:tc>
          <w:tcPr>
            <w:tcW w:w="850" w:type="dxa"/>
            <w:tcBorders>
              <w:top w:val="nil"/>
              <w:left w:val="nil"/>
              <w:bottom w:val="single" w:sz="4" w:space="0" w:color="auto"/>
              <w:right w:val="nil"/>
            </w:tcBorders>
            <w:shd w:val="clear" w:color="auto" w:fill="auto"/>
            <w:noWrap/>
            <w:vAlign w:val="center"/>
            <w:hideMark/>
          </w:tcPr>
          <w:p w14:paraId="5F00688E" w14:textId="77777777" w:rsidR="004367EF" w:rsidRPr="00EE13C5" w:rsidRDefault="004367EF" w:rsidP="00A16FC4">
            <w:pPr>
              <w:pStyle w:val="cuatexto"/>
              <w:spacing w:line="240" w:lineRule="auto"/>
              <w:jc w:val="right"/>
              <w:rPr>
                <w:color w:val="000000"/>
                <w:sz w:val="18"/>
                <w:szCs w:val="18"/>
              </w:rPr>
            </w:pPr>
            <w:r>
              <w:rPr>
                <w:color w:val="000000"/>
                <w:sz w:val="18"/>
              </w:rPr>
              <w:t>2</w:t>
            </w:r>
          </w:p>
        </w:tc>
        <w:tc>
          <w:tcPr>
            <w:tcW w:w="1061" w:type="dxa"/>
            <w:tcBorders>
              <w:top w:val="nil"/>
              <w:left w:val="nil"/>
              <w:bottom w:val="single" w:sz="4" w:space="0" w:color="auto"/>
              <w:right w:val="nil"/>
            </w:tcBorders>
            <w:shd w:val="clear" w:color="auto" w:fill="auto"/>
            <w:noWrap/>
            <w:vAlign w:val="center"/>
            <w:hideMark/>
          </w:tcPr>
          <w:p w14:paraId="2DB7E8C1" w14:textId="24E550C3" w:rsidR="004367EF" w:rsidRPr="00EE13C5" w:rsidRDefault="004367EF" w:rsidP="00A16FC4">
            <w:pPr>
              <w:pStyle w:val="cuatexto"/>
              <w:spacing w:line="240" w:lineRule="auto"/>
              <w:jc w:val="right"/>
              <w:rPr>
                <w:sz w:val="18"/>
                <w:szCs w:val="18"/>
              </w:rPr>
            </w:pPr>
            <w:r>
              <w:rPr>
                <w:sz w:val="18"/>
              </w:rPr>
              <w:t xml:space="preserve">0,2 </w:t>
            </w:r>
          </w:p>
        </w:tc>
        <w:tc>
          <w:tcPr>
            <w:tcW w:w="0" w:type="auto"/>
            <w:tcBorders>
              <w:top w:val="nil"/>
              <w:left w:val="nil"/>
              <w:bottom w:val="single" w:sz="4" w:space="0" w:color="auto"/>
              <w:right w:val="nil"/>
            </w:tcBorders>
            <w:shd w:val="clear" w:color="auto" w:fill="auto"/>
            <w:noWrap/>
            <w:vAlign w:val="center"/>
            <w:hideMark/>
          </w:tcPr>
          <w:p w14:paraId="0368ED70" w14:textId="77777777" w:rsidR="004367EF" w:rsidRPr="00EE13C5" w:rsidRDefault="004367EF" w:rsidP="00A16FC4">
            <w:pPr>
              <w:pStyle w:val="cuatexto"/>
              <w:spacing w:line="240" w:lineRule="auto"/>
              <w:jc w:val="right"/>
              <w:rPr>
                <w:color w:val="000000"/>
                <w:sz w:val="18"/>
                <w:szCs w:val="18"/>
              </w:rPr>
            </w:pPr>
            <w:r>
              <w:rPr>
                <w:color w:val="000000"/>
                <w:sz w:val="18"/>
              </w:rPr>
              <w:t>1</w:t>
            </w:r>
          </w:p>
        </w:tc>
        <w:tc>
          <w:tcPr>
            <w:tcW w:w="0" w:type="auto"/>
            <w:tcBorders>
              <w:top w:val="nil"/>
              <w:left w:val="nil"/>
              <w:bottom w:val="single" w:sz="4" w:space="0" w:color="auto"/>
              <w:right w:val="nil"/>
            </w:tcBorders>
            <w:shd w:val="clear" w:color="auto" w:fill="auto"/>
            <w:noWrap/>
            <w:vAlign w:val="center"/>
            <w:hideMark/>
          </w:tcPr>
          <w:p w14:paraId="6B699370" w14:textId="77777777" w:rsidR="004367EF" w:rsidRPr="00EE13C5" w:rsidRDefault="004367EF" w:rsidP="00A16FC4">
            <w:pPr>
              <w:pStyle w:val="cuatexto"/>
              <w:spacing w:line="240" w:lineRule="auto"/>
              <w:jc w:val="right"/>
              <w:rPr>
                <w:sz w:val="18"/>
                <w:szCs w:val="18"/>
              </w:rPr>
            </w:pPr>
            <w:r>
              <w:rPr>
                <w:sz w:val="18"/>
              </w:rPr>
              <w:t xml:space="preserve">           0,1 </w:t>
            </w:r>
          </w:p>
        </w:tc>
        <w:tc>
          <w:tcPr>
            <w:tcW w:w="0" w:type="auto"/>
            <w:tcBorders>
              <w:top w:val="nil"/>
              <w:left w:val="nil"/>
              <w:bottom w:val="single" w:sz="4" w:space="0" w:color="auto"/>
              <w:right w:val="nil"/>
            </w:tcBorders>
            <w:shd w:val="clear" w:color="auto" w:fill="auto"/>
            <w:noWrap/>
            <w:vAlign w:val="center"/>
            <w:hideMark/>
          </w:tcPr>
          <w:p w14:paraId="4C4A20E7" w14:textId="77777777" w:rsidR="004367EF" w:rsidRPr="00EE13C5" w:rsidRDefault="004367EF" w:rsidP="00A16FC4">
            <w:pPr>
              <w:pStyle w:val="cuatexto"/>
              <w:spacing w:line="240" w:lineRule="auto"/>
              <w:jc w:val="right"/>
              <w:rPr>
                <w:color w:val="000000"/>
                <w:sz w:val="18"/>
                <w:szCs w:val="18"/>
              </w:rPr>
            </w:pPr>
            <w:r>
              <w:rPr>
                <w:color w:val="000000"/>
                <w:sz w:val="18"/>
              </w:rPr>
              <w:t>1</w:t>
            </w:r>
          </w:p>
        </w:tc>
        <w:tc>
          <w:tcPr>
            <w:tcW w:w="0" w:type="auto"/>
            <w:tcBorders>
              <w:top w:val="nil"/>
              <w:left w:val="nil"/>
              <w:bottom w:val="single" w:sz="4" w:space="0" w:color="auto"/>
              <w:right w:val="nil"/>
            </w:tcBorders>
            <w:shd w:val="clear" w:color="auto" w:fill="auto"/>
            <w:noWrap/>
            <w:vAlign w:val="center"/>
            <w:hideMark/>
          </w:tcPr>
          <w:p w14:paraId="52DD2970" w14:textId="77777777" w:rsidR="004367EF" w:rsidRPr="00EE13C5" w:rsidRDefault="004367EF" w:rsidP="00A16FC4">
            <w:pPr>
              <w:pStyle w:val="cuatexto"/>
              <w:spacing w:line="240" w:lineRule="auto"/>
              <w:jc w:val="right"/>
              <w:rPr>
                <w:sz w:val="18"/>
                <w:szCs w:val="18"/>
              </w:rPr>
            </w:pPr>
            <w:r>
              <w:rPr>
                <w:sz w:val="18"/>
              </w:rPr>
              <w:t xml:space="preserve">            0,1 </w:t>
            </w:r>
          </w:p>
        </w:tc>
      </w:tr>
      <w:tr w:rsidR="004367EF" w:rsidRPr="00EE13C5" w14:paraId="01A49E9A" w14:textId="77777777" w:rsidTr="00565DBB">
        <w:trPr>
          <w:trHeight w:val="227"/>
          <w:jc w:val="center"/>
        </w:trPr>
        <w:tc>
          <w:tcPr>
            <w:tcW w:w="3403" w:type="dxa"/>
            <w:tcBorders>
              <w:top w:val="nil"/>
              <w:left w:val="nil"/>
              <w:bottom w:val="single" w:sz="4" w:space="0" w:color="auto"/>
              <w:right w:val="nil"/>
            </w:tcBorders>
            <w:shd w:val="clear" w:color="auto" w:fill="auto"/>
            <w:noWrap/>
            <w:vAlign w:val="center"/>
            <w:hideMark/>
          </w:tcPr>
          <w:p w14:paraId="4C9E0C64" w14:textId="77777777" w:rsidR="004367EF" w:rsidRPr="00EE13C5" w:rsidRDefault="004367EF" w:rsidP="00A16FC4">
            <w:pPr>
              <w:pStyle w:val="cuatexto"/>
              <w:spacing w:line="240" w:lineRule="auto"/>
              <w:rPr>
                <w:sz w:val="18"/>
                <w:szCs w:val="18"/>
              </w:rPr>
            </w:pPr>
            <w:r>
              <w:rPr>
                <w:sz w:val="18"/>
              </w:rPr>
              <w:t>Finantza-pasiboak</w:t>
            </w:r>
          </w:p>
        </w:tc>
        <w:tc>
          <w:tcPr>
            <w:tcW w:w="850" w:type="dxa"/>
            <w:tcBorders>
              <w:top w:val="nil"/>
              <w:left w:val="nil"/>
              <w:bottom w:val="single" w:sz="4" w:space="0" w:color="auto"/>
              <w:right w:val="nil"/>
            </w:tcBorders>
            <w:shd w:val="clear" w:color="auto" w:fill="auto"/>
            <w:noWrap/>
            <w:vAlign w:val="center"/>
            <w:hideMark/>
          </w:tcPr>
          <w:p w14:paraId="664E323D" w14:textId="77777777" w:rsidR="004367EF" w:rsidRPr="00EE13C5" w:rsidRDefault="004367EF" w:rsidP="00A16FC4">
            <w:pPr>
              <w:pStyle w:val="cuatexto"/>
              <w:spacing w:line="240" w:lineRule="auto"/>
              <w:jc w:val="right"/>
              <w:rPr>
                <w:color w:val="000000"/>
                <w:sz w:val="18"/>
                <w:szCs w:val="18"/>
              </w:rPr>
            </w:pPr>
            <w:r>
              <w:rPr>
                <w:color w:val="000000"/>
                <w:sz w:val="18"/>
              </w:rPr>
              <w:t>14</w:t>
            </w:r>
          </w:p>
        </w:tc>
        <w:tc>
          <w:tcPr>
            <w:tcW w:w="1061" w:type="dxa"/>
            <w:tcBorders>
              <w:top w:val="nil"/>
              <w:left w:val="nil"/>
              <w:bottom w:val="single" w:sz="4" w:space="0" w:color="auto"/>
              <w:right w:val="nil"/>
            </w:tcBorders>
            <w:shd w:val="clear" w:color="auto" w:fill="auto"/>
            <w:noWrap/>
            <w:vAlign w:val="center"/>
            <w:hideMark/>
          </w:tcPr>
          <w:p w14:paraId="60EA4D29" w14:textId="55CC91EA" w:rsidR="004367EF" w:rsidRPr="00EE13C5" w:rsidRDefault="004367EF" w:rsidP="00A16FC4">
            <w:pPr>
              <w:pStyle w:val="cuatexto"/>
              <w:spacing w:line="240" w:lineRule="auto"/>
              <w:jc w:val="right"/>
              <w:rPr>
                <w:sz w:val="18"/>
                <w:szCs w:val="18"/>
              </w:rPr>
            </w:pPr>
            <w:r>
              <w:rPr>
                <w:sz w:val="18"/>
              </w:rPr>
              <w:t xml:space="preserve">1,3 </w:t>
            </w:r>
          </w:p>
        </w:tc>
        <w:tc>
          <w:tcPr>
            <w:tcW w:w="0" w:type="auto"/>
            <w:tcBorders>
              <w:top w:val="nil"/>
              <w:left w:val="nil"/>
              <w:bottom w:val="single" w:sz="4" w:space="0" w:color="auto"/>
              <w:right w:val="nil"/>
            </w:tcBorders>
            <w:shd w:val="clear" w:color="auto" w:fill="auto"/>
            <w:noWrap/>
            <w:vAlign w:val="center"/>
            <w:hideMark/>
          </w:tcPr>
          <w:p w14:paraId="179F1987" w14:textId="77777777" w:rsidR="004367EF" w:rsidRPr="00EE13C5" w:rsidRDefault="004367EF" w:rsidP="00A16FC4">
            <w:pPr>
              <w:pStyle w:val="cuatexto"/>
              <w:spacing w:line="240" w:lineRule="auto"/>
              <w:jc w:val="right"/>
              <w:rPr>
                <w:color w:val="000000"/>
                <w:sz w:val="18"/>
                <w:szCs w:val="18"/>
              </w:rPr>
            </w:pPr>
            <w:r>
              <w:rPr>
                <w:color w:val="000000"/>
                <w:sz w:val="18"/>
              </w:rPr>
              <w:t>6</w:t>
            </w:r>
          </w:p>
        </w:tc>
        <w:tc>
          <w:tcPr>
            <w:tcW w:w="0" w:type="auto"/>
            <w:tcBorders>
              <w:top w:val="nil"/>
              <w:left w:val="nil"/>
              <w:bottom w:val="single" w:sz="4" w:space="0" w:color="auto"/>
              <w:right w:val="nil"/>
            </w:tcBorders>
            <w:shd w:val="clear" w:color="auto" w:fill="auto"/>
            <w:noWrap/>
            <w:vAlign w:val="center"/>
            <w:hideMark/>
          </w:tcPr>
          <w:p w14:paraId="4DA31EA4" w14:textId="77777777" w:rsidR="004367EF" w:rsidRPr="00EE13C5" w:rsidRDefault="004367EF" w:rsidP="00A16FC4">
            <w:pPr>
              <w:pStyle w:val="cuatexto"/>
              <w:spacing w:line="240" w:lineRule="auto"/>
              <w:jc w:val="right"/>
              <w:rPr>
                <w:sz w:val="18"/>
                <w:szCs w:val="18"/>
              </w:rPr>
            </w:pPr>
            <w:r>
              <w:rPr>
                <w:sz w:val="18"/>
              </w:rPr>
              <w:t xml:space="preserve">           0,4 </w:t>
            </w:r>
          </w:p>
        </w:tc>
        <w:tc>
          <w:tcPr>
            <w:tcW w:w="0" w:type="auto"/>
            <w:tcBorders>
              <w:top w:val="nil"/>
              <w:left w:val="nil"/>
              <w:bottom w:val="single" w:sz="4" w:space="0" w:color="auto"/>
              <w:right w:val="nil"/>
            </w:tcBorders>
            <w:shd w:val="clear" w:color="auto" w:fill="auto"/>
            <w:noWrap/>
            <w:vAlign w:val="center"/>
            <w:hideMark/>
          </w:tcPr>
          <w:p w14:paraId="05DB682D" w14:textId="77777777" w:rsidR="004367EF" w:rsidRPr="00EE13C5" w:rsidRDefault="004367EF" w:rsidP="00A16FC4">
            <w:pPr>
              <w:pStyle w:val="cuatexto"/>
              <w:spacing w:line="240" w:lineRule="auto"/>
              <w:jc w:val="right"/>
              <w:rPr>
                <w:color w:val="000000"/>
                <w:sz w:val="18"/>
                <w:szCs w:val="18"/>
              </w:rPr>
            </w:pPr>
            <w:r>
              <w:rPr>
                <w:color w:val="000000"/>
                <w:sz w:val="18"/>
              </w:rPr>
              <w:t>23</w:t>
            </w:r>
          </w:p>
        </w:tc>
        <w:tc>
          <w:tcPr>
            <w:tcW w:w="0" w:type="auto"/>
            <w:tcBorders>
              <w:top w:val="nil"/>
              <w:left w:val="nil"/>
              <w:bottom w:val="single" w:sz="4" w:space="0" w:color="auto"/>
              <w:right w:val="nil"/>
            </w:tcBorders>
            <w:shd w:val="clear" w:color="auto" w:fill="auto"/>
            <w:noWrap/>
            <w:vAlign w:val="center"/>
            <w:hideMark/>
          </w:tcPr>
          <w:p w14:paraId="4D383DB8" w14:textId="77777777" w:rsidR="004367EF" w:rsidRPr="00EE13C5" w:rsidRDefault="004367EF" w:rsidP="00A16FC4">
            <w:pPr>
              <w:pStyle w:val="cuatexto"/>
              <w:spacing w:line="240" w:lineRule="auto"/>
              <w:jc w:val="right"/>
              <w:rPr>
                <w:sz w:val="18"/>
                <w:szCs w:val="18"/>
              </w:rPr>
            </w:pPr>
            <w:r>
              <w:rPr>
                <w:sz w:val="18"/>
              </w:rPr>
              <w:t xml:space="preserve">            2,1 </w:t>
            </w:r>
          </w:p>
        </w:tc>
      </w:tr>
      <w:tr w:rsidR="004367EF" w:rsidRPr="00EE13C5" w14:paraId="5620C29E" w14:textId="77777777" w:rsidTr="00565DBB">
        <w:trPr>
          <w:trHeight w:val="227"/>
          <w:jc w:val="center"/>
        </w:trPr>
        <w:tc>
          <w:tcPr>
            <w:tcW w:w="3403" w:type="dxa"/>
            <w:tcBorders>
              <w:top w:val="nil"/>
              <w:left w:val="nil"/>
              <w:bottom w:val="single" w:sz="4" w:space="0" w:color="auto"/>
              <w:right w:val="nil"/>
            </w:tcBorders>
            <w:shd w:val="clear" w:color="000000" w:fill="D9D9D9"/>
            <w:noWrap/>
            <w:vAlign w:val="center"/>
            <w:hideMark/>
          </w:tcPr>
          <w:p w14:paraId="23653CDC" w14:textId="45DD0040" w:rsidR="004367EF" w:rsidRPr="00EE13C5" w:rsidRDefault="004D3571" w:rsidP="00A16FC4">
            <w:pPr>
              <w:pStyle w:val="cuatexto"/>
              <w:spacing w:line="240" w:lineRule="auto"/>
              <w:rPr>
                <w:b/>
                <w:bCs/>
                <w:i/>
                <w:iCs/>
                <w:sz w:val="18"/>
                <w:szCs w:val="18"/>
              </w:rPr>
            </w:pPr>
            <w:r>
              <w:rPr>
                <w:b/>
                <w:i/>
                <w:sz w:val="18"/>
              </w:rPr>
              <w:t>Finantza-eragiketak</w:t>
            </w:r>
          </w:p>
        </w:tc>
        <w:tc>
          <w:tcPr>
            <w:tcW w:w="850" w:type="dxa"/>
            <w:tcBorders>
              <w:top w:val="nil"/>
              <w:left w:val="nil"/>
              <w:bottom w:val="single" w:sz="4" w:space="0" w:color="auto"/>
              <w:right w:val="nil"/>
            </w:tcBorders>
            <w:shd w:val="clear" w:color="000000" w:fill="D9D9D9"/>
            <w:noWrap/>
            <w:vAlign w:val="center"/>
            <w:hideMark/>
          </w:tcPr>
          <w:p w14:paraId="7DDC7F43" w14:textId="77777777" w:rsidR="004367EF" w:rsidRPr="00EE13C5" w:rsidRDefault="004367EF" w:rsidP="00A16FC4">
            <w:pPr>
              <w:pStyle w:val="cuatexto"/>
              <w:spacing w:line="240" w:lineRule="auto"/>
              <w:jc w:val="right"/>
              <w:rPr>
                <w:b/>
                <w:bCs/>
                <w:i/>
                <w:iCs/>
                <w:color w:val="000000"/>
                <w:sz w:val="18"/>
                <w:szCs w:val="18"/>
              </w:rPr>
            </w:pPr>
            <w:r>
              <w:rPr>
                <w:b/>
                <w:i/>
                <w:color w:val="000000"/>
                <w:sz w:val="18"/>
              </w:rPr>
              <w:t>16</w:t>
            </w:r>
          </w:p>
        </w:tc>
        <w:tc>
          <w:tcPr>
            <w:tcW w:w="1061" w:type="dxa"/>
            <w:tcBorders>
              <w:top w:val="nil"/>
              <w:left w:val="nil"/>
              <w:bottom w:val="single" w:sz="4" w:space="0" w:color="auto"/>
              <w:right w:val="nil"/>
            </w:tcBorders>
            <w:shd w:val="clear" w:color="000000" w:fill="D9D9D9"/>
            <w:noWrap/>
            <w:vAlign w:val="center"/>
            <w:hideMark/>
          </w:tcPr>
          <w:p w14:paraId="0F0B33A7" w14:textId="506701BC" w:rsidR="004367EF" w:rsidRPr="00EE13C5" w:rsidRDefault="004367EF" w:rsidP="00A16FC4">
            <w:pPr>
              <w:pStyle w:val="cuatexto"/>
              <w:spacing w:line="240" w:lineRule="auto"/>
              <w:jc w:val="right"/>
              <w:rPr>
                <w:b/>
                <w:bCs/>
                <w:i/>
                <w:iCs/>
                <w:sz w:val="18"/>
                <w:szCs w:val="18"/>
              </w:rPr>
            </w:pPr>
            <w:r>
              <w:rPr>
                <w:b/>
                <w:i/>
                <w:sz w:val="18"/>
              </w:rPr>
              <w:t xml:space="preserve">1,4 </w:t>
            </w:r>
          </w:p>
        </w:tc>
        <w:tc>
          <w:tcPr>
            <w:tcW w:w="0" w:type="auto"/>
            <w:tcBorders>
              <w:top w:val="nil"/>
              <w:left w:val="nil"/>
              <w:bottom w:val="single" w:sz="4" w:space="0" w:color="auto"/>
              <w:right w:val="nil"/>
            </w:tcBorders>
            <w:shd w:val="clear" w:color="000000" w:fill="D9D9D9"/>
            <w:noWrap/>
            <w:vAlign w:val="center"/>
            <w:hideMark/>
          </w:tcPr>
          <w:p w14:paraId="3BC944BE" w14:textId="77777777" w:rsidR="004367EF" w:rsidRPr="00EE13C5" w:rsidRDefault="004367EF" w:rsidP="00A16FC4">
            <w:pPr>
              <w:pStyle w:val="cuatexto"/>
              <w:spacing w:line="240" w:lineRule="auto"/>
              <w:jc w:val="right"/>
              <w:rPr>
                <w:b/>
                <w:bCs/>
                <w:i/>
                <w:iCs/>
                <w:color w:val="000000"/>
                <w:sz w:val="18"/>
                <w:szCs w:val="18"/>
              </w:rPr>
            </w:pPr>
            <w:r>
              <w:rPr>
                <w:b/>
                <w:i/>
                <w:color w:val="000000"/>
                <w:sz w:val="18"/>
              </w:rPr>
              <w:t>7</w:t>
            </w:r>
          </w:p>
        </w:tc>
        <w:tc>
          <w:tcPr>
            <w:tcW w:w="0" w:type="auto"/>
            <w:tcBorders>
              <w:top w:val="nil"/>
              <w:left w:val="nil"/>
              <w:bottom w:val="single" w:sz="4" w:space="0" w:color="auto"/>
              <w:right w:val="nil"/>
            </w:tcBorders>
            <w:shd w:val="clear" w:color="000000" w:fill="D9D9D9"/>
            <w:noWrap/>
            <w:vAlign w:val="center"/>
            <w:hideMark/>
          </w:tcPr>
          <w:p w14:paraId="335EF3E8" w14:textId="77777777" w:rsidR="004367EF" w:rsidRPr="00EE13C5" w:rsidRDefault="004367EF" w:rsidP="00A16FC4">
            <w:pPr>
              <w:pStyle w:val="cuatexto"/>
              <w:spacing w:line="240" w:lineRule="auto"/>
              <w:jc w:val="right"/>
              <w:rPr>
                <w:b/>
                <w:bCs/>
                <w:i/>
                <w:iCs/>
                <w:sz w:val="18"/>
                <w:szCs w:val="18"/>
              </w:rPr>
            </w:pPr>
            <w:r>
              <w:rPr>
                <w:b/>
                <w:i/>
                <w:sz w:val="18"/>
              </w:rPr>
              <w:t xml:space="preserve">         0,5 </w:t>
            </w:r>
          </w:p>
        </w:tc>
        <w:tc>
          <w:tcPr>
            <w:tcW w:w="0" w:type="auto"/>
            <w:tcBorders>
              <w:top w:val="nil"/>
              <w:left w:val="nil"/>
              <w:bottom w:val="single" w:sz="4" w:space="0" w:color="auto"/>
              <w:right w:val="nil"/>
            </w:tcBorders>
            <w:shd w:val="clear" w:color="000000" w:fill="D9D9D9"/>
            <w:noWrap/>
            <w:vAlign w:val="center"/>
            <w:hideMark/>
          </w:tcPr>
          <w:p w14:paraId="5CBFDEAD" w14:textId="77777777" w:rsidR="004367EF" w:rsidRPr="00EE13C5" w:rsidRDefault="004367EF" w:rsidP="00A16FC4">
            <w:pPr>
              <w:pStyle w:val="cuatexto"/>
              <w:spacing w:line="240" w:lineRule="auto"/>
              <w:jc w:val="right"/>
              <w:rPr>
                <w:b/>
                <w:bCs/>
                <w:i/>
                <w:iCs/>
                <w:color w:val="000000"/>
                <w:sz w:val="18"/>
                <w:szCs w:val="18"/>
              </w:rPr>
            </w:pPr>
            <w:r>
              <w:rPr>
                <w:b/>
                <w:i/>
                <w:color w:val="000000"/>
                <w:sz w:val="18"/>
              </w:rPr>
              <w:t>24</w:t>
            </w:r>
          </w:p>
        </w:tc>
        <w:tc>
          <w:tcPr>
            <w:tcW w:w="0" w:type="auto"/>
            <w:tcBorders>
              <w:top w:val="nil"/>
              <w:left w:val="nil"/>
              <w:bottom w:val="single" w:sz="4" w:space="0" w:color="auto"/>
              <w:right w:val="nil"/>
            </w:tcBorders>
            <w:shd w:val="clear" w:color="000000" w:fill="D9D9D9"/>
            <w:noWrap/>
            <w:vAlign w:val="center"/>
            <w:hideMark/>
          </w:tcPr>
          <w:p w14:paraId="47CE730E" w14:textId="77777777" w:rsidR="004367EF" w:rsidRPr="00EE13C5" w:rsidRDefault="004367EF" w:rsidP="00A16FC4">
            <w:pPr>
              <w:pStyle w:val="cuatexto"/>
              <w:spacing w:line="240" w:lineRule="auto"/>
              <w:jc w:val="right"/>
              <w:rPr>
                <w:b/>
                <w:bCs/>
                <w:i/>
                <w:iCs/>
                <w:sz w:val="18"/>
                <w:szCs w:val="18"/>
              </w:rPr>
            </w:pPr>
            <w:r>
              <w:rPr>
                <w:b/>
                <w:i/>
                <w:sz w:val="18"/>
              </w:rPr>
              <w:t xml:space="preserve">          2,2 </w:t>
            </w:r>
          </w:p>
        </w:tc>
      </w:tr>
      <w:tr w:rsidR="004367EF" w:rsidRPr="00A16FC4" w14:paraId="194EDAF8" w14:textId="77777777" w:rsidTr="00565DBB">
        <w:trPr>
          <w:trHeight w:val="227"/>
          <w:jc w:val="center"/>
        </w:trPr>
        <w:tc>
          <w:tcPr>
            <w:tcW w:w="3403" w:type="dxa"/>
            <w:tcBorders>
              <w:top w:val="nil"/>
              <w:left w:val="nil"/>
              <w:bottom w:val="single" w:sz="4" w:space="0" w:color="auto"/>
              <w:right w:val="nil"/>
            </w:tcBorders>
            <w:shd w:val="clear" w:color="auto" w:fill="FABF8F" w:themeFill="accent6" w:themeFillTint="99"/>
            <w:noWrap/>
            <w:vAlign w:val="center"/>
            <w:hideMark/>
          </w:tcPr>
          <w:p w14:paraId="41D6FBC5" w14:textId="70A49D65" w:rsidR="004367EF" w:rsidRPr="00A16FC4" w:rsidRDefault="004367EF" w:rsidP="00A16FC4">
            <w:pPr>
              <w:pStyle w:val="cuadroCabe"/>
              <w:spacing w:line="240" w:lineRule="auto"/>
              <w:rPr>
                <w:szCs w:val="18"/>
              </w:rPr>
            </w:pPr>
            <w:r>
              <w:t>Guztira</w:t>
            </w:r>
          </w:p>
        </w:tc>
        <w:tc>
          <w:tcPr>
            <w:tcW w:w="850" w:type="dxa"/>
            <w:tcBorders>
              <w:top w:val="nil"/>
              <w:left w:val="nil"/>
              <w:bottom w:val="single" w:sz="4" w:space="0" w:color="auto"/>
              <w:right w:val="nil"/>
            </w:tcBorders>
            <w:shd w:val="clear" w:color="auto" w:fill="FABF8F" w:themeFill="accent6" w:themeFillTint="99"/>
            <w:noWrap/>
            <w:vAlign w:val="center"/>
            <w:hideMark/>
          </w:tcPr>
          <w:p w14:paraId="6F857C45" w14:textId="77777777" w:rsidR="004367EF" w:rsidRPr="00A16FC4" w:rsidRDefault="004367EF" w:rsidP="00A16FC4">
            <w:pPr>
              <w:pStyle w:val="cuadroCabe"/>
              <w:spacing w:line="240" w:lineRule="auto"/>
              <w:jc w:val="right"/>
              <w:rPr>
                <w:bCs/>
                <w:szCs w:val="18"/>
              </w:rPr>
            </w:pPr>
            <w:r>
              <w:t>1.124</w:t>
            </w:r>
          </w:p>
        </w:tc>
        <w:tc>
          <w:tcPr>
            <w:tcW w:w="1061" w:type="dxa"/>
            <w:tcBorders>
              <w:top w:val="nil"/>
              <w:left w:val="nil"/>
              <w:bottom w:val="single" w:sz="4" w:space="0" w:color="auto"/>
              <w:right w:val="nil"/>
            </w:tcBorders>
            <w:shd w:val="clear" w:color="auto" w:fill="FABF8F" w:themeFill="accent6" w:themeFillTint="99"/>
            <w:noWrap/>
            <w:vAlign w:val="center"/>
            <w:hideMark/>
          </w:tcPr>
          <w:p w14:paraId="6EFD5CBF" w14:textId="77777777" w:rsidR="004367EF" w:rsidRPr="00A16FC4" w:rsidRDefault="004367EF" w:rsidP="00A16FC4">
            <w:pPr>
              <w:pStyle w:val="cuadroCabe"/>
              <w:spacing w:line="240" w:lineRule="auto"/>
              <w:jc w:val="right"/>
              <w:rPr>
                <w:bCs/>
                <w:szCs w:val="18"/>
              </w:rPr>
            </w:pPr>
            <w:r>
              <w:t>100</w:t>
            </w:r>
          </w:p>
        </w:tc>
        <w:tc>
          <w:tcPr>
            <w:tcW w:w="0" w:type="auto"/>
            <w:tcBorders>
              <w:top w:val="nil"/>
              <w:left w:val="nil"/>
              <w:bottom w:val="single" w:sz="4" w:space="0" w:color="auto"/>
              <w:right w:val="nil"/>
            </w:tcBorders>
            <w:shd w:val="clear" w:color="auto" w:fill="FABF8F" w:themeFill="accent6" w:themeFillTint="99"/>
            <w:noWrap/>
            <w:vAlign w:val="center"/>
            <w:hideMark/>
          </w:tcPr>
          <w:p w14:paraId="08DC0AFE" w14:textId="77777777" w:rsidR="004367EF" w:rsidRPr="00A16FC4" w:rsidRDefault="004367EF" w:rsidP="00A16FC4">
            <w:pPr>
              <w:pStyle w:val="cuadroCabe"/>
              <w:spacing w:line="240" w:lineRule="auto"/>
              <w:jc w:val="right"/>
              <w:rPr>
                <w:bCs/>
                <w:szCs w:val="18"/>
              </w:rPr>
            </w:pPr>
            <w:r>
              <w:t>1.345</w:t>
            </w:r>
          </w:p>
        </w:tc>
        <w:tc>
          <w:tcPr>
            <w:tcW w:w="0" w:type="auto"/>
            <w:tcBorders>
              <w:top w:val="nil"/>
              <w:left w:val="nil"/>
              <w:bottom w:val="single" w:sz="4" w:space="0" w:color="auto"/>
              <w:right w:val="nil"/>
            </w:tcBorders>
            <w:shd w:val="clear" w:color="auto" w:fill="FABF8F" w:themeFill="accent6" w:themeFillTint="99"/>
            <w:noWrap/>
            <w:vAlign w:val="center"/>
            <w:hideMark/>
          </w:tcPr>
          <w:p w14:paraId="7C9E72A2" w14:textId="77777777" w:rsidR="004367EF" w:rsidRPr="00A16FC4" w:rsidRDefault="004367EF" w:rsidP="00A16FC4">
            <w:pPr>
              <w:pStyle w:val="cuadroCabe"/>
              <w:spacing w:line="240" w:lineRule="auto"/>
              <w:jc w:val="right"/>
              <w:rPr>
                <w:bCs/>
                <w:szCs w:val="18"/>
              </w:rPr>
            </w:pPr>
            <w:r>
              <w:t>100</w:t>
            </w:r>
          </w:p>
        </w:tc>
        <w:tc>
          <w:tcPr>
            <w:tcW w:w="0" w:type="auto"/>
            <w:tcBorders>
              <w:top w:val="nil"/>
              <w:left w:val="nil"/>
              <w:bottom w:val="single" w:sz="4" w:space="0" w:color="auto"/>
              <w:right w:val="nil"/>
            </w:tcBorders>
            <w:shd w:val="clear" w:color="auto" w:fill="FABF8F" w:themeFill="accent6" w:themeFillTint="99"/>
            <w:noWrap/>
            <w:vAlign w:val="center"/>
            <w:hideMark/>
          </w:tcPr>
          <w:p w14:paraId="65A0B22D" w14:textId="77777777" w:rsidR="004367EF" w:rsidRPr="00A16FC4" w:rsidRDefault="004367EF" w:rsidP="00A16FC4">
            <w:pPr>
              <w:pStyle w:val="cuadroCabe"/>
              <w:spacing w:line="240" w:lineRule="auto"/>
              <w:jc w:val="right"/>
              <w:rPr>
                <w:bCs/>
                <w:szCs w:val="18"/>
              </w:rPr>
            </w:pPr>
            <w:r>
              <w:t>1.107</w:t>
            </w:r>
          </w:p>
        </w:tc>
        <w:tc>
          <w:tcPr>
            <w:tcW w:w="0" w:type="auto"/>
            <w:tcBorders>
              <w:top w:val="nil"/>
              <w:left w:val="nil"/>
              <w:bottom w:val="single" w:sz="4" w:space="0" w:color="auto"/>
              <w:right w:val="nil"/>
            </w:tcBorders>
            <w:shd w:val="clear" w:color="auto" w:fill="FABF8F" w:themeFill="accent6" w:themeFillTint="99"/>
            <w:noWrap/>
            <w:vAlign w:val="center"/>
            <w:hideMark/>
          </w:tcPr>
          <w:p w14:paraId="60E055F7" w14:textId="77777777" w:rsidR="004367EF" w:rsidRPr="00A16FC4" w:rsidRDefault="004367EF" w:rsidP="00A16FC4">
            <w:pPr>
              <w:pStyle w:val="cuadroCabe"/>
              <w:spacing w:line="240" w:lineRule="auto"/>
              <w:jc w:val="right"/>
              <w:rPr>
                <w:bCs/>
                <w:szCs w:val="18"/>
              </w:rPr>
            </w:pPr>
            <w:r>
              <w:t>100</w:t>
            </w:r>
          </w:p>
        </w:tc>
      </w:tr>
    </w:tbl>
    <w:p w14:paraId="013327B3" w14:textId="77777777" w:rsidR="004367EF" w:rsidRPr="004367EF" w:rsidRDefault="004367EF" w:rsidP="004367EF">
      <w:pPr>
        <w:spacing w:after="0"/>
        <w:ind w:firstLine="20"/>
        <w:rPr>
          <w:rFonts w:ascii="Arial Narrow" w:hAnsi="Arial Narrow" w:cs="Calibri"/>
          <w:color w:val="000000"/>
          <w:sz w:val="18"/>
          <w:szCs w:val="18"/>
          <w:lang w:val="es-ES" w:eastAsia="es-ES"/>
        </w:rPr>
      </w:pPr>
    </w:p>
    <w:tbl>
      <w:tblPr>
        <w:tblW w:w="8957" w:type="dxa"/>
        <w:jc w:val="center"/>
        <w:tblCellMar>
          <w:left w:w="70" w:type="dxa"/>
          <w:right w:w="70" w:type="dxa"/>
        </w:tblCellMar>
        <w:tblLook w:val="04A0" w:firstRow="1" w:lastRow="0" w:firstColumn="1" w:lastColumn="0" w:noHBand="0" w:noVBand="1"/>
      </w:tblPr>
      <w:tblGrid>
        <w:gridCol w:w="2977"/>
        <w:gridCol w:w="591"/>
        <w:gridCol w:w="2651"/>
        <w:gridCol w:w="921"/>
        <w:gridCol w:w="2651"/>
        <w:gridCol w:w="974"/>
        <w:gridCol w:w="1013"/>
        <w:gridCol w:w="6"/>
      </w:tblGrid>
      <w:tr w:rsidR="004367EF" w:rsidRPr="008F7ECB" w14:paraId="50253D42" w14:textId="77777777" w:rsidTr="00565DBB">
        <w:trPr>
          <w:gridAfter w:val="1"/>
          <w:wAfter w:w="6" w:type="dxa"/>
          <w:trHeight w:val="227"/>
          <w:jc w:val="center"/>
        </w:trPr>
        <w:tc>
          <w:tcPr>
            <w:tcW w:w="2977" w:type="dxa"/>
            <w:vMerge w:val="restart"/>
            <w:tcBorders>
              <w:top w:val="single" w:sz="4" w:space="0" w:color="auto"/>
              <w:left w:val="nil"/>
              <w:bottom w:val="single" w:sz="4" w:space="0" w:color="000000"/>
              <w:right w:val="nil"/>
            </w:tcBorders>
            <w:shd w:val="clear" w:color="auto" w:fill="FABF8F" w:themeFill="accent6" w:themeFillTint="99"/>
            <w:noWrap/>
            <w:vAlign w:val="center"/>
            <w:hideMark/>
          </w:tcPr>
          <w:p w14:paraId="2286BC12" w14:textId="77777777" w:rsidR="004367EF" w:rsidRPr="008F7ECB" w:rsidRDefault="004367EF" w:rsidP="00A16FC4">
            <w:pPr>
              <w:pStyle w:val="cuadroCabe"/>
              <w:spacing w:line="240" w:lineRule="auto"/>
              <w:rPr>
                <w:sz w:val="16"/>
                <w:szCs w:val="16"/>
              </w:rPr>
            </w:pPr>
            <w:r>
              <w:rPr>
                <w:sz w:val="16"/>
              </w:rPr>
              <w:t>GASTUAK</w:t>
            </w:r>
          </w:p>
        </w:tc>
        <w:tc>
          <w:tcPr>
            <w:tcW w:w="0" w:type="auto"/>
            <w:gridSpan w:val="2"/>
            <w:tcBorders>
              <w:top w:val="single" w:sz="4" w:space="0" w:color="auto"/>
              <w:left w:val="nil"/>
              <w:bottom w:val="single" w:sz="4" w:space="0" w:color="auto"/>
              <w:right w:val="nil"/>
            </w:tcBorders>
            <w:shd w:val="clear" w:color="auto" w:fill="FABF8F" w:themeFill="accent6" w:themeFillTint="99"/>
            <w:vAlign w:val="center"/>
            <w:hideMark/>
          </w:tcPr>
          <w:p w14:paraId="25E9C14E" w14:textId="77777777" w:rsidR="004367EF" w:rsidRPr="008F7ECB" w:rsidRDefault="004367EF" w:rsidP="00A16FC4">
            <w:pPr>
              <w:pStyle w:val="cuadroCabe"/>
              <w:spacing w:line="240" w:lineRule="auto"/>
              <w:jc w:val="center"/>
              <w:rPr>
                <w:sz w:val="16"/>
                <w:szCs w:val="16"/>
              </w:rPr>
            </w:pPr>
            <w:r>
              <w:rPr>
                <w:sz w:val="16"/>
              </w:rPr>
              <w:t>Nafarroa</w:t>
            </w:r>
          </w:p>
        </w:tc>
        <w:tc>
          <w:tcPr>
            <w:tcW w:w="0" w:type="auto"/>
            <w:gridSpan w:val="2"/>
            <w:tcBorders>
              <w:top w:val="single" w:sz="4" w:space="0" w:color="auto"/>
              <w:left w:val="nil"/>
              <w:bottom w:val="single" w:sz="4" w:space="0" w:color="auto"/>
              <w:right w:val="nil"/>
            </w:tcBorders>
            <w:shd w:val="clear" w:color="auto" w:fill="FABF8F" w:themeFill="accent6" w:themeFillTint="99"/>
            <w:noWrap/>
            <w:vAlign w:val="center"/>
            <w:hideMark/>
          </w:tcPr>
          <w:p w14:paraId="13A9863F" w14:textId="77777777" w:rsidR="004367EF" w:rsidRPr="008F7ECB" w:rsidRDefault="004367EF" w:rsidP="00A16FC4">
            <w:pPr>
              <w:pStyle w:val="cuadroCabe"/>
              <w:spacing w:line="240" w:lineRule="auto"/>
              <w:jc w:val="center"/>
              <w:rPr>
                <w:sz w:val="16"/>
                <w:szCs w:val="16"/>
              </w:rPr>
            </w:pPr>
            <w:r>
              <w:rPr>
                <w:sz w:val="16"/>
              </w:rPr>
              <w:t>EAE</w:t>
            </w:r>
          </w:p>
        </w:tc>
        <w:tc>
          <w:tcPr>
            <w:tcW w:w="1987" w:type="dxa"/>
            <w:gridSpan w:val="2"/>
            <w:tcBorders>
              <w:top w:val="single" w:sz="4" w:space="0" w:color="auto"/>
              <w:left w:val="nil"/>
              <w:bottom w:val="single" w:sz="4" w:space="0" w:color="auto"/>
              <w:right w:val="nil"/>
            </w:tcBorders>
            <w:shd w:val="clear" w:color="auto" w:fill="FABF8F" w:themeFill="accent6" w:themeFillTint="99"/>
            <w:vAlign w:val="center"/>
            <w:hideMark/>
          </w:tcPr>
          <w:p w14:paraId="698FE3DB" w14:textId="77777777" w:rsidR="004367EF" w:rsidRPr="008F7ECB" w:rsidRDefault="004367EF" w:rsidP="00A16FC4">
            <w:pPr>
              <w:pStyle w:val="cuadroCabe"/>
              <w:spacing w:line="240" w:lineRule="auto"/>
              <w:jc w:val="center"/>
              <w:rPr>
                <w:sz w:val="16"/>
                <w:szCs w:val="16"/>
              </w:rPr>
            </w:pPr>
            <w:r>
              <w:rPr>
                <w:sz w:val="16"/>
              </w:rPr>
              <w:t>Estatuko gainerakoak</w:t>
            </w:r>
          </w:p>
        </w:tc>
      </w:tr>
      <w:tr w:rsidR="004367EF" w:rsidRPr="008F7ECB" w14:paraId="32744E81" w14:textId="77777777" w:rsidTr="00565DBB">
        <w:trPr>
          <w:trHeight w:val="227"/>
          <w:jc w:val="center"/>
        </w:trPr>
        <w:tc>
          <w:tcPr>
            <w:tcW w:w="2977" w:type="dxa"/>
            <w:vMerge/>
            <w:tcBorders>
              <w:top w:val="single" w:sz="4" w:space="0" w:color="auto"/>
              <w:left w:val="nil"/>
              <w:bottom w:val="single" w:sz="4" w:space="0" w:color="000000"/>
              <w:right w:val="nil"/>
            </w:tcBorders>
            <w:shd w:val="clear" w:color="auto" w:fill="FBD4B4" w:themeFill="accent6" w:themeFillTint="66"/>
            <w:vAlign w:val="center"/>
            <w:hideMark/>
          </w:tcPr>
          <w:p w14:paraId="3FABF653" w14:textId="77777777" w:rsidR="004367EF" w:rsidRPr="008F7ECB" w:rsidRDefault="004367EF" w:rsidP="00A16FC4">
            <w:pPr>
              <w:pStyle w:val="cuadroCabe"/>
              <w:spacing w:line="240" w:lineRule="auto"/>
              <w:rPr>
                <w:sz w:val="16"/>
                <w:szCs w:val="16"/>
                <w:lang w:val="es-ES" w:eastAsia="es-ES"/>
              </w:rPr>
            </w:pPr>
          </w:p>
        </w:tc>
        <w:tc>
          <w:tcPr>
            <w:tcW w:w="0" w:type="auto"/>
            <w:tcBorders>
              <w:top w:val="nil"/>
              <w:left w:val="nil"/>
              <w:bottom w:val="single" w:sz="4" w:space="0" w:color="auto"/>
              <w:right w:val="nil"/>
            </w:tcBorders>
            <w:shd w:val="clear" w:color="auto" w:fill="FABF8F" w:themeFill="accent6" w:themeFillTint="99"/>
            <w:vAlign w:val="center"/>
            <w:hideMark/>
          </w:tcPr>
          <w:p w14:paraId="4315B6D4" w14:textId="77777777" w:rsidR="004367EF" w:rsidRPr="008F7ECB" w:rsidRDefault="004367EF" w:rsidP="00A16FC4">
            <w:pPr>
              <w:pStyle w:val="cuadroCabe"/>
              <w:spacing w:line="240" w:lineRule="auto"/>
              <w:jc w:val="right"/>
              <w:rPr>
                <w:sz w:val="16"/>
                <w:szCs w:val="16"/>
              </w:rPr>
            </w:pPr>
            <w:r>
              <w:rPr>
                <w:sz w:val="16"/>
              </w:rPr>
              <w:t>Per capita</w:t>
            </w:r>
          </w:p>
        </w:tc>
        <w:tc>
          <w:tcPr>
            <w:tcW w:w="0" w:type="auto"/>
            <w:tcBorders>
              <w:top w:val="nil"/>
              <w:left w:val="nil"/>
              <w:bottom w:val="single" w:sz="4" w:space="0" w:color="auto"/>
              <w:right w:val="nil"/>
            </w:tcBorders>
            <w:shd w:val="clear" w:color="auto" w:fill="FABF8F" w:themeFill="accent6" w:themeFillTint="99"/>
            <w:noWrap/>
            <w:vAlign w:val="center"/>
            <w:hideMark/>
          </w:tcPr>
          <w:p w14:paraId="3313B357" w14:textId="77777777" w:rsidR="004367EF" w:rsidRPr="008F7ECB" w:rsidRDefault="004367EF" w:rsidP="00A16FC4">
            <w:pPr>
              <w:pStyle w:val="cuadroCabe"/>
              <w:spacing w:line="240" w:lineRule="auto"/>
              <w:jc w:val="right"/>
              <w:rPr>
                <w:sz w:val="16"/>
                <w:szCs w:val="16"/>
              </w:rPr>
            </w:pPr>
            <w:r>
              <w:rPr>
                <w:sz w:val="16"/>
              </w:rPr>
              <w:t>Ehunekoa, guztizkoaren gainean</w:t>
            </w:r>
          </w:p>
        </w:tc>
        <w:tc>
          <w:tcPr>
            <w:tcW w:w="0" w:type="auto"/>
            <w:tcBorders>
              <w:top w:val="nil"/>
              <w:left w:val="nil"/>
              <w:bottom w:val="single" w:sz="4" w:space="0" w:color="auto"/>
              <w:right w:val="nil"/>
            </w:tcBorders>
            <w:shd w:val="clear" w:color="auto" w:fill="FABF8F" w:themeFill="accent6" w:themeFillTint="99"/>
            <w:noWrap/>
            <w:vAlign w:val="center"/>
            <w:hideMark/>
          </w:tcPr>
          <w:p w14:paraId="15D3DFA8" w14:textId="77777777" w:rsidR="004367EF" w:rsidRPr="008F7ECB" w:rsidRDefault="004367EF" w:rsidP="00A16FC4">
            <w:pPr>
              <w:pStyle w:val="cuadroCabe"/>
              <w:spacing w:line="240" w:lineRule="auto"/>
              <w:jc w:val="right"/>
              <w:rPr>
                <w:sz w:val="16"/>
                <w:szCs w:val="16"/>
              </w:rPr>
            </w:pPr>
            <w:r>
              <w:rPr>
                <w:sz w:val="16"/>
              </w:rPr>
              <w:t>Per capita</w:t>
            </w:r>
          </w:p>
        </w:tc>
        <w:tc>
          <w:tcPr>
            <w:tcW w:w="0" w:type="auto"/>
            <w:tcBorders>
              <w:top w:val="nil"/>
              <w:left w:val="nil"/>
              <w:bottom w:val="single" w:sz="4" w:space="0" w:color="auto"/>
              <w:right w:val="nil"/>
            </w:tcBorders>
            <w:shd w:val="clear" w:color="auto" w:fill="FABF8F" w:themeFill="accent6" w:themeFillTint="99"/>
            <w:noWrap/>
            <w:vAlign w:val="center"/>
            <w:hideMark/>
          </w:tcPr>
          <w:p w14:paraId="7C37FBB5" w14:textId="77777777" w:rsidR="004367EF" w:rsidRPr="008F7ECB" w:rsidRDefault="004367EF" w:rsidP="00A16FC4">
            <w:pPr>
              <w:pStyle w:val="cuadroCabe"/>
              <w:spacing w:line="240" w:lineRule="auto"/>
              <w:jc w:val="right"/>
              <w:rPr>
                <w:sz w:val="16"/>
                <w:szCs w:val="16"/>
              </w:rPr>
            </w:pPr>
            <w:r>
              <w:rPr>
                <w:sz w:val="16"/>
              </w:rPr>
              <w:t>Ehunekoa, guztizkoaren gainean</w:t>
            </w:r>
          </w:p>
        </w:tc>
        <w:tc>
          <w:tcPr>
            <w:tcW w:w="974" w:type="dxa"/>
            <w:tcBorders>
              <w:top w:val="nil"/>
              <w:left w:val="nil"/>
              <w:bottom w:val="single" w:sz="4" w:space="0" w:color="auto"/>
              <w:right w:val="nil"/>
            </w:tcBorders>
            <w:shd w:val="clear" w:color="auto" w:fill="FABF8F" w:themeFill="accent6" w:themeFillTint="99"/>
            <w:vAlign w:val="center"/>
            <w:hideMark/>
          </w:tcPr>
          <w:p w14:paraId="0AC03A21" w14:textId="77777777" w:rsidR="004367EF" w:rsidRPr="008F7ECB" w:rsidRDefault="004367EF" w:rsidP="00A16FC4">
            <w:pPr>
              <w:pStyle w:val="cuadroCabe"/>
              <w:spacing w:line="240" w:lineRule="auto"/>
              <w:jc w:val="right"/>
              <w:rPr>
                <w:sz w:val="16"/>
                <w:szCs w:val="16"/>
              </w:rPr>
            </w:pPr>
            <w:r>
              <w:rPr>
                <w:sz w:val="16"/>
              </w:rPr>
              <w:t>Per capita</w:t>
            </w:r>
          </w:p>
        </w:tc>
        <w:tc>
          <w:tcPr>
            <w:tcW w:w="1019" w:type="dxa"/>
            <w:gridSpan w:val="2"/>
            <w:tcBorders>
              <w:top w:val="nil"/>
              <w:left w:val="nil"/>
              <w:bottom w:val="single" w:sz="4" w:space="0" w:color="auto"/>
              <w:right w:val="nil"/>
            </w:tcBorders>
            <w:shd w:val="clear" w:color="auto" w:fill="FABF8F" w:themeFill="accent6" w:themeFillTint="99"/>
            <w:vAlign w:val="center"/>
            <w:hideMark/>
          </w:tcPr>
          <w:p w14:paraId="0B82C2B5" w14:textId="77777777" w:rsidR="004367EF" w:rsidRPr="008F7ECB" w:rsidRDefault="004367EF" w:rsidP="00A16FC4">
            <w:pPr>
              <w:pStyle w:val="cuadroCabe"/>
              <w:spacing w:line="240" w:lineRule="auto"/>
              <w:jc w:val="right"/>
              <w:rPr>
                <w:sz w:val="16"/>
                <w:szCs w:val="16"/>
              </w:rPr>
            </w:pPr>
            <w:r>
              <w:rPr>
                <w:sz w:val="16"/>
              </w:rPr>
              <w:t>Ehunekoa, guztizkoaren gainean</w:t>
            </w:r>
          </w:p>
        </w:tc>
      </w:tr>
      <w:tr w:rsidR="004367EF" w:rsidRPr="00C91975" w14:paraId="67076117" w14:textId="77777777" w:rsidTr="00565DBB">
        <w:trPr>
          <w:trHeight w:val="227"/>
          <w:jc w:val="center"/>
        </w:trPr>
        <w:tc>
          <w:tcPr>
            <w:tcW w:w="2977" w:type="dxa"/>
            <w:tcBorders>
              <w:top w:val="nil"/>
              <w:left w:val="nil"/>
              <w:bottom w:val="single" w:sz="4" w:space="0" w:color="auto"/>
              <w:right w:val="nil"/>
            </w:tcBorders>
            <w:shd w:val="clear" w:color="auto" w:fill="auto"/>
            <w:noWrap/>
            <w:vAlign w:val="center"/>
            <w:hideMark/>
          </w:tcPr>
          <w:p w14:paraId="32F47FE8" w14:textId="77777777" w:rsidR="004367EF" w:rsidRPr="00C91975" w:rsidRDefault="004367EF" w:rsidP="00A16FC4">
            <w:pPr>
              <w:spacing w:after="0"/>
              <w:ind w:firstLine="0"/>
              <w:rPr>
                <w:rFonts w:ascii="Arial Narrow" w:hAnsi="Arial Narrow"/>
                <w:sz w:val="18"/>
                <w:szCs w:val="18"/>
              </w:rPr>
            </w:pPr>
            <w:r>
              <w:rPr>
                <w:rFonts w:ascii="Arial Narrow" w:hAnsi="Arial Narrow"/>
                <w:sz w:val="18"/>
              </w:rPr>
              <w:t>Langile-gastuak</w:t>
            </w:r>
          </w:p>
        </w:tc>
        <w:tc>
          <w:tcPr>
            <w:tcW w:w="0" w:type="auto"/>
            <w:tcBorders>
              <w:top w:val="nil"/>
              <w:left w:val="nil"/>
              <w:bottom w:val="single" w:sz="4" w:space="0" w:color="auto"/>
              <w:right w:val="nil"/>
            </w:tcBorders>
            <w:shd w:val="clear" w:color="auto" w:fill="auto"/>
            <w:noWrap/>
            <w:vAlign w:val="center"/>
            <w:hideMark/>
          </w:tcPr>
          <w:p w14:paraId="68DBC756" w14:textId="77777777" w:rsidR="004367EF" w:rsidRPr="00C91975" w:rsidRDefault="004367EF" w:rsidP="00A16FC4">
            <w:pPr>
              <w:spacing w:after="0"/>
              <w:ind w:firstLine="0"/>
              <w:jc w:val="right"/>
              <w:rPr>
                <w:rFonts w:ascii="Arial Narrow" w:hAnsi="Arial Narrow"/>
                <w:color w:val="000000"/>
                <w:sz w:val="18"/>
                <w:szCs w:val="18"/>
              </w:rPr>
            </w:pPr>
            <w:r>
              <w:rPr>
                <w:rFonts w:ascii="Arial Narrow" w:hAnsi="Arial Narrow"/>
                <w:color w:val="000000"/>
                <w:sz w:val="18"/>
              </w:rPr>
              <w:t>396</w:t>
            </w:r>
          </w:p>
        </w:tc>
        <w:tc>
          <w:tcPr>
            <w:tcW w:w="0" w:type="auto"/>
            <w:tcBorders>
              <w:top w:val="nil"/>
              <w:left w:val="nil"/>
              <w:bottom w:val="single" w:sz="4" w:space="0" w:color="auto"/>
              <w:right w:val="nil"/>
            </w:tcBorders>
            <w:shd w:val="clear" w:color="auto" w:fill="auto"/>
            <w:noWrap/>
            <w:vAlign w:val="center"/>
            <w:hideMark/>
          </w:tcPr>
          <w:p w14:paraId="527B2933" w14:textId="77777777" w:rsidR="004367EF" w:rsidRPr="00C91975" w:rsidRDefault="004367EF" w:rsidP="00A16FC4">
            <w:pPr>
              <w:spacing w:after="0"/>
              <w:ind w:firstLine="79"/>
              <w:jc w:val="right"/>
              <w:rPr>
                <w:rFonts w:ascii="Arial Narrow" w:hAnsi="Arial Narrow"/>
                <w:color w:val="000000"/>
                <w:sz w:val="18"/>
                <w:szCs w:val="18"/>
              </w:rPr>
            </w:pPr>
            <w:r>
              <w:rPr>
                <w:rFonts w:ascii="Arial Narrow" w:hAnsi="Arial Narrow"/>
                <w:color w:val="000000"/>
                <w:sz w:val="18"/>
              </w:rPr>
              <w:t xml:space="preserve">            37,7 </w:t>
            </w:r>
          </w:p>
        </w:tc>
        <w:tc>
          <w:tcPr>
            <w:tcW w:w="0" w:type="auto"/>
            <w:tcBorders>
              <w:top w:val="nil"/>
              <w:left w:val="nil"/>
              <w:bottom w:val="single" w:sz="4" w:space="0" w:color="auto"/>
              <w:right w:val="nil"/>
            </w:tcBorders>
            <w:shd w:val="clear" w:color="auto" w:fill="auto"/>
            <w:noWrap/>
            <w:vAlign w:val="center"/>
            <w:hideMark/>
          </w:tcPr>
          <w:p w14:paraId="59E86623" w14:textId="77777777" w:rsidR="004367EF" w:rsidRPr="00C91975" w:rsidRDefault="004367EF" w:rsidP="00A16FC4">
            <w:pPr>
              <w:spacing w:after="0"/>
              <w:ind w:firstLine="0"/>
              <w:jc w:val="right"/>
              <w:rPr>
                <w:rFonts w:ascii="Arial Narrow" w:hAnsi="Arial Narrow"/>
                <w:color w:val="000000"/>
                <w:sz w:val="18"/>
                <w:szCs w:val="18"/>
              </w:rPr>
            </w:pPr>
            <w:r>
              <w:rPr>
                <w:rFonts w:ascii="Arial Narrow" w:hAnsi="Arial Narrow"/>
                <w:color w:val="000000"/>
                <w:sz w:val="18"/>
              </w:rPr>
              <w:t>453</w:t>
            </w:r>
          </w:p>
        </w:tc>
        <w:tc>
          <w:tcPr>
            <w:tcW w:w="0" w:type="auto"/>
            <w:tcBorders>
              <w:top w:val="nil"/>
              <w:left w:val="nil"/>
              <w:bottom w:val="single" w:sz="4" w:space="0" w:color="auto"/>
              <w:right w:val="nil"/>
            </w:tcBorders>
            <w:shd w:val="clear" w:color="auto" w:fill="auto"/>
            <w:noWrap/>
            <w:vAlign w:val="center"/>
            <w:hideMark/>
          </w:tcPr>
          <w:p w14:paraId="43A33A09" w14:textId="77777777" w:rsidR="004367EF" w:rsidRPr="00C91975" w:rsidRDefault="004367EF" w:rsidP="00A16FC4">
            <w:pPr>
              <w:spacing w:after="0"/>
              <w:ind w:firstLine="13"/>
              <w:jc w:val="right"/>
              <w:rPr>
                <w:rFonts w:ascii="Arial Narrow" w:hAnsi="Arial Narrow"/>
                <w:color w:val="000000"/>
                <w:sz w:val="18"/>
                <w:szCs w:val="18"/>
              </w:rPr>
            </w:pPr>
            <w:r>
              <w:rPr>
                <w:rFonts w:ascii="Arial Narrow" w:hAnsi="Arial Narrow"/>
                <w:color w:val="000000"/>
                <w:sz w:val="18"/>
              </w:rPr>
              <w:t xml:space="preserve">         34,5 </w:t>
            </w:r>
          </w:p>
        </w:tc>
        <w:tc>
          <w:tcPr>
            <w:tcW w:w="974" w:type="dxa"/>
            <w:tcBorders>
              <w:top w:val="nil"/>
              <w:left w:val="nil"/>
              <w:bottom w:val="single" w:sz="4" w:space="0" w:color="auto"/>
              <w:right w:val="nil"/>
            </w:tcBorders>
            <w:shd w:val="clear" w:color="auto" w:fill="auto"/>
            <w:noWrap/>
            <w:vAlign w:val="center"/>
            <w:hideMark/>
          </w:tcPr>
          <w:p w14:paraId="67F645A2" w14:textId="77777777" w:rsidR="004367EF" w:rsidRPr="00C91975" w:rsidRDefault="004367EF" w:rsidP="00A16FC4">
            <w:pPr>
              <w:spacing w:after="0"/>
              <w:ind w:hanging="50"/>
              <w:jc w:val="right"/>
              <w:rPr>
                <w:rFonts w:ascii="Arial Narrow" w:hAnsi="Arial Narrow"/>
                <w:color w:val="000000"/>
                <w:sz w:val="18"/>
                <w:szCs w:val="18"/>
              </w:rPr>
            </w:pPr>
            <w:r>
              <w:rPr>
                <w:rFonts w:ascii="Arial Narrow" w:hAnsi="Arial Narrow"/>
                <w:color w:val="000000"/>
                <w:sz w:val="18"/>
              </w:rPr>
              <w:t>406</w:t>
            </w:r>
          </w:p>
        </w:tc>
        <w:tc>
          <w:tcPr>
            <w:tcW w:w="1019" w:type="dxa"/>
            <w:gridSpan w:val="2"/>
            <w:tcBorders>
              <w:top w:val="nil"/>
              <w:left w:val="nil"/>
              <w:bottom w:val="single" w:sz="4" w:space="0" w:color="auto"/>
              <w:right w:val="nil"/>
            </w:tcBorders>
            <w:shd w:val="clear" w:color="auto" w:fill="auto"/>
            <w:noWrap/>
            <w:vAlign w:val="center"/>
            <w:hideMark/>
          </w:tcPr>
          <w:p w14:paraId="6DDA33F0" w14:textId="77777777" w:rsidR="004367EF" w:rsidRPr="00C91975" w:rsidRDefault="004367EF" w:rsidP="00A16FC4">
            <w:pPr>
              <w:spacing w:after="0"/>
              <w:ind w:firstLine="76"/>
              <w:jc w:val="right"/>
              <w:rPr>
                <w:rFonts w:ascii="Arial Narrow" w:hAnsi="Arial Narrow"/>
                <w:color w:val="000000"/>
                <w:sz w:val="18"/>
                <w:szCs w:val="18"/>
              </w:rPr>
            </w:pPr>
            <w:r>
              <w:rPr>
                <w:rFonts w:ascii="Arial Narrow" w:hAnsi="Arial Narrow"/>
                <w:color w:val="000000"/>
                <w:sz w:val="18"/>
              </w:rPr>
              <w:t xml:space="preserve">          40,0 </w:t>
            </w:r>
          </w:p>
        </w:tc>
      </w:tr>
      <w:tr w:rsidR="004367EF" w:rsidRPr="00C91975" w14:paraId="656E8D88" w14:textId="77777777" w:rsidTr="00565DBB">
        <w:trPr>
          <w:trHeight w:val="227"/>
          <w:jc w:val="center"/>
        </w:trPr>
        <w:tc>
          <w:tcPr>
            <w:tcW w:w="2977" w:type="dxa"/>
            <w:tcBorders>
              <w:top w:val="nil"/>
              <w:left w:val="nil"/>
              <w:bottom w:val="single" w:sz="4" w:space="0" w:color="auto"/>
              <w:right w:val="nil"/>
            </w:tcBorders>
            <w:shd w:val="clear" w:color="auto" w:fill="auto"/>
            <w:noWrap/>
            <w:vAlign w:val="center"/>
            <w:hideMark/>
          </w:tcPr>
          <w:p w14:paraId="2124A692" w14:textId="77777777" w:rsidR="004367EF" w:rsidRPr="00C91975" w:rsidRDefault="004367EF" w:rsidP="00A16FC4">
            <w:pPr>
              <w:spacing w:after="0"/>
              <w:ind w:firstLine="0"/>
              <w:rPr>
                <w:rFonts w:ascii="Arial Narrow" w:hAnsi="Arial Narrow"/>
                <w:sz w:val="18"/>
                <w:szCs w:val="18"/>
              </w:rPr>
            </w:pPr>
            <w:r>
              <w:rPr>
                <w:rFonts w:ascii="Arial Narrow" w:hAnsi="Arial Narrow"/>
                <w:sz w:val="18"/>
              </w:rPr>
              <w:t>Ondasun arruntetako eta zerbitzuetako gastuak</w:t>
            </w:r>
          </w:p>
        </w:tc>
        <w:tc>
          <w:tcPr>
            <w:tcW w:w="0" w:type="auto"/>
            <w:tcBorders>
              <w:top w:val="nil"/>
              <w:left w:val="nil"/>
              <w:bottom w:val="single" w:sz="4" w:space="0" w:color="auto"/>
              <w:right w:val="nil"/>
            </w:tcBorders>
            <w:shd w:val="clear" w:color="auto" w:fill="auto"/>
            <w:noWrap/>
            <w:vAlign w:val="center"/>
            <w:hideMark/>
          </w:tcPr>
          <w:p w14:paraId="1616E225" w14:textId="77777777" w:rsidR="004367EF" w:rsidRPr="00C91975" w:rsidRDefault="004367EF" w:rsidP="00A16FC4">
            <w:pPr>
              <w:spacing w:after="0"/>
              <w:ind w:firstLine="0"/>
              <w:jc w:val="right"/>
              <w:rPr>
                <w:rFonts w:ascii="Arial Narrow" w:hAnsi="Arial Narrow"/>
                <w:color w:val="000000"/>
                <w:sz w:val="18"/>
                <w:szCs w:val="18"/>
              </w:rPr>
            </w:pPr>
            <w:r>
              <w:rPr>
                <w:rFonts w:ascii="Arial Narrow" w:hAnsi="Arial Narrow"/>
                <w:color w:val="000000"/>
                <w:sz w:val="18"/>
              </w:rPr>
              <w:t>303</w:t>
            </w:r>
          </w:p>
        </w:tc>
        <w:tc>
          <w:tcPr>
            <w:tcW w:w="0" w:type="auto"/>
            <w:tcBorders>
              <w:top w:val="nil"/>
              <w:left w:val="nil"/>
              <w:bottom w:val="single" w:sz="4" w:space="0" w:color="auto"/>
              <w:right w:val="nil"/>
            </w:tcBorders>
            <w:shd w:val="clear" w:color="auto" w:fill="auto"/>
            <w:noWrap/>
            <w:vAlign w:val="center"/>
            <w:hideMark/>
          </w:tcPr>
          <w:p w14:paraId="06EE5447" w14:textId="77777777" w:rsidR="004367EF" w:rsidRPr="00C91975" w:rsidRDefault="004367EF" w:rsidP="00A16FC4">
            <w:pPr>
              <w:spacing w:after="0"/>
              <w:ind w:firstLine="79"/>
              <w:jc w:val="right"/>
              <w:rPr>
                <w:rFonts w:ascii="Arial Narrow" w:hAnsi="Arial Narrow"/>
                <w:sz w:val="18"/>
                <w:szCs w:val="18"/>
              </w:rPr>
            </w:pPr>
            <w:r>
              <w:rPr>
                <w:rFonts w:ascii="Arial Narrow" w:hAnsi="Arial Narrow"/>
                <w:sz w:val="18"/>
              </w:rPr>
              <w:t xml:space="preserve">            28,8 </w:t>
            </w:r>
          </w:p>
        </w:tc>
        <w:tc>
          <w:tcPr>
            <w:tcW w:w="0" w:type="auto"/>
            <w:tcBorders>
              <w:top w:val="nil"/>
              <w:left w:val="nil"/>
              <w:bottom w:val="single" w:sz="4" w:space="0" w:color="auto"/>
              <w:right w:val="nil"/>
            </w:tcBorders>
            <w:shd w:val="clear" w:color="auto" w:fill="auto"/>
            <w:noWrap/>
            <w:vAlign w:val="center"/>
            <w:hideMark/>
          </w:tcPr>
          <w:p w14:paraId="0023C911" w14:textId="77777777" w:rsidR="004367EF" w:rsidRPr="00C91975" w:rsidRDefault="004367EF" w:rsidP="00A16FC4">
            <w:pPr>
              <w:spacing w:after="0"/>
              <w:ind w:firstLine="0"/>
              <w:jc w:val="right"/>
              <w:rPr>
                <w:rFonts w:ascii="Arial Narrow" w:hAnsi="Arial Narrow"/>
                <w:color w:val="000000"/>
                <w:sz w:val="18"/>
                <w:szCs w:val="18"/>
              </w:rPr>
            </w:pPr>
            <w:r>
              <w:rPr>
                <w:rFonts w:ascii="Arial Narrow" w:hAnsi="Arial Narrow"/>
                <w:color w:val="000000"/>
                <w:sz w:val="18"/>
              </w:rPr>
              <w:t>485</w:t>
            </w:r>
          </w:p>
        </w:tc>
        <w:tc>
          <w:tcPr>
            <w:tcW w:w="0" w:type="auto"/>
            <w:tcBorders>
              <w:top w:val="nil"/>
              <w:left w:val="nil"/>
              <w:bottom w:val="single" w:sz="4" w:space="0" w:color="auto"/>
              <w:right w:val="nil"/>
            </w:tcBorders>
            <w:shd w:val="clear" w:color="auto" w:fill="auto"/>
            <w:noWrap/>
            <w:vAlign w:val="center"/>
            <w:hideMark/>
          </w:tcPr>
          <w:p w14:paraId="77E53729" w14:textId="77777777" w:rsidR="004367EF" w:rsidRPr="00C91975" w:rsidRDefault="004367EF" w:rsidP="00A16FC4">
            <w:pPr>
              <w:spacing w:after="0"/>
              <w:ind w:firstLine="13"/>
              <w:jc w:val="right"/>
              <w:rPr>
                <w:rFonts w:ascii="Arial Narrow" w:hAnsi="Arial Narrow"/>
                <w:sz w:val="18"/>
                <w:szCs w:val="18"/>
              </w:rPr>
            </w:pPr>
            <w:r>
              <w:rPr>
                <w:rFonts w:ascii="Arial Narrow" w:hAnsi="Arial Narrow"/>
                <w:sz w:val="18"/>
              </w:rPr>
              <w:t xml:space="preserve">         37,0 </w:t>
            </w:r>
          </w:p>
        </w:tc>
        <w:tc>
          <w:tcPr>
            <w:tcW w:w="974" w:type="dxa"/>
            <w:tcBorders>
              <w:top w:val="nil"/>
              <w:left w:val="nil"/>
              <w:bottom w:val="single" w:sz="4" w:space="0" w:color="auto"/>
              <w:right w:val="nil"/>
            </w:tcBorders>
            <w:shd w:val="clear" w:color="auto" w:fill="auto"/>
            <w:noWrap/>
            <w:vAlign w:val="center"/>
            <w:hideMark/>
          </w:tcPr>
          <w:p w14:paraId="2F82239F" w14:textId="77777777" w:rsidR="004367EF" w:rsidRPr="00C91975" w:rsidRDefault="004367EF" w:rsidP="00A16FC4">
            <w:pPr>
              <w:spacing w:after="0"/>
              <w:ind w:hanging="50"/>
              <w:jc w:val="right"/>
              <w:rPr>
                <w:rFonts w:ascii="Arial Narrow" w:hAnsi="Arial Narrow"/>
                <w:color w:val="000000"/>
                <w:sz w:val="18"/>
                <w:szCs w:val="18"/>
              </w:rPr>
            </w:pPr>
            <w:r>
              <w:rPr>
                <w:rFonts w:ascii="Arial Narrow" w:hAnsi="Arial Narrow"/>
                <w:color w:val="000000"/>
                <w:sz w:val="18"/>
              </w:rPr>
              <w:t>352</w:t>
            </w:r>
          </w:p>
        </w:tc>
        <w:tc>
          <w:tcPr>
            <w:tcW w:w="1019" w:type="dxa"/>
            <w:gridSpan w:val="2"/>
            <w:tcBorders>
              <w:top w:val="nil"/>
              <w:left w:val="nil"/>
              <w:bottom w:val="single" w:sz="4" w:space="0" w:color="auto"/>
              <w:right w:val="nil"/>
            </w:tcBorders>
            <w:shd w:val="clear" w:color="auto" w:fill="auto"/>
            <w:noWrap/>
            <w:vAlign w:val="center"/>
            <w:hideMark/>
          </w:tcPr>
          <w:p w14:paraId="2E9D5910" w14:textId="77777777" w:rsidR="004367EF" w:rsidRPr="00C91975" w:rsidRDefault="004367EF" w:rsidP="00A16FC4">
            <w:pPr>
              <w:spacing w:after="0"/>
              <w:ind w:firstLine="76"/>
              <w:jc w:val="right"/>
              <w:rPr>
                <w:rFonts w:ascii="Arial Narrow" w:hAnsi="Arial Narrow"/>
                <w:sz w:val="18"/>
                <w:szCs w:val="18"/>
              </w:rPr>
            </w:pPr>
            <w:r>
              <w:rPr>
                <w:rFonts w:ascii="Arial Narrow" w:hAnsi="Arial Narrow"/>
                <w:sz w:val="18"/>
              </w:rPr>
              <w:t xml:space="preserve">          34,7 </w:t>
            </w:r>
          </w:p>
        </w:tc>
      </w:tr>
      <w:tr w:rsidR="004367EF" w:rsidRPr="00C91975" w14:paraId="6298E2A8" w14:textId="77777777" w:rsidTr="00565DBB">
        <w:trPr>
          <w:trHeight w:val="227"/>
          <w:jc w:val="center"/>
        </w:trPr>
        <w:tc>
          <w:tcPr>
            <w:tcW w:w="2977" w:type="dxa"/>
            <w:tcBorders>
              <w:top w:val="nil"/>
              <w:left w:val="nil"/>
              <w:bottom w:val="single" w:sz="4" w:space="0" w:color="auto"/>
              <w:right w:val="nil"/>
            </w:tcBorders>
            <w:shd w:val="clear" w:color="auto" w:fill="auto"/>
            <w:noWrap/>
            <w:vAlign w:val="center"/>
            <w:hideMark/>
          </w:tcPr>
          <w:p w14:paraId="5D3888A0" w14:textId="77777777" w:rsidR="004367EF" w:rsidRPr="00C91975" w:rsidRDefault="004367EF" w:rsidP="00A16FC4">
            <w:pPr>
              <w:spacing w:after="0"/>
              <w:ind w:firstLine="0"/>
              <w:rPr>
                <w:rFonts w:ascii="Arial Narrow" w:hAnsi="Arial Narrow"/>
                <w:sz w:val="18"/>
                <w:szCs w:val="18"/>
              </w:rPr>
            </w:pPr>
            <w:r>
              <w:rPr>
                <w:rFonts w:ascii="Arial Narrow" w:hAnsi="Arial Narrow"/>
                <w:sz w:val="18"/>
              </w:rPr>
              <w:t>Finantza-gastuak</w:t>
            </w:r>
          </w:p>
        </w:tc>
        <w:tc>
          <w:tcPr>
            <w:tcW w:w="0" w:type="auto"/>
            <w:tcBorders>
              <w:top w:val="nil"/>
              <w:left w:val="nil"/>
              <w:bottom w:val="single" w:sz="4" w:space="0" w:color="auto"/>
              <w:right w:val="nil"/>
            </w:tcBorders>
            <w:shd w:val="clear" w:color="auto" w:fill="auto"/>
            <w:noWrap/>
            <w:vAlign w:val="center"/>
            <w:hideMark/>
          </w:tcPr>
          <w:p w14:paraId="5CDE4361" w14:textId="77777777" w:rsidR="004367EF" w:rsidRPr="00C91975" w:rsidRDefault="004367EF" w:rsidP="00A16FC4">
            <w:pPr>
              <w:spacing w:after="0"/>
              <w:ind w:firstLine="0"/>
              <w:jc w:val="right"/>
              <w:rPr>
                <w:rFonts w:ascii="Arial Narrow" w:hAnsi="Arial Narrow"/>
                <w:color w:val="000000"/>
                <w:sz w:val="18"/>
                <w:szCs w:val="18"/>
              </w:rPr>
            </w:pPr>
            <w:r>
              <w:rPr>
                <w:rFonts w:ascii="Arial Narrow" w:hAnsi="Arial Narrow"/>
                <w:color w:val="000000"/>
                <w:sz w:val="18"/>
              </w:rPr>
              <w:t>3</w:t>
            </w:r>
          </w:p>
        </w:tc>
        <w:tc>
          <w:tcPr>
            <w:tcW w:w="0" w:type="auto"/>
            <w:tcBorders>
              <w:top w:val="nil"/>
              <w:left w:val="nil"/>
              <w:bottom w:val="single" w:sz="4" w:space="0" w:color="auto"/>
              <w:right w:val="nil"/>
            </w:tcBorders>
            <w:shd w:val="clear" w:color="auto" w:fill="auto"/>
            <w:noWrap/>
            <w:vAlign w:val="center"/>
            <w:hideMark/>
          </w:tcPr>
          <w:p w14:paraId="55CBD799" w14:textId="77777777" w:rsidR="004367EF" w:rsidRPr="00C91975" w:rsidRDefault="004367EF" w:rsidP="00A16FC4">
            <w:pPr>
              <w:spacing w:after="0"/>
              <w:ind w:firstLine="79"/>
              <w:jc w:val="right"/>
              <w:rPr>
                <w:rFonts w:ascii="Arial Narrow" w:hAnsi="Arial Narrow"/>
                <w:sz w:val="18"/>
                <w:szCs w:val="18"/>
              </w:rPr>
            </w:pPr>
            <w:r>
              <w:rPr>
                <w:rFonts w:ascii="Arial Narrow" w:hAnsi="Arial Narrow"/>
                <w:sz w:val="18"/>
              </w:rPr>
              <w:t xml:space="preserve">              0,3 </w:t>
            </w:r>
          </w:p>
        </w:tc>
        <w:tc>
          <w:tcPr>
            <w:tcW w:w="0" w:type="auto"/>
            <w:tcBorders>
              <w:top w:val="nil"/>
              <w:left w:val="nil"/>
              <w:bottom w:val="single" w:sz="4" w:space="0" w:color="auto"/>
              <w:right w:val="nil"/>
            </w:tcBorders>
            <w:shd w:val="clear" w:color="auto" w:fill="auto"/>
            <w:noWrap/>
            <w:vAlign w:val="center"/>
            <w:hideMark/>
          </w:tcPr>
          <w:p w14:paraId="081AEFFD" w14:textId="77777777" w:rsidR="004367EF" w:rsidRPr="00C91975" w:rsidRDefault="004367EF" w:rsidP="00A16FC4">
            <w:pPr>
              <w:spacing w:after="0"/>
              <w:ind w:firstLine="0"/>
              <w:jc w:val="right"/>
              <w:rPr>
                <w:rFonts w:ascii="Arial Narrow" w:hAnsi="Arial Narrow"/>
                <w:color w:val="000000"/>
                <w:sz w:val="18"/>
                <w:szCs w:val="18"/>
              </w:rPr>
            </w:pPr>
            <w:r>
              <w:rPr>
                <w:rFonts w:ascii="Arial Narrow" w:hAnsi="Arial Narrow"/>
                <w:color w:val="000000"/>
                <w:sz w:val="18"/>
              </w:rPr>
              <w:t>1</w:t>
            </w:r>
          </w:p>
        </w:tc>
        <w:tc>
          <w:tcPr>
            <w:tcW w:w="0" w:type="auto"/>
            <w:tcBorders>
              <w:top w:val="nil"/>
              <w:left w:val="nil"/>
              <w:bottom w:val="single" w:sz="4" w:space="0" w:color="auto"/>
              <w:right w:val="nil"/>
            </w:tcBorders>
            <w:shd w:val="clear" w:color="auto" w:fill="auto"/>
            <w:noWrap/>
            <w:vAlign w:val="center"/>
            <w:hideMark/>
          </w:tcPr>
          <w:p w14:paraId="0C756380" w14:textId="77777777" w:rsidR="004367EF" w:rsidRPr="00C91975" w:rsidRDefault="004367EF" w:rsidP="00A16FC4">
            <w:pPr>
              <w:spacing w:after="0"/>
              <w:ind w:firstLine="13"/>
              <w:jc w:val="right"/>
              <w:rPr>
                <w:rFonts w:ascii="Arial Narrow" w:hAnsi="Arial Narrow"/>
                <w:sz w:val="18"/>
                <w:szCs w:val="18"/>
              </w:rPr>
            </w:pPr>
            <w:r>
              <w:rPr>
                <w:rFonts w:ascii="Arial Narrow" w:hAnsi="Arial Narrow"/>
                <w:sz w:val="18"/>
              </w:rPr>
              <w:t xml:space="preserve">           0,1 </w:t>
            </w:r>
          </w:p>
        </w:tc>
        <w:tc>
          <w:tcPr>
            <w:tcW w:w="974" w:type="dxa"/>
            <w:tcBorders>
              <w:top w:val="nil"/>
              <w:left w:val="nil"/>
              <w:bottom w:val="single" w:sz="4" w:space="0" w:color="auto"/>
              <w:right w:val="nil"/>
            </w:tcBorders>
            <w:shd w:val="clear" w:color="auto" w:fill="auto"/>
            <w:noWrap/>
            <w:vAlign w:val="center"/>
            <w:hideMark/>
          </w:tcPr>
          <w:p w14:paraId="0E76EDE2" w14:textId="77777777" w:rsidR="004367EF" w:rsidRPr="00C91975" w:rsidRDefault="004367EF" w:rsidP="00A16FC4">
            <w:pPr>
              <w:spacing w:after="0"/>
              <w:ind w:hanging="50"/>
              <w:jc w:val="right"/>
              <w:rPr>
                <w:rFonts w:ascii="Arial Narrow" w:hAnsi="Arial Narrow"/>
                <w:color w:val="000000"/>
                <w:sz w:val="18"/>
                <w:szCs w:val="18"/>
              </w:rPr>
            </w:pPr>
            <w:r>
              <w:rPr>
                <w:rFonts w:ascii="Arial Narrow" w:hAnsi="Arial Narrow"/>
                <w:color w:val="000000"/>
                <w:sz w:val="18"/>
              </w:rPr>
              <w:t>6</w:t>
            </w:r>
          </w:p>
        </w:tc>
        <w:tc>
          <w:tcPr>
            <w:tcW w:w="1019" w:type="dxa"/>
            <w:gridSpan w:val="2"/>
            <w:tcBorders>
              <w:top w:val="nil"/>
              <w:left w:val="nil"/>
              <w:bottom w:val="single" w:sz="4" w:space="0" w:color="auto"/>
              <w:right w:val="nil"/>
            </w:tcBorders>
            <w:shd w:val="clear" w:color="auto" w:fill="auto"/>
            <w:noWrap/>
            <w:vAlign w:val="center"/>
            <w:hideMark/>
          </w:tcPr>
          <w:p w14:paraId="0390BC6A" w14:textId="77777777" w:rsidR="004367EF" w:rsidRPr="00C91975" w:rsidRDefault="004367EF" w:rsidP="00A16FC4">
            <w:pPr>
              <w:spacing w:after="0"/>
              <w:ind w:firstLine="76"/>
              <w:jc w:val="right"/>
              <w:rPr>
                <w:rFonts w:ascii="Arial Narrow" w:hAnsi="Arial Narrow"/>
                <w:sz w:val="18"/>
                <w:szCs w:val="18"/>
              </w:rPr>
            </w:pPr>
            <w:r>
              <w:rPr>
                <w:rFonts w:ascii="Arial Narrow" w:hAnsi="Arial Narrow"/>
                <w:sz w:val="18"/>
              </w:rPr>
              <w:t xml:space="preserve">            0,6 </w:t>
            </w:r>
          </w:p>
        </w:tc>
      </w:tr>
      <w:tr w:rsidR="004367EF" w:rsidRPr="00C91975" w14:paraId="5EBD9816" w14:textId="77777777" w:rsidTr="00565DBB">
        <w:trPr>
          <w:trHeight w:val="227"/>
          <w:jc w:val="center"/>
        </w:trPr>
        <w:tc>
          <w:tcPr>
            <w:tcW w:w="2977" w:type="dxa"/>
            <w:tcBorders>
              <w:top w:val="nil"/>
              <w:left w:val="nil"/>
              <w:bottom w:val="single" w:sz="4" w:space="0" w:color="auto"/>
              <w:right w:val="nil"/>
            </w:tcBorders>
            <w:shd w:val="clear" w:color="auto" w:fill="auto"/>
            <w:noWrap/>
            <w:vAlign w:val="center"/>
            <w:hideMark/>
          </w:tcPr>
          <w:p w14:paraId="1E3C310F" w14:textId="77777777" w:rsidR="004367EF" w:rsidRPr="00C91975" w:rsidRDefault="004367EF" w:rsidP="00A16FC4">
            <w:pPr>
              <w:spacing w:after="0"/>
              <w:ind w:firstLine="0"/>
              <w:rPr>
                <w:rFonts w:ascii="Arial Narrow" w:hAnsi="Arial Narrow"/>
                <w:sz w:val="18"/>
                <w:szCs w:val="18"/>
              </w:rPr>
            </w:pPr>
            <w:r>
              <w:rPr>
                <w:rFonts w:ascii="Arial Narrow" w:hAnsi="Arial Narrow"/>
                <w:sz w:val="18"/>
              </w:rPr>
              <w:t>Transferentzia arruntak</w:t>
            </w:r>
          </w:p>
        </w:tc>
        <w:tc>
          <w:tcPr>
            <w:tcW w:w="0" w:type="auto"/>
            <w:tcBorders>
              <w:top w:val="nil"/>
              <w:left w:val="nil"/>
              <w:bottom w:val="single" w:sz="4" w:space="0" w:color="auto"/>
              <w:right w:val="nil"/>
            </w:tcBorders>
            <w:shd w:val="clear" w:color="auto" w:fill="auto"/>
            <w:noWrap/>
            <w:vAlign w:val="center"/>
            <w:hideMark/>
          </w:tcPr>
          <w:p w14:paraId="0632C0C1" w14:textId="77777777" w:rsidR="004367EF" w:rsidRPr="00C91975" w:rsidRDefault="004367EF" w:rsidP="00A16FC4">
            <w:pPr>
              <w:spacing w:after="0"/>
              <w:ind w:firstLine="0"/>
              <w:jc w:val="right"/>
              <w:rPr>
                <w:rFonts w:ascii="Arial Narrow" w:hAnsi="Arial Narrow"/>
                <w:color w:val="000000"/>
                <w:sz w:val="18"/>
                <w:szCs w:val="18"/>
              </w:rPr>
            </w:pPr>
            <w:r>
              <w:rPr>
                <w:rFonts w:ascii="Arial Narrow" w:hAnsi="Arial Narrow"/>
                <w:color w:val="000000"/>
                <w:sz w:val="18"/>
              </w:rPr>
              <w:t>98</w:t>
            </w:r>
          </w:p>
        </w:tc>
        <w:tc>
          <w:tcPr>
            <w:tcW w:w="0" w:type="auto"/>
            <w:tcBorders>
              <w:top w:val="nil"/>
              <w:left w:val="nil"/>
              <w:bottom w:val="single" w:sz="4" w:space="0" w:color="auto"/>
              <w:right w:val="nil"/>
            </w:tcBorders>
            <w:shd w:val="clear" w:color="auto" w:fill="auto"/>
            <w:noWrap/>
            <w:vAlign w:val="center"/>
            <w:hideMark/>
          </w:tcPr>
          <w:p w14:paraId="64195758" w14:textId="77777777" w:rsidR="004367EF" w:rsidRPr="00C91975" w:rsidRDefault="004367EF" w:rsidP="00A16FC4">
            <w:pPr>
              <w:spacing w:after="0"/>
              <w:ind w:firstLine="79"/>
              <w:jc w:val="right"/>
              <w:rPr>
                <w:rFonts w:ascii="Arial Narrow" w:hAnsi="Arial Narrow"/>
                <w:sz w:val="18"/>
                <w:szCs w:val="18"/>
              </w:rPr>
            </w:pPr>
            <w:r>
              <w:rPr>
                <w:rFonts w:ascii="Arial Narrow" w:hAnsi="Arial Narrow"/>
                <w:sz w:val="18"/>
              </w:rPr>
              <w:t xml:space="preserve">              9,3 </w:t>
            </w:r>
          </w:p>
        </w:tc>
        <w:tc>
          <w:tcPr>
            <w:tcW w:w="0" w:type="auto"/>
            <w:tcBorders>
              <w:top w:val="nil"/>
              <w:left w:val="nil"/>
              <w:bottom w:val="single" w:sz="4" w:space="0" w:color="auto"/>
              <w:right w:val="nil"/>
            </w:tcBorders>
            <w:shd w:val="clear" w:color="auto" w:fill="auto"/>
            <w:noWrap/>
            <w:vAlign w:val="center"/>
            <w:hideMark/>
          </w:tcPr>
          <w:p w14:paraId="3B38C3C1" w14:textId="77777777" w:rsidR="004367EF" w:rsidRPr="00C91975" w:rsidRDefault="004367EF" w:rsidP="00A16FC4">
            <w:pPr>
              <w:spacing w:after="0"/>
              <w:ind w:firstLine="0"/>
              <w:jc w:val="right"/>
              <w:rPr>
                <w:rFonts w:ascii="Arial Narrow" w:hAnsi="Arial Narrow"/>
                <w:color w:val="000000"/>
                <w:sz w:val="18"/>
                <w:szCs w:val="18"/>
              </w:rPr>
            </w:pPr>
            <w:r>
              <w:rPr>
                <w:rFonts w:ascii="Arial Narrow" w:hAnsi="Arial Narrow"/>
                <w:color w:val="000000"/>
                <w:sz w:val="18"/>
              </w:rPr>
              <w:t>164</w:t>
            </w:r>
          </w:p>
        </w:tc>
        <w:tc>
          <w:tcPr>
            <w:tcW w:w="0" w:type="auto"/>
            <w:tcBorders>
              <w:top w:val="nil"/>
              <w:left w:val="nil"/>
              <w:bottom w:val="single" w:sz="4" w:space="0" w:color="auto"/>
              <w:right w:val="nil"/>
            </w:tcBorders>
            <w:shd w:val="clear" w:color="auto" w:fill="auto"/>
            <w:noWrap/>
            <w:vAlign w:val="center"/>
            <w:hideMark/>
          </w:tcPr>
          <w:p w14:paraId="0BBA9577" w14:textId="77777777" w:rsidR="004367EF" w:rsidRPr="00C91975" w:rsidRDefault="004367EF" w:rsidP="00A16FC4">
            <w:pPr>
              <w:spacing w:after="0"/>
              <w:ind w:firstLine="13"/>
              <w:jc w:val="right"/>
              <w:rPr>
                <w:rFonts w:ascii="Arial Narrow" w:hAnsi="Arial Narrow"/>
                <w:sz w:val="18"/>
                <w:szCs w:val="18"/>
              </w:rPr>
            </w:pPr>
            <w:r>
              <w:rPr>
                <w:rFonts w:ascii="Arial Narrow" w:hAnsi="Arial Narrow"/>
                <w:sz w:val="18"/>
              </w:rPr>
              <w:t xml:space="preserve">         12,5 </w:t>
            </w:r>
          </w:p>
        </w:tc>
        <w:tc>
          <w:tcPr>
            <w:tcW w:w="974" w:type="dxa"/>
            <w:tcBorders>
              <w:top w:val="nil"/>
              <w:left w:val="nil"/>
              <w:bottom w:val="single" w:sz="4" w:space="0" w:color="auto"/>
              <w:right w:val="nil"/>
            </w:tcBorders>
            <w:shd w:val="clear" w:color="auto" w:fill="auto"/>
            <w:noWrap/>
            <w:vAlign w:val="center"/>
            <w:hideMark/>
          </w:tcPr>
          <w:p w14:paraId="10049B40" w14:textId="77777777" w:rsidR="004367EF" w:rsidRPr="00C91975" w:rsidRDefault="004367EF" w:rsidP="00A16FC4">
            <w:pPr>
              <w:spacing w:after="0"/>
              <w:ind w:hanging="50"/>
              <w:jc w:val="right"/>
              <w:rPr>
                <w:rFonts w:ascii="Arial Narrow" w:hAnsi="Arial Narrow"/>
                <w:color w:val="000000"/>
                <w:sz w:val="18"/>
                <w:szCs w:val="18"/>
              </w:rPr>
            </w:pPr>
            <w:r>
              <w:rPr>
                <w:rFonts w:ascii="Arial Narrow" w:hAnsi="Arial Narrow"/>
                <w:color w:val="000000"/>
                <w:sz w:val="18"/>
              </w:rPr>
              <w:t>66</w:t>
            </w:r>
          </w:p>
        </w:tc>
        <w:tc>
          <w:tcPr>
            <w:tcW w:w="1019" w:type="dxa"/>
            <w:gridSpan w:val="2"/>
            <w:tcBorders>
              <w:top w:val="nil"/>
              <w:left w:val="nil"/>
              <w:bottom w:val="single" w:sz="4" w:space="0" w:color="auto"/>
              <w:right w:val="nil"/>
            </w:tcBorders>
            <w:shd w:val="clear" w:color="auto" w:fill="auto"/>
            <w:noWrap/>
            <w:vAlign w:val="center"/>
            <w:hideMark/>
          </w:tcPr>
          <w:p w14:paraId="1BC48F63" w14:textId="77777777" w:rsidR="004367EF" w:rsidRPr="00C91975" w:rsidRDefault="004367EF" w:rsidP="00A16FC4">
            <w:pPr>
              <w:spacing w:after="0"/>
              <w:ind w:firstLine="76"/>
              <w:jc w:val="right"/>
              <w:rPr>
                <w:rFonts w:ascii="Arial Narrow" w:hAnsi="Arial Narrow"/>
                <w:sz w:val="18"/>
                <w:szCs w:val="18"/>
              </w:rPr>
            </w:pPr>
            <w:r>
              <w:rPr>
                <w:rFonts w:ascii="Arial Narrow" w:hAnsi="Arial Narrow"/>
                <w:sz w:val="18"/>
              </w:rPr>
              <w:t xml:space="preserve">            6,5 </w:t>
            </w:r>
          </w:p>
        </w:tc>
      </w:tr>
      <w:tr w:rsidR="004367EF" w:rsidRPr="00C91975" w14:paraId="74659AF6" w14:textId="77777777" w:rsidTr="00565DBB">
        <w:trPr>
          <w:trHeight w:val="227"/>
          <w:jc w:val="center"/>
        </w:trPr>
        <w:tc>
          <w:tcPr>
            <w:tcW w:w="2977" w:type="dxa"/>
            <w:tcBorders>
              <w:top w:val="nil"/>
              <w:left w:val="nil"/>
              <w:bottom w:val="single" w:sz="4" w:space="0" w:color="auto"/>
              <w:right w:val="nil"/>
            </w:tcBorders>
            <w:shd w:val="clear" w:color="000000" w:fill="D9D9D9"/>
            <w:noWrap/>
            <w:vAlign w:val="center"/>
            <w:hideMark/>
          </w:tcPr>
          <w:p w14:paraId="2A807D01" w14:textId="017963C0" w:rsidR="004367EF" w:rsidRPr="00C91975" w:rsidRDefault="008E4AB0" w:rsidP="00A16FC4">
            <w:pPr>
              <w:spacing w:after="0"/>
              <w:ind w:firstLine="0"/>
              <w:rPr>
                <w:rFonts w:ascii="Arial Narrow" w:hAnsi="Arial Narrow"/>
                <w:b/>
                <w:bCs/>
                <w:i/>
                <w:iCs/>
                <w:sz w:val="18"/>
                <w:szCs w:val="18"/>
              </w:rPr>
            </w:pPr>
            <w:r>
              <w:rPr>
                <w:rFonts w:ascii="Arial Narrow" w:hAnsi="Arial Narrow"/>
                <w:b/>
                <w:i/>
                <w:sz w:val="18"/>
              </w:rPr>
              <w:t>Eragiketa arruntak</w:t>
            </w:r>
          </w:p>
        </w:tc>
        <w:tc>
          <w:tcPr>
            <w:tcW w:w="0" w:type="auto"/>
            <w:tcBorders>
              <w:top w:val="nil"/>
              <w:left w:val="nil"/>
              <w:bottom w:val="single" w:sz="4" w:space="0" w:color="auto"/>
              <w:right w:val="nil"/>
            </w:tcBorders>
            <w:shd w:val="clear" w:color="000000" w:fill="D9D9D9"/>
            <w:noWrap/>
            <w:vAlign w:val="center"/>
            <w:hideMark/>
          </w:tcPr>
          <w:p w14:paraId="1E485041" w14:textId="77777777" w:rsidR="004367EF" w:rsidRPr="00C91975" w:rsidRDefault="004367EF" w:rsidP="00A16FC4">
            <w:pPr>
              <w:spacing w:after="0"/>
              <w:ind w:firstLine="0"/>
              <w:jc w:val="right"/>
              <w:rPr>
                <w:rFonts w:ascii="Arial Narrow" w:hAnsi="Arial Narrow"/>
                <w:b/>
                <w:bCs/>
                <w:i/>
                <w:iCs/>
                <w:color w:val="000000"/>
                <w:sz w:val="18"/>
                <w:szCs w:val="18"/>
              </w:rPr>
            </w:pPr>
            <w:r>
              <w:rPr>
                <w:rFonts w:ascii="Arial Narrow" w:hAnsi="Arial Narrow"/>
                <w:b/>
                <w:i/>
                <w:color w:val="000000"/>
                <w:sz w:val="18"/>
              </w:rPr>
              <w:t>799</w:t>
            </w:r>
          </w:p>
        </w:tc>
        <w:tc>
          <w:tcPr>
            <w:tcW w:w="0" w:type="auto"/>
            <w:tcBorders>
              <w:top w:val="nil"/>
              <w:left w:val="nil"/>
              <w:bottom w:val="single" w:sz="4" w:space="0" w:color="auto"/>
              <w:right w:val="nil"/>
            </w:tcBorders>
            <w:shd w:val="clear" w:color="000000" w:fill="D9D9D9"/>
            <w:noWrap/>
            <w:vAlign w:val="center"/>
            <w:hideMark/>
          </w:tcPr>
          <w:p w14:paraId="573B8CA0" w14:textId="77777777" w:rsidR="004367EF" w:rsidRPr="00C91975" w:rsidRDefault="004367EF" w:rsidP="00A16FC4">
            <w:pPr>
              <w:spacing w:after="0"/>
              <w:ind w:firstLine="79"/>
              <w:jc w:val="right"/>
              <w:rPr>
                <w:rFonts w:ascii="Arial Narrow" w:hAnsi="Arial Narrow"/>
                <w:b/>
                <w:bCs/>
                <w:i/>
                <w:iCs/>
                <w:sz w:val="18"/>
                <w:szCs w:val="18"/>
              </w:rPr>
            </w:pPr>
            <w:r>
              <w:rPr>
                <w:rFonts w:ascii="Arial Narrow" w:hAnsi="Arial Narrow"/>
                <w:b/>
                <w:i/>
                <w:sz w:val="18"/>
              </w:rPr>
              <w:t xml:space="preserve">          76,0 </w:t>
            </w:r>
          </w:p>
        </w:tc>
        <w:tc>
          <w:tcPr>
            <w:tcW w:w="0" w:type="auto"/>
            <w:tcBorders>
              <w:top w:val="nil"/>
              <w:left w:val="nil"/>
              <w:bottom w:val="single" w:sz="4" w:space="0" w:color="auto"/>
              <w:right w:val="nil"/>
            </w:tcBorders>
            <w:shd w:val="clear" w:color="000000" w:fill="D9D9D9"/>
            <w:noWrap/>
            <w:vAlign w:val="center"/>
            <w:hideMark/>
          </w:tcPr>
          <w:p w14:paraId="228ECD1D" w14:textId="77777777" w:rsidR="004367EF" w:rsidRPr="00C91975" w:rsidRDefault="004367EF" w:rsidP="00A16FC4">
            <w:pPr>
              <w:spacing w:after="0"/>
              <w:ind w:firstLine="0"/>
              <w:jc w:val="right"/>
              <w:rPr>
                <w:rFonts w:ascii="Arial Narrow" w:hAnsi="Arial Narrow"/>
                <w:b/>
                <w:bCs/>
                <w:i/>
                <w:iCs/>
                <w:color w:val="000000"/>
                <w:sz w:val="18"/>
                <w:szCs w:val="18"/>
              </w:rPr>
            </w:pPr>
            <w:r>
              <w:rPr>
                <w:rFonts w:ascii="Arial Narrow" w:hAnsi="Arial Narrow"/>
                <w:b/>
                <w:i/>
                <w:color w:val="000000"/>
                <w:sz w:val="18"/>
              </w:rPr>
              <w:t>1.103</w:t>
            </w:r>
          </w:p>
        </w:tc>
        <w:tc>
          <w:tcPr>
            <w:tcW w:w="0" w:type="auto"/>
            <w:tcBorders>
              <w:top w:val="nil"/>
              <w:left w:val="nil"/>
              <w:bottom w:val="single" w:sz="4" w:space="0" w:color="auto"/>
              <w:right w:val="nil"/>
            </w:tcBorders>
            <w:shd w:val="clear" w:color="000000" w:fill="D9D9D9"/>
            <w:noWrap/>
            <w:vAlign w:val="center"/>
            <w:hideMark/>
          </w:tcPr>
          <w:p w14:paraId="5B5F9618" w14:textId="77777777" w:rsidR="004367EF" w:rsidRPr="00C91975" w:rsidRDefault="004367EF" w:rsidP="00A16FC4">
            <w:pPr>
              <w:spacing w:after="0"/>
              <w:ind w:firstLine="13"/>
              <w:jc w:val="right"/>
              <w:rPr>
                <w:rFonts w:ascii="Arial Narrow" w:hAnsi="Arial Narrow"/>
                <w:b/>
                <w:bCs/>
                <w:i/>
                <w:iCs/>
                <w:sz w:val="18"/>
                <w:szCs w:val="18"/>
              </w:rPr>
            </w:pPr>
            <w:r>
              <w:rPr>
                <w:rFonts w:ascii="Arial Narrow" w:hAnsi="Arial Narrow"/>
                <w:b/>
                <w:i/>
                <w:sz w:val="18"/>
              </w:rPr>
              <w:t xml:space="preserve">       84,1 </w:t>
            </w:r>
          </w:p>
        </w:tc>
        <w:tc>
          <w:tcPr>
            <w:tcW w:w="974" w:type="dxa"/>
            <w:tcBorders>
              <w:top w:val="nil"/>
              <w:left w:val="nil"/>
              <w:bottom w:val="single" w:sz="4" w:space="0" w:color="auto"/>
              <w:right w:val="nil"/>
            </w:tcBorders>
            <w:shd w:val="clear" w:color="000000" w:fill="D9D9D9"/>
            <w:noWrap/>
            <w:vAlign w:val="center"/>
            <w:hideMark/>
          </w:tcPr>
          <w:p w14:paraId="7D0DF846" w14:textId="77777777" w:rsidR="004367EF" w:rsidRPr="00C91975" w:rsidRDefault="004367EF" w:rsidP="00A16FC4">
            <w:pPr>
              <w:spacing w:after="0"/>
              <w:ind w:hanging="50"/>
              <w:jc w:val="right"/>
              <w:rPr>
                <w:rFonts w:ascii="Arial Narrow" w:hAnsi="Arial Narrow"/>
                <w:b/>
                <w:bCs/>
                <w:i/>
                <w:iCs/>
                <w:color w:val="000000"/>
                <w:sz w:val="18"/>
                <w:szCs w:val="18"/>
              </w:rPr>
            </w:pPr>
            <w:r>
              <w:rPr>
                <w:rFonts w:ascii="Arial Narrow" w:hAnsi="Arial Narrow"/>
                <w:b/>
                <w:i/>
                <w:color w:val="000000"/>
                <w:sz w:val="18"/>
              </w:rPr>
              <w:t>830</w:t>
            </w:r>
          </w:p>
        </w:tc>
        <w:tc>
          <w:tcPr>
            <w:tcW w:w="1019" w:type="dxa"/>
            <w:gridSpan w:val="2"/>
            <w:tcBorders>
              <w:top w:val="nil"/>
              <w:left w:val="nil"/>
              <w:bottom w:val="single" w:sz="4" w:space="0" w:color="auto"/>
              <w:right w:val="nil"/>
            </w:tcBorders>
            <w:shd w:val="clear" w:color="000000" w:fill="D9D9D9"/>
            <w:noWrap/>
            <w:vAlign w:val="center"/>
            <w:hideMark/>
          </w:tcPr>
          <w:p w14:paraId="1BFA824E" w14:textId="77777777" w:rsidR="004367EF" w:rsidRPr="00C91975" w:rsidRDefault="004367EF" w:rsidP="00A16FC4">
            <w:pPr>
              <w:spacing w:after="0"/>
              <w:ind w:firstLine="76"/>
              <w:jc w:val="right"/>
              <w:rPr>
                <w:rFonts w:ascii="Arial Narrow" w:hAnsi="Arial Narrow"/>
                <w:b/>
                <w:bCs/>
                <w:i/>
                <w:iCs/>
                <w:sz w:val="18"/>
                <w:szCs w:val="18"/>
              </w:rPr>
            </w:pPr>
            <w:r>
              <w:rPr>
                <w:rFonts w:ascii="Arial Narrow" w:hAnsi="Arial Narrow"/>
                <w:b/>
                <w:i/>
                <w:sz w:val="18"/>
              </w:rPr>
              <w:t xml:space="preserve">        81,8 </w:t>
            </w:r>
          </w:p>
        </w:tc>
      </w:tr>
      <w:tr w:rsidR="004367EF" w:rsidRPr="00C91975" w14:paraId="1706C1D5" w14:textId="77777777" w:rsidTr="00565DBB">
        <w:trPr>
          <w:trHeight w:val="227"/>
          <w:jc w:val="center"/>
        </w:trPr>
        <w:tc>
          <w:tcPr>
            <w:tcW w:w="2977" w:type="dxa"/>
            <w:tcBorders>
              <w:top w:val="nil"/>
              <w:left w:val="nil"/>
              <w:bottom w:val="single" w:sz="4" w:space="0" w:color="auto"/>
              <w:right w:val="nil"/>
            </w:tcBorders>
            <w:shd w:val="clear" w:color="auto" w:fill="auto"/>
            <w:noWrap/>
            <w:vAlign w:val="center"/>
            <w:hideMark/>
          </w:tcPr>
          <w:p w14:paraId="78F6CB25" w14:textId="77777777" w:rsidR="004367EF" w:rsidRPr="00C91975" w:rsidRDefault="004367EF" w:rsidP="00A16FC4">
            <w:pPr>
              <w:spacing w:after="0"/>
              <w:ind w:firstLine="0"/>
              <w:rPr>
                <w:rFonts w:ascii="Arial Narrow" w:hAnsi="Arial Narrow"/>
                <w:sz w:val="18"/>
                <w:szCs w:val="18"/>
              </w:rPr>
            </w:pPr>
            <w:r>
              <w:rPr>
                <w:rFonts w:ascii="Arial Narrow" w:hAnsi="Arial Narrow"/>
                <w:sz w:val="18"/>
              </w:rPr>
              <w:t>Inbertsio errealak</w:t>
            </w:r>
          </w:p>
        </w:tc>
        <w:tc>
          <w:tcPr>
            <w:tcW w:w="0" w:type="auto"/>
            <w:tcBorders>
              <w:top w:val="nil"/>
              <w:left w:val="nil"/>
              <w:bottom w:val="single" w:sz="4" w:space="0" w:color="auto"/>
              <w:right w:val="nil"/>
            </w:tcBorders>
            <w:shd w:val="clear" w:color="auto" w:fill="auto"/>
            <w:noWrap/>
            <w:vAlign w:val="center"/>
            <w:hideMark/>
          </w:tcPr>
          <w:p w14:paraId="2EDC4D58" w14:textId="77777777" w:rsidR="004367EF" w:rsidRPr="00C91975" w:rsidRDefault="004367EF" w:rsidP="00A16FC4">
            <w:pPr>
              <w:spacing w:after="0"/>
              <w:ind w:firstLine="0"/>
              <w:jc w:val="right"/>
              <w:rPr>
                <w:rFonts w:ascii="Arial Narrow" w:hAnsi="Arial Narrow"/>
                <w:color w:val="000000"/>
                <w:sz w:val="18"/>
                <w:szCs w:val="18"/>
              </w:rPr>
            </w:pPr>
            <w:r>
              <w:rPr>
                <w:rFonts w:ascii="Arial Narrow" w:hAnsi="Arial Narrow"/>
                <w:color w:val="000000"/>
                <w:sz w:val="18"/>
              </w:rPr>
              <w:t>197</w:t>
            </w:r>
          </w:p>
        </w:tc>
        <w:tc>
          <w:tcPr>
            <w:tcW w:w="0" w:type="auto"/>
            <w:tcBorders>
              <w:top w:val="nil"/>
              <w:left w:val="nil"/>
              <w:bottom w:val="single" w:sz="4" w:space="0" w:color="auto"/>
              <w:right w:val="nil"/>
            </w:tcBorders>
            <w:shd w:val="clear" w:color="auto" w:fill="auto"/>
            <w:noWrap/>
            <w:vAlign w:val="center"/>
            <w:hideMark/>
          </w:tcPr>
          <w:p w14:paraId="548FE908" w14:textId="77777777" w:rsidR="004367EF" w:rsidRPr="00C91975" w:rsidRDefault="004367EF" w:rsidP="00A16FC4">
            <w:pPr>
              <w:spacing w:after="0"/>
              <w:ind w:firstLine="79"/>
              <w:jc w:val="right"/>
              <w:rPr>
                <w:rFonts w:ascii="Arial Narrow" w:hAnsi="Arial Narrow"/>
                <w:sz w:val="18"/>
                <w:szCs w:val="18"/>
              </w:rPr>
            </w:pPr>
            <w:r>
              <w:rPr>
                <w:rFonts w:ascii="Arial Narrow" w:hAnsi="Arial Narrow"/>
                <w:sz w:val="18"/>
              </w:rPr>
              <w:t xml:space="preserve">            18,8 </w:t>
            </w:r>
          </w:p>
        </w:tc>
        <w:tc>
          <w:tcPr>
            <w:tcW w:w="0" w:type="auto"/>
            <w:tcBorders>
              <w:top w:val="nil"/>
              <w:left w:val="nil"/>
              <w:bottom w:val="single" w:sz="4" w:space="0" w:color="auto"/>
              <w:right w:val="nil"/>
            </w:tcBorders>
            <w:shd w:val="clear" w:color="auto" w:fill="auto"/>
            <w:noWrap/>
            <w:vAlign w:val="center"/>
            <w:hideMark/>
          </w:tcPr>
          <w:p w14:paraId="2FEBBD5C" w14:textId="77777777" w:rsidR="004367EF" w:rsidRPr="00C91975" w:rsidRDefault="004367EF" w:rsidP="00A16FC4">
            <w:pPr>
              <w:spacing w:after="0"/>
              <w:ind w:firstLine="0"/>
              <w:jc w:val="right"/>
              <w:rPr>
                <w:rFonts w:ascii="Arial Narrow" w:hAnsi="Arial Narrow"/>
                <w:color w:val="000000"/>
                <w:sz w:val="18"/>
                <w:szCs w:val="18"/>
              </w:rPr>
            </w:pPr>
            <w:r>
              <w:rPr>
                <w:rFonts w:ascii="Arial Narrow" w:hAnsi="Arial Narrow"/>
                <w:color w:val="000000"/>
                <w:sz w:val="18"/>
              </w:rPr>
              <w:t>167</w:t>
            </w:r>
          </w:p>
        </w:tc>
        <w:tc>
          <w:tcPr>
            <w:tcW w:w="0" w:type="auto"/>
            <w:tcBorders>
              <w:top w:val="nil"/>
              <w:left w:val="nil"/>
              <w:bottom w:val="single" w:sz="4" w:space="0" w:color="auto"/>
              <w:right w:val="nil"/>
            </w:tcBorders>
            <w:shd w:val="clear" w:color="auto" w:fill="auto"/>
            <w:noWrap/>
            <w:vAlign w:val="center"/>
            <w:hideMark/>
          </w:tcPr>
          <w:p w14:paraId="01CC4A04" w14:textId="77777777" w:rsidR="004367EF" w:rsidRPr="00C91975" w:rsidRDefault="004367EF" w:rsidP="00A16FC4">
            <w:pPr>
              <w:spacing w:after="0"/>
              <w:ind w:firstLine="13"/>
              <w:jc w:val="right"/>
              <w:rPr>
                <w:rFonts w:ascii="Arial Narrow" w:hAnsi="Arial Narrow"/>
                <w:sz w:val="18"/>
                <w:szCs w:val="18"/>
              </w:rPr>
            </w:pPr>
            <w:r>
              <w:rPr>
                <w:rFonts w:ascii="Arial Narrow" w:hAnsi="Arial Narrow"/>
                <w:sz w:val="18"/>
              </w:rPr>
              <w:t xml:space="preserve">         12,7 </w:t>
            </w:r>
          </w:p>
        </w:tc>
        <w:tc>
          <w:tcPr>
            <w:tcW w:w="974" w:type="dxa"/>
            <w:tcBorders>
              <w:top w:val="nil"/>
              <w:left w:val="nil"/>
              <w:bottom w:val="single" w:sz="4" w:space="0" w:color="auto"/>
              <w:right w:val="nil"/>
            </w:tcBorders>
            <w:shd w:val="clear" w:color="auto" w:fill="auto"/>
            <w:noWrap/>
            <w:vAlign w:val="center"/>
            <w:hideMark/>
          </w:tcPr>
          <w:p w14:paraId="15403BE5" w14:textId="77777777" w:rsidR="004367EF" w:rsidRPr="00C91975" w:rsidRDefault="004367EF" w:rsidP="00A16FC4">
            <w:pPr>
              <w:spacing w:after="0"/>
              <w:ind w:hanging="50"/>
              <w:jc w:val="right"/>
              <w:rPr>
                <w:rFonts w:ascii="Arial Narrow" w:hAnsi="Arial Narrow"/>
                <w:color w:val="000000"/>
                <w:sz w:val="18"/>
                <w:szCs w:val="18"/>
              </w:rPr>
            </w:pPr>
            <w:r>
              <w:rPr>
                <w:rFonts w:ascii="Arial Narrow" w:hAnsi="Arial Narrow"/>
                <w:color w:val="000000"/>
                <w:sz w:val="18"/>
              </w:rPr>
              <w:t>141</w:t>
            </w:r>
          </w:p>
        </w:tc>
        <w:tc>
          <w:tcPr>
            <w:tcW w:w="1019" w:type="dxa"/>
            <w:gridSpan w:val="2"/>
            <w:tcBorders>
              <w:top w:val="nil"/>
              <w:left w:val="nil"/>
              <w:bottom w:val="single" w:sz="4" w:space="0" w:color="auto"/>
              <w:right w:val="nil"/>
            </w:tcBorders>
            <w:shd w:val="clear" w:color="auto" w:fill="auto"/>
            <w:noWrap/>
            <w:vAlign w:val="center"/>
            <w:hideMark/>
          </w:tcPr>
          <w:p w14:paraId="5C467BC3" w14:textId="77777777" w:rsidR="004367EF" w:rsidRPr="00C91975" w:rsidRDefault="004367EF" w:rsidP="00A16FC4">
            <w:pPr>
              <w:spacing w:after="0"/>
              <w:ind w:firstLine="76"/>
              <w:jc w:val="right"/>
              <w:rPr>
                <w:rFonts w:ascii="Arial Narrow" w:hAnsi="Arial Narrow"/>
                <w:sz w:val="18"/>
                <w:szCs w:val="18"/>
              </w:rPr>
            </w:pPr>
            <w:r>
              <w:rPr>
                <w:rFonts w:ascii="Arial Narrow" w:hAnsi="Arial Narrow"/>
                <w:sz w:val="18"/>
              </w:rPr>
              <w:t xml:space="preserve">          14,0 </w:t>
            </w:r>
          </w:p>
        </w:tc>
      </w:tr>
      <w:tr w:rsidR="004367EF" w:rsidRPr="00C91975" w14:paraId="7D53715A" w14:textId="77777777" w:rsidTr="00565DBB">
        <w:trPr>
          <w:trHeight w:val="227"/>
          <w:jc w:val="center"/>
        </w:trPr>
        <w:tc>
          <w:tcPr>
            <w:tcW w:w="2977" w:type="dxa"/>
            <w:tcBorders>
              <w:top w:val="nil"/>
              <w:left w:val="nil"/>
              <w:bottom w:val="single" w:sz="4" w:space="0" w:color="auto"/>
              <w:right w:val="nil"/>
            </w:tcBorders>
            <w:shd w:val="clear" w:color="auto" w:fill="auto"/>
            <w:noWrap/>
            <w:vAlign w:val="center"/>
            <w:hideMark/>
          </w:tcPr>
          <w:p w14:paraId="7946C19F" w14:textId="77777777" w:rsidR="004367EF" w:rsidRPr="00C91975" w:rsidRDefault="004367EF" w:rsidP="00A16FC4">
            <w:pPr>
              <w:spacing w:after="0"/>
              <w:ind w:firstLine="0"/>
              <w:rPr>
                <w:rFonts w:ascii="Arial Narrow" w:hAnsi="Arial Narrow"/>
                <w:sz w:val="18"/>
                <w:szCs w:val="18"/>
              </w:rPr>
            </w:pPr>
            <w:r>
              <w:rPr>
                <w:rFonts w:ascii="Arial Narrow" w:hAnsi="Arial Narrow"/>
                <w:sz w:val="18"/>
              </w:rPr>
              <w:t>Kapital-transferentziak</w:t>
            </w:r>
          </w:p>
        </w:tc>
        <w:tc>
          <w:tcPr>
            <w:tcW w:w="0" w:type="auto"/>
            <w:tcBorders>
              <w:top w:val="nil"/>
              <w:left w:val="nil"/>
              <w:bottom w:val="single" w:sz="4" w:space="0" w:color="auto"/>
              <w:right w:val="nil"/>
            </w:tcBorders>
            <w:shd w:val="clear" w:color="auto" w:fill="auto"/>
            <w:noWrap/>
            <w:vAlign w:val="center"/>
            <w:hideMark/>
          </w:tcPr>
          <w:p w14:paraId="2A7EE846" w14:textId="77777777" w:rsidR="004367EF" w:rsidRPr="00C91975" w:rsidRDefault="004367EF" w:rsidP="00A16FC4">
            <w:pPr>
              <w:spacing w:after="0"/>
              <w:ind w:firstLine="0"/>
              <w:jc w:val="right"/>
              <w:rPr>
                <w:rFonts w:ascii="Arial Narrow" w:hAnsi="Arial Narrow"/>
                <w:color w:val="000000"/>
                <w:sz w:val="18"/>
                <w:szCs w:val="18"/>
              </w:rPr>
            </w:pPr>
            <w:r>
              <w:rPr>
                <w:rFonts w:ascii="Arial Narrow" w:hAnsi="Arial Narrow"/>
                <w:color w:val="000000"/>
                <w:sz w:val="18"/>
              </w:rPr>
              <w:t>11</w:t>
            </w:r>
          </w:p>
        </w:tc>
        <w:tc>
          <w:tcPr>
            <w:tcW w:w="0" w:type="auto"/>
            <w:tcBorders>
              <w:top w:val="nil"/>
              <w:left w:val="nil"/>
              <w:bottom w:val="single" w:sz="4" w:space="0" w:color="auto"/>
              <w:right w:val="nil"/>
            </w:tcBorders>
            <w:shd w:val="clear" w:color="auto" w:fill="auto"/>
            <w:noWrap/>
            <w:vAlign w:val="center"/>
            <w:hideMark/>
          </w:tcPr>
          <w:p w14:paraId="61A1947A" w14:textId="77777777" w:rsidR="004367EF" w:rsidRPr="00C91975" w:rsidRDefault="004367EF" w:rsidP="00A16FC4">
            <w:pPr>
              <w:spacing w:after="0"/>
              <w:ind w:firstLine="79"/>
              <w:jc w:val="right"/>
              <w:rPr>
                <w:rFonts w:ascii="Arial Narrow" w:hAnsi="Arial Narrow"/>
                <w:sz w:val="18"/>
                <w:szCs w:val="18"/>
              </w:rPr>
            </w:pPr>
            <w:r>
              <w:rPr>
                <w:rFonts w:ascii="Arial Narrow" w:hAnsi="Arial Narrow"/>
                <w:sz w:val="18"/>
              </w:rPr>
              <w:t xml:space="preserve">              1,1 </w:t>
            </w:r>
          </w:p>
        </w:tc>
        <w:tc>
          <w:tcPr>
            <w:tcW w:w="0" w:type="auto"/>
            <w:tcBorders>
              <w:top w:val="nil"/>
              <w:left w:val="nil"/>
              <w:bottom w:val="single" w:sz="4" w:space="0" w:color="auto"/>
              <w:right w:val="nil"/>
            </w:tcBorders>
            <w:shd w:val="clear" w:color="auto" w:fill="auto"/>
            <w:noWrap/>
            <w:vAlign w:val="center"/>
            <w:hideMark/>
          </w:tcPr>
          <w:p w14:paraId="0EC9FE5D" w14:textId="77777777" w:rsidR="004367EF" w:rsidRPr="00C91975" w:rsidRDefault="004367EF" w:rsidP="00A16FC4">
            <w:pPr>
              <w:spacing w:after="0"/>
              <w:ind w:firstLine="0"/>
              <w:jc w:val="right"/>
              <w:rPr>
                <w:rFonts w:ascii="Arial Narrow" w:hAnsi="Arial Narrow"/>
                <w:color w:val="000000"/>
                <w:sz w:val="18"/>
                <w:szCs w:val="18"/>
              </w:rPr>
            </w:pPr>
            <w:r>
              <w:rPr>
                <w:rFonts w:ascii="Arial Narrow" w:hAnsi="Arial Narrow"/>
                <w:color w:val="000000"/>
                <w:sz w:val="18"/>
              </w:rPr>
              <w:t>11</w:t>
            </w:r>
          </w:p>
        </w:tc>
        <w:tc>
          <w:tcPr>
            <w:tcW w:w="0" w:type="auto"/>
            <w:tcBorders>
              <w:top w:val="nil"/>
              <w:left w:val="nil"/>
              <w:bottom w:val="single" w:sz="4" w:space="0" w:color="auto"/>
              <w:right w:val="nil"/>
            </w:tcBorders>
            <w:shd w:val="clear" w:color="auto" w:fill="auto"/>
            <w:noWrap/>
            <w:vAlign w:val="center"/>
            <w:hideMark/>
          </w:tcPr>
          <w:p w14:paraId="762FFACB" w14:textId="77777777" w:rsidR="004367EF" w:rsidRPr="00C91975" w:rsidRDefault="004367EF" w:rsidP="00A16FC4">
            <w:pPr>
              <w:spacing w:after="0"/>
              <w:ind w:firstLine="13"/>
              <w:jc w:val="right"/>
              <w:rPr>
                <w:rFonts w:ascii="Arial Narrow" w:hAnsi="Arial Narrow"/>
                <w:sz w:val="18"/>
                <w:szCs w:val="18"/>
              </w:rPr>
            </w:pPr>
            <w:r>
              <w:rPr>
                <w:rFonts w:ascii="Arial Narrow" w:hAnsi="Arial Narrow"/>
                <w:sz w:val="18"/>
              </w:rPr>
              <w:t xml:space="preserve">           0,8 </w:t>
            </w:r>
          </w:p>
        </w:tc>
        <w:tc>
          <w:tcPr>
            <w:tcW w:w="974" w:type="dxa"/>
            <w:tcBorders>
              <w:top w:val="nil"/>
              <w:left w:val="nil"/>
              <w:bottom w:val="single" w:sz="4" w:space="0" w:color="auto"/>
              <w:right w:val="nil"/>
            </w:tcBorders>
            <w:shd w:val="clear" w:color="auto" w:fill="auto"/>
            <w:noWrap/>
            <w:vAlign w:val="center"/>
            <w:hideMark/>
          </w:tcPr>
          <w:p w14:paraId="29B522C0" w14:textId="77777777" w:rsidR="004367EF" w:rsidRPr="00C91975" w:rsidRDefault="004367EF" w:rsidP="00A16FC4">
            <w:pPr>
              <w:spacing w:after="0"/>
              <w:ind w:hanging="50"/>
              <w:jc w:val="right"/>
              <w:rPr>
                <w:rFonts w:ascii="Arial Narrow" w:hAnsi="Arial Narrow"/>
                <w:color w:val="000000"/>
                <w:sz w:val="18"/>
                <w:szCs w:val="18"/>
              </w:rPr>
            </w:pPr>
            <w:r>
              <w:rPr>
                <w:rFonts w:ascii="Arial Narrow" w:hAnsi="Arial Narrow"/>
                <w:color w:val="000000"/>
                <w:sz w:val="18"/>
              </w:rPr>
              <w:t>4</w:t>
            </w:r>
          </w:p>
        </w:tc>
        <w:tc>
          <w:tcPr>
            <w:tcW w:w="1019" w:type="dxa"/>
            <w:gridSpan w:val="2"/>
            <w:tcBorders>
              <w:top w:val="nil"/>
              <w:left w:val="nil"/>
              <w:bottom w:val="single" w:sz="4" w:space="0" w:color="auto"/>
              <w:right w:val="nil"/>
            </w:tcBorders>
            <w:shd w:val="clear" w:color="auto" w:fill="auto"/>
            <w:noWrap/>
            <w:vAlign w:val="center"/>
            <w:hideMark/>
          </w:tcPr>
          <w:p w14:paraId="2502F3E5" w14:textId="77777777" w:rsidR="004367EF" w:rsidRPr="00C91975" w:rsidRDefault="004367EF" w:rsidP="00A16FC4">
            <w:pPr>
              <w:spacing w:after="0"/>
              <w:ind w:firstLine="76"/>
              <w:jc w:val="right"/>
              <w:rPr>
                <w:rFonts w:ascii="Arial Narrow" w:hAnsi="Arial Narrow"/>
                <w:sz w:val="18"/>
                <w:szCs w:val="18"/>
              </w:rPr>
            </w:pPr>
            <w:r>
              <w:rPr>
                <w:rFonts w:ascii="Arial Narrow" w:hAnsi="Arial Narrow"/>
                <w:sz w:val="18"/>
              </w:rPr>
              <w:t xml:space="preserve">            0,4 </w:t>
            </w:r>
          </w:p>
        </w:tc>
      </w:tr>
      <w:tr w:rsidR="004367EF" w:rsidRPr="00C91975" w14:paraId="6454E76D" w14:textId="77777777" w:rsidTr="00565DBB">
        <w:trPr>
          <w:trHeight w:val="227"/>
          <w:jc w:val="center"/>
        </w:trPr>
        <w:tc>
          <w:tcPr>
            <w:tcW w:w="2977" w:type="dxa"/>
            <w:tcBorders>
              <w:top w:val="nil"/>
              <w:left w:val="nil"/>
              <w:bottom w:val="single" w:sz="4" w:space="0" w:color="auto"/>
              <w:right w:val="nil"/>
            </w:tcBorders>
            <w:shd w:val="clear" w:color="000000" w:fill="D9D9D9"/>
            <w:noWrap/>
            <w:vAlign w:val="center"/>
            <w:hideMark/>
          </w:tcPr>
          <w:p w14:paraId="05308FBF" w14:textId="380111F7" w:rsidR="004367EF" w:rsidRPr="00C91975" w:rsidRDefault="008E4AB0" w:rsidP="00A16FC4">
            <w:pPr>
              <w:spacing w:after="0"/>
              <w:ind w:firstLine="0"/>
              <w:rPr>
                <w:rFonts w:ascii="Arial Narrow" w:hAnsi="Arial Narrow"/>
                <w:b/>
                <w:bCs/>
                <w:i/>
                <w:iCs/>
                <w:sz w:val="18"/>
                <w:szCs w:val="18"/>
              </w:rPr>
            </w:pPr>
            <w:r>
              <w:rPr>
                <w:rFonts w:ascii="Arial Narrow" w:hAnsi="Arial Narrow"/>
                <w:b/>
                <w:i/>
                <w:sz w:val="18"/>
              </w:rPr>
              <w:t>Kapital-eragiketak</w:t>
            </w:r>
          </w:p>
        </w:tc>
        <w:tc>
          <w:tcPr>
            <w:tcW w:w="0" w:type="auto"/>
            <w:tcBorders>
              <w:top w:val="nil"/>
              <w:left w:val="nil"/>
              <w:bottom w:val="single" w:sz="4" w:space="0" w:color="auto"/>
              <w:right w:val="nil"/>
            </w:tcBorders>
            <w:shd w:val="clear" w:color="000000" w:fill="D9D9D9"/>
            <w:noWrap/>
            <w:vAlign w:val="center"/>
            <w:hideMark/>
          </w:tcPr>
          <w:p w14:paraId="33074437" w14:textId="77777777" w:rsidR="004367EF" w:rsidRPr="00C91975" w:rsidRDefault="004367EF" w:rsidP="00A16FC4">
            <w:pPr>
              <w:spacing w:after="0"/>
              <w:ind w:firstLine="0"/>
              <w:jc w:val="right"/>
              <w:rPr>
                <w:rFonts w:ascii="Arial Narrow" w:hAnsi="Arial Narrow"/>
                <w:b/>
                <w:bCs/>
                <w:i/>
                <w:iCs/>
                <w:color w:val="000000"/>
                <w:sz w:val="18"/>
                <w:szCs w:val="18"/>
              </w:rPr>
            </w:pPr>
            <w:r>
              <w:rPr>
                <w:rFonts w:ascii="Arial Narrow" w:hAnsi="Arial Narrow"/>
                <w:b/>
                <w:i/>
                <w:color w:val="000000"/>
                <w:sz w:val="18"/>
              </w:rPr>
              <w:t>209</w:t>
            </w:r>
          </w:p>
        </w:tc>
        <w:tc>
          <w:tcPr>
            <w:tcW w:w="0" w:type="auto"/>
            <w:tcBorders>
              <w:top w:val="nil"/>
              <w:left w:val="nil"/>
              <w:bottom w:val="single" w:sz="4" w:space="0" w:color="auto"/>
              <w:right w:val="nil"/>
            </w:tcBorders>
            <w:shd w:val="clear" w:color="000000" w:fill="D9D9D9"/>
            <w:noWrap/>
            <w:vAlign w:val="center"/>
            <w:hideMark/>
          </w:tcPr>
          <w:p w14:paraId="38D0C3CE" w14:textId="77777777" w:rsidR="004367EF" w:rsidRPr="00C91975" w:rsidRDefault="004367EF" w:rsidP="00A16FC4">
            <w:pPr>
              <w:spacing w:after="0"/>
              <w:ind w:firstLine="79"/>
              <w:jc w:val="right"/>
              <w:rPr>
                <w:rFonts w:ascii="Arial Narrow" w:hAnsi="Arial Narrow"/>
                <w:b/>
                <w:bCs/>
                <w:i/>
                <w:iCs/>
                <w:sz w:val="18"/>
                <w:szCs w:val="18"/>
              </w:rPr>
            </w:pPr>
            <w:r>
              <w:rPr>
                <w:rFonts w:ascii="Arial Narrow" w:hAnsi="Arial Narrow"/>
                <w:b/>
                <w:i/>
                <w:sz w:val="18"/>
              </w:rPr>
              <w:t xml:space="preserve">          19,9 </w:t>
            </w:r>
          </w:p>
        </w:tc>
        <w:tc>
          <w:tcPr>
            <w:tcW w:w="0" w:type="auto"/>
            <w:tcBorders>
              <w:top w:val="nil"/>
              <w:left w:val="nil"/>
              <w:bottom w:val="single" w:sz="4" w:space="0" w:color="auto"/>
              <w:right w:val="nil"/>
            </w:tcBorders>
            <w:shd w:val="clear" w:color="000000" w:fill="D9D9D9"/>
            <w:noWrap/>
            <w:vAlign w:val="center"/>
            <w:hideMark/>
          </w:tcPr>
          <w:p w14:paraId="3BF476CD" w14:textId="77777777" w:rsidR="004367EF" w:rsidRPr="00C91975" w:rsidRDefault="004367EF" w:rsidP="00A16FC4">
            <w:pPr>
              <w:spacing w:after="0"/>
              <w:ind w:firstLine="0"/>
              <w:jc w:val="right"/>
              <w:rPr>
                <w:rFonts w:ascii="Arial Narrow" w:hAnsi="Arial Narrow"/>
                <w:b/>
                <w:bCs/>
                <w:i/>
                <w:iCs/>
                <w:color w:val="000000"/>
                <w:sz w:val="18"/>
                <w:szCs w:val="18"/>
              </w:rPr>
            </w:pPr>
            <w:r>
              <w:rPr>
                <w:rFonts w:ascii="Arial Narrow" w:hAnsi="Arial Narrow"/>
                <w:b/>
                <w:i/>
                <w:color w:val="000000"/>
                <w:sz w:val="18"/>
              </w:rPr>
              <w:t>178</w:t>
            </w:r>
          </w:p>
        </w:tc>
        <w:tc>
          <w:tcPr>
            <w:tcW w:w="0" w:type="auto"/>
            <w:tcBorders>
              <w:top w:val="nil"/>
              <w:left w:val="nil"/>
              <w:bottom w:val="single" w:sz="4" w:space="0" w:color="auto"/>
              <w:right w:val="nil"/>
            </w:tcBorders>
            <w:shd w:val="clear" w:color="000000" w:fill="D9D9D9"/>
            <w:noWrap/>
            <w:vAlign w:val="center"/>
            <w:hideMark/>
          </w:tcPr>
          <w:p w14:paraId="2C7E5C75" w14:textId="77777777" w:rsidR="004367EF" w:rsidRPr="00C91975" w:rsidRDefault="004367EF" w:rsidP="00A16FC4">
            <w:pPr>
              <w:spacing w:after="0"/>
              <w:ind w:firstLine="13"/>
              <w:jc w:val="right"/>
              <w:rPr>
                <w:rFonts w:ascii="Arial Narrow" w:hAnsi="Arial Narrow"/>
                <w:b/>
                <w:bCs/>
                <w:i/>
                <w:iCs/>
                <w:sz w:val="18"/>
                <w:szCs w:val="18"/>
              </w:rPr>
            </w:pPr>
            <w:r>
              <w:rPr>
                <w:rFonts w:ascii="Arial Narrow" w:hAnsi="Arial Narrow"/>
                <w:b/>
                <w:i/>
                <w:sz w:val="18"/>
              </w:rPr>
              <w:t xml:space="preserve">       13,6 </w:t>
            </w:r>
          </w:p>
        </w:tc>
        <w:tc>
          <w:tcPr>
            <w:tcW w:w="974" w:type="dxa"/>
            <w:tcBorders>
              <w:top w:val="nil"/>
              <w:left w:val="nil"/>
              <w:bottom w:val="single" w:sz="4" w:space="0" w:color="auto"/>
              <w:right w:val="nil"/>
            </w:tcBorders>
            <w:shd w:val="clear" w:color="000000" w:fill="D9D9D9"/>
            <w:noWrap/>
            <w:vAlign w:val="center"/>
            <w:hideMark/>
          </w:tcPr>
          <w:p w14:paraId="06ADC102" w14:textId="77777777" w:rsidR="004367EF" w:rsidRPr="00C91975" w:rsidRDefault="004367EF" w:rsidP="00A16FC4">
            <w:pPr>
              <w:spacing w:after="0"/>
              <w:ind w:hanging="50"/>
              <w:jc w:val="right"/>
              <w:rPr>
                <w:rFonts w:ascii="Arial Narrow" w:hAnsi="Arial Narrow"/>
                <w:b/>
                <w:bCs/>
                <w:i/>
                <w:iCs/>
                <w:color w:val="000000"/>
                <w:sz w:val="18"/>
                <w:szCs w:val="18"/>
              </w:rPr>
            </w:pPr>
            <w:r>
              <w:rPr>
                <w:rFonts w:ascii="Arial Narrow" w:hAnsi="Arial Narrow"/>
                <w:b/>
                <w:i/>
                <w:color w:val="000000"/>
                <w:sz w:val="18"/>
              </w:rPr>
              <w:t>145</w:t>
            </w:r>
          </w:p>
        </w:tc>
        <w:tc>
          <w:tcPr>
            <w:tcW w:w="1019" w:type="dxa"/>
            <w:gridSpan w:val="2"/>
            <w:tcBorders>
              <w:top w:val="nil"/>
              <w:left w:val="nil"/>
              <w:bottom w:val="single" w:sz="4" w:space="0" w:color="auto"/>
              <w:right w:val="nil"/>
            </w:tcBorders>
            <w:shd w:val="clear" w:color="000000" w:fill="D9D9D9"/>
            <w:noWrap/>
            <w:vAlign w:val="center"/>
            <w:hideMark/>
          </w:tcPr>
          <w:p w14:paraId="52D22EA9" w14:textId="77777777" w:rsidR="004367EF" w:rsidRPr="00C91975" w:rsidRDefault="004367EF" w:rsidP="00A16FC4">
            <w:pPr>
              <w:spacing w:after="0"/>
              <w:ind w:firstLine="76"/>
              <w:jc w:val="right"/>
              <w:rPr>
                <w:rFonts w:ascii="Arial Narrow" w:hAnsi="Arial Narrow"/>
                <w:b/>
                <w:bCs/>
                <w:i/>
                <w:iCs/>
                <w:sz w:val="18"/>
                <w:szCs w:val="18"/>
              </w:rPr>
            </w:pPr>
            <w:r>
              <w:rPr>
                <w:rFonts w:ascii="Arial Narrow" w:hAnsi="Arial Narrow"/>
                <w:b/>
                <w:i/>
                <w:sz w:val="18"/>
              </w:rPr>
              <w:t xml:space="preserve">        14,3 </w:t>
            </w:r>
          </w:p>
        </w:tc>
      </w:tr>
      <w:tr w:rsidR="004367EF" w:rsidRPr="00C91975" w14:paraId="42A2E20A" w14:textId="77777777" w:rsidTr="00565DBB">
        <w:trPr>
          <w:trHeight w:val="227"/>
          <w:jc w:val="center"/>
        </w:trPr>
        <w:tc>
          <w:tcPr>
            <w:tcW w:w="2977" w:type="dxa"/>
            <w:tcBorders>
              <w:top w:val="nil"/>
              <w:left w:val="nil"/>
              <w:bottom w:val="single" w:sz="4" w:space="0" w:color="auto"/>
              <w:right w:val="nil"/>
            </w:tcBorders>
            <w:shd w:val="clear" w:color="auto" w:fill="auto"/>
            <w:noWrap/>
            <w:vAlign w:val="center"/>
            <w:hideMark/>
          </w:tcPr>
          <w:p w14:paraId="283F3F3A" w14:textId="77777777" w:rsidR="004367EF" w:rsidRPr="00C91975" w:rsidRDefault="004367EF" w:rsidP="00A16FC4">
            <w:pPr>
              <w:spacing w:after="0"/>
              <w:ind w:firstLine="0"/>
              <w:rPr>
                <w:rFonts w:ascii="Arial Narrow" w:hAnsi="Arial Narrow"/>
                <w:sz w:val="18"/>
                <w:szCs w:val="18"/>
              </w:rPr>
            </w:pPr>
            <w:r>
              <w:rPr>
                <w:rFonts w:ascii="Arial Narrow" w:hAnsi="Arial Narrow"/>
                <w:sz w:val="18"/>
              </w:rPr>
              <w:t>Finantza-aktiboak</w:t>
            </w:r>
          </w:p>
        </w:tc>
        <w:tc>
          <w:tcPr>
            <w:tcW w:w="0" w:type="auto"/>
            <w:tcBorders>
              <w:top w:val="nil"/>
              <w:left w:val="nil"/>
              <w:bottom w:val="single" w:sz="4" w:space="0" w:color="auto"/>
              <w:right w:val="nil"/>
            </w:tcBorders>
            <w:shd w:val="clear" w:color="auto" w:fill="auto"/>
            <w:noWrap/>
            <w:vAlign w:val="center"/>
            <w:hideMark/>
          </w:tcPr>
          <w:p w14:paraId="1D696CDD" w14:textId="77777777" w:rsidR="004367EF" w:rsidRPr="00C91975" w:rsidRDefault="004367EF" w:rsidP="00A16FC4">
            <w:pPr>
              <w:spacing w:after="0"/>
              <w:ind w:firstLine="0"/>
              <w:jc w:val="right"/>
              <w:rPr>
                <w:rFonts w:ascii="Arial Narrow" w:hAnsi="Arial Narrow"/>
                <w:color w:val="000000"/>
                <w:sz w:val="18"/>
                <w:szCs w:val="18"/>
              </w:rPr>
            </w:pPr>
            <w:r>
              <w:rPr>
                <w:rFonts w:ascii="Arial Narrow" w:hAnsi="Arial Narrow"/>
                <w:color w:val="000000"/>
                <w:sz w:val="18"/>
              </w:rPr>
              <w:t>4</w:t>
            </w:r>
          </w:p>
        </w:tc>
        <w:tc>
          <w:tcPr>
            <w:tcW w:w="0" w:type="auto"/>
            <w:tcBorders>
              <w:top w:val="nil"/>
              <w:left w:val="nil"/>
              <w:bottom w:val="single" w:sz="4" w:space="0" w:color="auto"/>
              <w:right w:val="nil"/>
            </w:tcBorders>
            <w:shd w:val="clear" w:color="auto" w:fill="auto"/>
            <w:noWrap/>
            <w:vAlign w:val="center"/>
            <w:hideMark/>
          </w:tcPr>
          <w:p w14:paraId="70821720" w14:textId="77777777" w:rsidR="004367EF" w:rsidRPr="00C91975" w:rsidRDefault="004367EF" w:rsidP="00A16FC4">
            <w:pPr>
              <w:spacing w:after="0"/>
              <w:ind w:firstLine="79"/>
              <w:jc w:val="right"/>
              <w:rPr>
                <w:rFonts w:ascii="Arial Narrow" w:hAnsi="Arial Narrow"/>
                <w:sz w:val="18"/>
                <w:szCs w:val="18"/>
              </w:rPr>
            </w:pPr>
            <w:r>
              <w:rPr>
                <w:rFonts w:ascii="Arial Narrow" w:hAnsi="Arial Narrow"/>
                <w:sz w:val="18"/>
              </w:rPr>
              <w:t xml:space="preserve">              0,4 </w:t>
            </w:r>
          </w:p>
        </w:tc>
        <w:tc>
          <w:tcPr>
            <w:tcW w:w="0" w:type="auto"/>
            <w:tcBorders>
              <w:top w:val="nil"/>
              <w:left w:val="nil"/>
              <w:bottom w:val="single" w:sz="4" w:space="0" w:color="auto"/>
              <w:right w:val="nil"/>
            </w:tcBorders>
            <w:shd w:val="clear" w:color="auto" w:fill="auto"/>
            <w:noWrap/>
            <w:vAlign w:val="center"/>
            <w:hideMark/>
          </w:tcPr>
          <w:p w14:paraId="49BE1358" w14:textId="77777777" w:rsidR="004367EF" w:rsidRPr="00C91975" w:rsidRDefault="004367EF" w:rsidP="00A16FC4">
            <w:pPr>
              <w:spacing w:after="0"/>
              <w:ind w:firstLine="0"/>
              <w:jc w:val="right"/>
              <w:rPr>
                <w:rFonts w:ascii="Arial Narrow" w:hAnsi="Arial Narrow"/>
                <w:color w:val="000000"/>
                <w:sz w:val="18"/>
                <w:szCs w:val="18"/>
              </w:rPr>
            </w:pPr>
            <w:r>
              <w:rPr>
                <w:rFonts w:ascii="Arial Narrow" w:hAnsi="Arial Narrow"/>
                <w:color w:val="000000"/>
                <w:sz w:val="18"/>
              </w:rPr>
              <w:t>1</w:t>
            </w:r>
          </w:p>
        </w:tc>
        <w:tc>
          <w:tcPr>
            <w:tcW w:w="0" w:type="auto"/>
            <w:tcBorders>
              <w:top w:val="nil"/>
              <w:left w:val="nil"/>
              <w:bottom w:val="single" w:sz="4" w:space="0" w:color="auto"/>
              <w:right w:val="nil"/>
            </w:tcBorders>
            <w:shd w:val="clear" w:color="auto" w:fill="auto"/>
            <w:noWrap/>
            <w:vAlign w:val="center"/>
            <w:hideMark/>
          </w:tcPr>
          <w:p w14:paraId="1BF90664" w14:textId="77777777" w:rsidR="004367EF" w:rsidRPr="00C91975" w:rsidRDefault="004367EF" w:rsidP="00A16FC4">
            <w:pPr>
              <w:spacing w:after="0"/>
              <w:ind w:firstLine="13"/>
              <w:jc w:val="right"/>
              <w:rPr>
                <w:rFonts w:ascii="Arial Narrow" w:hAnsi="Arial Narrow"/>
                <w:sz w:val="18"/>
                <w:szCs w:val="18"/>
              </w:rPr>
            </w:pPr>
            <w:r>
              <w:rPr>
                <w:rFonts w:ascii="Arial Narrow" w:hAnsi="Arial Narrow"/>
                <w:sz w:val="18"/>
              </w:rPr>
              <w:t xml:space="preserve">           0,1 </w:t>
            </w:r>
          </w:p>
        </w:tc>
        <w:tc>
          <w:tcPr>
            <w:tcW w:w="974" w:type="dxa"/>
            <w:tcBorders>
              <w:top w:val="nil"/>
              <w:left w:val="nil"/>
              <w:bottom w:val="single" w:sz="4" w:space="0" w:color="auto"/>
              <w:right w:val="nil"/>
            </w:tcBorders>
            <w:shd w:val="clear" w:color="auto" w:fill="auto"/>
            <w:noWrap/>
            <w:vAlign w:val="center"/>
            <w:hideMark/>
          </w:tcPr>
          <w:p w14:paraId="3B76E1A0" w14:textId="77777777" w:rsidR="004367EF" w:rsidRPr="00C91975" w:rsidRDefault="004367EF" w:rsidP="00A16FC4">
            <w:pPr>
              <w:spacing w:after="0"/>
              <w:ind w:hanging="50"/>
              <w:jc w:val="right"/>
              <w:rPr>
                <w:rFonts w:ascii="Arial Narrow" w:hAnsi="Arial Narrow"/>
                <w:color w:val="000000"/>
                <w:sz w:val="18"/>
                <w:szCs w:val="18"/>
              </w:rPr>
            </w:pPr>
            <w:r>
              <w:rPr>
                <w:rFonts w:ascii="Arial Narrow" w:hAnsi="Arial Narrow"/>
                <w:color w:val="000000"/>
                <w:sz w:val="18"/>
              </w:rPr>
              <w:t>1</w:t>
            </w:r>
          </w:p>
        </w:tc>
        <w:tc>
          <w:tcPr>
            <w:tcW w:w="1019" w:type="dxa"/>
            <w:gridSpan w:val="2"/>
            <w:tcBorders>
              <w:top w:val="nil"/>
              <w:left w:val="nil"/>
              <w:bottom w:val="single" w:sz="4" w:space="0" w:color="auto"/>
              <w:right w:val="nil"/>
            </w:tcBorders>
            <w:shd w:val="clear" w:color="auto" w:fill="auto"/>
            <w:noWrap/>
            <w:vAlign w:val="center"/>
            <w:hideMark/>
          </w:tcPr>
          <w:p w14:paraId="5ABA92E9" w14:textId="77777777" w:rsidR="004367EF" w:rsidRPr="00C91975" w:rsidRDefault="004367EF" w:rsidP="00A16FC4">
            <w:pPr>
              <w:spacing w:after="0"/>
              <w:ind w:firstLine="76"/>
              <w:jc w:val="right"/>
              <w:rPr>
                <w:rFonts w:ascii="Arial Narrow" w:hAnsi="Arial Narrow"/>
                <w:sz w:val="18"/>
                <w:szCs w:val="18"/>
              </w:rPr>
            </w:pPr>
            <w:r>
              <w:rPr>
                <w:rFonts w:ascii="Arial Narrow" w:hAnsi="Arial Narrow"/>
                <w:sz w:val="18"/>
              </w:rPr>
              <w:t xml:space="preserve">            0,2 </w:t>
            </w:r>
          </w:p>
        </w:tc>
      </w:tr>
      <w:tr w:rsidR="004367EF" w:rsidRPr="00C91975" w14:paraId="578C7958" w14:textId="77777777" w:rsidTr="00565DBB">
        <w:trPr>
          <w:trHeight w:val="227"/>
          <w:jc w:val="center"/>
        </w:trPr>
        <w:tc>
          <w:tcPr>
            <w:tcW w:w="2977" w:type="dxa"/>
            <w:tcBorders>
              <w:top w:val="nil"/>
              <w:left w:val="nil"/>
              <w:bottom w:val="single" w:sz="4" w:space="0" w:color="auto"/>
              <w:right w:val="nil"/>
            </w:tcBorders>
            <w:shd w:val="clear" w:color="auto" w:fill="auto"/>
            <w:noWrap/>
            <w:vAlign w:val="center"/>
            <w:hideMark/>
          </w:tcPr>
          <w:p w14:paraId="7DC67AF6" w14:textId="77777777" w:rsidR="004367EF" w:rsidRPr="00C91975" w:rsidRDefault="004367EF" w:rsidP="00A16FC4">
            <w:pPr>
              <w:spacing w:after="0"/>
              <w:ind w:firstLine="0"/>
              <w:rPr>
                <w:rFonts w:ascii="Arial Narrow" w:hAnsi="Arial Narrow"/>
                <w:sz w:val="18"/>
                <w:szCs w:val="18"/>
              </w:rPr>
            </w:pPr>
            <w:r>
              <w:rPr>
                <w:rFonts w:ascii="Arial Narrow" w:hAnsi="Arial Narrow"/>
                <w:sz w:val="18"/>
              </w:rPr>
              <w:t>Finantza-pasiboak</w:t>
            </w:r>
          </w:p>
        </w:tc>
        <w:tc>
          <w:tcPr>
            <w:tcW w:w="0" w:type="auto"/>
            <w:tcBorders>
              <w:top w:val="nil"/>
              <w:left w:val="nil"/>
              <w:bottom w:val="single" w:sz="4" w:space="0" w:color="auto"/>
              <w:right w:val="nil"/>
            </w:tcBorders>
            <w:shd w:val="clear" w:color="auto" w:fill="auto"/>
            <w:noWrap/>
            <w:vAlign w:val="center"/>
            <w:hideMark/>
          </w:tcPr>
          <w:p w14:paraId="42682DB2" w14:textId="77777777" w:rsidR="004367EF" w:rsidRPr="00C91975" w:rsidRDefault="004367EF" w:rsidP="00A16FC4">
            <w:pPr>
              <w:spacing w:after="0"/>
              <w:ind w:firstLine="0"/>
              <w:jc w:val="right"/>
              <w:rPr>
                <w:rFonts w:ascii="Arial Narrow" w:hAnsi="Arial Narrow"/>
                <w:color w:val="000000"/>
                <w:sz w:val="18"/>
                <w:szCs w:val="18"/>
              </w:rPr>
            </w:pPr>
            <w:r>
              <w:rPr>
                <w:rFonts w:ascii="Arial Narrow" w:hAnsi="Arial Narrow"/>
                <w:color w:val="000000"/>
                <w:sz w:val="18"/>
              </w:rPr>
              <w:t>40</w:t>
            </w:r>
          </w:p>
        </w:tc>
        <w:tc>
          <w:tcPr>
            <w:tcW w:w="0" w:type="auto"/>
            <w:tcBorders>
              <w:top w:val="nil"/>
              <w:left w:val="nil"/>
              <w:bottom w:val="single" w:sz="4" w:space="0" w:color="auto"/>
              <w:right w:val="nil"/>
            </w:tcBorders>
            <w:shd w:val="clear" w:color="auto" w:fill="auto"/>
            <w:noWrap/>
            <w:vAlign w:val="center"/>
            <w:hideMark/>
          </w:tcPr>
          <w:p w14:paraId="31ADE918" w14:textId="77777777" w:rsidR="004367EF" w:rsidRPr="00C91975" w:rsidRDefault="004367EF" w:rsidP="00A16FC4">
            <w:pPr>
              <w:spacing w:after="0"/>
              <w:ind w:firstLine="79"/>
              <w:jc w:val="right"/>
              <w:rPr>
                <w:rFonts w:ascii="Arial Narrow" w:hAnsi="Arial Narrow"/>
                <w:sz w:val="18"/>
                <w:szCs w:val="18"/>
              </w:rPr>
            </w:pPr>
            <w:r>
              <w:rPr>
                <w:rFonts w:ascii="Arial Narrow" w:hAnsi="Arial Narrow"/>
                <w:sz w:val="18"/>
              </w:rPr>
              <w:t xml:space="preserve">              3,8 </w:t>
            </w:r>
          </w:p>
        </w:tc>
        <w:tc>
          <w:tcPr>
            <w:tcW w:w="0" w:type="auto"/>
            <w:tcBorders>
              <w:top w:val="nil"/>
              <w:left w:val="nil"/>
              <w:bottom w:val="single" w:sz="4" w:space="0" w:color="auto"/>
              <w:right w:val="nil"/>
            </w:tcBorders>
            <w:shd w:val="clear" w:color="auto" w:fill="auto"/>
            <w:noWrap/>
            <w:vAlign w:val="center"/>
            <w:hideMark/>
          </w:tcPr>
          <w:p w14:paraId="77D418FA" w14:textId="77777777" w:rsidR="004367EF" w:rsidRPr="00C91975" w:rsidRDefault="004367EF" w:rsidP="00A16FC4">
            <w:pPr>
              <w:spacing w:after="0"/>
              <w:ind w:firstLine="0"/>
              <w:jc w:val="right"/>
              <w:rPr>
                <w:rFonts w:ascii="Arial Narrow" w:hAnsi="Arial Narrow"/>
                <w:color w:val="000000"/>
                <w:sz w:val="18"/>
                <w:szCs w:val="18"/>
              </w:rPr>
            </w:pPr>
            <w:r>
              <w:rPr>
                <w:rFonts w:ascii="Arial Narrow" w:hAnsi="Arial Narrow"/>
                <w:color w:val="000000"/>
                <w:sz w:val="18"/>
              </w:rPr>
              <w:t>29</w:t>
            </w:r>
          </w:p>
        </w:tc>
        <w:tc>
          <w:tcPr>
            <w:tcW w:w="0" w:type="auto"/>
            <w:tcBorders>
              <w:top w:val="nil"/>
              <w:left w:val="nil"/>
              <w:bottom w:val="single" w:sz="4" w:space="0" w:color="auto"/>
              <w:right w:val="nil"/>
            </w:tcBorders>
            <w:shd w:val="clear" w:color="auto" w:fill="auto"/>
            <w:noWrap/>
            <w:vAlign w:val="center"/>
            <w:hideMark/>
          </w:tcPr>
          <w:p w14:paraId="1ECF382B" w14:textId="77777777" w:rsidR="004367EF" w:rsidRPr="00C91975" w:rsidRDefault="004367EF" w:rsidP="00A16FC4">
            <w:pPr>
              <w:spacing w:after="0"/>
              <w:ind w:firstLine="13"/>
              <w:jc w:val="right"/>
              <w:rPr>
                <w:rFonts w:ascii="Arial Narrow" w:hAnsi="Arial Narrow"/>
                <w:sz w:val="18"/>
                <w:szCs w:val="18"/>
              </w:rPr>
            </w:pPr>
            <w:r>
              <w:rPr>
                <w:rFonts w:ascii="Arial Narrow" w:hAnsi="Arial Narrow"/>
                <w:sz w:val="18"/>
              </w:rPr>
              <w:t xml:space="preserve">           2,2 </w:t>
            </w:r>
          </w:p>
        </w:tc>
        <w:tc>
          <w:tcPr>
            <w:tcW w:w="974" w:type="dxa"/>
            <w:tcBorders>
              <w:top w:val="nil"/>
              <w:left w:val="nil"/>
              <w:bottom w:val="single" w:sz="4" w:space="0" w:color="auto"/>
              <w:right w:val="nil"/>
            </w:tcBorders>
            <w:shd w:val="clear" w:color="auto" w:fill="auto"/>
            <w:noWrap/>
            <w:vAlign w:val="center"/>
            <w:hideMark/>
          </w:tcPr>
          <w:p w14:paraId="0EAA7B27" w14:textId="77777777" w:rsidR="004367EF" w:rsidRPr="00C91975" w:rsidRDefault="004367EF" w:rsidP="00A16FC4">
            <w:pPr>
              <w:spacing w:after="0"/>
              <w:ind w:hanging="50"/>
              <w:jc w:val="right"/>
              <w:rPr>
                <w:rFonts w:ascii="Arial Narrow" w:hAnsi="Arial Narrow"/>
                <w:color w:val="000000"/>
                <w:sz w:val="18"/>
                <w:szCs w:val="18"/>
              </w:rPr>
            </w:pPr>
            <w:r>
              <w:rPr>
                <w:rFonts w:ascii="Arial Narrow" w:hAnsi="Arial Narrow"/>
                <w:color w:val="000000"/>
                <w:sz w:val="18"/>
              </w:rPr>
              <w:t>38</w:t>
            </w:r>
          </w:p>
        </w:tc>
        <w:tc>
          <w:tcPr>
            <w:tcW w:w="1019" w:type="dxa"/>
            <w:gridSpan w:val="2"/>
            <w:tcBorders>
              <w:top w:val="nil"/>
              <w:left w:val="nil"/>
              <w:bottom w:val="single" w:sz="4" w:space="0" w:color="auto"/>
              <w:right w:val="nil"/>
            </w:tcBorders>
            <w:shd w:val="clear" w:color="auto" w:fill="auto"/>
            <w:noWrap/>
            <w:vAlign w:val="center"/>
            <w:hideMark/>
          </w:tcPr>
          <w:p w14:paraId="3D433D1E" w14:textId="77777777" w:rsidR="004367EF" w:rsidRPr="00C91975" w:rsidRDefault="004367EF" w:rsidP="00A16FC4">
            <w:pPr>
              <w:spacing w:after="0"/>
              <w:ind w:firstLine="76"/>
              <w:jc w:val="right"/>
              <w:rPr>
                <w:rFonts w:ascii="Arial Narrow" w:hAnsi="Arial Narrow"/>
                <w:sz w:val="18"/>
                <w:szCs w:val="18"/>
              </w:rPr>
            </w:pPr>
            <w:r>
              <w:rPr>
                <w:rFonts w:ascii="Arial Narrow" w:hAnsi="Arial Narrow"/>
                <w:sz w:val="18"/>
              </w:rPr>
              <w:t xml:space="preserve">            3,7 </w:t>
            </w:r>
          </w:p>
        </w:tc>
      </w:tr>
      <w:tr w:rsidR="004367EF" w:rsidRPr="00C91975" w14:paraId="5FF04AEE" w14:textId="77777777" w:rsidTr="00565DBB">
        <w:trPr>
          <w:trHeight w:val="227"/>
          <w:jc w:val="center"/>
        </w:trPr>
        <w:tc>
          <w:tcPr>
            <w:tcW w:w="2977" w:type="dxa"/>
            <w:tcBorders>
              <w:top w:val="nil"/>
              <w:left w:val="nil"/>
              <w:bottom w:val="single" w:sz="4" w:space="0" w:color="auto"/>
              <w:right w:val="nil"/>
            </w:tcBorders>
            <w:shd w:val="clear" w:color="000000" w:fill="D9D9D9"/>
            <w:noWrap/>
            <w:vAlign w:val="center"/>
            <w:hideMark/>
          </w:tcPr>
          <w:p w14:paraId="43180FD1" w14:textId="4F05E948" w:rsidR="004367EF" w:rsidRPr="00C91975" w:rsidRDefault="008E4AB0" w:rsidP="00A16FC4">
            <w:pPr>
              <w:spacing w:after="0"/>
              <w:ind w:firstLine="0"/>
              <w:rPr>
                <w:rFonts w:ascii="Arial Narrow" w:hAnsi="Arial Narrow"/>
                <w:b/>
                <w:bCs/>
                <w:i/>
                <w:iCs/>
                <w:sz w:val="18"/>
                <w:szCs w:val="18"/>
              </w:rPr>
            </w:pPr>
            <w:r>
              <w:rPr>
                <w:rFonts w:ascii="Arial Narrow" w:hAnsi="Arial Narrow"/>
                <w:b/>
                <w:i/>
                <w:sz w:val="18"/>
              </w:rPr>
              <w:t>Finantza-eragiketak</w:t>
            </w:r>
          </w:p>
        </w:tc>
        <w:tc>
          <w:tcPr>
            <w:tcW w:w="0" w:type="auto"/>
            <w:tcBorders>
              <w:top w:val="nil"/>
              <w:left w:val="nil"/>
              <w:bottom w:val="single" w:sz="4" w:space="0" w:color="auto"/>
              <w:right w:val="nil"/>
            </w:tcBorders>
            <w:shd w:val="clear" w:color="000000" w:fill="D9D9D9"/>
            <w:noWrap/>
            <w:vAlign w:val="center"/>
            <w:hideMark/>
          </w:tcPr>
          <w:p w14:paraId="0D239F84" w14:textId="77777777" w:rsidR="004367EF" w:rsidRPr="00C91975" w:rsidRDefault="004367EF" w:rsidP="00A16FC4">
            <w:pPr>
              <w:spacing w:after="0"/>
              <w:ind w:firstLine="0"/>
              <w:jc w:val="right"/>
              <w:rPr>
                <w:rFonts w:ascii="Arial Narrow" w:hAnsi="Arial Narrow"/>
                <w:b/>
                <w:bCs/>
                <w:i/>
                <w:iCs/>
                <w:color w:val="000000"/>
                <w:sz w:val="18"/>
                <w:szCs w:val="18"/>
              </w:rPr>
            </w:pPr>
            <w:r>
              <w:rPr>
                <w:rFonts w:ascii="Arial Narrow" w:hAnsi="Arial Narrow"/>
                <w:b/>
                <w:i/>
                <w:color w:val="000000"/>
                <w:sz w:val="18"/>
              </w:rPr>
              <w:t>44</w:t>
            </w:r>
          </w:p>
        </w:tc>
        <w:tc>
          <w:tcPr>
            <w:tcW w:w="0" w:type="auto"/>
            <w:tcBorders>
              <w:top w:val="nil"/>
              <w:left w:val="nil"/>
              <w:bottom w:val="single" w:sz="4" w:space="0" w:color="auto"/>
              <w:right w:val="nil"/>
            </w:tcBorders>
            <w:shd w:val="clear" w:color="000000" w:fill="D9D9D9"/>
            <w:noWrap/>
            <w:vAlign w:val="center"/>
            <w:hideMark/>
          </w:tcPr>
          <w:p w14:paraId="2AAB5595" w14:textId="77777777" w:rsidR="004367EF" w:rsidRPr="00C91975" w:rsidRDefault="004367EF" w:rsidP="00A16FC4">
            <w:pPr>
              <w:spacing w:after="0"/>
              <w:ind w:firstLine="79"/>
              <w:jc w:val="right"/>
              <w:rPr>
                <w:rFonts w:ascii="Arial Narrow" w:hAnsi="Arial Narrow"/>
                <w:b/>
                <w:bCs/>
                <w:i/>
                <w:iCs/>
                <w:sz w:val="18"/>
                <w:szCs w:val="18"/>
              </w:rPr>
            </w:pPr>
            <w:r>
              <w:rPr>
                <w:rFonts w:ascii="Arial Narrow" w:hAnsi="Arial Narrow"/>
                <w:b/>
                <w:i/>
                <w:sz w:val="18"/>
              </w:rPr>
              <w:t xml:space="preserve">             4,2 </w:t>
            </w:r>
          </w:p>
        </w:tc>
        <w:tc>
          <w:tcPr>
            <w:tcW w:w="0" w:type="auto"/>
            <w:tcBorders>
              <w:top w:val="nil"/>
              <w:left w:val="nil"/>
              <w:bottom w:val="single" w:sz="4" w:space="0" w:color="auto"/>
              <w:right w:val="nil"/>
            </w:tcBorders>
            <w:shd w:val="clear" w:color="000000" w:fill="D9D9D9"/>
            <w:noWrap/>
            <w:vAlign w:val="center"/>
            <w:hideMark/>
          </w:tcPr>
          <w:p w14:paraId="09FF0BAD" w14:textId="77777777" w:rsidR="004367EF" w:rsidRPr="00C91975" w:rsidRDefault="004367EF" w:rsidP="00A16FC4">
            <w:pPr>
              <w:spacing w:after="0"/>
              <w:ind w:firstLine="0"/>
              <w:jc w:val="right"/>
              <w:rPr>
                <w:rFonts w:ascii="Arial Narrow" w:hAnsi="Arial Narrow"/>
                <w:b/>
                <w:bCs/>
                <w:i/>
                <w:iCs/>
                <w:color w:val="000000"/>
                <w:sz w:val="18"/>
                <w:szCs w:val="18"/>
              </w:rPr>
            </w:pPr>
            <w:r>
              <w:rPr>
                <w:rFonts w:ascii="Arial Narrow" w:hAnsi="Arial Narrow"/>
                <w:b/>
                <w:i/>
                <w:color w:val="000000"/>
                <w:sz w:val="18"/>
              </w:rPr>
              <w:t>31</w:t>
            </w:r>
          </w:p>
        </w:tc>
        <w:tc>
          <w:tcPr>
            <w:tcW w:w="0" w:type="auto"/>
            <w:tcBorders>
              <w:top w:val="nil"/>
              <w:left w:val="nil"/>
              <w:bottom w:val="single" w:sz="4" w:space="0" w:color="auto"/>
              <w:right w:val="nil"/>
            </w:tcBorders>
            <w:shd w:val="clear" w:color="000000" w:fill="D9D9D9"/>
            <w:noWrap/>
            <w:vAlign w:val="center"/>
            <w:hideMark/>
          </w:tcPr>
          <w:p w14:paraId="186F9775" w14:textId="77777777" w:rsidR="004367EF" w:rsidRPr="00C91975" w:rsidRDefault="004367EF" w:rsidP="00A16FC4">
            <w:pPr>
              <w:spacing w:after="0"/>
              <w:ind w:firstLine="13"/>
              <w:jc w:val="right"/>
              <w:rPr>
                <w:rFonts w:ascii="Arial Narrow" w:hAnsi="Arial Narrow"/>
                <w:b/>
                <w:bCs/>
                <w:i/>
                <w:iCs/>
                <w:sz w:val="18"/>
                <w:szCs w:val="18"/>
              </w:rPr>
            </w:pPr>
            <w:r>
              <w:rPr>
                <w:rFonts w:ascii="Arial Narrow" w:hAnsi="Arial Narrow"/>
                <w:b/>
                <w:i/>
                <w:sz w:val="18"/>
              </w:rPr>
              <w:t xml:space="preserve">         2,3 </w:t>
            </w:r>
          </w:p>
        </w:tc>
        <w:tc>
          <w:tcPr>
            <w:tcW w:w="974" w:type="dxa"/>
            <w:tcBorders>
              <w:top w:val="nil"/>
              <w:left w:val="nil"/>
              <w:bottom w:val="single" w:sz="4" w:space="0" w:color="auto"/>
              <w:right w:val="nil"/>
            </w:tcBorders>
            <w:shd w:val="clear" w:color="000000" w:fill="D9D9D9"/>
            <w:noWrap/>
            <w:vAlign w:val="center"/>
            <w:hideMark/>
          </w:tcPr>
          <w:p w14:paraId="0C123268" w14:textId="77777777" w:rsidR="004367EF" w:rsidRPr="00C91975" w:rsidRDefault="004367EF" w:rsidP="00A16FC4">
            <w:pPr>
              <w:spacing w:after="0"/>
              <w:ind w:hanging="50"/>
              <w:jc w:val="right"/>
              <w:rPr>
                <w:rFonts w:ascii="Arial Narrow" w:hAnsi="Arial Narrow"/>
                <w:b/>
                <w:bCs/>
                <w:i/>
                <w:iCs/>
                <w:color w:val="000000"/>
                <w:sz w:val="18"/>
                <w:szCs w:val="18"/>
              </w:rPr>
            </w:pPr>
            <w:r>
              <w:rPr>
                <w:rFonts w:ascii="Arial Narrow" w:hAnsi="Arial Narrow"/>
                <w:b/>
                <w:i/>
                <w:color w:val="000000"/>
                <w:sz w:val="18"/>
              </w:rPr>
              <w:t>39</w:t>
            </w:r>
          </w:p>
        </w:tc>
        <w:tc>
          <w:tcPr>
            <w:tcW w:w="1019" w:type="dxa"/>
            <w:gridSpan w:val="2"/>
            <w:tcBorders>
              <w:top w:val="nil"/>
              <w:left w:val="nil"/>
              <w:bottom w:val="single" w:sz="4" w:space="0" w:color="auto"/>
              <w:right w:val="nil"/>
            </w:tcBorders>
            <w:shd w:val="clear" w:color="000000" w:fill="D9D9D9"/>
            <w:noWrap/>
            <w:vAlign w:val="center"/>
            <w:hideMark/>
          </w:tcPr>
          <w:p w14:paraId="31247D86" w14:textId="77777777" w:rsidR="004367EF" w:rsidRPr="00C91975" w:rsidRDefault="004367EF" w:rsidP="00A16FC4">
            <w:pPr>
              <w:spacing w:after="0"/>
              <w:ind w:firstLine="76"/>
              <w:jc w:val="right"/>
              <w:rPr>
                <w:rFonts w:ascii="Arial Narrow" w:hAnsi="Arial Narrow"/>
                <w:b/>
                <w:bCs/>
                <w:i/>
                <w:iCs/>
                <w:sz w:val="18"/>
                <w:szCs w:val="18"/>
              </w:rPr>
            </w:pPr>
            <w:r>
              <w:rPr>
                <w:rFonts w:ascii="Arial Narrow" w:hAnsi="Arial Narrow"/>
                <w:b/>
                <w:i/>
                <w:sz w:val="18"/>
              </w:rPr>
              <w:t xml:space="preserve">          3,9 </w:t>
            </w:r>
          </w:p>
        </w:tc>
      </w:tr>
      <w:tr w:rsidR="004367EF" w:rsidRPr="00EE13C5" w14:paraId="75DFECC2" w14:textId="77777777" w:rsidTr="00565DBB">
        <w:trPr>
          <w:trHeight w:val="227"/>
          <w:jc w:val="center"/>
        </w:trPr>
        <w:tc>
          <w:tcPr>
            <w:tcW w:w="2977" w:type="dxa"/>
            <w:tcBorders>
              <w:top w:val="nil"/>
              <w:left w:val="nil"/>
              <w:bottom w:val="single" w:sz="4" w:space="0" w:color="auto"/>
              <w:right w:val="nil"/>
            </w:tcBorders>
            <w:shd w:val="clear" w:color="auto" w:fill="FABF8F" w:themeFill="accent6" w:themeFillTint="99"/>
            <w:noWrap/>
            <w:vAlign w:val="center"/>
            <w:hideMark/>
          </w:tcPr>
          <w:p w14:paraId="207770B8" w14:textId="385B95B6" w:rsidR="004367EF" w:rsidRPr="00EE13C5" w:rsidRDefault="004367EF" w:rsidP="00A16FC4">
            <w:pPr>
              <w:spacing w:after="0"/>
              <w:ind w:firstLine="0"/>
              <w:rPr>
                <w:rFonts w:ascii="Arial" w:hAnsi="Arial" w:cs="Arial"/>
                <w:sz w:val="18"/>
                <w:szCs w:val="18"/>
              </w:rPr>
            </w:pPr>
            <w:r>
              <w:rPr>
                <w:rFonts w:ascii="Arial" w:hAnsi="Arial"/>
                <w:sz w:val="18"/>
              </w:rPr>
              <w:t>Guztira</w:t>
            </w:r>
          </w:p>
        </w:tc>
        <w:tc>
          <w:tcPr>
            <w:tcW w:w="0" w:type="auto"/>
            <w:tcBorders>
              <w:top w:val="nil"/>
              <w:left w:val="nil"/>
              <w:bottom w:val="single" w:sz="4" w:space="0" w:color="auto"/>
              <w:right w:val="nil"/>
            </w:tcBorders>
            <w:shd w:val="clear" w:color="auto" w:fill="FABF8F" w:themeFill="accent6" w:themeFillTint="99"/>
            <w:noWrap/>
            <w:vAlign w:val="center"/>
            <w:hideMark/>
          </w:tcPr>
          <w:p w14:paraId="212BF7AC" w14:textId="77777777" w:rsidR="004367EF" w:rsidRPr="00EE13C5" w:rsidRDefault="004367EF" w:rsidP="00A16FC4">
            <w:pPr>
              <w:spacing w:after="0"/>
              <w:ind w:firstLine="0"/>
              <w:jc w:val="right"/>
              <w:rPr>
                <w:rFonts w:ascii="Arial" w:hAnsi="Arial" w:cs="Arial"/>
                <w:bCs/>
                <w:sz w:val="18"/>
                <w:szCs w:val="18"/>
              </w:rPr>
            </w:pPr>
            <w:r>
              <w:rPr>
                <w:rFonts w:ascii="Arial" w:hAnsi="Arial"/>
                <w:sz w:val="18"/>
              </w:rPr>
              <w:t>1.051</w:t>
            </w:r>
          </w:p>
        </w:tc>
        <w:tc>
          <w:tcPr>
            <w:tcW w:w="0" w:type="auto"/>
            <w:tcBorders>
              <w:top w:val="nil"/>
              <w:left w:val="nil"/>
              <w:bottom w:val="single" w:sz="4" w:space="0" w:color="auto"/>
              <w:right w:val="nil"/>
            </w:tcBorders>
            <w:shd w:val="clear" w:color="auto" w:fill="FABF8F" w:themeFill="accent6" w:themeFillTint="99"/>
            <w:noWrap/>
            <w:vAlign w:val="center"/>
            <w:hideMark/>
          </w:tcPr>
          <w:p w14:paraId="2EC93722" w14:textId="77777777" w:rsidR="004367EF" w:rsidRPr="00EE13C5" w:rsidRDefault="004367EF" w:rsidP="00A16FC4">
            <w:pPr>
              <w:spacing w:after="0"/>
              <w:ind w:firstLine="79"/>
              <w:jc w:val="right"/>
              <w:rPr>
                <w:rFonts w:ascii="Arial" w:hAnsi="Arial" w:cs="Arial"/>
                <w:bCs/>
                <w:sz w:val="18"/>
                <w:szCs w:val="18"/>
              </w:rPr>
            </w:pPr>
            <w:r>
              <w:rPr>
                <w:rFonts w:ascii="Arial" w:hAnsi="Arial"/>
                <w:sz w:val="18"/>
              </w:rPr>
              <w:t>100</w:t>
            </w:r>
          </w:p>
        </w:tc>
        <w:tc>
          <w:tcPr>
            <w:tcW w:w="0" w:type="auto"/>
            <w:tcBorders>
              <w:top w:val="nil"/>
              <w:left w:val="nil"/>
              <w:bottom w:val="single" w:sz="4" w:space="0" w:color="auto"/>
              <w:right w:val="nil"/>
            </w:tcBorders>
            <w:shd w:val="clear" w:color="auto" w:fill="FABF8F" w:themeFill="accent6" w:themeFillTint="99"/>
            <w:noWrap/>
            <w:vAlign w:val="center"/>
            <w:hideMark/>
          </w:tcPr>
          <w:p w14:paraId="7854EF49" w14:textId="77777777" w:rsidR="004367EF" w:rsidRPr="00EE13C5" w:rsidRDefault="004367EF" w:rsidP="00A16FC4">
            <w:pPr>
              <w:spacing w:after="0"/>
              <w:ind w:firstLine="0"/>
              <w:jc w:val="right"/>
              <w:rPr>
                <w:rFonts w:ascii="Arial" w:hAnsi="Arial" w:cs="Arial"/>
                <w:bCs/>
                <w:sz w:val="18"/>
                <w:szCs w:val="18"/>
              </w:rPr>
            </w:pPr>
            <w:r>
              <w:rPr>
                <w:rFonts w:ascii="Arial" w:hAnsi="Arial"/>
                <w:sz w:val="18"/>
              </w:rPr>
              <w:t>1.311</w:t>
            </w:r>
          </w:p>
        </w:tc>
        <w:tc>
          <w:tcPr>
            <w:tcW w:w="0" w:type="auto"/>
            <w:tcBorders>
              <w:top w:val="nil"/>
              <w:left w:val="nil"/>
              <w:bottom w:val="single" w:sz="4" w:space="0" w:color="auto"/>
              <w:right w:val="nil"/>
            </w:tcBorders>
            <w:shd w:val="clear" w:color="auto" w:fill="FABF8F" w:themeFill="accent6" w:themeFillTint="99"/>
            <w:noWrap/>
            <w:vAlign w:val="center"/>
            <w:hideMark/>
          </w:tcPr>
          <w:p w14:paraId="6D6CBED9" w14:textId="77777777" w:rsidR="004367EF" w:rsidRPr="00EE13C5" w:rsidRDefault="004367EF" w:rsidP="00A16FC4">
            <w:pPr>
              <w:spacing w:after="0"/>
              <w:ind w:firstLine="13"/>
              <w:jc w:val="right"/>
              <w:rPr>
                <w:rFonts w:ascii="Arial" w:hAnsi="Arial" w:cs="Arial"/>
                <w:bCs/>
                <w:sz w:val="18"/>
                <w:szCs w:val="18"/>
              </w:rPr>
            </w:pPr>
            <w:r>
              <w:rPr>
                <w:rFonts w:ascii="Arial" w:hAnsi="Arial"/>
                <w:sz w:val="18"/>
              </w:rPr>
              <w:t>100</w:t>
            </w:r>
          </w:p>
        </w:tc>
        <w:tc>
          <w:tcPr>
            <w:tcW w:w="974" w:type="dxa"/>
            <w:tcBorders>
              <w:top w:val="nil"/>
              <w:left w:val="nil"/>
              <w:bottom w:val="single" w:sz="4" w:space="0" w:color="auto"/>
              <w:right w:val="nil"/>
            </w:tcBorders>
            <w:shd w:val="clear" w:color="auto" w:fill="FABF8F" w:themeFill="accent6" w:themeFillTint="99"/>
            <w:noWrap/>
            <w:vAlign w:val="center"/>
            <w:hideMark/>
          </w:tcPr>
          <w:p w14:paraId="7FE28A6E" w14:textId="77777777" w:rsidR="004367EF" w:rsidRPr="00EE13C5" w:rsidRDefault="004367EF" w:rsidP="00A16FC4">
            <w:pPr>
              <w:spacing w:after="0"/>
              <w:ind w:hanging="50"/>
              <w:jc w:val="right"/>
              <w:rPr>
                <w:rFonts w:ascii="Arial" w:hAnsi="Arial" w:cs="Arial"/>
                <w:bCs/>
                <w:sz w:val="18"/>
                <w:szCs w:val="18"/>
              </w:rPr>
            </w:pPr>
            <w:r>
              <w:rPr>
                <w:rFonts w:ascii="Arial" w:hAnsi="Arial"/>
                <w:sz w:val="18"/>
              </w:rPr>
              <w:t>1.014</w:t>
            </w:r>
          </w:p>
        </w:tc>
        <w:tc>
          <w:tcPr>
            <w:tcW w:w="1019" w:type="dxa"/>
            <w:gridSpan w:val="2"/>
            <w:tcBorders>
              <w:top w:val="nil"/>
              <w:left w:val="nil"/>
              <w:bottom w:val="single" w:sz="4" w:space="0" w:color="auto"/>
              <w:right w:val="nil"/>
            </w:tcBorders>
            <w:shd w:val="clear" w:color="auto" w:fill="FABF8F" w:themeFill="accent6" w:themeFillTint="99"/>
            <w:noWrap/>
            <w:vAlign w:val="center"/>
            <w:hideMark/>
          </w:tcPr>
          <w:p w14:paraId="30E5AB0D" w14:textId="77777777" w:rsidR="004367EF" w:rsidRPr="00EE13C5" w:rsidRDefault="004367EF" w:rsidP="00A16FC4">
            <w:pPr>
              <w:spacing w:after="0"/>
              <w:ind w:firstLine="76"/>
              <w:jc w:val="right"/>
              <w:rPr>
                <w:rFonts w:ascii="Arial" w:hAnsi="Arial" w:cs="Arial"/>
                <w:bCs/>
                <w:sz w:val="18"/>
                <w:szCs w:val="18"/>
              </w:rPr>
            </w:pPr>
            <w:r>
              <w:rPr>
                <w:rFonts w:ascii="Arial" w:hAnsi="Arial"/>
                <w:sz w:val="18"/>
              </w:rPr>
              <w:t>100</w:t>
            </w:r>
          </w:p>
        </w:tc>
      </w:tr>
    </w:tbl>
    <w:p w14:paraId="2A8AC2EB" w14:textId="77777777" w:rsidR="004367EF" w:rsidRDefault="004367EF" w:rsidP="00EE13C5">
      <w:pPr>
        <w:spacing w:after="0"/>
        <w:ind w:firstLine="284"/>
        <w:rPr>
          <w:rStyle w:val="textoCar"/>
          <w:szCs w:val="26"/>
        </w:rPr>
      </w:pPr>
    </w:p>
    <w:p w14:paraId="28646F57" w14:textId="77777777" w:rsidR="004367EF" w:rsidRDefault="004367EF" w:rsidP="004367EF">
      <w:pPr>
        <w:ind w:firstLine="284"/>
        <w:rPr>
          <w:rStyle w:val="textoCar"/>
          <w:szCs w:val="26"/>
        </w:rPr>
      </w:pPr>
      <w:r>
        <w:rPr>
          <w:rStyle w:val="textoCar"/>
        </w:rPr>
        <w:t>Diru-sarreren likidazioan, azpimarratzekoa da bai Nafarroan bai Estatuko gainerakoan diru-sarrera arruntek guztizkoaren ehuneko 90 inguru hartzen dutela, eta EAEn, berriz, ehuneko 96.</w:t>
      </w:r>
    </w:p>
    <w:p w14:paraId="30101866" w14:textId="656877CA" w:rsidR="00D35117" w:rsidRDefault="004C5885" w:rsidP="004367EF">
      <w:pPr>
        <w:ind w:firstLine="284"/>
        <w:rPr>
          <w:rStyle w:val="textoCar"/>
          <w:szCs w:val="26"/>
        </w:rPr>
      </w:pPr>
      <w:r>
        <w:rPr>
          <w:rStyle w:val="textoCar"/>
        </w:rPr>
        <w:lastRenderedPageBreak/>
        <w:t xml:space="preserve">Nafarroako udalen eta EAEkoen arteko alde nagusia transferentzia arrunten bidezko diru-sarreretan dago: Nafarroan 282 euro gutxiago dira biztanleko Euskal Autonomia Erkidegoan baino. Tasa, prezio publiko eta beste diru-sarrera batzuetan ere alde adierazgarria dago, Nafarroan 55 euro gutxiago baitira biztanleko Euskal Autonomia Erkidegoan baino. </w:t>
      </w:r>
    </w:p>
    <w:p w14:paraId="7484D8F1" w14:textId="77777777" w:rsidR="004367EF" w:rsidRDefault="004367EF" w:rsidP="004367EF">
      <w:pPr>
        <w:ind w:firstLine="284"/>
        <w:rPr>
          <w:rStyle w:val="textoCar"/>
          <w:szCs w:val="26"/>
        </w:rPr>
      </w:pPr>
      <w:r>
        <w:rPr>
          <w:rStyle w:val="textoCar"/>
        </w:rPr>
        <w:t>Diru-sarrera arruntak Estatuko gainerakoekin konparatzen direnean, aldiz, desberdintasun nagusia zuzeneko zergei dagokie, Nafarroan 107 euro gutxiago baitira biztanleko Estatuko gainerakoan baino.</w:t>
      </w:r>
    </w:p>
    <w:p w14:paraId="2783983A" w14:textId="35B4F2F8" w:rsidR="004367EF" w:rsidRDefault="004C5885" w:rsidP="004367EF">
      <w:pPr>
        <w:ind w:firstLine="284"/>
        <w:rPr>
          <w:rStyle w:val="textoCar"/>
          <w:szCs w:val="26"/>
        </w:rPr>
      </w:pPr>
      <w:r>
        <w:rPr>
          <w:rStyle w:val="textoCar"/>
        </w:rPr>
        <w:t>Kapital-transferentzien bitartez, Nafarroako udalek EAEkoek baino 65 euro gehiago jasotzen dituzte biztanleko, eta Estatuko gainerakoek baino 23 gehiago.</w:t>
      </w:r>
    </w:p>
    <w:p w14:paraId="7E73BA84" w14:textId="377EF87E" w:rsidR="004C5885" w:rsidRDefault="004367EF" w:rsidP="004367EF">
      <w:pPr>
        <w:ind w:firstLine="284"/>
        <w:rPr>
          <w:rStyle w:val="textoCar"/>
          <w:szCs w:val="26"/>
        </w:rPr>
      </w:pPr>
      <w:r>
        <w:rPr>
          <w:rStyle w:val="textoCar"/>
        </w:rPr>
        <w:t>Jasotako transferentzien bidezko diru-sarreretan Nafarroako udalek EAEkoekin dituzten alde nabarmenen arrazoia da, neurri handian, Nafarroan transferentzien zati garrantzitsu bat finalista dela, inbertsioak egiteari lotua, eta EAEn, aldiz, transferentzia gehienak ez direla finalistak eta, beraz, transferentzia arruntzat jotzen direla. Nolanahi ere, Nafarroako transferentzia arrunten eta kapital-transferentzien guztizko zenbatekoa EAEkoa baino 217 txikiagoa da. Hortik dator, ia osorik, guztizko diru-sarreren arteko aldea.</w:t>
      </w:r>
    </w:p>
    <w:p w14:paraId="38C744CD" w14:textId="191E313D" w:rsidR="004C5885" w:rsidRDefault="004367EF" w:rsidP="004367EF">
      <w:pPr>
        <w:ind w:firstLine="284"/>
        <w:rPr>
          <w:rStyle w:val="textoCar"/>
          <w:szCs w:val="26"/>
        </w:rPr>
      </w:pPr>
      <w:r>
        <w:rPr>
          <w:rStyle w:val="textoCar"/>
        </w:rPr>
        <w:t>Bestalde, Nafarroako udalen gastu arruntak EAEkoak eta Estatuko gainerakoak baino txikiagoak dira: 304 eta 31 euro gutxiago, hurrenez hurren. Kapital-gastuetan kontrakoa gertatzen da: Nafarroan 209 euro dira biztanleko, EAEn eta Estatuko gainerakoetan baino 31 eta 64 euro gehiago, hurrenez hurren.</w:t>
      </w:r>
    </w:p>
    <w:p w14:paraId="4FA74736" w14:textId="77777777" w:rsidR="004367EF" w:rsidRDefault="004367EF" w:rsidP="00EE13C5">
      <w:pPr>
        <w:spacing w:after="240"/>
        <w:ind w:firstLine="284"/>
        <w:rPr>
          <w:color w:val="000000" w:themeColor="text1"/>
          <w:spacing w:val="6"/>
          <w:sz w:val="26"/>
          <w:szCs w:val="24"/>
        </w:rPr>
      </w:pPr>
      <w:r>
        <w:rPr>
          <w:color w:val="000000" w:themeColor="text1"/>
          <w:sz w:val="26"/>
        </w:rPr>
        <w:t>Hona hemen zenbait adierazle, hiru eremuetarako:</w:t>
      </w:r>
    </w:p>
    <w:tbl>
      <w:tblPr>
        <w:tblW w:w="8622" w:type="dxa"/>
        <w:jc w:val="center"/>
        <w:tblCellMar>
          <w:left w:w="70" w:type="dxa"/>
          <w:right w:w="70" w:type="dxa"/>
        </w:tblCellMar>
        <w:tblLook w:val="04A0" w:firstRow="1" w:lastRow="0" w:firstColumn="1" w:lastColumn="0" w:noHBand="0" w:noVBand="1"/>
      </w:tblPr>
      <w:tblGrid>
        <w:gridCol w:w="3969"/>
        <w:gridCol w:w="932"/>
        <w:gridCol w:w="671"/>
        <w:gridCol w:w="831"/>
        <w:gridCol w:w="1110"/>
        <w:gridCol w:w="1109"/>
      </w:tblGrid>
      <w:tr w:rsidR="004367EF" w:rsidRPr="00EE13C5" w14:paraId="730E5241" w14:textId="77777777" w:rsidTr="005C70E8">
        <w:trPr>
          <w:trHeight w:val="227"/>
          <w:jc w:val="center"/>
        </w:trPr>
        <w:tc>
          <w:tcPr>
            <w:tcW w:w="3969" w:type="dxa"/>
            <w:tcBorders>
              <w:top w:val="single" w:sz="4" w:space="0" w:color="auto"/>
              <w:left w:val="nil"/>
              <w:bottom w:val="single" w:sz="4" w:space="0" w:color="auto"/>
              <w:right w:val="nil"/>
            </w:tcBorders>
            <w:shd w:val="clear" w:color="auto" w:fill="FABF8F" w:themeFill="accent6" w:themeFillTint="99"/>
            <w:vAlign w:val="center"/>
            <w:hideMark/>
          </w:tcPr>
          <w:p w14:paraId="1010C861" w14:textId="77777777" w:rsidR="004367EF" w:rsidRPr="00EE13C5" w:rsidRDefault="004367EF" w:rsidP="00EE13C5">
            <w:pPr>
              <w:pStyle w:val="cuadroCabe"/>
              <w:spacing w:line="240" w:lineRule="auto"/>
              <w:jc w:val="left"/>
              <w:rPr>
                <w:sz w:val="16"/>
                <w:szCs w:val="16"/>
              </w:rPr>
            </w:pPr>
            <w:r>
              <w:rPr>
                <w:sz w:val="16"/>
              </w:rPr>
              <w:t>Adierazlea</w:t>
            </w:r>
          </w:p>
        </w:tc>
        <w:tc>
          <w:tcPr>
            <w:tcW w:w="932" w:type="dxa"/>
            <w:tcBorders>
              <w:top w:val="single" w:sz="4" w:space="0" w:color="auto"/>
              <w:left w:val="nil"/>
              <w:bottom w:val="single" w:sz="4" w:space="0" w:color="auto"/>
              <w:right w:val="nil"/>
            </w:tcBorders>
            <w:shd w:val="clear" w:color="auto" w:fill="FABF8F" w:themeFill="accent6" w:themeFillTint="99"/>
            <w:vAlign w:val="center"/>
            <w:hideMark/>
          </w:tcPr>
          <w:p w14:paraId="6EE3DD98" w14:textId="77777777" w:rsidR="004367EF" w:rsidRPr="00EE13C5" w:rsidRDefault="004367EF" w:rsidP="00EE13C5">
            <w:pPr>
              <w:pStyle w:val="cuadroCabe"/>
              <w:spacing w:line="240" w:lineRule="auto"/>
              <w:jc w:val="right"/>
              <w:rPr>
                <w:sz w:val="16"/>
                <w:szCs w:val="16"/>
              </w:rPr>
            </w:pPr>
            <w:r>
              <w:rPr>
                <w:sz w:val="16"/>
              </w:rPr>
              <w:t>Nafarroa</w:t>
            </w:r>
          </w:p>
        </w:tc>
        <w:tc>
          <w:tcPr>
            <w:tcW w:w="671" w:type="dxa"/>
            <w:tcBorders>
              <w:top w:val="single" w:sz="4" w:space="0" w:color="auto"/>
              <w:left w:val="nil"/>
              <w:bottom w:val="single" w:sz="4" w:space="0" w:color="auto"/>
              <w:right w:val="nil"/>
            </w:tcBorders>
            <w:shd w:val="clear" w:color="auto" w:fill="FABF8F" w:themeFill="accent6" w:themeFillTint="99"/>
            <w:vAlign w:val="center"/>
            <w:hideMark/>
          </w:tcPr>
          <w:p w14:paraId="36B8FE70" w14:textId="77777777" w:rsidR="004367EF" w:rsidRPr="00EE13C5" w:rsidRDefault="004367EF" w:rsidP="00EE13C5">
            <w:pPr>
              <w:pStyle w:val="cuadroCabe"/>
              <w:spacing w:line="240" w:lineRule="auto"/>
              <w:jc w:val="right"/>
              <w:rPr>
                <w:sz w:val="16"/>
                <w:szCs w:val="16"/>
              </w:rPr>
            </w:pPr>
            <w:r>
              <w:rPr>
                <w:sz w:val="16"/>
              </w:rPr>
              <w:t>EAE</w:t>
            </w:r>
          </w:p>
        </w:tc>
        <w:tc>
          <w:tcPr>
            <w:tcW w:w="831" w:type="dxa"/>
            <w:tcBorders>
              <w:top w:val="single" w:sz="4" w:space="0" w:color="auto"/>
              <w:left w:val="nil"/>
              <w:bottom w:val="single" w:sz="4" w:space="0" w:color="auto"/>
              <w:right w:val="nil"/>
            </w:tcBorders>
            <w:shd w:val="clear" w:color="auto" w:fill="FABF8F" w:themeFill="accent6" w:themeFillTint="99"/>
            <w:vAlign w:val="center"/>
            <w:hideMark/>
          </w:tcPr>
          <w:p w14:paraId="7205F004" w14:textId="79838575" w:rsidR="004367EF" w:rsidRPr="00EE13C5" w:rsidRDefault="004367EF" w:rsidP="00EE13C5">
            <w:pPr>
              <w:pStyle w:val="cuadroCabe"/>
              <w:spacing w:line="240" w:lineRule="auto"/>
              <w:jc w:val="right"/>
              <w:rPr>
                <w:sz w:val="16"/>
                <w:szCs w:val="16"/>
              </w:rPr>
            </w:pPr>
            <w:r>
              <w:rPr>
                <w:sz w:val="16"/>
              </w:rPr>
              <w:t>Estatuko gainerakoak</w:t>
            </w:r>
          </w:p>
        </w:tc>
        <w:tc>
          <w:tcPr>
            <w:tcW w:w="1110" w:type="dxa"/>
            <w:tcBorders>
              <w:top w:val="single" w:sz="4" w:space="0" w:color="auto"/>
              <w:left w:val="nil"/>
              <w:bottom w:val="single" w:sz="4" w:space="0" w:color="auto"/>
              <w:right w:val="nil"/>
            </w:tcBorders>
            <w:shd w:val="clear" w:color="auto" w:fill="FABF8F" w:themeFill="accent6" w:themeFillTint="99"/>
            <w:vAlign w:val="center"/>
            <w:hideMark/>
          </w:tcPr>
          <w:p w14:paraId="68D5C7C8" w14:textId="414B4EFA" w:rsidR="004367EF" w:rsidRPr="00EE13C5" w:rsidRDefault="004367EF" w:rsidP="00EE13C5">
            <w:pPr>
              <w:pStyle w:val="cuadroCabe"/>
              <w:spacing w:line="240" w:lineRule="auto"/>
              <w:jc w:val="right"/>
              <w:rPr>
                <w:sz w:val="16"/>
                <w:szCs w:val="16"/>
              </w:rPr>
            </w:pPr>
            <w:r>
              <w:rPr>
                <w:sz w:val="16"/>
              </w:rPr>
              <w:t>Aldea: Nafarroa/EAE</w:t>
            </w:r>
          </w:p>
        </w:tc>
        <w:tc>
          <w:tcPr>
            <w:tcW w:w="1109" w:type="dxa"/>
            <w:tcBorders>
              <w:top w:val="single" w:sz="4" w:space="0" w:color="auto"/>
              <w:left w:val="nil"/>
              <w:bottom w:val="single" w:sz="4" w:space="0" w:color="auto"/>
              <w:right w:val="nil"/>
            </w:tcBorders>
            <w:shd w:val="clear" w:color="auto" w:fill="FABF8F" w:themeFill="accent6" w:themeFillTint="99"/>
            <w:vAlign w:val="center"/>
            <w:hideMark/>
          </w:tcPr>
          <w:p w14:paraId="6C5E2715" w14:textId="113EB43C" w:rsidR="004367EF" w:rsidRPr="00EE13C5" w:rsidRDefault="004367EF" w:rsidP="00EE13C5">
            <w:pPr>
              <w:pStyle w:val="cuadroCabe"/>
              <w:spacing w:line="240" w:lineRule="auto"/>
              <w:jc w:val="right"/>
              <w:rPr>
                <w:sz w:val="16"/>
                <w:szCs w:val="16"/>
              </w:rPr>
            </w:pPr>
            <w:r>
              <w:rPr>
                <w:sz w:val="16"/>
              </w:rPr>
              <w:t>Aldea: Nafarroa/Estatuko gainerakoak</w:t>
            </w:r>
          </w:p>
        </w:tc>
      </w:tr>
      <w:tr w:rsidR="004367EF" w:rsidRPr="00EA23FB" w14:paraId="7B8E8C85" w14:textId="77777777" w:rsidTr="00EE13C5">
        <w:trPr>
          <w:trHeight w:val="227"/>
          <w:jc w:val="center"/>
        </w:trPr>
        <w:tc>
          <w:tcPr>
            <w:tcW w:w="3969" w:type="dxa"/>
            <w:tcBorders>
              <w:top w:val="nil"/>
              <w:left w:val="nil"/>
              <w:bottom w:val="single" w:sz="4" w:space="0" w:color="auto"/>
              <w:right w:val="nil"/>
            </w:tcBorders>
            <w:shd w:val="clear" w:color="auto" w:fill="auto"/>
            <w:vAlign w:val="center"/>
            <w:hideMark/>
          </w:tcPr>
          <w:p w14:paraId="07766ABF" w14:textId="77777777" w:rsidR="004367EF" w:rsidRPr="008E43F9" w:rsidRDefault="004367EF" w:rsidP="00EE13C5">
            <w:pPr>
              <w:pStyle w:val="cuatexto"/>
              <w:spacing w:line="240" w:lineRule="auto"/>
              <w:jc w:val="left"/>
            </w:pPr>
            <w:r>
              <w:t>Diru-sarrera arruntak (biztanleko)</w:t>
            </w:r>
          </w:p>
        </w:tc>
        <w:tc>
          <w:tcPr>
            <w:tcW w:w="932" w:type="dxa"/>
            <w:tcBorders>
              <w:top w:val="nil"/>
              <w:left w:val="nil"/>
              <w:bottom w:val="single" w:sz="4" w:space="0" w:color="auto"/>
              <w:right w:val="nil"/>
            </w:tcBorders>
            <w:shd w:val="clear" w:color="auto" w:fill="auto"/>
            <w:vAlign w:val="center"/>
            <w:hideMark/>
          </w:tcPr>
          <w:p w14:paraId="64E9E0D9" w14:textId="77777777" w:rsidR="004367EF" w:rsidRPr="008E43F9" w:rsidRDefault="004367EF" w:rsidP="00EE13C5">
            <w:pPr>
              <w:pStyle w:val="cuatexto"/>
              <w:spacing w:line="240" w:lineRule="auto"/>
              <w:jc w:val="right"/>
            </w:pPr>
            <w:r>
              <w:t>1.002</w:t>
            </w:r>
          </w:p>
        </w:tc>
        <w:tc>
          <w:tcPr>
            <w:tcW w:w="671" w:type="dxa"/>
            <w:tcBorders>
              <w:top w:val="nil"/>
              <w:left w:val="nil"/>
              <w:bottom w:val="single" w:sz="4" w:space="0" w:color="auto"/>
              <w:right w:val="nil"/>
            </w:tcBorders>
            <w:shd w:val="clear" w:color="auto" w:fill="auto"/>
            <w:vAlign w:val="center"/>
            <w:hideMark/>
          </w:tcPr>
          <w:p w14:paraId="7B63DF43" w14:textId="77777777" w:rsidR="004367EF" w:rsidRPr="008E43F9" w:rsidRDefault="004367EF" w:rsidP="00EE13C5">
            <w:pPr>
              <w:pStyle w:val="cuatexto"/>
              <w:spacing w:line="240" w:lineRule="auto"/>
              <w:jc w:val="right"/>
            </w:pPr>
            <w:r>
              <w:t>1.291</w:t>
            </w:r>
          </w:p>
        </w:tc>
        <w:tc>
          <w:tcPr>
            <w:tcW w:w="831" w:type="dxa"/>
            <w:tcBorders>
              <w:top w:val="nil"/>
              <w:left w:val="nil"/>
              <w:bottom w:val="single" w:sz="4" w:space="0" w:color="auto"/>
              <w:right w:val="nil"/>
            </w:tcBorders>
            <w:shd w:val="clear" w:color="auto" w:fill="auto"/>
            <w:vAlign w:val="center"/>
            <w:hideMark/>
          </w:tcPr>
          <w:p w14:paraId="417905E6" w14:textId="77777777" w:rsidR="004367EF" w:rsidRPr="008E43F9" w:rsidRDefault="004367EF" w:rsidP="00EE13C5">
            <w:pPr>
              <w:pStyle w:val="cuatexto"/>
              <w:spacing w:line="240" w:lineRule="auto"/>
              <w:jc w:val="right"/>
            </w:pPr>
            <w:r>
              <w:t>1.007</w:t>
            </w:r>
          </w:p>
        </w:tc>
        <w:tc>
          <w:tcPr>
            <w:tcW w:w="1110" w:type="dxa"/>
            <w:tcBorders>
              <w:top w:val="nil"/>
              <w:left w:val="nil"/>
              <w:bottom w:val="single" w:sz="4" w:space="0" w:color="auto"/>
              <w:right w:val="nil"/>
            </w:tcBorders>
            <w:shd w:val="clear" w:color="auto" w:fill="auto"/>
            <w:vAlign w:val="center"/>
            <w:hideMark/>
          </w:tcPr>
          <w:p w14:paraId="5AE42C6F" w14:textId="77777777" w:rsidR="004367EF" w:rsidRPr="008E43F9" w:rsidRDefault="004367EF" w:rsidP="00EE13C5">
            <w:pPr>
              <w:pStyle w:val="cuatexto"/>
              <w:spacing w:line="240" w:lineRule="auto"/>
              <w:jc w:val="right"/>
            </w:pPr>
            <w:r>
              <w:t xml:space="preserve">-289 </w:t>
            </w:r>
          </w:p>
        </w:tc>
        <w:tc>
          <w:tcPr>
            <w:tcW w:w="1109" w:type="dxa"/>
            <w:tcBorders>
              <w:top w:val="nil"/>
              <w:left w:val="nil"/>
              <w:bottom w:val="single" w:sz="4" w:space="0" w:color="auto"/>
              <w:right w:val="nil"/>
            </w:tcBorders>
            <w:shd w:val="clear" w:color="auto" w:fill="auto"/>
            <w:vAlign w:val="center"/>
            <w:hideMark/>
          </w:tcPr>
          <w:p w14:paraId="7E897D08" w14:textId="77777777" w:rsidR="004367EF" w:rsidRPr="008E43F9" w:rsidRDefault="004367EF" w:rsidP="00EE13C5">
            <w:pPr>
              <w:pStyle w:val="cuatexto"/>
              <w:spacing w:line="240" w:lineRule="auto"/>
              <w:jc w:val="right"/>
            </w:pPr>
            <w:r>
              <w:t xml:space="preserve">-5 </w:t>
            </w:r>
          </w:p>
        </w:tc>
      </w:tr>
      <w:tr w:rsidR="004367EF" w:rsidRPr="00EA23FB" w14:paraId="4F8E22C2"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26B1CAD2" w14:textId="77777777" w:rsidR="004367EF" w:rsidRPr="008E43F9" w:rsidRDefault="004367EF" w:rsidP="00EE13C5">
            <w:pPr>
              <w:pStyle w:val="cuatexto"/>
              <w:spacing w:line="240" w:lineRule="auto"/>
              <w:jc w:val="left"/>
            </w:pPr>
            <w:r>
              <w:t>Funtzionamendu gastuak (biztanleko)</w:t>
            </w:r>
          </w:p>
        </w:tc>
        <w:tc>
          <w:tcPr>
            <w:tcW w:w="932" w:type="dxa"/>
            <w:tcBorders>
              <w:top w:val="single" w:sz="4" w:space="0" w:color="auto"/>
              <w:left w:val="nil"/>
              <w:bottom w:val="single" w:sz="4" w:space="0" w:color="auto"/>
              <w:right w:val="nil"/>
            </w:tcBorders>
            <w:shd w:val="clear" w:color="auto" w:fill="auto"/>
            <w:vAlign w:val="center"/>
            <w:hideMark/>
          </w:tcPr>
          <w:p w14:paraId="0DBEA18D" w14:textId="77777777" w:rsidR="004367EF" w:rsidRPr="008E43F9" w:rsidRDefault="004367EF" w:rsidP="00EE13C5">
            <w:pPr>
              <w:pStyle w:val="cuatexto"/>
              <w:spacing w:line="240" w:lineRule="auto"/>
              <w:jc w:val="right"/>
            </w:pPr>
            <w:r>
              <w:t>796</w:t>
            </w:r>
          </w:p>
        </w:tc>
        <w:tc>
          <w:tcPr>
            <w:tcW w:w="671" w:type="dxa"/>
            <w:tcBorders>
              <w:top w:val="single" w:sz="4" w:space="0" w:color="auto"/>
              <w:left w:val="nil"/>
              <w:bottom w:val="single" w:sz="4" w:space="0" w:color="auto"/>
              <w:right w:val="nil"/>
            </w:tcBorders>
            <w:shd w:val="clear" w:color="auto" w:fill="auto"/>
            <w:vAlign w:val="center"/>
            <w:hideMark/>
          </w:tcPr>
          <w:p w14:paraId="654847BB" w14:textId="77777777" w:rsidR="004367EF" w:rsidRPr="008E43F9" w:rsidRDefault="004367EF" w:rsidP="00EE13C5">
            <w:pPr>
              <w:pStyle w:val="cuatexto"/>
              <w:spacing w:line="240" w:lineRule="auto"/>
              <w:jc w:val="right"/>
            </w:pPr>
            <w:r>
              <w:t>1.101</w:t>
            </w:r>
          </w:p>
        </w:tc>
        <w:tc>
          <w:tcPr>
            <w:tcW w:w="831" w:type="dxa"/>
            <w:tcBorders>
              <w:top w:val="single" w:sz="4" w:space="0" w:color="auto"/>
              <w:left w:val="nil"/>
              <w:bottom w:val="single" w:sz="4" w:space="0" w:color="auto"/>
              <w:right w:val="nil"/>
            </w:tcBorders>
            <w:shd w:val="clear" w:color="auto" w:fill="auto"/>
            <w:vAlign w:val="center"/>
            <w:hideMark/>
          </w:tcPr>
          <w:p w14:paraId="20F4C2E7" w14:textId="77777777" w:rsidR="004367EF" w:rsidRPr="008E43F9" w:rsidRDefault="004367EF" w:rsidP="00EE13C5">
            <w:pPr>
              <w:pStyle w:val="cuatexto"/>
              <w:spacing w:line="240" w:lineRule="auto"/>
              <w:jc w:val="right"/>
            </w:pPr>
            <w:r>
              <w:t>824</w:t>
            </w:r>
          </w:p>
        </w:tc>
        <w:tc>
          <w:tcPr>
            <w:tcW w:w="1110" w:type="dxa"/>
            <w:tcBorders>
              <w:top w:val="single" w:sz="4" w:space="0" w:color="auto"/>
              <w:left w:val="nil"/>
              <w:bottom w:val="single" w:sz="4" w:space="0" w:color="auto"/>
              <w:right w:val="nil"/>
            </w:tcBorders>
            <w:shd w:val="clear" w:color="auto" w:fill="auto"/>
            <w:vAlign w:val="center"/>
            <w:hideMark/>
          </w:tcPr>
          <w:p w14:paraId="68E5D5F5" w14:textId="77777777" w:rsidR="004367EF" w:rsidRPr="008E43F9" w:rsidRDefault="004367EF" w:rsidP="00EE13C5">
            <w:pPr>
              <w:pStyle w:val="cuatexto"/>
              <w:spacing w:line="240" w:lineRule="auto"/>
              <w:jc w:val="right"/>
            </w:pPr>
            <w:r>
              <w:t xml:space="preserve">-305 </w:t>
            </w:r>
          </w:p>
        </w:tc>
        <w:tc>
          <w:tcPr>
            <w:tcW w:w="1109" w:type="dxa"/>
            <w:tcBorders>
              <w:top w:val="single" w:sz="4" w:space="0" w:color="auto"/>
              <w:left w:val="nil"/>
              <w:bottom w:val="single" w:sz="4" w:space="0" w:color="auto"/>
              <w:right w:val="nil"/>
            </w:tcBorders>
            <w:shd w:val="clear" w:color="auto" w:fill="auto"/>
            <w:vAlign w:val="center"/>
            <w:hideMark/>
          </w:tcPr>
          <w:p w14:paraId="544E0121" w14:textId="77777777" w:rsidR="004367EF" w:rsidRPr="008E43F9" w:rsidRDefault="004367EF" w:rsidP="00EE13C5">
            <w:pPr>
              <w:pStyle w:val="cuatexto"/>
              <w:spacing w:line="240" w:lineRule="auto"/>
              <w:jc w:val="right"/>
            </w:pPr>
            <w:r>
              <w:t xml:space="preserve">-28 </w:t>
            </w:r>
          </w:p>
        </w:tc>
      </w:tr>
      <w:tr w:rsidR="004367EF" w:rsidRPr="00EA23FB" w14:paraId="4ECFF61E"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1AD8492A" w14:textId="77777777" w:rsidR="004367EF" w:rsidRPr="008E43F9" w:rsidRDefault="004367EF" w:rsidP="00EE13C5">
            <w:pPr>
              <w:pStyle w:val="cuatexto"/>
              <w:spacing w:line="240" w:lineRule="auto"/>
              <w:jc w:val="left"/>
            </w:pPr>
            <w:r>
              <w:t>Finantza-zama (biztanleko)</w:t>
            </w:r>
          </w:p>
        </w:tc>
        <w:tc>
          <w:tcPr>
            <w:tcW w:w="932" w:type="dxa"/>
            <w:tcBorders>
              <w:top w:val="single" w:sz="4" w:space="0" w:color="auto"/>
              <w:left w:val="nil"/>
              <w:bottom w:val="single" w:sz="4" w:space="0" w:color="auto"/>
              <w:right w:val="nil"/>
            </w:tcBorders>
            <w:shd w:val="clear" w:color="auto" w:fill="auto"/>
            <w:vAlign w:val="center"/>
            <w:hideMark/>
          </w:tcPr>
          <w:p w14:paraId="767B9E2E" w14:textId="77777777" w:rsidR="004367EF" w:rsidRPr="008E43F9" w:rsidRDefault="004367EF" w:rsidP="00EE13C5">
            <w:pPr>
              <w:pStyle w:val="cuatexto"/>
              <w:spacing w:line="240" w:lineRule="auto"/>
              <w:jc w:val="right"/>
            </w:pPr>
            <w:r>
              <w:t>43</w:t>
            </w:r>
          </w:p>
        </w:tc>
        <w:tc>
          <w:tcPr>
            <w:tcW w:w="671" w:type="dxa"/>
            <w:tcBorders>
              <w:top w:val="single" w:sz="4" w:space="0" w:color="auto"/>
              <w:left w:val="nil"/>
              <w:bottom w:val="single" w:sz="4" w:space="0" w:color="auto"/>
              <w:right w:val="nil"/>
            </w:tcBorders>
            <w:shd w:val="clear" w:color="auto" w:fill="auto"/>
            <w:vAlign w:val="center"/>
            <w:hideMark/>
          </w:tcPr>
          <w:p w14:paraId="7F704750" w14:textId="77777777" w:rsidR="004367EF" w:rsidRPr="008E43F9" w:rsidRDefault="004367EF" w:rsidP="00EE13C5">
            <w:pPr>
              <w:pStyle w:val="cuatexto"/>
              <w:spacing w:line="240" w:lineRule="auto"/>
              <w:jc w:val="right"/>
            </w:pPr>
            <w:r>
              <w:t>31</w:t>
            </w:r>
          </w:p>
        </w:tc>
        <w:tc>
          <w:tcPr>
            <w:tcW w:w="831" w:type="dxa"/>
            <w:tcBorders>
              <w:top w:val="single" w:sz="4" w:space="0" w:color="auto"/>
              <w:left w:val="nil"/>
              <w:bottom w:val="single" w:sz="4" w:space="0" w:color="auto"/>
              <w:right w:val="nil"/>
            </w:tcBorders>
            <w:shd w:val="clear" w:color="auto" w:fill="auto"/>
            <w:vAlign w:val="center"/>
            <w:hideMark/>
          </w:tcPr>
          <w:p w14:paraId="116CCAF7" w14:textId="77777777" w:rsidR="004367EF" w:rsidRPr="008E43F9" w:rsidRDefault="004367EF" w:rsidP="00EE13C5">
            <w:pPr>
              <w:pStyle w:val="cuatexto"/>
              <w:spacing w:line="240" w:lineRule="auto"/>
              <w:jc w:val="right"/>
            </w:pPr>
            <w:r>
              <w:t>44</w:t>
            </w:r>
          </w:p>
        </w:tc>
        <w:tc>
          <w:tcPr>
            <w:tcW w:w="1110" w:type="dxa"/>
            <w:tcBorders>
              <w:top w:val="single" w:sz="4" w:space="0" w:color="auto"/>
              <w:left w:val="nil"/>
              <w:bottom w:val="single" w:sz="4" w:space="0" w:color="auto"/>
              <w:right w:val="nil"/>
            </w:tcBorders>
            <w:shd w:val="clear" w:color="auto" w:fill="auto"/>
            <w:vAlign w:val="center"/>
            <w:hideMark/>
          </w:tcPr>
          <w:p w14:paraId="15B325CC" w14:textId="77777777" w:rsidR="004367EF" w:rsidRPr="008E43F9" w:rsidRDefault="004367EF" w:rsidP="00EE13C5">
            <w:pPr>
              <w:pStyle w:val="cuatexto"/>
              <w:spacing w:line="240" w:lineRule="auto"/>
              <w:jc w:val="right"/>
            </w:pPr>
            <w:r>
              <w:t xml:space="preserve">12 </w:t>
            </w:r>
          </w:p>
        </w:tc>
        <w:tc>
          <w:tcPr>
            <w:tcW w:w="1109" w:type="dxa"/>
            <w:tcBorders>
              <w:top w:val="single" w:sz="4" w:space="0" w:color="auto"/>
              <w:left w:val="nil"/>
              <w:bottom w:val="single" w:sz="4" w:space="0" w:color="auto"/>
              <w:right w:val="nil"/>
            </w:tcBorders>
            <w:shd w:val="clear" w:color="auto" w:fill="auto"/>
            <w:vAlign w:val="center"/>
            <w:hideMark/>
          </w:tcPr>
          <w:p w14:paraId="14BDC234" w14:textId="77777777" w:rsidR="004367EF" w:rsidRPr="008E43F9" w:rsidRDefault="004367EF" w:rsidP="00EE13C5">
            <w:pPr>
              <w:pStyle w:val="cuatexto"/>
              <w:spacing w:line="240" w:lineRule="auto"/>
              <w:jc w:val="right"/>
            </w:pPr>
            <w:r>
              <w:t xml:space="preserve">-1 </w:t>
            </w:r>
          </w:p>
        </w:tc>
      </w:tr>
      <w:tr w:rsidR="004367EF" w:rsidRPr="00EA23FB" w14:paraId="7666EBD4"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1B21C3B4" w14:textId="77777777" w:rsidR="004367EF" w:rsidRPr="008E43F9" w:rsidRDefault="004367EF" w:rsidP="00EE13C5">
            <w:pPr>
              <w:pStyle w:val="cuatexto"/>
              <w:spacing w:line="240" w:lineRule="auto"/>
              <w:jc w:val="left"/>
            </w:pPr>
            <w:r>
              <w:t>Aurrezki gordina (biztanleko)</w:t>
            </w:r>
          </w:p>
        </w:tc>
        <w:tc>
          <w:tcPr>
            <w:tcW w:w="932" w:type="dxa"/>
            <w:tcBorders>
              <w:top w:val="single" w:sz="4" w:space="0" w:color="auto"/>
              <w:left w:val="nil"/>
              <w:bottom w:val="single" w:sz="4" w:space="0" w:color="auto"/>
              <w:right w:val="nil"/>
            </w:tcBorders>
            <w:shd w:val="clear" w:color="auto" w:fill="auto"/>
            <w:vAlign w:val="center"/>
            <w:hideMark/>
          </w:tcPr>
          <w:p w14:paraId="795D8BF5" w14:textId="77777777" w:rsidR="004367EF" w:rsidRPr="008E43F9" w:rsidRDefault="004367EF" w:rsidP="00EE13C5">
            <w:pPr>
              <w:pStyle w:val="cuatexto"/>
              <w:spacing w:line="240" w:lineRule="auto"/>
              <w:jc w:val="right"/>
            </w:pPr>
            <w:r>
              <w:t>206</w:t>
            </w:r>
          </w:p>
        </w:tc>
        <w:tc>
          <w:tcPr>
            <w:tcW w:w="671" w:type="dxa"/>
            <w:tcBorders>
              <w:top w:val="single" w:sz="4" w:space="0" w:color="auto"/>
              <w:left w:val="nil"/>
              <w:bottom w:val="single" w:sz="4" w:space="0" w:color="auto"/>
              <w:right w:val="nil"/>
            </w:tcBorders>
            <w:shd w:val="clear" w:color="auto" w:fill="auto"/>
            <w:vAlign w:val="center"/>
            <w:hideMark/>
          </w:tcPr>
          <w:p w14:paraId="14CF1F5B" w14:textId="77777777" w:rsidR="004367EF" w:rsidRPr="008E43F9" w:rsidRDefault="004367EF" w:rsidP="00EE13C5">
            <w:pPr>
              <w:pStyle w:val="cuatexto"/>
              <w:spacing w:line="240" w:lineRule="auto"/>
              <w:jc w:val="right"/>
            </w:pPr>
            <w:r>
              <w:t>190</w:t>
            </w:r>
          </w:p>
        </w:tc>
        <w:tc>
          <w:tcPr>
            <w:tcW w:w="831" w:type="dxa"/>
            <w:tcBorders>
              <w:top w:val="single" w:sz="4" w:space="0" w:color="auto"/>
              <w:left w:val="nil"/>
              <w:bottom w:val="single" w:sz="4" w:space="0" w:color="auto"/>
              <w:right w:val="nil"/>
            </w:tcBorders>
            <w:shd w:val="clear" w:color="auto" w:fill="auto"/>
            <w:vAlign w:val="center"/>
            <w:hideMark/>
          </w:tcPr>
          <w:p w14:paraId="68F2A885" w14:textId="77777777" w:rsidR="004367EF" w:rsidRPr="008E43F9" w:rsidRDefault="004367EF" w:rsidP="00EE13C5">
            <w:pPr>
              <w:pStyle w:val="cuatexto"/>
              <w:spacing w:line="240" w:lineRule="auto"/>
              <w:jc w:val="right"/>
            </w:pPr>
            <w:r>
              <w:t>184</w:t>
            </w:r>
          </w:p>
        </w:tc>
        <w:tc>
          <w:tcPr>
            <w:tcW w:w="1110" w:type="dxa"/>
            <w:tcBorders>
              <w:top w:val="single" w:sz="4" w:space="0" w:color="auto"/>
              <w:left w:val="nil"/>
              <w:bottom w:val="single" w:sz="4" w:space="0" w:color="auto"/>
              <w:right w:val="nil"/>
            </w:tcBorders>
            <w:shd w:val="clear" w:color="auto" w:fill="auto"/>
            <w:vAlign w:val="center"/>
            <w:hideMark/>
          </w:tcPr>
          <w:p w14:paraId="4037D494" w14:textId="77777777" w:rsidR="004367EF" w:rsidRPr="008E43F9" w:rsidRDefault="004367EF" w:rsidP="00EE13C5">
            <w:pPr>
              <w:pStyle w:val="cuatexto"/>
              <w:spacing w:line="240" w:lineRule="auto"/>
              <w:jc w:val="right"/>
            </w:pPr>
            <w:r>
              <w:t xml:space="preserve">16 </w:t>
            </w:r>
          </w:p>
        </w:tc>
        <w:tc>
          <w:tcPr>
            <w:tcW w:w="1109" w:type="dxa"/>
            <w:tcBorders>
              <w:top w:val="single" w:sz="4" w:space="0" w:color="auto"/>
              <w:left w:val="nil"/>
              <w:bottom w:val="single" w:sz="4" w:space="0" w:color="auto"/>
              <w:right w:val="nil"/>
            </w:tcBorders>
            <w:shd w:val="clear" w:color="auto" w:fill="auto"/>
            <w:vAlign w:val="center"/>
            <w:hideMark/>
          </w:tcPr>
          <w:p w14:paraId="38E2F893" w14:textId="77777777" w:rsidR="004367EF" w:rsidRPr="008E43F9" w:rsidRDefault="004367EF" w:rsidP="00EE13C5">
            <w:pPr>
              <w:pStyle w:val="cuatexto"/>
              <w:spacing w:line="240" w:lineRule="auto"/>
              <w:jc w:val="right"/>
            </w:pPr>
            <w:r>
              <w:t xml:space="preserve">23 </w:t>
            </w:r>
          </w:p>
        </w:tc>
      </w:tr>
      <w:tr w:rsidR="004367EF" w:rsidRPr="00EA23FB" w14:paraId="30BD1B2A"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65720858" w14:textId="77777777" w:rsidR="004367EF" w:rsidRPr="008E43F9" w:rsidRDefault="004367EF" w:rsidP="00EE13C5">
            <w:pPr>
              <w:pStyle w:val="cuatexto"/>
              <w:spacing w:line="240" w:lineRule="auto"/>
              <w:jc w:val="left"/>
            </w:pPr>
            <w:r>
              <w:t>Aurrezki garbia (biztanleko)</w:t>
            </w:r>
          </w:p>
        </w:tc>
        <w:tc>
          <w:tcPr>
            <w:tcW w:w="932" w:type="dxa"/>
            <w:tcBorders>
              <w:top w:val="single" w:sz="4" w:space="0" w:color="auto"/>
              <w:left w:val="nil"/>
              <w:bottom w:val="single" w:sz="4" w:space="0" w:color="auto"/>
              <w:right w:val="nil"/>
            </w:tcBorders>
            <w:shd w:val="clear" w:color="auto" w:fill="auto"/>
            <w:vAlign w:val="center"/>
            <w:hideMark/>
          </w:tcPr>
          <w:p w14:paraId="62B6FA33" w14:textId="77777777" w:rsidR="004367EF" w:rsidRPr="008E43F9" w:rsidRDefault="004367EF" w:rsidP="00EE13C5">
            <w:pPr>
              <w:pStyle w:val="cuatexto"/>
              <w:spacing w:line="240" w:lineRule="auto"/>
              <w:jc w:val="right"/>
            </w:pPr>
            <w:r>
              <w:t>164</w:t>
            </w:r>
          </w:p>
        </w:tc>
        <w:tc>
          <w:tcPr>
            <w:tcW w:w="671" w:type="dxa"/>
            <w:tcBorders>
              <w:top w:val="single" w:sz="4" w:space="0" w:color="auto"/>
              <w:left w:val="nil"/>
              <w:bottom w:val="single" w:sz="4" w:space="0" w:color="auto"/>
              <w:right w:val="nil"/>
            </w:tcBorders>
            <w:shd w:val="clear" w:color="auto" w:fill="auto"/>
            <w:vAlign w:val="center"/>
            <w:hideMark/>
          </w:tcPr>
          <w:p w14:paraId="20A95564" w14:textId="77777777" w:rsidR="004367EF" w:rsidRPr="008E43F9" w:rsidRDefault="004367EF" w:rsidP="00EE13C5">
            <w:pPr>
              <w:pStyle w:val="cuatexto"/>
              <w:spacing w:line="240" w:lineRule="auto"/>
              <w:jc w:val="right"/>
            </w:pPr>
            <w:r>
              <w:t>159</w:t>
            </w:r>
          </w:p>
        </w:tc>
        <w:tc>
          <w:tcPr>
            <w:tcW w:w="831" w:type="dxa"/>
            <w:tcBorders>
              <w:top w:val="single" w:sz="4" w:space="0" w:color="auto"/>
              <w:left w:val="nil"/>
              <w:bottom w:val="single" w:sz="4" w:space="0" w:color="auto"/>
              <w:right w:val="nil"/>
            </w:tcBorders>
            <w:shd w:val="clear" w:color="auto" w:fill="auto"/>
            <w:vAlign w:val="center"/>
            <w:hideMark/>
          </w:tcPr>
          <w:p w14:paraId="1B3D8F28" w14:textId="77777777" w:rsidR="004367EF" w:rsidRPr="008E43F9" w:rsidRDefault="004367EF" w:rsidP="00EE13C5">
            <w:pPr>
              <w:pStyle w:val="cuatexto"/>
              <w:spacing w:line="240" w:lineRule="auto"/>
              <w:jc w:val="right"/>
            </w:pPr>
            <w:r>
              <w:t>140</w:t>
            </w:r>
          </w:p>
        </w:tc>
        <w:tc>
          <w:tcPr>
            <w:tcW w:w="1110" w:type="dxa"/>
            <w:tcBorders>
              <w:top w:val="single" w:sz="4" w:space="0" w:color="auto"/>
              <w:left w:val="nil"/>
              <w:bottom w:val="single" w:sz="4" w:space="0" w:color="auto"/>
              <w:right w:val="nil"/>
            </w:tcBorders>
            <w:shd w:val="clear" w:color="auto" w:fill="auto"/>
            <w:vAlign w:val="center"/>
            <w:hideMark/>
          </w:tcPr>
          <w:p w14:paraId="23A9C35B" w14:textId="77777777" w:rsidR="004367EF" w:rsidRPr="008E43F9" w:rsidRDefault="004367EF" w:rsidP="00EE13C5">
            <w:pPr>
              <w:pStyle w:val="cuatexto"/>
              <w:spacing w:line="240" w:lineRule="auto"/>
              <w:jc w:val="right"/>
            </w:pPr>
            <w:r>
              <w:t xml:space="preserve">4 </w:t>
            </w:r>
          </w:p>
        </w:tc>
        <w:tc>
          <w:tcPr>
            <w:tcW w:w="1109" w:type="dxa"/>
            <w:tcBorders>
              <w:top w:val="single" w:sz="4" w:space="0" w:color="auto"/>
              <w:left w:val="nil"/>
              <w:bottom w:val="single" w:sz="4" w:space="0" w:color="auto"/>
              <w:right w:val="nil"/>
            </w:tcBorders>
            <w:shd w:val="clear" w:color="auto" w:fill="auto"/>
            <w:vAlign w:val="center"/>
            <w:hideMark/>
          </w:tcPr>
          <w:p w14:paraId="42B83B06" w14:textId="77777777" w:rsidR="004367EF" w:rsidRPr="008E43F9" w:rsidRDefault="004367EF" w:rsidP="00EE13C5">
            <w:pPr>
              <w:pStyle w:val="cuatexto"/>
              <w:spacing w:line="240" w:lineRule="auto"/>
              <w:jc w:val="right"/>
            </w:pPr>
            <w:r>
              <w:t xml:space="preserve">24 </w:t>
            </w:r>
          </w:p>
        </w:tc>
      </w:tr>
      <w:tr w:rsidR="004367EF" w:rsidRPr="00EA23FB" w14:paraId="573D9331"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61C7E6C2" w14:textId="77777777" w:rsidR="004367EF" w:rsidRPr="008E43F9" w:rsidRDefault="004367EF" w:rsidP="00EE13C5">
            <w:pPr>
              <w:pStyle w:val="cuatexto"/>
              <w:spacing w:line="240" w:lineRule="auto"/>
              <w:jc w:val="left"/>
            </w:pPr>
            <w:r>
              <w:t>Zor bizia (biztanleko)</w:t>
            </w:r>
          </w:p>
        </w:tc>
        <w:tc>
          <w:tcPr>
            <w:tcW w:w="932" w:type="dxa"/>
            <w:tcBorders>
              <w:top w:val="single" w:sz="4" w:space="0" w:color="auto"/>
              <w:left w:val="nil"/>
              <w:bottom w:val="single" w:sz="4" w:space="0" w:color="auto"/>
              <w:right w:val="nil"/>
            </w:tcBorders>
            <w:shd w:val="clear" w:color="auto" w:fill="auto"/>
            <w:vAlign w:val="center"/>
            <w:hideMark/>
          </w:tcPr>
          <w:p w14:paraId="4CEC8BC6" w14:textId="77777777" w:rsidR="004367EF" w:rsidRPr="008E43F9" w:rsidRDefault="004367EF" w:rsidP="00EE13C5">
            <w:pPr>
              <w:pStyle w:val="cuatexto"/>
              <w:spacing w:line="240" w:lineRule="auto"/>
              <w:jc w:val="right"/>
            </w:pPr>
            <w:r>
              <w:t>163</w:t>
            </w:r>
          </w:p>
        </w:tc>
        <w:tc>
          <w:tcPr>
            <w:tcW w:w="671" w:type="dxa"/>
            <w:tcBorders>
              <w:top w:val="single" w:sz="4" w:space="0" w:color="auto"/>
              <w:left w:val="nil"/>
              <w:bottom w:val="single" w:sz="4" w:space="0" w:color="auto"/>
              <w:right w:val="nil"/>
            </w:tcBorders>
            <w:shd w:val="clear" w:color="auto" w:fill="auto"/>
            <w:vAlign w:val="center"/>
            <w:hideMark/>
          </w:tcPr>
          <w:p w14:paraId="29BB08F7" w14:textId="77777777" w:rsidR="004367EF" w:rsidRPr="008E43F9" w:rsidRDefault="004367EF" w:rsidP="00EE13C5">
            <w:pPr>
              <w:pStyle w:val="cuatexto"/>
              <w:spacing w:line="240" w:lineRule="auto"/>
              <w:jc w:val="right"/>
            </w:pPr>
            <w:r>
              <w:t>114</w:t>
            </w:r>
          </w:p>
        </w:tc>
        <w:tc>
          <w:tcPr>
            <w:tcW w:w="831" w:type="dxa"/>
            <w:tcBorders>
              <w:top w:val="single" w:sz="4" w:space="0" w:color="auto"/>
              <w:left w:val="nil"/>
              <w:bottom w:val="single" w:sz="4" w:space="0" w:color="auto"/>
              <w:right w:val="nil"/>
            </w:tcBorders>
            <w:shd w:val="clear" w:color="auto" w:fill="auto"/>
            <w:vAlign w:val="center"/>
            <w:hideMark/>
          </w:tcPr>
          <w:p w14:paraId="0753C400" w14:textId="77777777" w:rsidR="004367EF" w:rsidRPr="008E43F9" w:rsidRDefault="004367EF" w:rsidP="00EE13C5">
            <w:pPr>
              <w:pStyle w:val="cuatexto"/>
              <w:spacing w:line="240" w:lineRule="auto"/>
              <w:jc w:val="right"/>
            </w:pPr>
            <w:r>
              <w:t>244</w:t>
            </w:r>
          </w:p>
        </w:tc>
        <w:tc>
          <w:tcPr>
            <w:tcW w:w="1110" w:type="dxa"/>
            <w:tcBorders>
              <w:top w:val="single" w:sz="4" w:space="0" w:color="auto"/>
              <w:left w:val="nil"/>
              <w:bottom w:val="single" w:sz="4" w:space="0" w:color="auto"/>
              <w:right w:val="nil"/>
            </w:tcBorders>
            <w:shd w:val="clear" w:color="auto" w:fill="auto"/>
            <w:vAlign w:val="center"/>
            <w:hideMark/>
          </w:tcPr>
          <w:p w14:paraId="3392E66E" w14:textId="77777777" w:rsidR="004367EF" w:rsidRPr="008E43F9" w:rsidRDefault="004367EF" w:rsidP="00EE13C5">
            <w:pPr>
              <w:pStyle w:val="cuatexto"/>
              <w:spacing w:line="240" w:lineRule="auto"/>
              <w:jc w:val="right"/>
            </w:pPr>
            <w:r>
              <w:t xml:space="preserve">49 </w:t>
            </w:r>
          </w:p>
        </w:tc>
        <w:tc>
          <w:tcPr>
            <w:tcW w:w="1109" w:type="dxa"/>
            <w:tcBorders>
              <w:top w:val="single" w:sz="4" w:space="0" w:color="auto"/>
              <w:left w:val="nil"/>
              <w:bottom w:val="single" w:sz="4" w:space="0" w:color="auto"/>
              <w:right w:val="nil"/>
            </w:tcBorders>
            <w:shd w:val="clear" w:color="auto" w:fill="auto"/>
            <w:vAlign w:val="center"/>
            <w:hideMark/>
          </w:tcPr>
          <w:p w14:paraId="259EC6CE" w14:textId="77777777" w:rsidR="004367EF" w:rsidRPr="008E43F9" w:rsidRDefault="004367EF" w:rsidP="00EE13C5">
            <w:pPr>
              <w:pStyle w:val="cuatexto"/>
              <w:spacing w:line="240" w:lineRule="auto"/>
              <w:jc w:val="right"/>
            </w:pPr>
            <w:r>
              <w:t xml:space="preserve">-81 </w:t>
            </w:r>
          </w:p>
        </w:tc>
      </w:tr>
      <w:tr w:rsidR="004367EF" w:rsidRPr="00EA23FB" w14:paraId="5EA373F5"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7044AE24" w14:textId="70C99CAB" w:rsidR="004367EF" w:rsidRPr="008E43F9" w:rsidRDefault="004367EF" w:rsidP="008E518B">
            <w:pPr>
              <w:pStyle w:val="cuatexto"/>
              <w:spacing w:line="240" w:lineRule="auto"/>
              <w:jc w:val="left"/>
            </w:pPr>
            <w:r>
              <w:t>Zorpetze maila (zor biziaren ehunekoa diru-sarrera arrunten gainean)</w:t>
            </w:r>
          </w:p>
        </w:tc>
        <w:tc>
          <w:tcPr>
            <w:tcW w:w="932" w:type="dxa"/>
            <w:tcBorders>
              <w:top w:val="single" w:sz="4" w:space="0" w:color="auto"/>
              <w:left w:val="nil"/>
              <w:bottom w:val="single" w:sz="4" w:space="0" w:color="auto"/>
              <w:right w:val="nil"/>
            </w:tcBorders>
            <w:shd w:val="clear" w:color="auto" w:fill="auto"/>
            <w:vAlign w:val="center"/>
            <w:hideMark/>
          </w:tcPr>
          <w:p w14:paraId="15D99823" w14:textId="77777777" w:rsidR="004367EF" w:rsidRPr="008E43F9" w:rsidRDefault="004367EF" w:rsidP="00EE13C5">
            <w:pPr>
              <w:pStyle w:val="cuatexto"/>
              <w:spacing w:line="240" w:lineRule="auto"/>
              <w:jc w:val="right"/>
            </w:pPr>
            <w:r>
              <w:t>16</w:t>
            </w:r>
          </w:p>
        </w:tc>
        <w:tc>
          <w:tcPr>
            <w:tcW w:w="671" w:type="dxa"/>
            <w:tcBorders>
              <w:top w:val="single" w:sz="4" w:space="0" w:color="auto"/>
              <w:left w:val="nil"/>
              <w:bottom w:val="single" w:sz="4" w:space="0" w:color="auto"/>
              <w:right w:val="nil"/>
            </w:tcBorders>
            <w:shd w:val="clear" w:color="auto" w:fill="auto"/>
            <w:vAlign w:val="center"/>
            <w:hideMark/>
          </w:tcPr>
          <w:p w14:paraId="57AE3055" w14:textId="77777777" w:rsidR="004367EF" w:rsidRPr="008E43F9" w:rsidRDefault="004367EF" w:rsidP="00EE13C5">
            <w:pPr>
              <w:pStyle w:val="cuatexto"/>
              <w:spacing w:line="240" w:lineRule="auto"/>
              <w:jc w:val="right"/>
            </w:pPr>
            <w:r>
              <w:t>9</w:t>
            </w:r>
          </w:p>
        </w:tc>
        <w:tc>
          <w:tcPr>
            <w:tcW w:w="831" w:type="dxa"/>
            <w:tcBorders>
              <w:top w:val="single" w:sz="4" w:space="0" w:color="auto"/>
              <w:left w:val="nil"/>
              <w:bottom w:val="single" w:sz="4" w:space="0" w:color="auto"/>
              <w:right w:val="nil"/>
            </w:tcBorders>
            <w:shd w:val="clear" w:color="auto" w:fill="auto"/>
            <w:vAlign w:val="center"/>
            <w:hideMark/>
          </w:tcPr>
          <w:p w14:paraId="508120DE" w14:textId="77777777" w:rsidR="004367EF" w:rsidRPr="008E43F9" w:rsidRDefault="004367EF" w:rsidP="00EE13C5">
            <w:pPr>
              <w:pStyle w:val="cuatexto"/>
              <w:spacing w:line="240" w:lineRule="auto"/>
              <w:jc w:val="right"/>
            </w:pPr>
            <w:r>
              <w:t>24</w:t>
            </w:r>
          </w:p>
        </w:tc>
        <w:tc>
          <w:tcPr>
            <w:tcW w:w="1110" w:type="dxa"/>
            <w:tcBorders>
              <w:top w:val="single" w:sz="4" w:space="0" w:color="auto"/>
              <w:left w:val="nil"/>
              <w:bottom w:val="single" w:sz="4" w:space="0" w:color="auto"/>
              <w:right w:val="nil"/>
            </w:tcBorders>
            <w:shd w:val="clear" w:color="auto" w:fill="auto"/>
            <w:vAlign w:val="center"/>
            <w:hideMark/>
          </w:tcPr>
          <w:p w14:paraId="04D6C563" w14:textId="77777777" w:rsidR="004367EF" w:rsidRPr="008E43F9" w:rsidRDefault="004367EF" w:rsidP="00EE13C5">
            <w:pPr>
              <w:pStyle w:val="cuatexto"/>
              <w:spacing w:line="240" w:lineRule="auto"/>
              <w:jc w:val="right"/>
            </w:pPr>
            <w:r>
              <w:t xml:space="preserve">7 </w:t>
            </w:r>
          </w:p>
        </w:tc>
        <w:tc>
          <w:tcPr>
            <w:tcW w:w="1109" w:type="dxa"/>
            <w:tcBorders>
              <w:top w:val="single" w:sz="4" w:space="0" w:color="auto"/>
              <w:left w:val="nil"/>
              <w:bottom w:val="single" w:sz="4" w:space="0" w:color="auto"/>
              <w:right w:val="nil"/>
            </w:tcBorders>
            <w:shd w:val="clear" w:color="auto" w:fill="auto"/>
            <w:vAlign w:val="center"/>
            <w:hideMark/>
          </w:tcPr>
          <w:p w14:paraId="3E5F072F" w14:textId="77777777" w:rsidR="004367EF" w:rsidRPr="008E43F9" w:rsidRDefault="004367EF" w:rsidP="00EE13C5">
            <w:pPr>
              <w:pStyle w:val="cuatexto"/>
              <w:spacing w:line="240" w:lineRule="auto"/>
              <w:jc w:val="right"/>
            </w:pPr>
            <w:r>
              <w:t xml:space="preserve">-8 </w:t>
            </w:r>
          </w:p>
        </w:tc>
      </w:tr>
      <w:tr w:rsidR="004367EF" w:rsidRPr="00EA23FB" w14:paraId="51300B73"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3FA46EB2" w14:textId="5D2C44CE" w:rsidR="004367EF" w:rsidRPr="008E43F9" w:rsidRDefault="004367EF" w:rsidP="008E518B">
            <w:pPr>
              <w:pStyle w:val="cuatexto"/>
              <w:spacing w:line="240" w:lineRule="auto"/>
              <w:jc w:val="left"/>
            </w:pPr>
            <w:r>
              <w:t>Finantza-zamaren indizea (3. eta 9. kapituluak zati diru-sarrera arruntak)</w:t>
            </w:r>
          </w:p>
        </w:tc>
        <w:tc>
          <w:tcPr>
            <w:tcW w:w="932" w:type="dxa"/>
            <w:tcBorders>
              <w:top w:val="single" w:sz="4" w:space="0" w:color="auto"/>
              <w:left w:val="nil"/>
              <w:bottom w:val="single" w:sz="4" w:space="0" w:color="auto"/>
              <w:right w:val="nil"/>
            </w:tcBorders>
            <w:shd w:val="clear" w:color="auto" w:fill="auto"/>
            <w:vAlign w:val="center"/>
            <w:hideMark/>
          </w:tcPr>
          <w:p w14:paraId="223783B3" w14:textId="77777777" w:rsidR="004367EF" w:rsidRPr="008E43F9" w:rsidRDefault="004367EF" w:rsidP="00EE13C5">
            <w:pPr>
              <w:pStyle w:val="cuatexto"/>
              <w:spacing w:line="240" w:lineRule="auto"/>
              <w:jc w:val="right"/>
            </w:pPr>
            <w:r>
              <w:t>4</w:t>
            </w:r>
          </w:p>
        </w:tc>
        <w:tc>
          <w:tcPr>
            <w:tcW w:w="671" w:type="dxa"/>
            <w:tcBorders>
              <w:top w:val="single" w:sz="4" w:space="0" w:color="auto"/>
              <w:left w:val="nil"/>
              <w:bottom w:val="single" w:sz="4" w:space="0" w:color="auto"/>
              <w:right w:val="nil"/>
            </w:tcBorders>
            <w:shd w:val="clear" w:color="auto" w:fill="auto"/>
            <w:vAlign w:val="center"/>
            <w:hideMark/>
          </w:tcPr>
          <w:p w14:paraId="46C4261F" w14:textId="77777777" w:rsidR="004367EF" w:rsidRPr="008E43F9" w:rsidRDefault="004367EF" w:rsidP="00EE13C5">
            <w:pPr>
              <w:pStyle w:val="cuatexto"/>
              <w:spacing w:line="240" w:lineRule="auto"/>
              <w:jc w:val="right"/>
            </w:pPr>
            <w:r>
              <w:t>2</w:t>
            </w:r>
          </w:p>
        </w:tc>
        <w:tc>
          <w:tcPr>
            <w:tcW w:w="831" w:type="dxa"/>
            <w:tcBorders>
              <w:top w:val="single" w:sz="4" w:space="0" w:color="auto"/>
              <w:left w:val="nil"/>
              <w:bottom w:val="single" w:sz="4" w:space="0" w:color="auto"/>
              <w:right w:val="nil"/>
            </w:tcBorders>
            <w:shd w:val="clear" w:color="auto" w:fill="auto"/>
            <w:vAlign w:val="center"/>
            <w:hideMark/>
          </w:tcPr>
          <w:p w14:paraId="6DF740A9" w14:textId="77777777" w:rsidR="004367EF" w:rsidRPr="008E43F9" w:rsidRDefault="004367EF" w:rsidP="00EE13C5">
            <w:pPr>
              <w:pStyle w:val="cuatexto"/>
              <w:spacing w:line="240" w:lineRule="auto"/>
              <w:jc w:val="right"/>
            </w:pPr>
            <w:r>
              <w:t>4</w:t>
            </w:r>
          </w:p>
        </w:tc>
        <w:tc>
          <w:tcPr>
            <w:tcW w:w="1110" w:type="dxa"/>
            <w:tcBorders>
              <w:top w:val="single" w:sz="4" w:space="0" w:color="auto"/>
              <w:left w:val="nil"/>
              <w:bottom w:val="single" w:sz="4" w:space="0" w:color="auto"/>
              <w:right w:val="nil"/>
            </w:tcBorders>
            <w:shd w:val="clear" w:color="auto" w:fill="auto"/>
            <w:vAlign w:val="center"/>
            <w:hideMark/>
          </w:tcPr>
          <w:p w14:paraId="41788596" w14:textId="77777777" w:rsidR="004367EF" w:rsidRPr="008E43F9" w:rsidRDefault="004367EF" w:rsidP="00EE13C5">
            <w:pPr>
              <w:pStyle w:val="cuatexto"/>
              <w:spacing w:line="240" w:lineRule="auto"/>
              <w:jc w:val="right"/>
            </w:pPr>
            <w:r>
              <w:t xml:space="preserve">2 </w:t>
            </w:r>
          </w:p>
        </w:tc>
        <w:tc>
          <w:tcPr>
            <w:tcW w:w="1109" w:type="dxa"/>
            <w:tcBorders>
              <w:top w:val="single" w:sz="4" w:space="0" w:color="auto"/>
              <w:left w:val="nil"/>
              <w:bottom w:val="single" w:sz="4" w:space="0" w:color="auto"/>
              <w:right w:val="nil"/>
            </w:tcBorders>
            <w:shd w:val="clear" w:color="auto" w:fill="auto"/>
            <w:vAlign w:val="center"/>
            <w:hideMark/>
          </w:tcPr>
          <w:p w14:paraId="47A99E70" w14:textId="0B602241" w:rsidR="004367EF" w:rsidRPr="008E43F9" w:rsidRDefault="004367EF" w:rsidP="00EE13C5">
            <w:pPr>
              <w:pStyle w:val="cuatexto"/>
              <w:spacing w:line="240" w:lineRule="auto"/>
              <w:jc w:val="right"/>
            </w:pPr>
            <w:r>
              <w:t xml:space="preserve">0 </w:t>
            </w:r>
          </w:p>
        </w:tc>
      </w:tr>
      <w:tr w:rsidR="004367EF" w:rsidRPr="00EA23FB" w14:paraId="2765E17C"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3B340FAC" w14:textId="77777777" w:rsidR="004367EF" w:rsidRPr="008E43F9" w:rsidRDefault="004367EF" w:rsidP="00EE13C5">
            <w:pPr>
              <w:pStyle w:val="cuatexto"/>
              <w:spacing w:line="240" w:lineRule="auto"/>
              <w:jc w:val="left"/>
            </w:pPr>
            <w:r>
              <w:t>Aurrezki gordinaren ehunekoa diru-sarrera arrunten gainean (</w:t>
            </w:r>
            <w:proofErr w:type="spellStart"/>
            <w:r>
              <w:t>d.s</w:t>
            </w:r>
            <w:proofErr w:type="spellEnd"/>
            <w:r>
              <w:t xml:space="preserve">. arr. - </w:t>
            </w:r>
            <w:proofErr w:type="spellStart"/>
            <w:r>
              <w:t>funtz</w:t>
            </w:r>
            <w:proofErr w:type="spellEnd"/>
            <w:r>
              <w:t xml:space="preserve">. </w:t>
            </w:r>
            <w:proofErr w:type="spellStart"/>
            <w:r>
              <w:t>gast</w:t>
            </w:r>
            <w:proofErr w:type="spellEnd"/>
            <w:r>
              <w:t xml:space="preserve">. / </w:t>
            </w:r>
            <w:proofErr w:type="spellStart"/>
            <w:r>
              <w:t>d.s</w:t>
            </w:r>
            <w:proofErr w:type="spellEnd"/>
            <w:r>
              <w:t>. arr.)</w:t>
            </w:r>
          </w:p>
        </w:tc>
        <w:tc>
          <w:tcPr>
            <w:tcW w:w="932" w:type="dxa"/>
            <w:tcBorders>
              <w:top w:val="single" w:sz="4" w:space="0" w:color="auto"/>
              <w:left w:val="nil"/>
              <w:bottom w:val="single" w:sz="4" w:space="0" w:color="auto"/>
              <w:right w:val="nil"/>
            </w:tcBorders>
            <w:shd w:val="clear" w:color="auto" w:fill="auto"/>
            <w:vAlign w:val="center"/>
            <w:hideMark/>
          </w:tcPr>
          <w:p w14:paraId="574A0B9B" w14:textId="77777777" w:rsidR="004367EF" w:rsidRPr="008E43F9" w:rsidRDefault="004367EF" w:rsidP="00EE13C5">
            <w:pPr>
              <w:pStyle w:val="cuatexto"/>
              <w:spacing w:line="240" w:lineRule="auto"/>
              <w:jc w:val="right"/>
            </w:pPr>
            <w:r>
              <w:t>21</w:t>
            </w:r>
          </w:p>
        </w:tc>
        <w:tc>
          <w:tcPr>
            <w:tcW w:w="671" w:type="dxa"/>
            <w:tcBorders>
              <w:top w:val="single" w:sz="4" w:space="0" w:color="auto"/>
              <w:left w:val="nil"/>
              <w:bottom w:val="single" w:sz="4" w:space="0" w:color="auto"/>
              <w:right w:val="nil"/>
            </w:tcBorders>
            <w:shd w:val="clear" w:color="auto" w:fill="auto"/>
            <w:vAlign w:val="center"/>
            <w:hideMark/>
          </w:tcPr>
          <w:p w14:paraId="4EAC1625" w14:textId="77777777" w:rsidR="004367EF" w:rsidRPr="008E43F9" w:rsidRDefault="004367EF" w:rsidP="00EE13C5">
            <w:pPr>
              <w:pStyle w:val="cuatexto"/>
              <w:spacing w:line="240" w:lineRule="auto"/>
              <w:jc w:val="right"/>
            </w:pPr>
            <w:r>
              <w:t>15</w:t>
            </w:r>
          </w:p>
        </w:tc>
        <w:tc>
          <w:tcPr>
            <w:tcW w:w="831" w:type="dxa"/>
            <w:tcBorders>
              <w:top w:val="single" w:sz="4" w:space="0" w:color="auto"/>
              <w:left w:val="nil"/>
              <w:bottom w:val="single" w:sz="4" w:space="0" w:color="auto"/>
              <w:right w:val="nil"/>
            </w:tcBorders>
            <w:shd w:val="clear" w:color="auto" w:fill="auto"/>
            <w:vAlign w:val="center"/>
            <w:hideMark/>
          </w:tcPr>
          <w:p w14:paraId="3ADA654E" w14:textId="77777777" w:rsidR="004367EF" w:rsidRPr="008E43F9" w:rsidRDefault="004367EF" w:rsidP="00EE13C5">
            <w:pPr>
              <w:pStyle w:val="cuatexto"/>
              <w:spacing w:line="240" w:lineRule="auto"/>
              <w:jc w:val="right"/>
            </w:pPr>
            <w:r>
              <w:t>18</w:t>
            </w:r>
          </w:p>
        </w:tc>
        <w:tc>
          <w:tcPr>
            <w:tcW w:w="1110" w:type="dxa"/>
            <w:tcBorders>
              <w:top w:val="single" w:sz="4" w:space="0" w:color="auto"/>
              <w:left w:val="nil"/>
              <w:bottom w:val="single" w:sz="4" w:space="0" w:color="auto"/>
              <w:right w:val="nil"/>
            </w:tcBorders>
            <w:shd w:val="clear" w:color="auto" w:fill="auto"/>
            <w:vAlign w:val="center"/>
            <w:hideMark/>
          </w:tcPr>
          <w:p w14:paraId="676D2F56" w14:textId="77777777" w:rsidR="004367EF" w:rsidRPr="008E43F9" w:rsidRDefault="004367EF" w:rsidP="00EE13C5">
            <w:pPr>
              <w:pStyle w:val="cuatexto"/>
              <w:spacing w:line="240" w:lineRule="auto"/>
              <w:jc w:val="right"/>
            </w:pPr>
            <w:r>
              <w:t xml:space="preserve">6 </w:t>
            </w:r>
          </w:p>
        </w:tc>
        <w:tc>
          <w:tcPr>
            <w:tcW w:w="1109" w:type="dxa"/>
            <w:tcBorders>
              <w:top w:val="single" w:sz="4" w:space="0" w:color="auto"/>
              <w:left w:val="nil"/>
              <w:bottom w:val="single" w:sz="4" w:space="0" w:color="auto"/>
              <w:right w:val="nil"/>
            </w:tcBorders>
            <w:shd w:val="clear" w:color="auto" w:fill="auto"/>
            <w:vAlign w:val="center"/>
            <w:hideMark/>
          </w:tcPr>
          <w:p w14:paraId="62BDD374" w14:textId="77777777" w:rsidR="004367EF" w:rsidRPr="008E43F9" w:rsidRDefault="004367EF" w:rsidP="00EE13C5">
            <w:pPr>
              <w:pStyle w:val="cuatexto"/>
              <w:spacing w:line="240" w:lineRule="auto"/>
              <w:jc w:val="right"/>
            </w:pPr>
            <w:r>
              <w:t xml:space="preserve">2 </w:t>
            </w:r>
          </w:p>
        </w:tc>
      </w:tr>
      <w:tr w:rsidR="004367EF" w:rsidRPr="00EA23FB" w14:paraId="599DBE89"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0A880B72" w14:textId="77777777" w:rsidR="004367EF" w:rsidRPr="008E43F9" w:rsidRDefault="004367EF" w:rsidP="00EE13C5">
            <w:pPr>
              <w:pStyle w:val="cuatexto"/>
              <w:spacing w:line="240" w:lineRule="auto"/>
              <w:jc w:val="left"/>
            </w:pPr>
            <w:r>
              <w:t>Jasotako transferentziak (biztanleko)</w:t>
            </w:r>
          </w:p>
        </w:tc>
        <w:tc>
          <w:tcPr>
            <w:tcW w:w="932" w:type="dxa"/>
            <w:tcBorders>
              <w:top w:val="single" w:sz="4" w:space="0" w:color="auto"/>
              <w:left w:val="nil"/>
              <w:bottom w:val="single" w:sz="4" w:space="0" w:color="auto"/>
              <w:right w:val="nil"/>
            </w:tcBorders>
            <w:shd w:val="clear" w:color="auto" w:fill="auto"/>
            <w:vAlign w:val="center"/>
            <w:hideMark/>
          </w:tcPr>
          <w:p w14:paraId="202BCD23" w14:textId="77777777" w:rsidR="004367EF" w:rsidRPr="008E43F9" w:rsidRDefault="004367EF" w:rsidP="00EE13C5">
            <w:pPr>
              <w:pStyle w:val="cuatexto"/>
              <w:spacing w:line="240" w:lineRule="auto"/>
              <w:jc w:val="right"/>
            </w:pPr>
            <w:r>
              <w:t>548</w:t>
            </w:r>
          </w:p>
        </w:tc>
        <w:tc>
          <w:tcPr>
            <w:tcW w:w="671" w:type="dxa"/>
            <w:tcBorders>
              <w:top w:val="single" w:sz="4" w:space="0" w:color="auto"/>
              <w:left w:val="nil"/>
              <w:bottom w:val="single" w:sz="4" w:space="0" w:color="auto"/>
              <w:right w:val="nil"/>
            </w:tcBorders>
            <w:shd w:val="clear" w:color="auto" w:fill="auto"/>
            <w:vAlign w:val="center"/>
            <w:hideMark/>
          </w:tcPr>
          <w:p w14:paraId="4B697E72" w14:textId="77777777" w:rsidR="004367EF" w:rsidRPr="008E43F9" w:rsidRDefault="004367EF" w:rsidP="00EE13C5">
            <w:pPr>
              <w:pStyle w:val="cuatexto"/>
              <w:spacing w:line="240" w:lineRule="auto"/>
              <w:jc w:val="right"/>
            </w:pPr>
            <w:r>
              <w:t>765</w:t>
            </w:r>
          </w:p>
        </w:tc>
        <w:tc>
          <w:tcPr>
            <w:tcW w:w="831" w:type="dxa"/>
            <w:tcBorders>
              <w:top w:val="single" w:sz="4" w:space="0" w:color="auto"/>
              <w:left w:val="nil"/>
              <w:bottom w:val="single" w:sz="4" w:space="0" w:color="auto"/>
              <w:right w:val="nil"/>
            </w:tcBorders>
            <w:shd w:val="clear" w:color="auto" w:fill="auto"/>
            <w:vAlign w:val="center"/>
            <w:hideMark/>
          </w:tcPr>
          <w:p w14:paraId="2924C73D" w14:textId="77777777" w:rsidR="004367EF" w:rsidRPr="008E43F9" w:rsidRDefault="004367EF" w:rsidP="00EE13C5">
            <w:pPr>
              <w:pStyle w:val="cuatexto"/>
              <w:spacing w:line="240" w:lineRule="auto"/>
              <w:jc w:val="right"/>
            </w:pPr>
            <w:r>
              <w:t>451</w:t>
            </w:r>
          </w:p>
        </w:tc>
        <w:tc>
          <w:tcPr>
            <w:tcW w:w="1110" w:type="dxa"/>
            <w:tcBorders>
              <w:top w:val="single" w:sz="4" w:space="0" w:color="auto"/>
              <w:left w:val="nil"/>
              <w:bottom w:val="single" w:sz="4" w:space="0" w:color="auto"/>
              <w:right w:val="nil"/>
            </w:tcBorders>
            <w:shd w:val="clear" w:color="auto" w:fill="auto"/>
            <w:vAlign w:val="center"/>
            <w:hideMark/>
          </w:tcPr>
          <w:p w14:paraId="02FC3140" w14:textId="77777777" w:rsidR="004367EF" w:rsidRPr="008E43F9" w:rsidRDefault="004367EF" w:rsidP="00EE13C5">
            <w:pPr>
              <w:pStyle w:val="cuatexto"/>
              <w:spacing w:line="240" w:lineRule="auto"/>
              <w:jc w:val="right"/>
            </w:pPr>
            <w:r>
              <w:t xml:space="preserve">-217 </w:t>
            </w:r>
          </w:p>
        </w:tc>
        <w:tc>
          <w:tcPr>
            <w:tcW w:w="1109" w:type="dxa"/>
            <w:tcBorders>
              <w:top w:val="single" w:sz="4" w:space="0" w:color="auto"/>
              <w:left w:val="nil"/>
              <w:bottom w:val="single" w:sz="4" w:space="0" w:color="auto"/>
              <w:right w:val="nil"/>
            </w:tcBorders>
            <w:shd w:val="clear" w:color="auto" w:fill="auto"/>
            <w:vAlign w:val="center"/>
            <w:hideMark/>
          </w:tcPr>
          <w:p w14:paraId="1FFA1FAC" w14:textId="77777777" w:rsidR="004367EF" w:rsidRPr="008E43F9" w:rsidRDefault="004367EF" w:rsidP="00EE13C5">
            <w:pPr>
              <w:pStyle w:val="cuatexto"/>
              <w:spacing w:line="240" w:lineRule="auto"/>
              <w:jc w:val="right"/>
            </w:pPr>
            <w:r>
              <w:t xml:space="preserve">97 </w:t>
            </w:r>
          </w:p>
        </w:tc>
      </w:tr>
      <w:tr w:rsidR="004367EF" w:rsidRPr="00EA23FB" w14:paraId="045C3678" w14:textId="77777777" w:rsidTr="00EE13C5">
        <w:trPr>
          <w:trHeight w:val="227"/>
          <w:jc w:val="center"/>
        </w:trPr>
        <w:tc>
          <w:tcPr>
            <w:tcW w:w="3969" w:type="dxa"/>
            <w:tcBorders>
              <w:top w:val="single" w:sz="4" w:space="0" w:color="auto"/>
              <w:left w:val="nil"/>
              <w:bottom w:val="single" w:sz="4" w:space="0" w:color="auto"/>
              <w:right w:val="nil"/>
            </w:tcBorders>
            <w:shd w:val="clear" w:color="auto" w:fill="auto"/>
            <w:vAlign w:val="center"/>
            <w:hideMark/>
          </w:tcPr>
          <w:p w14:paraId="13A36F54" w14:textId="77777777" w:rsidR="004367EF" w:rsidRPr="008E43F9" w:rsidRDefault="004367EF" w:rsidP="00EE13C5">
            <w:pPr>
              <w:pStyle w:val="cuatexto"/>
              <w:spacing w:line="240" w:lineRule="auto"/>
              <w:jc w:val="left"/>
            </w:pPr>
            <w:r>
              <w:t>Transferentzia arruntez finantzatutako gastu arrunten ehunekoa</w:t>
            </w:r>
          </w:p>
        </w:tc>
        <w:tc>
          <w:tcPr>
            <w:tcW w:w="932" w:type="dxa"/>
            <w:tcBorders>
              <w:top w:val="single" w:sz="4" w:space="0" w:color="auto"/>
              <w:left w:val="nil"/>
              <w:bottom w:val="single" w:sz="4" w:space="0" w:color="auto"/>
              <w:right w:val="nil"/>
            </w:tcBorders>
            <w:shd w:val="clear" w:color="auto" w:fill="auto"/>
            <w:vAlign w:val="center"/>
            <w:hideMark/>
          </w:tcPr>
          <w:p w14:paraId="7FF2B005" w14:textId="77777777" w:rsidR="004367EF" w:rsidRPr="008E43F9" w:rsidRDefault="004367EF" w:rsidP="00EE13C5">
            <w:pPr>
              <w:pStyle w:val="cuatexto"/>
              <w:spacing w:line="240" w:lineRule="auto"/>
              <w:jc w:val="right"/>
            </w:pPr>
            <w:r>
              <w:t>57</w:t>
            </w:r>
          </w:p>
        </w:tc>
        <w:tc>
          <w:tcPr>
            <w:tcW w:w="671" w:type="dxa"/>
            <w:tcBorders>
              <w:top w:val="single" w:sz="4" w:space="0" w:color="auto"/>
              <w:left w:val="nil"/>
              <w:bottom w:val="single" w:sz="4" w:space="0" w:color="auto"/>
              <w:right w:val="nil"/>
            </w:tcBorders>
            <w:shd w:val="clear" w:color="auto" w:fill="auto"/>
            <w:vAlign w:val="center"/>
            <w:hideMark/>
          </w:tcPr>
          <w:p w14:paraId="1C57AD19" w14:textId="77777777" w:rsidR="004367EF" w:rsidRPr="008E43F9" w:rsidRDefault="004367EF" w:rsidP="00EE13C5">
            <w:pPr>
              <w:pStyle w:val="cuatexto"/>
              <w:spacing w:line="240" w:lineRule="auto"/>
              <w:jc w:val="right"/>
            </w:pPr>
            <w:r>
              <w:t>67</w:t>
            </w:r>
          </w:p>
        </w:tc>
        <w:tc>
          <w:tcPr>
            <w:tcW w:w="831" w:type="dxa"/>
            <w:tcBorders>
              <w:top w:val="single" w:sz="4" w:space="0" w:color="auto"/>
              <w:left w:val="nil"/>
              <w:bottom w:val="single" w:sz="4" w:space="0" w:color="auto"/>
              <w:right w:val="nil"/>
            </w:tcBorders>
            <w:shd w:val="clear" w:color="auto" w:fill="auto"/>
            <w:vAlign w:val="center"/>
            <w:hideMark/>
          </w:tcPr>
          <w:p w14:paraId="6A986688" w14:textId="77777777" w:rsidR="004367EF" w:rsidRPr="008E43F9" w:rsidRDefault="004367EF" w:rsidP="00EE13C5">
            <w:pPr>
              <w:pStyle w:val="cuatexto"/>
              <w:spacing w:line="240" w:lineRule="auto"/>
              <w:jc w:val="right"/>
            </w:pPr>
            <w:r>
              <w:t>46</w:t>
            </w:r>
          </w:p>
        </w:tc>
        <w:tc>
          <w:tcPr>
            <w:tcW w:w="1110" w:type="dxa"/>
            <w:tcBorders>
              <w:top w:val="single" w:sz="4" w:space="0" w:color="auto"/>
              <w:left w:val="nil"/>
              <w:bottom w:val="single" w:sz="4" w:space="0" w:color="auto"/>
              <w:right w:val="nil"/>
            </w:tcBorders>
            <w:shd w:val="clear" w:color="auto" w:fill="auto"/>
            <w:vAlign w:val="center"/>
            <w:hideMark/>
          </w:tcPr>
          <w:p w14:paraId="73A25010" w14:textId="77777777" w:rsidR="004367EF" w:rsidRPr="008E43F9" w:rsidRDefault="004367EF" w:rsidP="00EE13C5">
            <w:pPr>
              <w:pStyle w:val="cuatexto"/>
              <w:spacing w:line="240" w:lineRule="auto"/>
              <w:jc w:val="right"/>
            </w:pPr>
            <w:r>
              <w:t xml:space="preserve">-10 </w:t>
            </w:r>
          </w:p>
        </w:tc>
        <w:tc>
          <w:tcPr>
            <w:tcW w:w="1109" w:type="dxa"/>
            <w:tcBorders>
              <w:top w:val="single" w:sz="4" w:space="0" w:color="auto"/>
              <w:left w:val="nil"/>
              <w:bottom w:val="single" w:sz="4" w:space="0" w:color="auto"/>
              <w:right w:val="nil"/>
            </w:tcBorders>
            <w:shd w:val="clear" w:color="auto" w:fill="auto"/>
            <w:vAlign w:val="center"/>
            <w:hideMark/>
          </w:tcPr>
          <w:p w14:paraId="34E65BCA" w14:textId="77777777" w:rsidR="004367EF" w:rsidRPr="008E43F9" w:rsidRDefault="004367EF" w:rsidP="00EE13C5">
            <w:pPr>
              <w:pStyle w:val="cuatexto"/>
              <w:spacing w:line="240" w:lineRule="auto"/>
              <w:jc w:val="right"/>
            </w:pPr>
            <w:r>
              <w:t xml:space="preserve">11 </w:t>
            </w:r>
          </w:p>
        </w:tc>
      </w:tr>
      <w:tr w:rsidR="004367EF" w:rsidRPr="00EA23FB" w14:paraId="25FFDCA0" w14:textId="77777777" w:rsidTr="00EE13C5">
        <w:trPr>
          <w:trHeight w:val="227"/>
          <w:jc w:val="center"/>
        </w:trPr>
        <w:tc>
          <w:tcPr>
            <w:tcW w:w="3969" w:type="dxa"/>
            <w:tcBorders>
              <w:top w:val="nil"/>
              <w:left w:val="nil"/>
              <w:bottom w:val="single" w:sz="4" w:space="0" w:color="auto"/>
              <w:right w:val="nil"/>
            </w:tcBorders>
            <w:shd w:val="clear" w:color="auto" w:fill="auto"/>
            <w:vAlign w:val="center"/>
            <w:hideMark/>
          </w:tcPr>
          <w:p w14:paraId="60A24427" w14:textId="77777777" w:rsidR="004367EF" w:rsidRPr="008E43F9" w:rsidRDefault="004367EF" w:rsidP="00EE13C5">
            <w:pPr>
              <w:pStyle w:val="cuatexto"/>
              <w:spacing w:line="240" w:lineRule="auto"/>
              <w:jc w:val="left"/>
            </w:pPr>
            <w:r>
              <w:t>Kapital-transferentziez finantzatu ez diren inbertsioen ehunekoa</w:t>
            </w:r>
          </w:p>
        </w:tc>
        <w:tc>
          <w:tcPr>
            <w:tcW w:w="932" w:type="dxa"/>
            <w:tcBorders>
              <w:top w:val="nil"/>
              <w:left w:val="nil"/>
              <w:bottom w:val="single" w:sz="4" w:space="0" w:color="auto"/>
              <w:right w:val="nil"/>
            </w:tcBorders>
            <w:shd w:val="clear" w:color="auto" w:fill="auto"/>
            <w:vAlign w:val="center"/>
            <w:hideMark/>
          </w:tcPr>
          <w:p w14:paraId="4C1D6C9A" w14:textId="77777777" w:rsidR="004367EF" w:rsidRPr="008E43F9" w:rsidRDefault="004367EF" w:rsidP="00EE13C5">
            <w:pPr>
              <w:pStyle w:val="cuatexto"/>
              <w:spacing w:line="240" w:lineRule="auto"/>
              <w:jc w:val="right"/>
            </w:pPr>
            <w:r>
              <w:t>51</w:t>
            </w:r>
          </w:p>
        </w:tc>
        <w:tc>
          <w:tcPr>
            <w:tcW w:w="671" w:type="dxa"/>
            <w:tcBorders>
              <w:top w:val="nil"/>
              <w:left w:val="nil"/>
              <w:bottom w:val="single" w:sz="4" w:space="0" w:color="auto"/>
              <w:right w:val="nil"/>
            </w:tcBorders>
            <w:shd w:val="clear" w:color="auto" w:fill="auto"/>
            <w:vAlign w:val="center"/>
            <w:hideMark/>
          </w:tcPr>
          <w:p w14:paraId="1FDC2105" w14:textId="77777777" w:rsidR="004367EF" w:rsidRPr="008E43F9" w:rsidRDefault="004367EF" w:rsidP="00EE13C5">
            <w:pPr>
              <w:pStyle w:val="cuatexto"/>
              <w:spacing w:line="240" w:lineRule="auto"/>
              <w:jc w:val="right"/>
            </w:pPr>
            <w:r>
              <w:t>81</w:t>
            </w:r>
          </w:p>
        </w:tc>
        <w:tc>
          <w:tcPr>
            <w:tcW w:w="831" w:type="dxa"/>
            <w:tcBorders>
              <w:top w:val="nil"/>
              <w:left w:val="nil"/>
              <w:bottom w:val="single" w:sz="4" w:space="0" w:color="auto"/>
              <w:right w:val="nil"/>
            </w:tcBorders>
            <w:shd w:val="clear" w:color="auto" w:fill="auto"/>
            <w:vAlign w:val="center"/>
            <w:hideMark/>
          </w:tcPr>
          <w:p w14:paraId="5AEB84D2" w14:textId="77777777" w:rsidR="004367EF" w:rsidRPr="008E43F9" w:rsidRDefault="004367EF" w:rsidP="00EE13C5">
            <w:pPr>
              <w:pStyle w:val="cuatexto"/>
              <w:spacing w:line="240" w:lineRule="auto"/>
              <w:jc w:val="right"/>
            </w:pPr>
            <w:r>
              <w:t>48</w:t>
            </w:r>
          </w:p>
        </w:tc>
        <w:tc>
          <w:tcPr>
            <w:tcW w:w="1110" w:type="dxa"/>
            <w:tcBorders>
              <w:top w:val="nil"/>
              <w:left w:val="nil"/>
              <w:bottom w:val="single" w:sz="4" w:space="0" w:color="auto"/>
              <w:right w:val="nil"/>
            </w:tcBorders>
            <w:shd w:val="clear" w:color="auto" w:fill="auto"/>
            <w:vAlign w:val="center"/>
            <w:hideMark/>
          </w:tcPr>
          <w:p w14:paraId="18535B7C" w14:textId="77777777" w:rsidR="004367EF" w:rsidRPr="008E43F9" w:rsidRDefault="004367EF" w:rsidP="00EE13C5">
            <w:pPr>
              <w:pStyle w:val="cuatexto"/>
              <w:spacing w:line="240" w:lineRule="auto"/>
              <w:jc w:val="right"/>
            </w:pPr>
            <w:r>
              <w:t xml:space="preserve">-30 </w:t>
            </w:r>
          </w:p>
        </w:tc>
        <w:tc>
          <w:tcPr>
            <w:tcW w:w="1109" w:type="dxa"/>
            <w:tcBorders>
              <w:top w:val="nil"/>
              <w:left w:val="nil"/>
              <w:bottom w:val="single" w:sz="4" w:space="0" w:color="auto"/>
              <w:right w:val="nil"/>
            </w:tcBorders>
            <w:shd w:val="clear" w:color="auto" w:fill="auto"/>
            <w:vAlign w:val="center"/>
            <w:hideMark/>
          </w:tcPr>
          <w:p w14:paraId="50E96CCD" w14:textId="77777777" w:rsidR="004367EF" w:rsidRPr="008E43F9" w:rsidRDefault="004367EF" w:rsidP="00EE13C5">
            <w:pPr>
              <w:pStyle w:val="cuatexto"/>
              <w:spacing w:line="240" w:lineRule="auto"/>
              <w:jc w:val="right"/>
            </w:pPr>
            <w:r>
              <w:t xml:space="preserve">3 </w:t>
            </w:r>
          </w:p>
        </w:tc>
      </w:tr>
    </w:tbl>
    <w:p w14:paraId="4B379ACD" w14:textId="43EB286D" w:rsidR="00D35117" w:rsidRDefault="004C5885" w:rsidP="00DD06D1">
      <w:pPr>
        <w:spacing w:before="240" w:after="120"/>
        <w:ind w:firstLine="284"/>
        <w:rPr>
          <w:rStyle w:val="textoCar"/>
          <w:szCs w:val="26"/>
        </w:rPr>
      </w:pPr>
      <w:r>
        <w:rPr>
          <w:rStyle w:val="textoCar"/>
        </w:rPr>
        <w:lastRenderedPageBreak/>
        <w:t xml:space="preserve">Nafarroan funtzionamendu gastuak 796 eurokoak izan ziren biztanleko. Zenbateko hori Estatuko gainerakoan izandakoa (824 euro) baino beheraxeago dago, eta EAEkoa (1.101 euro) baino askoz beherago. </w:t>
      </w:r>
    </w:p>
    <w:p w14:paraId="2F3A99E4" w14:textId="4B59BEDA" w:rsidR="004367EF" w:rsidRDefault="004C5885" w:rsidP="008E518B">
      <w:pPr>
        <w:spacing w:after="120"/>
        <w:ind w:firstLine="284"/>
        <w:rPr>
          <w:rStyle w:val="textoCar"/>
          <w:szCs w:val="26"/>
        </w:rPr>
      </w:pPr>
      <w:r>
        <w:rPr>
          <w:rStyle w:val="textoCar"/>
        </w:rPr>
        <w:t xml:space="preserve">Nafarroako udalek dituzte aurrezki gordinaren eta garbiaren zenbateko handienak ekitaldi honetan, hala datu absolututan nola diru-sarrera arruntekin lotuta. </w:t>
      </w:r>
    </w:p>
    <w:p w14:paraId="762E9D7C" w14:textId="77777777" w:rsidR="00345C6C" w:rsidRDefault="00D35117" w:rsidP="008E518B">
      <w:pPr>
        <w:spacing w:after="120"/>
        <w:ind w:firstLine="284"/>
        <w:rPr>
          <w:rStyle w:val="textoCar"/>
          <w:szCs w:val="26"/>
        </w:rPr>
      </w:pPr>
      <w:r>
        <w:rPr>
          <w:rStyle w:val="textoCar"/>
        </w:rPr>
        <w:t>Beheko taulan adierazle horietako bakoitzaren urtetik urterako aldaketa azaltzen da:</w:t>
      </w:r>
    </w:p>
    <w:tbl>
      <w:tblPr>
        <w:tblW w:w="5000" w:type="pct"/>
        <w:tblCellMar>
          <w:left w:w="70" w:type="dxa"/>
          <w:right w:w="70" w:type="dxa"/>
        </w:tblCellMar>
        <w:tblLook w:val="04A0" w:firstRow="1" w:lastRow="0" w:firstColumn="1" w:lastColumn="0" w:noHBand="0" w:noVBand="1"/>
      </w:tblPr>
      <w:tblGrid>
        <w:gridCol w:w="5103"/>
        <w:gridCol w:w="1103"/>
        <w:gridCol w:w="1133"/>
        <w:gridCol w:w="1450"/>
      </w:tblGrid>
      <w:tr w:rsidR="00D35117" w:rsidRPr="00A16FC4" w14:paraId="2A67D349" w14:textId="77777777" w:rsidTr="00A16FC4">
        <w:trPr>
          <w:trHeight w:val="255"/>
        </w:trPr>
        <w:tc>
          <w:tcPr>
            <w:tcW w:w="5103" w:type="dxa"/>
            <w:tcBorders>
              <w:top w:val="single" w:sz="4" w:space="0" w:color="auto"/>
              <w:left w:val="nil"/>
              <w:bottom w:val="single" w:sz="4" w:space="0" w:color="auto"/>
              <w:right w:val="nil"/>
            </w:tcBorders>
            <w:shd w:val="clear" w:color="auto" w:fill="FABF8F" w:themeFill="accent6" w:themeFillTint="99"/>
            <w:noWrap/>
            <w:vAlign w:val="center"/>
            <w:hideMark/>
          </w:tcPr>
          <w:p w14:paraId="7D7A8BA2" w14:textId="21E074BE" w:rsidR="00D35117" w:rsidRPr="00A16FC4" w:rsidRDefault="00D35117" w:rsidP="00565DBB">
            <w:pPr>
              <w:pStyle w:val="cuadroCabe"/>
              <w:spacing w:line="240" w:lineRule="auto"/>
            </w:pPr>
            <w:r>
              <w:t>Adierazleen aldaketa, 2020/2019</w:t>
            </w:r>
          </w:p>
        </w:tc>
        <w:tc>
          <w:tcPr>
            <w:tcW w:w="1250" w:type="dxa"/>
            <w:tcBorders>
              <w:top w:val="single" w:sz="4" w:space="0" w:color="auto"/>
              <w:left w:val="nil"/>
              <w:bottom w:val="single" w:sz="4" w:space="0" w:color="auto"/>
              <w:right w:val="nil"/>
            </w:tcBorders>
            <w:shd w:val="clear" w:color="auto" w:fill="FABF8F" w:themeFill="accent6" w:themeFillTint="99"/>
            <w:vAlign w:val="center"/>
          </w:tcPr>
          <w:p w14:paraId="614BAE3A" w14:textId="77777777" w:rsidR="00D35117" w:rsidRPr="00A16FC4" w:rsidRDefault="00D35117" w:rsidP="00565DBB">
            <w:pPr>
              <w:pStyle w:val="cuadroCabe"/>
              <w:spacing w:line="240" w:lineRule="auto"/>
              <w:jc w:val="right"/>
            </w:pPr>
            <w:r>
              <w:t>Nafarroa</w:t>
            </w:r>
          </w:p>
        </w:tc>
        <w:tc>
          <w:tcPr>
            <w:tcW w:w="1133" w:type="dxa"/>
            <w:tcBorders>
              <w:top w:val="single" w:sz="4" w:space="0" w:color="auto"/>
              <w:left w:val="nil"/>
              <w:bottom w:val="single" w:sz="4" w:space="0" w:color="auto"/>
              <w:right w:val="nil"/>
            </w:tcBorders>
            <w:shd w:val="clear" w:color="auto" w:fill="FABF8F" w:themeFill="accent6" w:themeFillTint="99"/>
            <w:noWrap/>
            <w:vAlign w:val="center"/>
            <w:hideMark/>
          </w:tcPr>
          <w:p w14:paraId="2F67C1F6" w14:textId="77777777" w:rsidR="00D35117" w:rsidRPr="00A16FC4" w:rsidRDefault="00D35117" w:rsidP="00565DBB">
            <w:pPr>
              <w:pStyle w:val="cuadroCabe"/>
              <w:spacing w:line="240" w:lineRule="auto"/>
              <w:jc w:val="right"/>
            </w:pPr>
            <w:r>
              <w:t>EAE</w:t>
            </w:r>
          </w:p>
        </w:tc>
        <w:tc>
          <w:tcPr>
            <w:tcW w:w="1450" w:type="dxa"/>
            <w:tcBorders>
              <w:top w:val="single" w:sz="4" w:space="0" w:color="auto"/>
              <w:left w:val="nil"/>
              <w:bottom w:val="single" w:sz="4" w:space="0" w:color="auto"/>
              <w:right w:val="nil"/>
            </w:tcBorders>
            <w:shd w:val="clear" w:color="auto" w:fill="FABF8F" w:themeFill="accent6" w:themeFillTint="99"/>
            <w:noWrap/>
            <w:vAlign w:val="center"/>
            <w:hideMark/>
          </w:tcPr>
          <w:p w14:paraId="3A88BA82" w14:textId="6A2D445C" w:rsidR="00D35117" w:rsidRPr="00A16FC4" w:rsidRDefault="00D35117" w:rsidP="00565DBB">
            <w:pPr>
              <w:pStyle w:val="cuadroCabe"/>
              <w:spacing w:line="240" w:lineRule="auto"/>
              <w:jc w:val="right"/>
            </w:pPr>
            <w:r>
              <w:t>Estatuko gainerakoak</w:t>
            </w:r>
          </w:p>
        </w:tc>
      </w:tr>
      <w:tr w:rsidR="00D35117" w:rsidRPr="00EE32F4" w14:paraId="109CC656" w14:textId="77777777" w:rsidTr="001C793D">
        <w:trPr>
          <w:trHeight w:val="227"/>
        </w:trPr>
        <w:tc>
          <w:tcPr>
            <w:tcW w:w="5103" w:type="dxa"/>
            <w:tcBorders>
              <w:top w:val="nil"/>
              <w:left w:val="nil"/>
              <w:bottom w:val="single" w:sz="4" w:space="0" w:color="auto"/>
              <w:right w:val="nil"/>
            </w:tcBorders>
            <w:shd w:val="clear" w:color="auto" w:fill="auto"/>
            <w:vAlign w:val="center"/>
            <w:hideMark/>
          </w:tcPr>
          <w:p w14:paraId="6C216AFD" w14:textId="2ACF076D" w:rsidR="00D35117" w:rsidRPr="00EE32F4" w:rsidRDefault="00D35117" w:rsidP="00565DBB">
            <w:pPr>
              <w:pStyle w:val="cuatexto"/>
              <w:spacing w:line="240" w:lineRule="auto"/>
              <w:rPr>
                <w:szCs w:val="20"/>
              </w:rPr>
            </w:pPr>
            <w:r>
              <w:t>Diru-sarrera arruntak (biztanleko)*</w:t>
            </w:r>
          </w:p>
        </w:tc>
        <w:tc>
          <w:tcPr>
            <w:tcW w:w="1250" w:type="dxa"/>
            <w:tcBorders>
              <w:top w:val="nil"/>
              <w:left w:val="nil"/>
              <w:bottom w:val="single" w:sz="4" w:space="0" w:color="auto"/>
              <w:right w:val="nil"/>
            </w:tcBorders>
            <w:vAlign w:val="center"/>
          </w:tcPr>
          <w:p w14:paraId="59125316" w14:textId="77777777" w:rsidR="00D35117" w:rsidRPr="00EE32F4" w:rsidRDefault="00D35117" w:rsidP="00565DBB">
            <w:pPr>
              <w:pStyle w:val="cuatexto"/>
              <w:spacing w:line="240" w:lineRule="auto"/>
              <w:jc w:val="right"/>
              <w:rPr>
                <w:szCs w:val="20"/>
              </w:rPr>
            </w:pPr>
            <w:r>
              <w:t>-30</w:t>
            </w:r>
          </w:p>
        </w:tc>
        <w:tc>
          <w:tcPr>
            <w:tcW w:w="1133" w:type="dxa"/>
            <w:tcBorders>
              <w:top w:val="nil"/>
              <w:left w:val="nil"/>
              <w:bottom w:val="single" w:sz="4" w:space="0" w:color="auto"/>
              <w:right w:val="nil"/>
            </w:tcBorders>
            <w:shd w:val="clear" w:color="auto" w:fill="auto"/>
            <w:noWrap/>
            <w:vAlign w:val="center"/>
            <w:hideMark/>
          </w:tcPr>
          <w:p w14:paraId="2F0A517A" w14:textId="77777777" w:rsidR="00D35117" w:rsidRPr="00EE32F4" w:rsidRDefault="00D35117" w:rsidP="00565DBB">
            <w:pPr>
              <w:pStyle w:val="cuatexto"/>
              <w:spacing w:line="240" w:lineRule="auto"/>
              <w:jc w:val="right"/>
              <w:rPr>
                <w:szCs w:val="20"/>
              </w:rPr>
            </w:pPr>
            <w:r>
              <w:t>-107</w:t>
            </w:r>
          </w:p>
        </w:tc>
        <w:tc>
          <w:tcPr>
            <w:tcW w:w="1450" w:type="dxa"/>
            <w:tcBorders>
              <w:top w:val="nil"/>
              <w:left w:val="nil"/>
              <w:bottom w:val="single" w:sz="4" w:space="0" w:color="auto"/>
              <w:right w:val="nil"/>
            </w:tcBorders>
            <w:shd w:val="clear" w:color="auto" w:fill="auto"/>
            <w:noWrap/>
            <w:vAlign w:val="center"/>
            <w:hideMark/>
          </w:tcPr>
          <w:p w14:paraId="39E49109" w14:textId="1EA39EFE" w:rsidR="00D35117" w:rsidRPr="00EE32F4" w:rsidRDefault="00D35117" w:rsidP="00565DBB">
            <w:pPr>
              <w:pStyle w:val="cuatexto"/>
              <w:spacing w:line="240" w:lineRule="auto"/>
              <w:jc w:val="right"/>
              <w:rPr>
                <w:szCs w:val="20"/>
              </w:rPr>
            </w:pPr>
            <w:r>
              <w:t>-24</w:t>
            </w:r>
          </w:p>
        </w:tc>
      </w:tr>
      <w:tr w:rsidR="00D35117" w:rsidRPr="00EE32F4" w14:paraId="18CA171D" w14:textId="77777777" w:rsidTr="001C793D">
        <w:trPr>
          <w:trHeight w:val="227"/>
        </w:trPr>
        <w:tc>
          <w:tcPr>
            <w:tcW w:w="5103" w:type="dxa"/>
            <w:tcBorders>
              <w:top w:val="nil"/>
              <w:left w:val="nil"/>
              <w:bottom w:val="single" w:sz="4" w:space="0" w:color="auto"/>
              <w:right w:val="nil"/>
            </w:tcBorders>
            <w:shd w:val="clear" w:color="auto" w:fill="auto"/>
            <w:vAlign w:val="center"/>
            <w:hideMark/>
          </w:tcPr>
          <w:p w14:paraId="69719054" w14:textId="7DD190FE" w:rsidR="00D35117" w:rsidRPr="00EE32F4" w:rsidRDefault="00D35117" w:rsidP="00565DBB">
            <w:pPr>
              <w:pStyle w:val="cuatexto"/>
              <w:spacing w:line="240" w:lineRule="auto"/>
              <w:rPr>
                <w:szCs w:val="20"/>
              </w:rPr>
            </w:pPr>
            <w:r>
              <w:t>Funtzionamendu gastuak*</w:t>
            </w:r>
          </w:p>
        </w:tc>
        <w:tc>
          <w:tcPr>
            <w:tcW w:w="1250" w:type="dxa"/>
            <w:tcBorders>
              <w:top w:val="nil"/>
              <w:left w:val="nil"/>
              <w:bottom w:val="single" w:sz="4" w:space="0" w:color="auto"/>
              <w:right w:val="nil"/>
            </w:tcBorders>
            <w:vAlign w:val="center"/>
          </w:tcPr>
          <w:p w14:paraId="44BAE478" w14:textId="5ECC6C9C" w:rsidR="00D35117" w:rsidRPr="00EE32F4" w:rsidRDefault="00D35117" w:rsidP="00565DBB">
            <w:pPr>
              <w:pStyle w:val="cuatexto"/>
              <w:spacing w:line="240" w:lineRule="auto"/>
              <w:jc w:val="right"/>
              <w:rPr>
                <w:szCs w:val="20"/>
              </w:rPr>
            </w:pPr>
            <w:r>
              <w:t>-41</w:t>
            </w:r>
          </w:p>
        </w:tc>
        <w:tc>
          <w:tcPr>
            <w:tcW w:w="1133" w:type="dxa"/>
            <w:tcBorders>
              <w:top w:val="nil"/>
              <w:left w:val="nil"/>
              <w:bottom w:val="single" w:sz="4" w:space="0" w:color="auto"/>
              <w:right w:val="nil"/>
            </w:tcBorders>
            <w:shd w:val="clear" w:color="auto" w:fill="auto"/>
            <w:noWrap/>
            <w:vAlign w:val="center"/>
            <w:hideMark/>
          </w:tcPr>
          <w:p w14:paraId="50DBB665" w14:textId="4086208B" w:rsidR="00D35117" w:rsidRPr="00EE32F4" w:rsidRDefault="00D35117" w:rsidP="00565DBB">
            <w:pPr>
              <w:pStyle w:val="cuatexto"/>
              <w:spacing w:line="240" w:lineRule="auto"/>
              <w:jc w:val="right"/>
              <w:rPr>
                <w:szCs w:val="20"/>
              </w:rPr>
            </w:pPr>
            <w:r>
              <w:t>-29</w:t>
            </w:r>
          </w:p>
        </w:tc>
        <w:tc>
          <w:tcPr>
            <w:tcW w:w="1450" w:type="dxa"/>
            <w:tcBorders>
              <w:top w:val="nil"/>
              <w:left w:val="nil"/>
              <w:bottom w:val="single" w:sz="4" w:space="0" w:color="auto"/>
              <w:right w:val="nil"/>
            </w:tcBorders>
            <w:shd w:val="clear" w:color="auto" w:fill="auto"/>
            <w:noWrap/>
            <w:vAlign w:val="center"/>
            <w:hideMark/>
          </w:tcPr>
          <w:p w14:paraId="17F122A0" w14:textId="77777777" w:rsidR="00D35117" w:rsidRPr="00EE32F4" w:rsidRDefault="00D35117" w:rsidP="00565DBB">
            <w:pPr>
              <w:pStyle w:val="cuatexto"/>
              <w:spacing w:line="240" w:lineRule="auto"/>
              <w:jc w:val="right"/>
              <w:rPr>
                <w:szCs w:val="20"/>
              </w:rPr>
            </w:pPr>
            <w:r>
              <w:t>-24</w:t>
            </w:r>
          </w:p>
        </w:tc>
      </w:tr>
      <w:tr w:rsidR="00D35117" w:rsidRPr="00EE32F4" w14:paraId="7D563034" w14:textId="77777777" w:rsidTr="001C793D">
        <w:trPr>
          <w:trHeight w:val="227"/>
        </w:trPr>
        <w:tc>
          <w:tcPr>
            <w:tcW w:w="5103" w:type="dxa"/>
            <w:tcBorders>
              <w:top w:val="nil"/>
              <w:left w:val="nil"/>
              <w:bottom w:val="single" w:sz="4" w:space="0" w:color="auto"/>
              <w:right w:val="nil"/>
            </w:tcBorders>
            <w:shd w:val="clear" w:color="auto" w:fill="auto"/>
            <w:vAlign w:val="center"/>
            <w:hideMark/>
          </w:tcPr>
          <w:p w14:paraId="1BE575D9" w14:textId="530DD339" w:rsidR="00D35117" w:rsidRPr="00EE32F4" w:rsidRDefault="00D35117" w:rsidP="00565DBB">
            <w:pPr>
              <w:pStyle w:val="cuatexto"/>
              <w:spacing w:line="240" w:lineRule="auto"/>
              <w:rPr>
                <w:szCs w:val="20"/>
              </w:rPr>
            </w:pPr>
            <w:r>
              <w:t>Finantza-zama*</w:t>
            </w:r>
          </w:p>
        </w:tc>
        <w:tc>
          <w:tcPr>
            <w:tcW w:w="1250" w:type="dxa"/>
            <w:tcBorders>
              <w:top w:val="nil"/>
              <w:left w:val="nil"/>
              <w:bottom w:val="single" w:sz="4" w:space="0" w:color="auto"/>
              <w:right w:val="nil"/>
            </w:tcBorders>
            <w:vAlign w:val="center"/>
          </w:tcPr>
          <w:p w14:paraId="4CE6D628" w14:textId="77777777" w:rsidR="00D35117" w:rsidRPr="00EE32F4" w:rsidRDefault="00D35117" w:rsidP="00565DBB">
            <w:pPr>
              <w:pStyle w:val="cuatexto"/>
              <w:spacing w:line="240" w:lineRule="auto"/>
              <w:jc w:val="right"/>
              <w:rPr>
                <w:szCs w:val="20"/>
              </w:rPr>
            </w:pPr>
            <w:r>
              <w:t>2</w:t>
            </w:r>
          </w:p>
        </w:tc>
        <w:tc>
          <w:tcPr>
            <w:tcW w:w="1133" w:type="dxa"/>
            <w:tcBorders>
              <w:top w:val="nil"/>
              <w:left w:val="nil"/>
              <w:bottom w:val="single" w:sz="4" w:space="0" w:color="auto"/>
              <w:right w:val="nil"/>
            </w:tcBorders>
            <w:shd w:val="clear" w:color="auto" w:fill="auto"/>
            <w:noWrap/>
            <w:vAlign w:val="center"/>
            <w:hideMark/>
          </w:tcPr>
          <w:p w14:paraId="4EB28B94" w14:textId="77777777" w:rsidR="00D35117" w:rsidRPr="00EE32F4" w:rsidRDefault="00D35117" w:rsidP="00565DBB">
            <w:pPr>
              <w:pStyle w:val="cuatexto"/>
              <w:spacing w:line="240" w:lineRule="auto"/>
              <w:jc w:val="right"/>
              <w:rPr>
                <w:szCs w:val="20"/>
              </w:rPr>
            </w:pPr>
            <w:r>
              <w:t>4</w:t>
            </w:r>
          </w:p>
        </w:tc>
        <w:tc>
          <w:tcPr>
            <w:tcW w:w="1450" w:type="dxa"/>
            <w:tcBorders>
              <w:top w:val="nil"/>
              <w:left w:val="nil"/>
              <w:bottom w:val="single" w:sz="4" w:space="0" w:color="auto"/>
              <w:right w:val="nil"/>
            </w:tcBorders>
            <w:shd w:val="clear" w:color="auto" w:fill="auto"/>
            <w:noWrap/>
            <w:vAlign w:val="center"/>
            <w:hideMark/>
          </w:tcPr>
          <w:p w14:paraId="32A19ECF" w14:textId="77777777" w:rsidR="00D35117" w:rsidRPr="00EE32F4" w:rsidRDefault="00D35117" w:rsidP="00565DBB">
            <w:pPr>
              <w:pStyle w:val="cuatexto"/>
              <w:spacing w:line="240" w:lineRule="auto"/>
              <w:jc w:val="right"/>
              <w:rPr>
                <w:szCs w:val="20"/>
              </w:rPr>
            </w:pPr>
            <w:r>
              <w:t>-37</w:t>
            </w:r>
          </w:p>
        </w:tc>
      </w:tr>
      <w:tr w:rsidR="00D35117" w:rsidRPr="00EE32F4" w14:paraId="06F2F951"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6E844641" w14:textId="653266F6" w:rsidR="00D35117" w:rsidRPr="00EE32F4" w:rsidRDefault="00D35117" w:rsidP="00565DBB">
            <w:pPr>
              <w:pStyle w:val="cuatexto"/>
              <w:spacing w:line="240" w:lineRule="auto"/>
              <w:rPr>
                <w:szCs w:val="20"/>
              </w:rPr>
            </w:pPr>
            <w:r>
              <w:t>Aurrezki gordina*</w:t>
            </w:r>
          </w:p>
        </w:tc>
        <w:tc>
          <w:tcPr>
            <w:tcW w:w="1250" w:type="dxa"/>
            <w:tcBorders>
              <w:top w:val="nil"/>
              <w:left w:val="nil"/>
              <w:bottom w:val="single" w:sz="4" w:space="0" w:color="auto"/>
              <w:right w:val="nil"/>
            </w:tcBorders>
            <w:vAlign w:val="center"/>
          </w:tcPr>
          <w:p w14:paraId="6388261F" w14:textId="64BD231C" w:rsidR="00D35117" w:rsidRPr="00EE32F4" w:rsidRDefault="00D35117" w:rsidP="00565DBB">
            <w:pPr>
              <w:pStyle w:val="cuatexto"/>
              <w:spacing w:line="240" w:lineRule="auto"/>
              <w:jc w:val="right"/>
              <w:rPr>
                <w:szCs w:val="20"/>
              </w:rPr>
            </w:pPr>
            <w:r>
              <w:t>12</w:t>
            </w:r>
          </w:p>
        </w:tc>
        <w:tc>
          <w:tcPr>
            <w:tcW w:w="1133" w:type="dxa"/>
            <w:tcBorders>
              <w:top w:val="nil"/>
              <w:left w:val="nil"/>
              <w:bottom w:val="single" w:sz="4" w:space="0" w:color="auto"/>
              <w:right w:val="nil"/>
            </w:tcBorders>
            <w:shd w:val="clear" w:color="auto" w:fill="auto"/>
            <w:noWrap/>
            <w:vAlign w:val="center"/>
            <w:hideMark/>
          </w:tcPr>
          <w:p w14:paraId="792B4C80" w14:textId="77777777" w:rsidR="00D35117" w:rsidRPr="00EE32F4" w:rsidRDefault="00D35117" w:rsidP="00565DBB">
            <w:pPr>
              <w:pStyle w:val="cuatexto"/>
              <w:spacing w:line="240" w:lineRule="auto"/>
              <w:jc w:val="right"/>
              <w:rPr>
                <w:szCs w:val="20"/>
              </w:rPr>
            </w:pPr>
            <w:r>
              <w:t>-77</w:t>
            </w:r>
          </w:p>
        </w:tc>
        <w:tc>
          <w:tcPr>
            <w:tcW w:w="1450" w:type="dxa"/>
            <w:tcBorders>
              <w:top w:val="nil"/>
              <w:left w:val="nil"/>
              <w:bottom w:val="single" w:sz="4" w:space="0" w:color="auto"/>
              <w:right w:val="nil"/>
            </w:tcBorders>
            <w:shd w:val="clear" w:color="auto" w:fill="auto"/>
            <w:noWrap/>
            <w:vAlign w:val="center"/>
            <w:hideMark/>
          </w:tcPr>
          <w:p w14:paraId="0D22B128" w14:textId="77777777" w:rsidR="00D35117" w:rsidRPr="00EE32F4" w:rsidRDefault="00D35117" w:rsidP="00565DBB">
            <w:pPr>
              <w:pStyle w:val="cuatexto"/>
              <w:spacing w:line="240" w:lineRule="auto"/>
              <w:jc w:val="right"/>
              <w:rPr>
                <w:szCs w:val="20"/>
              </w:rPr>
            </w:pPr>
            <w:r>
              <w:t>0</w:t>
            </w:r>
          </w:p>
        </w:tc>
      </w:tr>
      <w:tr w:rsidR="00D35117" w:rsidRPr="00EE32F4" w14:paraId="1697A4F8"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32534B3A" w14:textId="6034CFCC" w:rsidR="00D35117" w:rsidRPr="00EE32F4" w:rsidRDefault="00D35117" w:rsidP="00565DBB">
            <w:pPr>
              <w:pStyle w:val="cuatexto"/>
              <w:spacing w:line="240" w:lineRule="auto"/>
              <w:rPr>
                <w:szCs w:val="20"/>
              </w:rPr>
            </w:pPr>
            <w:r>
              <w:t>Aurrezki garbia*</w:t>
            </w:r>
          </w:p>
        </w:tc>
        <w:tc>
          <w:tcPr>
            <w:tcW w:w="1250" w:type="dxa"/>
            <w:tcBorders>
              <w:top w:val="nil"/>
              <w:left w:val="nil"/>
              <w:bottom w:val="single" w:sz="4" w:space="0" w:color="auto"/>
              <w:right w:val="nil"/>
            </w:tcBorders>
            <w:vAlign w:val="center"/>
          </w:tcPr>
          <w:p w14:paraId="4079CFC1" w14:textId="77777777" w:rsidR="00D35117" w:rsidRPr="00EE32F4" w:rsidRDefault="00D35117" w:rsidP="00565DBB">
            <w:pPr>
              <w:pStyle w:val="cuatexto"/>
              <w:spacing w:line="240" w:lineRule="auto"/>
              <w:jc w:val="right"/>
              <w:rPr>
                <w:szCs w:val="20"/>
              </w:rPr>
            </w:pPr>
            <w:r>
              <w:t>10</w:t>
            </w:r>
          </w:p>
        </w:tc>
        <w:tc>
          <w:tcPr>
            <w:tcW w:w="1133" w:type="dxa"/>
            <w:tcBorders>
              <w:top w:val="nil"/>
              <w:left w:val="nil"/>
              <w:bottom w:val="single" w:sz="4" w:space="0" w:color="auto"/>
              <w:right w:val="nil"/>
            </w:tcBorders>
            <w:shd w:val="clear" w:color="auto" w:fill="auto"/>
            <w:noWrap/>
            <w:vAlign w:val="center"/>
            <w:hideMark/>
          </w:tcPr>
          <w:p w14:paraId="1C23F73B" w14:textId="77777777" w:rsidR="00D35117" w:rsidRPr="00EE32F4" w:rsidRDefault="00D35117" w:rsidP="00565DBB">
            <w:pPr>
              <w:pStyle w:val="cuatexto"/>
              <w:spacing w:line="240" w:lineRule="auto"/>
              <w:jc w:val="right"/>
              <w:rPr>
                <w:szCs w:val="20"/>
              </w:rPr>
            </w:pPr>
            <w:r>
              <w:t>-81</w:t>
            </w:r>
          </w:p>
        </w:tc>
        <w:tc>
          <w:tcPr>
            <w:tcW w:w="1450" w:type="dxa"/>
            <w:tcBorders>
              <w:top w:val="nil"/>
              <w:left w:val="nil"/>
              <w:bottom w:val="single" w:sz="4" w:space="0" w:color="auto"/>
              <w:right w:val="nil"/>
            </w:tcBorders>
            <w:shd w:val="clear" w:color="auto" w:fill="auto"/>
            <w:noWrap/>
            <w:vAlign w:val="center"/>
            <w:hideMark/>
          </w:tcPr>
          <w:p w14:paraId="2AD05D4A" w14:textId="77777777" w:rsidR="00D35117" w:rsidRPr="00EE32F4" w:rsidRDefault="00D35117" w:rsidP="00565DBB">
            <w:pPr>
              <w:pStyle w:val="cuatexto"/>
              <w:spacing w:line="240" w:lineRule="auto"/>
              <w:jc w:val="right"/>
              <w:rPr>
                <w:szCs w:val="20"/>
              </w:rPr>
            </w:pPr>
            <w:r>
              <w:t>37</w:t>
            </w:r>
          </w:p>
        </w:tc>
      </w:tr>
      <w:tr w:rsidR="00D35117" w:rsidRPr="00EE32F4" w14:paraId="12513C24"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52A083B4" w14:textId="16B68D41" w:rsidR="00D35117" w:rsidRPr="00EE32F4" w:rsidRDefault="00D35117" w:rsidP="00565DBB">
            <w:pPr>
              <w:pStyle w:val="cuatexto"/>
              <w:spacing w:line="240" w:lineRule="auto"/>
              <w:rPr>
                <w:szCs w:val="20"/>
              </w:rPr>
            </w:pPr>
            <w:r>
              <w:t>Zor bizia*</w:t>
            </w:r>
          </w:p>
        </w:tc>
        <w:tc>
          <w:tcPr>
            <w:tcW w:w="1250" w:type="dxa"/>
            <w:tcBorders>
              <w:top w:val="nil"/>
              <w:left w:val="nil"/>
              <w:bottom w:val="single" w:sz="4" w:space="0" w:color="auto"/>
              <w:right w:val="nil"/>
            </w:tcBorders>
            <w:vAlign w:val="center"/>
          </w:tcPr>
          <w:p w14:paraId="72E96069" w14:textId="77777777" w:rsidR="00D35117" w:rsidRPr="00EE32F4" w:rsidRDefault="00FB2CFA" w:rsidP="00565DBB">
            <w:pPr>
              <w:pStyle w:val="cuatexto"/>
              <w:spacing w:line="240" w:lineRule="auto"/>
              <w:jc w:val="right"/>
              <w:rPr>
                <w:szCs w:val="20"/>
              </w:rPr>
            </w:pPr>
            <w:r>
              <w:t>-28</w:t>
            </w:r>
          </w:p>
        </w:tc>
        <w:tc>
          <w:tcPr>
            <w:tcW w:w="1133" w:type="dxa"/>
            <w:tcBorders>
              <w:top w:val="nil"/>
              <w:left w:val="nil"/>
              <w:bottom w:val="single" w:sz="4" w:space="0" w:color="auto"/>
              <w:right w:val="nil"/>
            </w:tcBorders>
            <w:shd w:val="clear" w:color="auto" w:fill="auto"/>
            <w:noWrap/>
            <w:vAlign w:val="center"/>
            <w:hideMark/>
          </w:tcPr>
          <w:p w14:paraId="7E249C0B" w14:textId="77777777" w:rsidR="00D35117" w:rsidRPr="00EE32F4" w:rsidRDefault="00D35117" w:rsidP="00565DBB">
            <w:pPr>
              <w:pStyle w:val="cuatexto"/>
              <w:spacing w:line="240" w:lineRule="auto"/>
              <w:jc w:val="right"/>
              <w:rPr>
                <w:szCs w:val="20"/>
              </w:rPr>
            </w:pPr>
            <w:r>
              <w:t>-13</w:t>
            </w:r>
          </w:p>
        </w:tc>
        <w:tc>
          <w:tcPr>
            <w:tcW w:w="1450" w:type="dxa"/>
            <w:tcBorders>
              <w:top w:val="nil"/>
              <w:left w:val="nil"/>
              <w:bottom w:val="single" w:sz="4" w:space="0" w:color="auto"/>
              <w:right w:val="nil"/>
            </w:tcBorders>
            <w:shd w:val="clear" w:color="auto" w:fill="auto"/>
            <w:noWrap/>
            <w:vAlign w:val="center"/>
            <w:hideMark/>
          </w:tcPr>
          <w:p w14:paraId="5D835498" w14:textId="77777777" w:rsidR="00D35117" w:rsidRPr="00EE32F4" w:rsidRDefault="00D35117" w:rsidP="00565DBB">
            <w:pPr>
              <w:pStyle w:val="cuatexto"/>
              <w:spacing w:line="240" w:lineRule="auto"/>
              <w:jc w:val="right"/>
              <w:rPr>
                <w:szCs w:val="20"/>
              </w:rPr>
            </w:pPr>
            <w:r>
              <w:t>-12</w:t>
            </w:r>
          </w:p>
        </w:tc>
      </w:tr>
      <w:tr w:rsidR="00D35117" w:rsidRPr="00EE32F4" w14:paraId="03ECC714"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517CDA4A" w14:textId="77777777" w:rsidR="00D35117" w:rsidRPr="00EE32F4" w:rsidRDefault="00D35117" w:rsidP="00565DBB">
            <w:pPr>
              <w:pStyle w:val="cuatexto"/>
              <w:spacing w:line="240" w:lineRule="auto"/>
              <w:rPr>
                <w:szCs w:val="20"/>
              </w:rPr>
            </w:pPr>
            <w:r>
              <w:t>Zorpetze maila (zor biziaren ehunekoa diru-sarrera arrunten gainean)</w:t>
            </w:r>
          </w:p>
        </w:tc>
        <w:tc>
          <w:tcPr>
            <w:tcW w:w="1250" w:type="dxa"/>
            <w:tcBorders>
              <w:top w:val="nil"/>
              <w:left w:val="nil"/>
              <w:bottom w:val="single" w:sz="4" w:space="0" w:color="auto"/>
              <w:right w:val="nil"/>
            </w:tcBorders>
            <w:vAlign w:val="center"/>
          </w:tcPr>
          <w:p w14:paraId="3DCF1EFA" w14:textId="77777777" w:rsidR="00D35117" w:rsidRPr="00EE32F4" w:rsidRDefault="00FB2CFA" w:rsidP="00565DBB">
            <w:pPr>
              <w:pStyle w:val="cuatexto"/>
              <w:spacing w:line="240" w:lineRule="auto"/>
              <w:jc w:val="right"/>
              <w:rPr>
                <w:szCs w:val="20"/>
              </w:rPr>
            </w:pPr>
            <w:r>
              <w:t>-2</w:t>
            </w:r>
          </w:p>
        </w:tc>
        <w:tc>
          <w:tcPr>
            <w:tcW w:w="1133" w:type="dxa"/>
            <w:tcBorders>
              <w:top w:val="nil"/>
              <w:left w:val="nil"/>
              <w:bottom w:val="single" w:sz="4" w:space="0" w:color="auto"/>
              <w:right w:val="nil"/>
            </w:tcBorders>
            <w:shd w:val="clear" w:color="auto" w:fill="auto"/>
            <w:noWrap/>
            <w:vAlign w:val="center"/>
            <w:hideMark/>
          </w:tcPr>
          <w:p w14:paraId="4DE42B58" w14:textId="77777777" w:rsidR="00D35117" w:rsidRPr="00EE32F4" w:rsidRDefault="00D35117" w:rsidP="00565DBB">
            <w:pPr>
              <w:pStyle w:val="cuatexto"/>
              <w:spacing w:line="240" w:lineRule="auto"/>
              <w:jc w:val="right"/>
              <w:rPr>
                <w:szCs w:val="20"/>
              </w:rPr>
            </w:pPr>
            <w:r>
              <w:t>0</w:t>
            </w:r>
          </w:p>
        </w:tc>
        <w:tc>
          <w:tcPr>
            <w:tcW w:w="1450" w:type="dxa"/>
            <w:tcBorders>
              <w:top w:val="nil"/>
              <w:left w:val="nil"/>
              <w:bottom w:val="single" w:sz="4" w:space="0" w:color="auto"/>
              <w:right w:val="nil"/>
            </w:tcBorders>
            <w:shd w:val="clear" w:color="auto" w:fill="auto"/>
            <w:noWrap/>
            <w:vAlign w:val="center"/>
            <w:hideMark/>
          </w:tcPr>
          <w:p w14:paraId="455FB698" w14:textId="77777777" w:rsidR="00D35117" w:rsidRPr="00EE32F4" w:rsidRDefault="00D35117" w:rsidP="00565DBB">
            <w:pPr>
              <w:pStyle w:val="cuatexto"/>
              <w:spacing w:line="240" w:lineRule="auto"/>
              <w:jc w:val="right"/>
              <w:rPr>
                <w:szCs w:val="20"/>
              </w:rPr>
            </w:pPr>
            <w:r>
              <w:t>-1</w:t>
            </w:r>
          </w:p>
        </w:tc>
      </w:tr>
      <w:tr w:rsidR="00D35117" w:rsidRPr="00EE32F4" w14:paraId="49C7D108"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2D9E0649" w14:textId="77777777" w:rsidR="00D35117" w:rsidRPr="00EE32F4" w:rsidRDefault="00D35117" w:rsidP="00565DBB">
            <w:pPr>
              <w:pStyle w:val="cuatexto"/>
              <w:spacing w:line="240" w:lineRule="auto"/>
              <w:rPr>
                <w:szCs w:val="20"/>
              </w:rPr>
            </w:pPr>
            <w:r>
              <w:t>Finantza-zamaren indizea (3. eta 9. kap./diru-sar. arruntak)</w:t>
            </w:r>
          </w:p>
        </w:tc>
        <w:tc>
          <w:tcPr>
            <w:tcW w:w="1250" w:type="dxa"/>
            <w:tcBorders>
              <w:top w:val="nil"/>
              <w:left w:val="nil"/>
              <w:bottom w:val="single" w:sz="4" w:space="0" w:color="auto"/>
              <w:right w:val="nil"/>
            </w:tcBorders>
            <w:vAlign w:val="center"/>
          </w:tcPr>
          <w:p w14:paraId="2263E4F4" w14:textId="77777777" w:rsidR="00D35117" w:rsidRPr="00EE32F4" w:rsidRDefault="00D35117" w:rsidP="00565DBB">
            <w:pPr>
              <w:pStyle w:val="cuatexto"/>
              <w:spacing w:line="240" w:lineRule="auto"/>
              <w:jc w:val="right"/>
              <w:rPr>
                <w:szCs w:val="20"/>
              </w:rPr>
            </w:pPr>
            <w:r>
              <w:t>0</w:t>
            </w:r>
          </w:p>
        </w:tc>
        <w:tc>
          <w:tcPr>
            <w:tcW w:w="1133" w:type="dxa"/>
            <w:tcBorders>
              <w:top w:val="nil"/>
              <w:left w:val="nil"/>
              <w:bottom w:val="single" w:sz="4" w:space="0" w:color="auto"/>
              <w:right w:val="nil"/>
            </w:tcBorders>
            <w:shd w:val="clear" w:color="auto" w:fill="auto"/>
            <w:noWrap/>
            <w:vAlign w:val="center"/>
            <w:hideMark/>
          </w:tcPr>
          <w:p w14:paraId="6D533496" w14:textId="77777777" w:rsidR="00D35117" w:rsidRPr="00EE32F4" w:rsidRDefault="00D35117" w:rsidP="00565DBB">
            <w:pPr>
              <w:pStyle w:val="cuatexto"/>
              <w:spacing w:line="240" w:lineRule="auto"/>
              <w:jc w:val="right"/>
              <w:rPr>
                <w:szCs w:val="20"/>
              </w:rPr>
            </w:pPr>
            <w:r>
              <w:t>0</w:t>
            </w:r>
          </w:p>
        </w:tc>
        <w:tc>
          <w:tcPr>
            <w:tcW w:w="1450" w:type="dxa"/>
            <w:tcBorders>
              <w:top w:val="nil"/>
              <w:left w:val="nil"/>
              <w:bottom w:val="single" w:sz="4" w:space="0" w:color="auto"/>
              <w:right w:val="nil"/>
            </w:tcBorders>
            <w:shd w:val="clear" w:color="auto" w:fill="auto"/>
            <w:noWrap/>
            <w:vAlign w:val="center"/>
            <w:hideMark/>
          </w:tcPr>
          <w:p w14:paraId="2C15576E" w14:textId="7A510292" w:rsidR="00D35117" w:rsidRPr="00EE32F4" w:rsidRDefault="00D35117" w:rsidP="00565DBB">
            <w:pPr>
              <w:pStyle w:val="cuatexto"/>
              <w:spacing w:line="240" w:lineRule="auto"/>
              <w:jc w:val="right"/>
              <w:rPr>
                <w:szCs w:val="20"/>
              </w:rPr>
            </w:pPr>
            <w:r>
              <w:t>-3</w:t>
            </w:r>
          </w:p>
        </w:tc>
      </w:tr>
      <w:tr w:rsidR="00D35117" w:rsidRPr="00EE32F4" w14:paraId="4F439E75"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11AAF0FB" w14:textId="77777777" w:rsidR="00D35117" w:rsidRPr="00EE32F4" w:rsidRDefault="00D35117" w:rsidP="00565DBB">
            <w:pPr>
              <w:pStyle w:val="cuatexto"/>
              <w:spacing w:line="240" w:lineRule="auto"/>
              <w:rPr>
                <w:szCs w:val="20"/>
              </w:rPr>
            </w:pPr>
            <w:r>
              <w:t>Aurrezki gordinaren ehunekoa diru-sarrera arrunten gainean (</w:t>
            </w:r>
            <w:proofErr w:type="spellStart"/>
            <w:r>
              <w:t>d.s</w:t>
            </w:r>
            <w:proofErr w:type="spellEnd"/>
            <w:r>
              <w:t xml:space="preserve">. arr. - </w:t>
            </w:r>
            <w:proofErr w:type="spellStart"/>
            <w:r>
              <w:t>funtz</w:t>
            </w:r>
            <w:proofErr w:type="spellEnd"/>
            <w:r>
              <w:t xml:space="preserve">. </w:t>
            </w:r>
            <w:proofErr w:type="spellStart"/>
            <w:r>
              <w:t>gast</w:t>
            </w:r>
            <w:proofErr w:type="spellEnd"/>
            <w:r>
              <w:t xml:space="preserve">. / </w:t>
            </w:r>
            <w:proofErr w:type="spellStart"/>
            <w:r>
              <w:t>d.s</w:t>
            </w:r>
            <w:proofErr w:type="spellEnd"/>
            <w:r>
              <w:t>. arr.)</w:t>
            </w:r>
          </w:p>
        </w:tc>
        <w:tc>
          <w:tcPr>
            <w:tcW w:w="1250" w:type="dxa"/>
            <w:tcBorders>
              <w:top w:val="nil"/>
              <w:left w:val="nil"/>
              <w:bottom w:val="single" w:sz="4" w:space="0" w:color="auto"/>
              <w:right w:val="nil"/>
            </w:tcBorders>
            <w:vAlign w:val="center"/>
          </w:tcPr>
          <w:p w14:paraId="65EB9530" w14:textId="77777777" w:rsidR="00D35117" w:rsidRPr="00EE32F4" w:rsidRDefault="00D35117" w:rsidP="00565DBB">
            <w:pPr>
              <w:pStyle w:val="cuatexto"/>
              <w:spacing w:line="240" w:lineRule="auto"/>
              <w:jc w:val="right"/>
              <w:rPr>
                <w:szCs w:val="20"/>
              </w:rPr>
            </w:pPr>
            <w:r>
              <w:t>2</w:t>
            </w:r>
          </w:p>
        </w:tc>
        <w:tc>
          <w:tcPr>
            <w:tcW w:w="1133" w:type="dxa"/>
            <w:tcBorders>
              <w:top w:val="nil"/>
              <w:left w:val="nil"/>
              <w:bottom w:val="single" w:sz="4" w:space="0" w:color="auto"/>
              <w:right w:val="nil"/>
            </w:tcBorders>
            <w:shd w:val="clear" w:color="auto" w:fill="auto"/>
            <w:noWrap/>
            <w:vAlign w:val="center"/>
            <w:hideMark/>
          </w:tcPr>
          <w:p w14:paraId="19C741A2" w14:textId="77777777" w:rsidR="00D35117" w:rsidRPr="00EE32F4" w:rsidRDefault="00D35117" w:rsidP="00565DBB">
            <w:pPr>
              <w:pStyle w:val="cuatexto"/>
              <w:spacing w:line="240" w:lineRule="auto"/>
              <w:jc w:val="right"/>
              <w:rPr>
                <w:szCs w:val="20"/>
              </w:rPr>
            </w:pPr>
            <w:r>
              <w:t>-4</w:t>
            </w:r>
          </w:p>
        </w:tc>
        <w:tc>
          <w:tcPr>
            <w:tcW w:w="1450" w:type="dxa"/>
            <w:tcBorders>
              <w:top w:val="nil"/>
              <w:left w:val="nil"/>
              <w:bottom w:val="single" w:sz="4" w:space="0" w:color="auto"/>
              <w:right w:val="nil"/>
            </w:tcBorders>
            <w:shd w:val="clear" w:color="auto" w:fill="auto"/>
            <w:noWrap/>
            <w:vAlign w:val="center"/>
            <w:hideMark/>
          </w:tcPr>
          <w:p w14:paraId="0C2DAC9C" w14:textId="77777777" w:rsidR="00D35117" w:rsidRPr="00EE32F4" w:rsidRDefault="00D35117" w:rsidP="00565DBB">
            <w:pPr>
              <w:pStyle w:val="cuatexto"/>
              <w:spacing w:line="240" w:lineRule="auto"/>
              <w:jc w:val="right"/>
              <w:rPr>
                <w:szCs w:val="20"/>
              </w:rPr>
            </w:pPr>
            <w:r>
              <w:t>0</w:t>
            </w:r>
          </w:p>
        </w:tc>
      </w:tr>
      <w:tr w:rsidR="00D35117" w:rsidRPr="00EE32F4" w14:paraId="00E43B52"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7022DAC6" w14:textId="5FD78DDE" w:rsidR="00D35117" w:rsidRPr="00EE32F4" w:rsidRDefault="00D35117" w:rsidP="00565DBB">
            <w:pPr>
              <w:pStyle w:val="cuatexto"/>
              <w:spacing w:line="240" w:lineRule="auto"/>
              <w:rPr>
                <w:szCs w:val="20"/>
              </w:rPr>
            </w:pPr>
            <w:r>
              <w:t>Jasotako transferentziak*</w:t>
            </w:r>
          </w:p>
        </w:tc>
        <w:tc>
          <w:tcPr>
            <w:tcW w:w="1250" w:type="dxa"/>
            <w:tcBorders>
              <w:top w:val="nil"/>
              <w:left w:val="nil"/>
              <w:bottom w:val="single" w:sz="4" w:space="0" w:color="auto"/>
              <w:right w:val="nil"/>
            </w:tcBorders>
            <w:vAlign w:val="center"/>
          </w:tcPr>
          <w:p w14:paraId="042FC9D5" w14:textId="29CDF779" w:rsidR="00D35117" w:rsidRPr="00EE32F4" w:rsidRDefault="004D0737" w:rsidP="00565DBB">
            <w:pPr>
              <w:pStyle w:val="cuatexto"/>
              <w:spacing w:line="240" w:lineRule="auto"/>
              <w:jc w:val="right"/>
              <w:rPr>
                <w:szCs w:val="20"/>
              </w:rPr>
            </w:pPr>
            <w:r>
              <w:t>6</w:t>
            </w:r>
          </w:p>
        </w:tc>
        <w:tc>
          <w:tcPr>
            <w:tcW w:w="1133" w:type="dxa"/>
            <w:tcBorders>
              <w:top w:val="nil"/>
              <w:left w:val="nil"/>
              <w:bottom w:val="single" w:sz="4" w:space="0" w:color="auto"/>
              <w:right w:val="nil"/>
            </w:tcBorders>
            <w:shd w:val="clear" w:color="auto" w:fill="auto"/>
            <w:noWrap/>
            <w:vAlign w:val="center"/>
            <w:hideMark/>
          </w:tcPr>
          <w:p w14:paraId="385E9312" w14:textId="77777777" w:rsidR="00D35117" w:rsidRPr="00EE32F4" w:rsidRDefault="00D35117" w:rsidP="00565DBB">
            <w:pPr>
              <w:pStyle w:val="cuatexto"/>
              <w:spacing w:line="240" w:lineRule="auto"/>
              <w:jc w:val="right"/>
              <w:rPr>
                <w:szCs w:val="20"/>
              </w:rPr>
            </w:pPr>
            <w:r>
              <w:t>-78</w:t>
            </w:r>
          </w:p>
        </w:tc>
        <w:tc>
          <w:tcPr>
            <w:tcW w:w="1450" w:type="dxa"/>
            <w:tcBorders>
              <w:top w:val="nil"/>
              <w:left w:val="nil"/>
              <w:bottom w:val="single" w:sz="4" w:space="0" w:color="auto"/>
              <w:right w:val="nil"/>
            </w:tcBorders>
            <w:shd w:val="clear" w:color="auto" w:fill="auto"/>
            <w:noWrap/>
            <w:vAlign w:val="center"/>
            <w:hideMark/>
          </w:tcPr>
          <w:p w14:paraId="1F3CF734" w14:textId="77777777" w:rsidR="00D35117" w:rsidRPr="00EE32F4" w:rsidRDefault="00D35117" w:rsidP="00565DBB">
            <w:pPr>
              <w:pStyle w:val="cuatexto"/>
              <w:spacing w:line="240" w:lineRule="auto"/>
              <w:jc w:val="right"/>
              <w:rPr>
                <w:szCs w:val="20"/>
              </w:rPr>
            </w:pPr>
            <w:r>
              <w:t>10</w:t>
            </w:r>
          </w:p>
        </w:tc>
      </w:tr>
      <w:tr w:rsidR="00D35117" w:rsidRPr="00EE32F4" w14:paraId="69222DDD"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4EC45975" w14:textId="77777777" w:rsidR="00D35117" w:rsidRPr="00EE32F4" w:rsidRDefault="00D35117" w:rsidP="00565DBB">
            <w:pPr>
              <w:pStyle w:val="cuatexto"/>
              <w:spacing w:line="240" w:lineRule="auto"/>
              <w:rPr>
                <w:szCs w:val="20"/>
              </w:rPr>
            </w:pPr>
            <w:r>
              <w:t>Transf. arruntez finantzatutako gastu arruntak (%)</w:t>
            </w:r>
          </w:p>
        </w:tc>
        <w:tc>
          <w:tcPr>
            <w:tcW w:w="1250" w:type="dxa"/>
            <w:tcBorders>
              <w:top w:val="nil"/>
              <w:left w:val="nil"/>
              <w:bottom w:val="single" w:sz="4" w:space="0" w:color="auto"/>
              <w:right w:val="nil"/>
            </w:tcBorders>
            <w:vAlign w:val="center"/>
          </w:tcPr>
          <w:p w14:paraId="5DA8BED6" w14:textId="77777777" w:rsidR="00D35117" w:rsidRPr="00EE32F4" w:rsidRDefault="00D35117" w:rsidP="00565DBB">
            <w:pPr>
              <w:pStyle w:val="cuatexto"/>
              <w:spacing w:line="240" w:lineRule="auto"/>
              <w:jc w:val="right"/>
              <w:rPr>
                <w:szCs w:val="20"/>
              </w:rPr>
            </w:pPr>
            <w:r>
              <w:t>7</w:t>
            </w:r>
          </w:p>
        </w:tc>
        <w:tc>
          <w:tcPr>
            <w:tcW w:w="1133" w:type="dxa"/>
            <w:tcBorders>
              <w:top w:val="nil"/>
              <w:left w:val="nil"/>
              <w:bottom w:val="single" w:sz="4" w:space="0" w:color="auto"/>
              <w:right w:val="nil"/>
            </w:tcBorders>
            <w:shd w:val="clear" w:color="auto" w:fill="auto"/>
            <w:noWrap/>
            <w:vAlign w:val="center"/>
            <w:hideMark/>
          </w:tcPr>
          <w:p w14:paraId="2DADFB2C" w14:textId="75FB8C21" w:rsidR="00D35117" w:rsidRPr="00EE32F4" w:rsidRDefault="00D35117" w:rsidP="00565DBB">
            <w:pPr>
              <w:pStyle w:val="cuatexto"/>
              <w:spacing w:line="240" w:lineRule="auto"/>
              <w:jc w:val="right"/>
              <w:rPr>
                <w:szCs w:val="20"/>
              </w:rPr>
            </w:pPr>
            <w:r>
              <w:t>-5</w:t>
            </w:r>
          </w:p>
        </w:tc>
        <w:tc>
          <w:tcPr>
            <w:tcW w:w="1450" w:type="dxa"/>
            <w:tcBorders>
              <w:top w:val="nil"/>
              <w:left w:val="nil"/>
              <w:bottom w:val="single" w:sz="4" w:space="0" w:color="auto"/>
              <w:right w:val="nil"/>
            </w:tcBorders>
            <w:shd w:val="clear" w:color="auto" w:fill="auto"/>
            <w:noWrap/>
            <w:vAlign w:val="center"/>
            <w:hideMark/>
          </w:tcPr>
          <w:p w14:paraId="0689A240" w14:textId="77704BEB" w:rsidR="00D35117" w:rsidRPr="00EE32F4" w:rsidRDefault="004D0737" w:rsidP="00565DBB">
            <w:pPr>
              <w:pStyle w:val="cuatexto"/>
              <w:spacing w:line="240" w:lineRule="auto"/>
              <w:jc w:val="right"/>
              <w:rPr>
                <w:szCs w:val="20"/>
              </w:rPr>
            </w:pPr>
            <w:r>
              <w:t>3</w:t>
            </w:r>
          </w:p>
        </w:tc>
      </w:tr>
      <w:tr w:rsidR="00D35117" w:rsidRPr="00EE32F4" w14:paraId="76186FC8" w14:textId="77777777" w:rsidTr="001C793D">
        <w:trPr>
          <w:trHeight w:val="227"/>
        </w:trPr>
        <w:tc>
          <w:tcPr>
            <w:tcW w:w="5103" w:type="dxa"/>
            <w:tcBorders>
              <w:top w:val="nil"/>
              <w:left w:val="nil"/>
              <w:bottom w:val="single" w:sz="4" w:space="0" w:color="auto"/>
              <w:right w:val="nil"/>
            </w:tcBorders>
            <w:shd w:val="clear" w:color="auto" w:fill="auto"/>
            <w:noWrap/>
            <w:vAlign w:val="center"/>
            <w:hideMark/>
          </w:tcPr>
          <w:p w14:paraId="5F467576" w14:textId="77777777" w:rsidR="00D35117" w:rsidRPr="00EE32F4" w:rsidRDefault="00D35117" w:rsidP="00565DBB">
            <w:pPr>
              <w:pStyle w:val="cuatexto"/>
              <w:spacing w:line="240" w:lineRule="auto"/>
              <w:rPr>
                <w:szCs w:val="20"/>
              </w:rPr>
            </w:pPr>
            <w:r>
              <w:t>Kapital-transferentziez finantzatu ez diren inbertsioak (%)</w:t>
            </w:r>
          </w:p>
        </w:tc>
        <w:tc>
          <w:tcPr>
            <w:tcW w:w="1250" w:type="dxa"/>
            <w:tcBorders>
              <w:top w:val="nil"/>
              <w:left w:val="nil"/>
              <w:bottom w:val="single" w:sz="4" w:space="0" w:color="auto"/>
              <w:right w:val="nil"/>
            </w:tcBorders>
            <w:vAlign w:val="center"/>
          </w:tcPr>
          <w:p w14:paraId="2D152B93" w14:textId="77777777" w:rsidR="00D35117" w:rsidRPr="00EE32F4" w:rsidRDefault="00D35117" w:rsidP="00565DBB">
            <w:pPr>
              <w:pStyle w:val="cuatexto"/>
              <w:spacing w:line="240" w:lineRule="auto"/>
              <w:jc w:val="right"/>
              <w:rPr>
                <w:szCs w:val="20"/>
              </w:rPr>
            </w:pPr>
            <w:r>
              <w:t>-6</w:t>
            </w:r>
          </w:p>
        </w:tc>
        <w:tc>
          <w:tcPr>
            <w:tcW w:w="1133" w:type="dxa"/>
            <w:tcBorders>
              <w:top w:val="nil"/>
              <w:left w:val="nil"/>
              <w:bottom w:val="single" w:sz="4" w:space="0" w:color="auto"/>
              <w:right w:val="nil"/>
            </w:tcBorders>
            <w:shd w:val="clear" w:color="auto" w:fill="auto"/>
            <w:noWrap/>
            <w:vAlign w:val="center"/>
            <w:hideMark/>
          </w:tcPr>
          <w:p w14:paraId="20357BF9" w14:textId="77777777" w:rsidR="00D35117" w:rsidRPr="00EE32F4" w:rsidRDefault="00D35117" w:rsidP="00565DBB">
            <w:pPr>
              <w:pStyle w:val="cuatexto"/>
              <w:spacing w:line="240" w:lineRule="auto"/>
              <w:jc w:val="right"/>
              <w:rPr>
                <w:szCs w:val="20"/>
              </w:rPr>
            </w:pPr>
            <w:r>
              <w:t>-3</w:t>
            </w:r>
          </w:p>
        </w:tc>
        <w:tc>
          <w:tcPr>
            <w:tcW w:w="1450" w:type="dxa"/>
            <w:tcBorders>
              <w:top w:val="nil"/>
              <w:left w:val="nil"/>
              <w:bottom w:val="single" w:sz="4" w:space="0" w:color="auto"/>
              <w:right w:val="nil"/>
            </w:tcBorders>
            <w:shd w:val="clear" w:color="auto" w:fill="auto"/>
            <w:noWrap/>
            <w:vAlign w:val="center"/>
            <w:hideMark/>
          </w:tcPr>
          <w:p w14:paraId="3EE1C391" w14:textId="7C497DEC" w:rsidR="00D35117" w:rsidRPr="00EE32F4" w:rsidRDefault="00D35117" w:rsidP="00565DBB">
            <w:pPr>
              <w:pStyle w:val="cuatexto"/>
              <w:spacing w:line="240" w:lineRule="auto"/>
              <w:jc w:val="right"/>
              <w:rPr>
                <w:szCs w:val="20"/>
              </w:rPr>
            </w:pPr>
            <w:r>
              <w:t>-5</w:t>
            </w:r>
          </w:p>
        </w:tc>
      </w:tr>
    </w:tbl>
    <w:bookmarkEnd w:id="109"/>
    <w:p w14:paraId="11C26302" w14:textId="5F1C3624" w:rsidR="00D37BBA" w:rsidRPr="001C793D" w:rsidRDefault="00D37BBA" w:rsidP="00DD06D1">
      <w:pPr>
        <w:pStyle w:val="texto"/>
        <w:spacing w:before="60"/>
        <w:ind w:firstLine="0"/>
        <w:rPr>
          <w:rFonts w:ascii="Arial" w:hAnsi="Arial" w:cs="Arial"/>
          <w:color w:val="000000" w:themeColor="text1"/>
          <w:sz w:val="16"/>
          <w:szCs w:val="16"/>
        </w:rPr>
      </w:pPr>
      <w:r>
        <w:rPr>
          <w:rFonts w:ascii="Arial" w:hAnsi="Arial"/>
          <w:color w:val="000000" w:themeColor="text1"/>
          <w:sz w:val="16"/>
        </w:rPr>
        <w:t>(*) Euroak biztanleko.</w:t>
      </w:r>
    </w:p>
    <w:p w14:paraId="22855141" w14:textId="3A4FB856" w:rsidR="00D35117" w:rsidRDefault="004C5885" w:rsidP="00EE13C5">
      <w:pPr>
        <w:pStyle w:val="texto"/>
        <w:spacing w:before="240"/>
        <w:rPr>
          <w:color w:val="000000" w:themeColor="text1"/>
        </w:rPr>
      </w:pPr>
      <w:r>
        <w:rPr>
          <w:color w:val="000000" w:themeColor="text1"/>
        </w:rPr>
        <w:t xml:space="preserve">Nafarroako udaletan diru-sarrera arruntek biztanle bakoitzeko 30 euroko murrizketa izan dute 2019ko aldean, hau da, aurreko urteko zenbatekoaren ehuneko hiruko murrizketa. Estatuko gainerakoetan ere antzeko bilakaera izan dute. EAEn, aldiz, diru-sarrera arruntek 107 euroko beherakada izan dute biztanleko, ehuneko zortzikoa. Transferentzien portaeran dago alde horren azalpena. Izan ere, EAEn transferentzia arruntetarako funtsen zuzkidura zerga itunduen bitartez lortutako diru-bilketaren araberakoa da, eta 2020an jada funtsen zuzkiduran islatzen da ekitaldi horretarako aurreikusitako diru-bilketa apalagoa. </w:t>
      </w:r>
    </w:p>
    <w:p w14:paraId="6F8AFF5B" w14:textId="1F15F492" w:rsidR="00345C6C" w:rsidRDefault="00D35117" w:rsidP="00EE13C5">
      <w:pPr>
        <w:pStyle w:val="texto"/>
        <w:rPr>
          <w:color w:val="000000" w:themeColor="text1"/>
        </w:rPr>
      </w:pPr>
      <w:r>
        <w:rPr>
          <w:color w:val="000000" w:themeColor="text1"/>
        </w:rPr>
        <w:t>Nafarroan funtzionamendu gastuek 41 euroko jaitsiera izan dute biztanleko, ehuneko 4,9koa. Nabarmen handiagoa da Estatuko gainerakoan eta EAEn izandakoa baino (hurrenez hurren, 2,8 eta 2,6).</w:t>
      </w:r>
    </w:p>
    <w:p w14:paraId="4273309B" w14:textId="26E8D6D3" w:rsidR="00D35117" w:rsidRDefault="00FB2CFA" w:rsidP="00EE13C5">
      <w:pPr>
        <w:pStyle w:val="texto"/>
        <w:rPr>
          <w:color w:val="000000" w:themeColor="text1"/>
        </w:rPr>
      </w:pPr>
      <w:r>
        <w:rPr>
          <w:color w:val="000000" w:themeColor="text1"/>
        </w:rPr>
        <w:t xml:space="preserve">Horrenbestez, Nafarroan aurrezki gordina 12 euro hazi da biztanleko, eta EAEn, aldiz, 77 euro murriztu, eta Estatuko gainerakoan bere horretan iraun du. </w:t>
      </w:r>
    </w:p>
    <w:p w14:paraId="3A4B0071" w14:textId="7923D27B" w:rsidR="007F48E9" w:rsidRDefault="007F48E9" w:rsidP="007F48E9">
      <w:pPr>
        <w:pStyle w:val="texto"/>
        <w:spacing w:after="180"/>
      </w:pPr>
      <w:r>
        <w:t xml:space="preserve">Francisco Javier García Logroño </w:t>
      </w:r>
      <w:proofErr w:type="spellStart"/>
      <w:r>
        <w:t>auditorea</w:t>
      </w:r>
      <w:proofErr w:type="spellEnd"/>
      <w:r>
        <w:t xml:space="preserve"> arduratu da lan honetaz, eta hark proposatuta eman da txosten hau, araudi indardunak ezarritako tramiteak bete ondoren.</w:t>
      </w:r>
    </w:p>
    <w:p w14:paraId="6E4EA4CD" w14:textId="528DEDB3" w:rsidR="007F48E9" w:rsidRDefault="007F48E9" w:rsidP="007F48E9">
      <w:pPr>
        <w:pStyle w:val="texto"/>
        <w:spacing w:after="180"/>
        <w:jc w:val="center"/>
      </w:pPr>
      <w:r>
        <w:t>Iruñean, 2023ko urtarrilaren 10ean</w:t>
      </w:r>
    </w:p>
    <w:p w14:paraId="33C88ABC" w14:textId="53C3F3F9" w:rsidR="00345C6C" w:rsidRPr="00B81E61" w:rsidRDefault="007F48E9" w:rsidP="007F48E9">
      <w:pPr>
        <w:pStyle w:val="texto"/>
        <w:spacing w:after="180"/>
        <w:jc w:val="center"/>
        <w:rPr>
          <w:rFonts w:ascii="Arial" w:hAnsi="Arial"/>
          <w:i/>
          <w:iCs/>
          <w:color w:val="000000" w:themeColor="text1"/>
          <w:spacing w:val="10"/>
          <w:kern w:val="28"/>
          <w:sz w:val="25"/>
          <w:szCs w:val="26"/>
        </w:rPr>
      </w:pPr>
      <w:r>
        <w:rPr>
          <w:i/>
          <w:sz w:val="24"/>
        </w:rPr>
        <w:lastRenderedPageBreak/>
        <w:t xml:space="preserve">(Ignacio </w:t>
      </w:r>
      <w:proofErr w:type="spellStart"/>
      <w:r>
        <w:rPr>
          <w:i/>
          <w:sz w:val="24"/>
        </w:rPr>
        <w:t>Cabeza</w:t>
      </w:r>
      <w:proofErr w:type="spellEnd"/>
      <w:r>
        <w:rPr>
          <w:i/>
          <w:sz w:val="24"/>
        </w:rPr>
        <w:t xml:space="preserve"> del Salvador Nafarroako Kontuen Ganberako lehendakariak digitalki sinatua)</w:t>
      </w:r>
      <w:r>
        <w:br w:type="page"/>
      </w:r>
    </w:p>
    <w:p w14:paraId="24BE46F5" w14:textId="77777777" w:rsidR="00E97ED9" w:rsidRPr="00E97ED9" w:rsidRDefault="00E97ED9" w:rsidP="00E97ED9">
      <w:pPr>
        <w:tabs>
          <w:tab w:val="center" w:pos="2835"/>
          <w:tab w:val="center" w:pos="3969"/>
          <w:tab w:val="center" w:pos="5103"/>
          <w:tab w:val="center" w:pos="6237"/>
          <w:tab w:val="center" w:pos="7371"/>
        </w:tabs>
        <w:spacing w:before="120"/>
        <w:ind w:right="-567" w:firstLine="284"/>
        <w:jc w:val="center"/>
        <w:rPr>
          <w:spacing w:val="6"/>
          <w:sz w:val="26"/>
          <w:szCs w:val="24"/>
        </w:rPr>
      </w:pPr>
      <w:bookmarkStart w:id="110" w:name="_Toc529773890"/>
      <w:bookmarkStart w:id="111" w:name="_Toc24100150"/>
      <w:bookmarkStart w:id="112" w:name="_Toc52348328"/>
      <w:bookmarkStart w:id="113" w:name="_Toc88727723"/>
    </w:p>
    <w:p w14:paraId="32B4D9D4" w14:textId="77777777" w:rsidR="00E97ED9" w:rsidRPr="00E97ED9" w:rsidRDefault="00E97ED9" w:rsidP="00E97ED9">
      <w:pPr>
        <w:tabs>
          <w:tab w:val="center" w:pos="2835"/>
          <w:tab w:val="center" w:pos="3969"/>
          <w:tab w:val="center" w:pos="5103"/>
          <w:tab w:val="center" w:pos="6237"/>
          <w:tab w:val="center" w:pos="7371"/>
        </w:tabs>
        <w:spacing w:before="120"/>
        <w:ind w:right="-567" w:firstLine="284"/>
        <w:jc w:val="center"/>
        <w:rPr>
          <w:spacing w:val="6"/>
          <w:sz w:val="26"/>
          <w:szCs w:val="24"/>
        </w:rPr>
      </w:pPr>
    </w:p>
    <w:p w14:paraId="5F157607" w14:textId="77777777" w:rsidR="00E97ED9" w:rsidRPr="00E97ED9" w:rsidRDefault="00E97ED9" w:rsidP="00E97ED9">
      <w:pPr>
        <w:tabs>
          <w:tab w:val="center" w:pos="2835"/>
          <w:tab w:val="center" w:pos="3969"/>
          <w:tab w:val="center" w:pos="5103"/>
          <w:tab w:val="center" w:pos="6237"/>
          <w:tab w:val="center" w:pos="7371"/>
        </w:tabs>
        <w:spacing w:before="120"/>
        <w:ind w:right="-567" w:firstLine="284"/>
        <w:jc w:val="center"/>
        <w:rPr>
          <w:spacing w:val="6"/>
          <w:sz w:val="26"/>
          <w:szCs w:val="24"/>
        </w:rPr>
      </w:pPr>
    </w:p>
    <w:p w14:paraId="555DC67B" w14:textId="77777777" w:rsidR="00E97ED9" w:rsidRPr="00E97ED9" w:rsidRDefault="00E97ED9" w:rsidP="00E97ED9">
      <w:pPr>
        <w:tabs>
          <w:tab w:val="center" w:pos="2835"/>
          <w:tab w:val="center" w:pos="3969"/>
          <w:tab w:val="center" w:pos="5103"/>
          <w:tab w:val="center" w:pos="6237"/>
          <w:tab w:val="center" w:pos="7371"/>
        </w:tabs>
        <w:spacing w:before="120"/>
        <w:ind w:right="-567" w:firstLine="284"/>
        <w:jc w:val="center"/>
        <w:rPr>
          <w:spacing w:val="6"/>
          <w:sz w:val="26"/>
          <w:szCs w:val="24"/>
        </w:rPr>
      </w:pPr>
    </w:p>
    <w:p w14:paraId="099431A8" w14:textId="77777777" w:rsidR="00E97ED9" w:rsidRPr="00E97ED9" w:rsidRDefault="00E97ED9" w:rsidP="00E97ED9">
      <w:pPr>
        <w:tabs>
          <w:tab w:val="center" w:pos="2835"/>
          <w:tab w:val="center" w:pos="3969"/>
          <w:tab w:val="center" w:pos="5103"/>
          <w:tab w:val="center" w:pos="6237"/>
          <w:tab w:val="center" w:pos="7371"/>
        </w:tabs>
        <w:spacing w:before="120"/>
        <w:ind w:right="-567" w:firstLine="284"/>
        <w:jc w:val="center"/>
        <w:rPr>
          <w:spacing w:val="6"/>
          <w:sz w:val="26"/>
          <w:szCs w:val="24"/>
        </w:rPr>
      </w:pPr>
    </w:p>
    <w:p w14:paraId="1541ACC3" w14:textId="77777777" w:rsidR="00E97ED9" w:rsidRPr="00E97ED9" w:rsidRDefault="00E97ED9" w:rsidP="00E97ED9">
      <w:pPr>
        <w:tabs>
          <w:tab w:val="center" w:pos="2835"/>
          <w:tab w:val="center" w:pos="3969"/>
          <w:tab w:val="center" w:pos="5103"/>
          <w:tab w:val="center" w:pos="6237"/>
          <w:tab w:val="center" w:pos="7371"/>
        </w:tabs>
        <w:spacing w:before="120"/>
        <w:ind w:right="-567" w:firstLine="284"/>
        <w:jc w:val="center"/>
        <w:rPr>
          <w:spacing w:val="6"/>
          <w:sz w:val="26"/>
          <w:szCs w:val="24"/>
        </w:rPr>
      </w:pPr>
    </w:p>
    <w:p w14:paraId="138D6732" w14:textId="77777777" w:rsidR="00E97ED9" w:rsidRPr="00E97ED9" w:rsidRDefault="00E97ED9" w:rsidP="00E97ED9">
      <w:pPr>
        <w:tabs>
          <w:tab w:val="center" w:pos="2835"/>
          <w:tab w:val="center" w:pos="3969"/>
          <w:tab w:val="center" w:pos="5103"/>
          <w:tab w:val="center" w:pos="6237"/>
          <w:tab w:val="center" w:pos="7371"/>
        </w:tabs>
        <w:spacing w:before="120"/>
        <w:ind w:right="-567" w:firstLine="284"/>
        <w:jc w:val="center"/>
        <w:rPr>
          <w:spacing w:val="6"/>
          <w:sz w:val="26"/>
          <w:szCs w:val="24"/>
        </w:rPr>
      </w:pPr>
    </w:p>
    <w:p w14:paraId="32BC9F0A" w14:textId="77777777" w:rsidR="00E97ED9" w:rsidRPr="00E97ED9" w:rsidRDefault="00E97ED9" w:rsidP="00E97ED9">
      <w:pPr>
        <w:tabs>
          <w:tab w:val="center" w:pos="2835"/>
          <w:tab w:val="center" w:pos="3969"/>
          <w:tab w:val="center" w:pos="5103"/>
          <w:tab w:val="center" w:pos="6237"/>
          <w:tab w:val="center" w:pos="7371"/>
        </w:tabs>
        <w:spacing w:before="120"/>
        <w:ind w:right="-567" w:firstLine="284"/>
        <w:jc w:val="center"/>
        <w:rPr>
          <w:spacing w:val="6"/>
          <w:sz w:val="26"/>
          <w:szCs w:val="24"/>
        </w:rPr>
      </w:pPr>
    </w:p>
    <w:p w14:paraId="092E0D1D" w14:textId="77777777" w:rsidR="00E97ED9" w:rsidRPr="00095E01" w:rsidRDefault="00E97ED9" w:rsidP="00095E01">
      <w:pPr>
        <w:pStyle w:val="Ttulo1"/>
        <w:jc w:val="right"/>
        <w:rPr>
          <w:rFonts w:eastAsiaTheme="majorEastAsia"/>
          <w:sz w:val="48"/>
          <w:szCs w:val="48"/>
        </w:rPr>
      </w:pPr>
      <w:bookmarkStart w:id="114" w:name="_Toc47592748"/>
      <w:bookmarkStart w:id="115" w:name="_Toc47614735"/>
      <w:bookmarkStart w:id="116" w:name="_Toc109716820"/>
      <w:bookmarkStart w:id="117" w:name="_Toc114139164"/>
      <w:bookmarkStart w:id="118" w:name="_Toc126061989"/>
      <w:r>
        <w:rPr>
          <w:sz w:val="48"/>
        </w:rPr>
        <w:t>ERANSKINAK</w:t>
      </w:r>
      <w:bookmarkEnd w:id="114"/>
      <w:bookmarkEnd w:id="115"/>
      <w:bookmarkEnd w:id="116"/>
      <w:bookmarkEnd w:id="117"/>
      <w:bookmarkEnd w:id="118"/>
    </w:p>
    <w:p w14:paraId="242FCF04" w14:textId="77777777" w:rsidR="00E97ED9" w:rsidRDefault="00E97ED9">
      <w:pPr>
        <w:spacing w:after="0"/>
        <w:ind w:firstLine="0"/>
        <w:jc w:val="left"/>
        <w:rPr>
          <w:szCs w:val="25"/>
        </w:rPr>
      </w:pPr>
    </w:p>
    <w:p w14:paraId="3AF02CEE" w14:textId="77777777" w:rsidR="00E97ED9" w:rsidRDefault="00E97ED9">
      <w:pPr>
        <w:spacing w:after="0"/>
        <w:ind w:firstLine="0"/>
        <w:jc w:val="left"/>
        <w:rPr>
          <w:szCs w:val="25"/>
        </w:rPr>
      </w:pPr>
    </w:p>
    <w:p w14:paraId="6A79DC79" w14:textId="77777777" w:rsidR="00E97ED9" w:rsidRDefault="00E97ED9">
      <w:pPr>
        <w:spacing w:after="0"/>
        <w:ind w:firstLine="0"/>
        <w:jc w:val="left"/>
        <w:rPr>
          <w:szCs w:val="25"/>
        </w:rPr>
      </w:pPr>
    </w:p>
    <w:p w14:paraId="0771BDA2" w14:textId="77777777" w:rsidR="00E97ED9" w:rsidRDefault="00E97ED9">
      <w:pPr>
        <w:spacing w:after="0"/>
        <w:ind w:firstLine="0"/>
        <w:jc w:val="left"/>
        <w:rPr>
          <w:szCs w:val="25"/>
        </w:rPr>
      </w:pPr>
    </w:p>
    <w:p w14:paraId="0108062A" w14:textId="77777777" w:rsidR="00E97ED9" w:rsidRDefault="00E97ED9">
      <w:pPr>
        <w:spacing w:after="0"/>
        <w:ind w:firstLine="0"/>
        <w:jc w:val="left"/>
        <w:rPr>
          <w:szCs w:val="25"/>
        </w:rPr>
      </w:pPr>
    </w:p>
    <w:p w14:paraId="6B362AEF" w14:textId="77777777" w:rsidR="00E97ED9" w:rsidRDefault="00E97ED9">
      <w:pPr>
        <w:spacing w:after="0"/>
        <w:ind w:firstLine="0"/>
        <w:jc w:val="left"/>
        <w:rPr>
          <w:szCs w:val="25"/>
        </w:rPr>
      </w:pPr>
    </w:p>
    <w:p w14:paraId="0E73B204" w14:textId="77777777" w:rsidR="00E97ED9" w:rsidRDefault="00E97ED9">
      <w:pPr>
        <w:spacing w:after="0"/>
        <w:ind w:firstLine="0"/>
        <w:jc w:val="left"/>
        <w:rPr>
          <w:szCs w:val="25"/>
        </w:rPr>
      </w:pPr>
    </w:p>
    <w:p w14:paraId="26B6A3FF" w14:textId="77777777" w:rsidR="00E97ED9" w:rsidRDefault="00E97ED9">
      <w:pPr>
        <w:spacing w:after="0"/>
        <w:ind w:firstLine="0"/>
        <w:jc w:val="left"/>
        <w:rPr>
          <w:szCs w:val="25"/>
        </w:rPr>
      </w:pPr>
    </w:p>
    <w:p w14:paraId="584506D0" w14:textId="77777777" w:rsidR="00E97ED9" w:rsidRDefault="00E97ED9">
      <w:pPr>
        <w:spacing w:after="0"/>
        <w:ind w:firstLine="0"/>
        <w:jc w:val="left"/>
        <w:rPr>
          <w:szCs w:val="25"/>
        </w:rPr>
      </w:pPr>
    </w:p>
    <w:p w14:paraId="3C88BC46" w14:textId="77777777" w:rsidR="00E97ED9" w:rsidRDefault="00E97ED9">
      <w:pPr>
        <w:spacing w:after="0"/>
        <w:ind w:firstLine="0"/>
        <w:jc w:val="left"/>
        <w:rPr>
          <w:szCs w:val="25"/>
        </w:rPr>
      </w:pPr>
    </w:p>
    <w:p w14:paraId="537BA9DA" w14:textId="32D8A6EE" w:rsidR="00E97ED9" w:rsidRDefault="00E97ED9">
      <w:pPr>
        <w:spacing w:after="0"/>
        <w:ind w:firstLine="0"/>
        <w:jc w:val="left"/>
        <w:rPr>
          <w:rFonts w:ascii="Arial" w:hAnsi="Arial" w:cs="Arial"/>
          <w:b/>
          <w:bCs/>
          <w:kern w:val="32"/>
          <w:sz w:val="25"/>
          <w:szCs w:val="25"/>
        </w:rPr>
      </w:pPr>
      <w:r>
        <w:br w:type="page"/>
      </w:r>
    </w:p>
    <w:p w14:paraId="2F7F1628" w14:textId="60A9219F" w:rsidR="00345C6C" w:rsidRPr="004248BF" w:rsidRDefault="00345C6C" w:rsidP="00095E01">
      <w:pPr>
        <w:pStyle w:val="Ttulo1"/>
        <w:ind w:firstLine="0"/>
      </w:pPr>
      <w:bookmarkStart w:id="119" w:name="_Toc126061990"/>
      <w:r>
        <w:lastRenderedPageBreak/>
        <w:t>1. eranskina. Toki entitateetan aplikatzekoa den araudia</w:t>
      </w:r>
      <w:bookmarkEnd w:id="110"/>
      <w:bookmarkEnd w:id="111"/>
      <w:bookmarkEnd w:id="112"/>
      <w:bookmarkEnd w:id="113"/>
      <w:bookmarkEnd w:id="119"/>
    </w:p>
    <w:p w14:paraId="3981B76D" w14:textId="77777777" w:rsidR="00DA0F30" w:rsidRPr="00A16FC4" w:rsidRDefault="00DA0F30" w:rsidP="004248BF">
      <w:pPr>
        <w:pStyle w:val="Ttulo2"/>
        <w:rPr>
          <w:spacing w:val="-6"/>
          <w:szCs w:val="25"/>
        </w:rPr>
      </w:pPr>
      <w:bookmarkStart w:id="120" w:name="_Toc126061991"/>
      <w:r>
        <w:t>2020an onetsi eta Nafarroako toki sektore publikoan aplikatzekoak diren arau nagusiak</w:t>
      </w:r>
      <w:bookmarkEnd w:id="120"/>
      <w:r>
        <w:t xml:space="preserve"> </w:t>
      </w:r>
    </w:p>
    <w:p w14:paraId="4066A198" w14:textId="5A51E395" w:rsidR="00302151" w:rsidRPr="00302151" w:rsidRDefault="00671006" w:rsidP="005C70E8">
      <w:pPr>
        <w:pStyle w:val="texto"/>
        <w:rPr>
          <w:b/>
        </w:rPr>
      </w:pPr>
      <w:r>
        <w:t>Txosten honen IV.3 puntuan jasotakoez gain, hona hemen Nafarroako toki sektore publikoan aplikatzekoak diren beste arau garrantzitsu batzuk:</w:t>
      </w:r>
    </w:p>
    <w:p w14:paraId="3C522B9F" w14:textId="77777777" w:rsidR="00DA0F30" w:rsidRPr="00F944DD"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2/2020 Errege Lege-dekretua, 2020ko urtarrilaren 21ekoa, sektore publikoaren esparruko ordainsarien arloan presako neurriak onesten dituena.</w:t>
      </w:r>
    </w:p>
    <w:p w14:paraId="37603FB7" w14:textId="77777777" w:rsidR="002F16EC" w:rsidRPr="002F16EC" w:rsidRDefault="002F16EC" w:rsidP="002F16EC">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7/2020 Errege Lege-dekretua, martxoaren 12koa, COVID-19 gaitzaren inpaktu ekonomikoari erantzuteko presako neurriak hartzekoa. </w:t>
      </w:r>
    </w:p>
    <w:p w14:paraId="027917DE" w14:textId="77777777"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8/2020 Errege Lege-dekretua, martxoaren 17koa, COVID-19aren inpaktu ekonomiko eta sozialari aurre egiteko presako neurri bereziei buruzkoa.</w:t>
      </w:r>
    </w:p>
    <w:p w14:paraId="7A953E97" w14:textId="77777777"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11/2020 Errege Lege-dekretua, martxoaren 31koa, COVID-19ari aurre egiteko arlo sozial eta ekonomikoan premiazko neurri osagarriak ezartzen dituena.  </w:t>
      </w:r>
    </w:p>
    <w:p w14:paraId="4A8F27BC" w14:textId="77777777"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23/2020 Errege Lege-dekretua, ekainaren 23koa, ekonomia biziberritzeko neurriak onesten dituena energiaren arloan eta beste arlo batzuetan.</w:t>
      </w:r>
    </w:p>
    <w:p w14:paraId="70F43208" w14:textId="77777777"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27/2020 Errege Lege-dekretua, abuztuaren 4koa, toki entitateei aplikatu beharreko finantza-neurri berezi eta presakoei buruzkoa.</w:t>
      </w:r>
    </w:p>
    <w:p w14:paraId="63305BD5" w14:textId="77777777" w:rsidR="00DA0F30" w:rsidRPr="00F944DD"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29/2020 Errege Lege-dekretua, irailaren 29koa, administrazio publikoetako telelanaren arloan eta Osasun Sistema Nazionaleko giza baliabideen arloan presako neurriak ezartzen dituena COVID-19ak eragindako osasun krisiari aurre egiteko.</w:t>
      </w:r>
    </w:p>
    <w:p w14:paraId="513FEF31" w14:textId="77777777" w:rsidR="00DA0F30"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36/2020 Errege Lege-dekretua, abenduaren 30ekoa, premiazko neurriak onesten dituena Administrazio Publikoa modernizatzeko eta Suspertze, Eraldatze eta Erresilientzia Plana gauzatzeko.</w:t>
      </w:r>
    </w:p>
    <w:p w14:paraId="1CC80B76" w14:textId="38E31149" w:rsidR="00DA0F30" w:rsidRPr="00D316E6"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szCs w:val="26"/>
        </w:rPr>
      </w:pPr>
      <w:r>
        <w:t>463/2020 Errege Dekretua, martxoaren 14koa, zeinaren bitartez alarma-egoera deklaratzen baita COVID-19aren ondoriozko krisi sanitarioko egoera kudeatzeko.</w:t>
      </w:r>
    </w:p>
    <w:p w14:paraId="416C6D7B" w14:textId="77777777"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5/2020 Foru Legea, martxoaren 4koa, Nafarroako 2020rako Aurrekontu Orokorrei buruzkoa.</w:t>
      </w:r>
    </w:p>
    <w:p w14:paraId="77B0E9B0" w14:textId="09ACE511"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6/2020 Foru Legea, apirilaren 6koa, premiazko neurriak onesten dituena COVID-19aren osasun krisiak eragindako inpaktuari aurre egiteko.</w:t>
      </w:r>
    </w:p>
    <w:p w14:paraId="5901F541" w14:textId="77777777"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7/2020 Foru Legea, apirilaren 6koa, premiazko neurriak onesten dituena COVID-19aren osasun krisiak eragindako inpaktuari aurre egiteko. </w:t>
      </w:r>
    </w:p>
    <w:p w14:paraId="3B2AA33E" w14:textId="77777777"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8/2020 Foru Legea, apirilaren 8koa, zeinaren bidez kreditu-gehigarri bat ematen baita, COVID-19ak eragindako osasun publikoko arrazoiak direla-eta hartutako neurri berezi eta urgenteek ekarritako beharrei erantzuteko.</w:t>
      </w:r>
    </w:p>
    <w:p w14:paraId="6DC55930" w14:textId="77777777"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lastRenderedPageBreak/>
        <w:t xml:space="preserve">10/2020 Foru Legea, apirilaren 8koa, 2020rako Nafarroako Aurrekontu Orokorrei buruzko martxoaren 4ko 5/2020 Foru Legea aldatzen duena. </w:t>
      </w:r>
    </w:p>
    <w:p w14:paraId="46FB7435" w14:textId="03F8DA00" w:rsidR="00DA0F30" w:rsidRPr="00AF43A9" w:rsidRDefault="002D49BE"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14/2020 Foru Legea, irailaren 1ekoa, zeinaren bidez ohiz kanpoko neurri batzuk hartzen baitira </w:t>
      </w:r>
      <w:proofErr w:type="spellStart"/>
      <w:r>
        <w:rPr>
          <w:color w:val="000000" w:themeColor="text1"/>
        </w:rPr>
        <w:t>koronabirusaren</w:t>
      </w:r>
      <w:proofErr w:type="spellEnd"/>
      <w:r>
        <w:rPr>
          <w:color w:val="000000" w:themeColor="text1"/>
        </w:rPr>
        <w:t xml:space="preserve"> (COVID-19a) osasun krisiari aurre egiteko, normaltasun berrirako trantsizio planaren 3. fasea gainditu ondoren.</w:t>
      </w:r>
    </w:p>
    <w:p w14:paraId="37A5F324" w14:textId="77777777" w:rsidR="00DA0F30" w:rsidRPr="00AB588F"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17/2020 Foru Legea, abenduaren 16koa, ingurumenean eragina duten jarduerak arautzen dituena. </w:t>
      </w:r>
    </w:p>
    <w:p w14:paraId="746D7667" w14:textId="77777777" w:rsidR="00DA0F30" w:rsidRPr="00AB588F"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18/2020 Foru Legea, abenduaren 16koa, enpresen sustraitzearen aldeko eta enpresen deslokalizazioaren aurkako neurriei buruzkoa..</w:t>
      </w:r>
    </w:p>
    <w:p w14:paraId="266454D1" w14:textId="77777777" w:rsidR="00DA0F30" w:rsidRPr="00AB588F"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19/2020 Foru Legea, abenduaren 16koa, Nafarroako Turismoari buruzko otsailaren 14ko 7/2003 Foru Legea aldatzen duena.</w:t>
      </w:r>
    </w:p>
    <w:p w14:paraId="72169217" w14:textId="1F5893E0" w:rsidR="00DA0F30"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21/2020 Foru Legea, abenduaren 29koa, zenbait zerga aldatu eta beste tributu-neurri batzuk hartzekoa eta Lurraldearen Antolamenduari eta Hirigintzari buruzko Foru Legearen testu </w:t>
      </w:r>
      <w:proofErr w:type="spellStart"/>
      <w:r>
        <w:rPr>
          <w:color w:val="000000" w:themeColor="text1"/>
        </w:rPr>
        <w:t>bategina</w:t>
      </w:r>
      <w:proofErr w:type="spellEnd"/>
      <w:r>
        <w:rPr>
          <w:color w:val="000000" w:themeColor="text1"/>
        </w:rPr>
        <w:t xml:space="preserve"> aldatzekoa. </w:t>
      </w:r>
    </w:p>
    <w:p w14:paraId="242DC554" w14:textId="77096C74" w:rsidR="008E43F9" w:rsidRPr="00AB588F" w:rsidRDefault="008E43F9"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22/2020 Foru Legea, abenduaren 29koa, Nafarroako Toki Ogasunei buruzko 2/1995 Foru Legea aldatzen duena.</w:t>
      </w:r>
    </w:p>
    <w:p w14:paraId="66EF7716" w14:textId="71192A2D" w:rsidR="00DA0F30" w:rsidRPr="007C65D6" w:rsidRDefault="004D0737"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1/2020 Foru Lege-dekretua, martxoaren 18koa, premiazko neurriak onesten dituena </w:t>
      </w:r>
      <w:proofErr w:type="spellStart"/>
      <w:r>
        <w:rPr>
          <w:color w:val="000000" w:themeColor="text1"/>
        </w:rPr>
        <w:t>koronabirusaren</w:t>
      </w:r>
      <w:proofErr w:type="spellEnd"/>
      <w:r>
        <w:rPr>
          <w:color w:val="000000" w:themeColor="text1"/>
        </w:rPr>
        <w:t xml:space="preserve"> (COVID-19a) osasun krisiak eragindako inpaktuari aurre egiteko.</w:t>
      </w:r>
    </w:p>
    <w:p w14:paraId="0BB87537" w14:textId="11E906AD" w:rsidR="00DA0F30" w:rsidRPr="00E77055" w:rsidRDefault="004D0737"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2/2020 Foru Lege-dekretua, martxoaren 25ekoa, premiazko neurriak onesten dituena </w:t>
      </w:r>
      <w:proofErr w:type="spellStart"/>
      <w:r>
        <w:rPr>
          <w:color w:val="000000" w:themeColor="text1"/>
        </w:rPr>
        <w:t>koronabirusaren</w:t>
      </w:r>
      <w:proofErr w:type="spellEnd"/>
      <w:r>
        <w:rPr>
          <w:color w:val="000000" w:themeColor="text1"/>
        </w:rPr>
        <w:t xml:space="preserve"> (COVID-19a) osasun krisiak eragindako inpaktuari aurre egiteko.</w:t>
      </w:r>
    </w:p>
    <w:p w14:paraId="3E7579E0" w14:textId="0D7968B5"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3/2020 Foru Lege-dekretua, apirilaren 15ekoa, premiazko neurriak onesten dituena </w:t>
      </w:r>
      <w:proofErr w:type="spellStart"/>
      <w:r>
        <w:rPr>
          <w:color w:val="000000" w:themeColor="text1"/>
        </w:rPr>
        <w:t>koronabirusaren</w:t>
      </w:r>
      <w:proofErr w:type="spellEnd"/>
      <w:r>
        <w:rPr>
          <w:color w:val="000000" w:themeColor="text1"/>
        </w:rPr>
        <w:t xml:space="preserve"> (COVID-19a) osasun krisiak eragindako inpaktuari aurre egiteko.</w:t>
      </w:r>
    </w:p>
    <w:p w14:paraId="3BD15760" w14:textId="5DC83214"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4/2020 Foru Lege-dekretua, apirilaren 29koa, premiazko neurriak onesten dituena </w:t>
      </w:r>
      <w:proofErr w:type="spellStart"/>
      <w:r>
        <w:rPr>
          <w:color w:val="000000" w:themeColor="text1"/>
        </w:rPr>
        <w:t>koronabirusaren</w:t>
      </w:r>
      <w:proofErr w:type="spellEnd"/>
      <w:r>
        <w:rPr>
          <w:color w:val="000000" w:themeColor="text1"/>
        </w:rPr>
        <w:t xml:space="preserve"> (COVID-19a) osasun krisiak eragindako inpaktuari aurre egiteko.</w:t>
      </w:r>
    </w:p>
    <w:p w14:paraId="6911BEE9" w14:textId="096BE0CB" w:rsidR="00DA0F30" w:rsidRPr="00E77055"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5/2020 Foru Lege-dekretua, maiatzaren 20koa, premiazko neurriak onesten dituena </w:t>
      </w:r>
      <w:proofErr w:type="spellStart"/>
      <w:r>
        <w:rPr>
          <w:color w:val="000000" w:themeColor="text1"/>
        </w:rPr>
        <w:t>koronabirusaren</w:t>
      </w:r>
      <w:proofErr w:type="spellEnd"/>
      <w:r>
        <w:rPr>
          <w:color w:val="000000" w:themeColor="text1"/>
        </w:rPr>
        <w:t xml:space="preserve"> (COVID-19a) osasun krisiak eragindako inpaktuari aurre egiteko.</w:t>
      </w:r>
    </w:p>
    <w:p w14:paraId="68D5E3F5" w14:textId="77777777" w:rsidR="00DA0F30" w:rsidRPr="007C65D6"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10/2020 Foru  Lege-dekretua, irailaren 16koa, zeinaren bidez neurri batzuk onesten baitira </w:t>
      </w:r>
      <w:proofErr w:type="spellStart"/>
      <w:r>
        <w:rPr>
          <w:color w:val="000000" w:themeColor="text1"/>
        </w:rPr>
        <w:t>NFKAren</w:t>
      </w:r>
      <w:proofErr w:type="spellEnd"/>
      <w:r>
        <w:rPr>
          <w:color w:val="000000" w:themeColor="text1"/>
        </w:rPr>
        <w:t xml:space="preserve"> eta haren erakunde autonomoen zerbitzuko langileen arlokoak.</w:t>
      </w:r>
    </w:p>
    <w:p w14:paraId="70971CBF" w14:textId="3D5EEF4C" w:rsidR="00DA0F30" w:rsidRPr="00AF43A9"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48/2020 Foru Dekretua, uztailaren 15ekoa, zeinaren bidez arautzen baitira oinarrizko gizarte zerbitzuen oinarrizko programak eta finantzaketa sistema.</w:t>
      </w:r>
    </w:p>
    <w:p w14:paraId="7036B70E" w14:textId="3162C10B" w:rsidR="00DA0F30" w:rsidRDefault="00DA0F30" w:rsidP="00DA0F30">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lastRenderedPageBreak/>
        <w:t xml:space="preserve">233/2020 Foru Agindua, uztailaren 24koa, Eskubide Sozialetako kontseilariak emana, irizpideak ezartzen dituena martxoaren 17ko 8/2020 Errege Lege-dekretuak araututako aparteko gizarte funtsa esleitzeko, “COVID-19a, Nafarroako oinarrizko gizarte zerbitzuetako plantillak indartzea” proiektuari adjudikatua. </w:t>
      </w:r>
    </w:p>
    <w:p w14:paraId="34948071" w14:textId="77777777" w:rsidR="00136925" w:rsidRPr="00AF43A9" w:rsidRDefault="00136925" w:rsidP="00136925">
      <w:pPr>
        <w:pStyle w:val="texto"/>
        <w:tabs>
          <w:tab w:val="clear" w:pos="2835"/>
          <w:tab w:val="clear" w:pos="3969"/>
          <w:tab w:val="clear" w:pos="5103"/>
          <w:tab w:val="clear" w:pos="6237"/>
          <w:tab w:val="clear" w:pos="7371"/>
          <w:tab w:val="left" w:pos="480"/>
          <w:tab w:val="num" w:pos="786"/>
          <w:tab w:val="num" w:pos="1948"/>
          <w:tab w:val="num" w:pos="5606"/>
        </w:tabs>
        <w:ind w:left="290" w:firstLine="0"/>
        <w:rPr>
          <w:color w:val="000000" w:themeColor="text1"/>
          <w:szCs w:val="26"/>
        </w:rPr>
      </w:pPr>
    </w:p>
    <w:p w14:paraId="36776B56" w14:textId="77777777" w:rsidR="00DA0F30" w:rsidRPr="00EF0883" w:rsidRDefault="00DA0F30" w:rsidP="004248BF">
      <w:pPr>
        <w:pStyle w:val="Ttulo2"/>
        <w:rPr>
          <w:szCs w:val="25"/>
        </w:rPr>
      </w:pPr>
      <w:bookmarkStart w:id="121" w:name="_Toc126061992"/>
      <w:r>
        <w:t>2020ko ekitaldian Nafarroako toki sektore publikoan aplikatzekoak diren arau nagusiak</w:t>
      </w:r>
      <w:bookmarkEnd w:id="121"/>
    </w:p>
    <w:p w14:paraId="1E5D9FD4" w14:textId="77777777" w:rsidR="00345C6C" w:rsidRPr="00B81E61" w:rsidRDefault="00345C6C" w:rsidP="00136925">
      <w:pPr>
        <w:pStyle w:val="texto"/>
        <w:ind w:firstLine="0"/>
        <w:rPr>
          <w:b/>
          <w:color w:val="000000" w:themeColor="text1"/>
          <w:szCs w:val="26"/>
        </w:rPr>
      </w:pPr>
      <w:r>
        <w:rPr>
          <w:b/>
          <w:color w:val="000000" w:themeColor="text1"/>
        </w:rPr>
        <w:t xml:space="preserve">a) Toki administrazioa eta araubidea </w:t>
      </w:r>
    </w:p>
    <w:p w14:paraId="08C95CD7" w14:textId="1603E69B" w:rsidR="00E77055" w:rsidRDefault="00E77055" w:rsidP="00AF43A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Espainiako Konstituzioa.</w:t>
      </w:r>
    </w:p>
    <w:p w14:paraId="2FFB48E6" w14:textId="77777777" w:rsidR="00E77055" w:rsidRDefault="00E77055" w:rsidP="00AF43A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13/1982 Lege Organikoa, abuztuaren 10ekoa, Nafarroako foru eraentza berrezarri eta hobetzeari buruzkoa.</w:t>
      </w:r>
    </w:p>
    <w:p w14:paraId="56285A26" w14:textId="77777777" w:rsidR="00AB588F" w:rsidRPr="00AF43A9" w:rsidRDefault="00AB588F" w:rsidP="00AF43A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7/1985 Legea, apirilaren 2koa, toki araubidearen oinarriak arautzen dituena.</w:t>
      </w:r>
    </w:p>
    <w:p w14:paraId="65173F4A"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19/2013 Legea, abenduaren 9koa, gardentasunari, informazio publikoa eskuratzeari eta gobernu onari buruzkoa.</w:t>
      </w:r>
    </w:p>
    <w:p w14:paraId="47E3F1C5"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39/2015 Legea, urriaren 1ekoa, administrazio publikoen administrazio prozedura erkideari buruzkoa.</w:t>
      </w:r>
    </w:p>
    <w:p w14:paraId="0EBEDE06"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40/2015 Legea, urriaren 1ekoa, sektore publikoaren araubide juridikoari buruzkoa.</w:t>
      </w:r>
    </w:p>
    <w:p w14:paraId="4B583C49"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6/2018 Legea, uztailaren 3koa, 2018rako Estatuko Aurrekontu Orokorrei buruzkoa (aurrekontuak bigarren ekitaldi baterako luzatu ziren, Ministroen Kontseiluak 2019ko abenduaren 27an ezarritako irizpideen arabera).</w:t>
      </w:r>
    </w:p>
    <w:p w14:paraId="130D8787" w14:textId="24427519" w:rsidR="00E77055"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6/2019 Errege Lege-dekretua, martxoaren 1ekoa, premiazko neurriak ezartzen dituena emakumeen eta gizonen arteko tratu eta aukera berdintasuna bermatzeko enplegu eta lanaren arloan. </w:t>
      </w:r>
    </w:p>
    <w:p w14:paraId="44296A80" w14:textId="34EA221D" w:rsidR="00CD4CDB" w:rsidRPr="00AF43A9" w:rsidRDefault="00CD4CDB" w:rsidP="00CD4CDB">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8/2020 Errege Lege-dekretua, martxoaren 17koa, COVID-19aren inpaktu ekonomiko eta sozialari aurre egiteko presako neurri bereziei buruzkoa.</w:t>
      </w:r>
    </w:p>
    <w:p w14:paraId="0914F2B4" w14:textId="75160AB0" w:rsidR="00E77055" w:rsidRPr="008E43F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14/2019 Errege Lege-dekretua, urriaren 31koa, zeinaz presako neurriak hartzen baitira segurtasun publikoko arrazoiengatik administrazio digitalaren, sektore publikoko kontratazioaren eta telekomunikazioen arloan.</w:t>
      </w:r>
    </w:p>
    <w:p w14:paraId="03AFA0C3" w14:textId="77777777" w:rsidR="00E35D6B" w:rsidRPr="00AF43A9" w:rsidRDefault="00E35D6B" w:rsidP="00E35D6B">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36/2020 Errege Lege-dekretua, abenduaren 30ekoa, premiazko neurriak onesten dituena Administrazio Publikoa modernizatzeko eta Suspertze, Eraldatze eta Erresilientzia Plana gauzatzeko.</w:t>
      </w:r>
    </w:p>
    <w:p w14:paraId="03B70341" w14:textId="77777777" w:rsidR="00AB588F" w:rsidRPr="00AF43A9" w:rsidRDefault="00AB588F" w:rsidP="00AF43A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6/1990 Foru Legea, uztailaren 2koa, Nafarroako Toki Administrazioari buruzkoa.</w:t>
      </w:r>
    </w:p>
    <w:p w14:paraId="25BE4909" w14:textId="1EBC6290" w:rsidR="00657B5B" w:rsidRDefault="00657B5B" w:rsidP="00AF43A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lastRenderedPageBreak/>
        <w:t>8/2005 Foru Legea, uztailaren 1ekoa, Nafarroako babes zibilari eta larrialdien kudeaketari buruzkoa.</w:t>
      </w:r>
    </w:p>
    <w:p w14:paraId="1F0480C0" w14:textId="2C20CF33" w:rsidR="00AB588F" w:rsidRPr="00AF43A9" w:rsidRDefault="00AB588F" w:rsidP="00AF43A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18/2016 Foru Legea, abenduaren 13koa, 2017-2019 aldirako Toki Inbertsioen Plana arautzen duena.</w:t>
      </w:r>
    </w:p>
    <w:p w14:paraId="0ACBF8B4"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13/2017 Foru Legea, azaroaren 16koa, osasunaren eta gizarte zerbitzuen arloetako itun sozialak arautzen dituena.</w:t>
      </w:r>
    </w:p>
    <w:p w14:paraId="4E10D8A6"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5/2018 Foru Legea, maiatzaren 17koa, gardentasunari, informazio publikoa eskuratzeari eta gobernu onari buruzkoa.</w:t>
      </w:r>
    </w:p>
    <w:p w14:paraId="7754282D"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7/2018 Foru Legea, maiatzaren 17koa, Nafarroako Foru Komunitateko jardunbide egokien aldeko eta ustelkeriaren kontrako Bulegoa sortzekoa.</w:t>
      </w:r>
    </w:p>
    <w:p w14:paraId="72963850"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12/2018 Foru Legea, ekainaren 14koa, irisgarritasun unibertsalari buruzkoa.</w:t>
      </w:r>
    </w:p>
    <w:p w14:paraId="07FB398C"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14/2018 Foru Legea, ekainaren 18koa, hondakinei eta haien fiskalitateari buruzkoa.</w:t>
      </w:r>
    </w:p>
    <w:p w14:paraId="61728356" w14:textId="4E62A9E1" w:rsidR="00CD4CDB" w:rsidRDefault="00CD4CDB"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4/2019 Foru Legea, otsailaren 4koa, Nafarroako Toki Administrazioaren erreformarakoa.</w:t>
      </w:r>
    </w:p>
    <w:p w14:paraId="4BDB534D" w14:textId="5E9050A4"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12/2019 Foru Legea, martxoaren 22koa, Nafarroako parte-hartze demokratikoari buruzkoa.</w:t>
      </w:r>
    </w:p>
    <w:p w14:paraId="38178797"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17/2019 Foru Legea, apirilaren 4koa, emakumeen eta gizonen arteko berdintasunari buruzkoa.</w:t>
      </w:r>
    </w:p>
    <w:p w14:paraId="4D799C6E" w14:textId="61575C75" w:rsidR="00CD4CDB" w:rsidRDefault="00CD4CDB"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20/2019 Foru Legea, apirilaren 4koa, zeinaren bidez aldatzen baitira Nafarroako Toki Administrazioari buruzko uztailaren 2ko 6/1990 Foru Legea eta Nafarroako Toki Administrazioaren Erreformarako otsailaren 4ko 4/2019 Foru Legea.</w:t>
      </w:r>
    </w:p>
    <w:p w14:paraId="79B984CB" w14:textId="06C1A23C"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2/2020 Foru Legea, urtarrilaren 23koa, zeinaren bidez indarraldia luzatzen baitzaio 2017-2019 aldirako Toki Inbertsioen Plana arautzen duen abenduaren 13ko 18/2016 Foru Legeari, eta aldaketak egiten baitzaizkio..</w:t>
      </w:r>
    </w:p>
    <w:p w14:paraId="5D2850E3"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3/2020 Foru Legea, otsailaren 27koa, toki ogasunek transferentzia arrunten eta beste laguntza batzuen kontzeptuetan Nafarroako tributuetan duten parte-hartzearen funtsaren zenbatekoa eta banaketa ezartzen dituena 2020. urterako.</w:t>
      </w:r>
    </w:p>
    <w:p w14:paraId="6EB3F917"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5/2020 Foru Legea, martxoaren 4koa, Nafarroako 2020rako Aurrekontu Orokorrei buruzkoa.</w:t>
      </w:r>
    </w:p>
    <w:p w14:paraId="0967E563" w14:textId="0AA088A4" w:rsidR="00E35D6B" w:rsidRPr="00AF43A9" w:rsidRDefault="00E35D6B" w:rsidP="00E35D6B">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6/2020 Foru Legea, apirilaren 6koa, premiazko neurriak onesten dituena COVID-19aren osasun krisiak eragindako inpaktuari aurre egiteko.</w:t>
      </w:r>
    </w:p>
    <w:p w14:paraId="71D7CE85" w14:textId="77777777" w:rsidR="00E77055" w:rsidRPr="00AF43A9" w:rsidRDefault="00E77055" w:rsidP="00E77055">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10/2020 Foru Legea, apirilaren 8koa, 2020rako Nafarroako Aurrekontu Orokorrei buruzko martxoaren 4ko 5/2020 Foru Legea aldatzen duena.</w:t>
      </w:r>
    </w:p>
    <w:p w14:paraId="0CD1FA24" w14:textId="21625620" w:rsidR="008E43F9" w:rsidRPr="00657B5B" w:rsidRDefault="008E43F9"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lastRenderedPageBreak/>
        <w:t xml:space="preserve">1/2020 Foru Lege-dekretua, martxoaren 18koa, premiazko neurriak onesten dituena </w:t>
      </w:r>
      <w:proofErr w:type="spellStart"/>
      <w:r>
        <w:rPr>
          <w:color w:val="000000" w:themeColor="text1"/>
        </w:rPr>
        <w:t>koronabirusaren</w:t>
      </w:r>
      <w:proofErr w:type="spellEnd"/>
      <w:r>
        <w:rPr>
          <w:color w:val="000000" w:themeColor="text1"/>
        </w:rPr>
        <w:t xml:space="preserve"> (COVID-19a) osasun krisiak eragindako inpaktuari aurre egiteko.</w:t>
      </w:r>
    </w:p>
    <w:p w14:paraId="7F1AB00F" w14:textId="77777777" w:rsidR="00AB588F" w:rsidRPr="00AF43A9" w:rsidRDefault="00AB588F" w:rsidP="00AF43A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84/2017 Foru Agindua, Landa Garapeneko, Ingurumeneko eta Toki Administrazioko kontseilariak emana, 2017-2019 aldirako Toki Inbertsioen Plana arautzen duen abenduaren 13ko 18/2016 Foru Legearen 20. artikuluan aurreikusitako klausula soziala aplikatzeko modua arautzen duena.</w:t>
      </w:r>
    </w:p>
    <w:p w14:paraId="0418DDF8" w14:textId="77777777" w:rsidR="00345C6C" w:rsidRPr="00B81E61" w:rsidRDefault="00345C6C" w:rsidP="00AB588F">
      <w:pPr>
        <w:pStyle w:val="texto"/>
        <w:spacing w:before="240"/>
        <w:ind w:firstLine="0"/>
        <w:rPr>
          <w:b/>
          <w:color w:val="000000" w:themeColor="text1"/>
          <w:szCs w:val="26"/>
        </w:rPr>
      </w:pPr>
      <w:r>
        <w:rPr>
          <w:b/>
          <w:color w:val="000000" w:themeColor="text1"/>
        </w:rPr>
        <w:t xml:space="preserve">b) Araubide ekonomikoa, aurrekontukoa eta kontabilitatekoa </w:t>
      </w:r>
    </w:p>
    <w:p w14:paraId="4908267F"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Toki Administrazioari egokitutako Kontabilitate Publikoko Plan Orokorra, Ekonomia eta Ogasun Ministerioaren 1990eko uztailaren 17ko Aginduaren bidez </w:t>
      </w:r>
      <w:proofErr w:type="spellStart"/>
      <w:r>
        <w:rPr>
          <w:color w:val="000000" w:themeColor="text1"/>
        </w:rPr>
        <w:t>onetsia</w:t>
      </w:r>
      <w:proofErr w:type="spellEnd"/>
      <w:r>
        <w:rPr>
          <w:color w:val="000000" w:themeColor="text1"/>
        </w:rPr>
        <w:t xml:space="preserve"> (ikus 272/1998 FD, Kontabilitate Instrukzio Orokorra, 425. araua).</w:t>
      </w:r>
    </w:p>
    <w:p w14:paraId="58B9A0D7" w14:textId="77777777" w:rsidR="00345C6C" w:rsidRPr="00B81E61" w:rsidRDefault="00345C6C" w:rsidP="00345C6C">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2/1995 Foru Legea, martxoaren 10ekoa, Nafarroako toki ogasunei buruzkoa. </w:t>
      </w:r>
    </w:p>
    <w:p w14:paraId="645C359D" w14:textId="58C72C07" w:rsidR="00AB588F" w:rsidRP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7/1996 Foru Legea, maiatzaren 28koa, jarduera ekonomikoen gaineko zergaren tarifei eta jarraibideei buruzkoa.</w:t>
      </w:r>
    </w:p>
    <w:p w14:paraId="4081BC40"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12/2006 Foru Legea, azaroaren 21ekoa, Nafarroako Lurralde Aberastasunaren Erregistroari eta katastroei buruzkoa.</w:t>
      </w:r>
    </w:p>
    <w:p w14:paraId="4C1FB286" w14:textId="77777777" w:rsidR="00F944DD" w:rsidRPr="00AF43A9"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7/2020 Foru Legea, apirilaren 6koa, premiazko neurriak onesten dituena COVID-19aren osasun krisiak eragindako inpaktuari aurre egiteko. </w:t>
      </w:r>
    </w:p>
    <w:p w14:paraId="77109F42" w14:textId="77777777" w:rsidR="00AB588F" w:rsidRP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Irailaren 21eko 270/1998 Foru Dekretua, irailaren 23ko 234/2015 Foru Dekretua, eta irailaren 21eko 272/1998 eta 273/1998 foru dekretuak; hurrenez hurren, aurrekontuari eta gastu publikoari buruzkoa, aurrekontu egiturari buruzkoa, eta Nafarroako Toki Administrazioarentzat Kontabilitate Orokorreko Instrukzio Orokorra eta Kontabilitate </w:t>
      </w:r>
      <w:proofErr w:type="spellStart"/>
      <w:r>
        <w:rPr>
          <w:color w:val="000000" w:themeColor="text1"/>
        </w:rPr>
        <w:t>Erraztua</w:t>
      </w:r>
      <w:proofErr w:type="spellEnd"/>
      <w:r>
        <w:rPr>
          <w:color w:val="000000" w:themeColor="text1"/>
        </w:rPr>
        <w:t xml:space="preserve"> onestekoak.</w:t>
      </w:r>
    </w:p>
    <w:p w14:paraId="53BAAC59" w14:textId="5DC4456A" w:rsidR="00AB588F" w:rsidRPr="00AF43A9" w:rsidRDefault="00AB588F" w:rsidP="00AF43A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4/2020 Foru Lege-dekretua, apirilaren 29koa, premiazko neurriak onesten dituena </w:t>
      </w:r>
      <w:proofErr w:type="spellStart"/>
      <w:r>
        <w:rPr>
          <w:color w:val="000000" w:themeColor="text1"/>
        </w:rPr>
        <w:t>koronabirusaren</w:t>
      </w:r>
      <w:proofErr w:type="spellEnd"/>
      <w:r>
        <w:rPr>
          <w:color w:val="000000" w:themeColor="text1"/>
        </w:rPr>
        <w:t xml:space="preserve"> (COVID-19a) osasun krisiak eragindako inpaktuari aurre egiteko.</w:t>
      </w:r>
    </w:p>
    <w:p w14:paraId="3B72B876" w14:textId="77777777" w:rsidR="00345C6C" w:rsidRPr="008A3EB8" w:rsidRDefault="00345C6C" w:rsidP="00AB588F">
      <w:pPr>
        <w:pStyle w:val="texto"/>
        <w:tabs>
          <w:tab w:val="clear" w:pos="2835"/>
          <w:tab w:val="clear" w:pos="3969"/>
          <w:tab w:val="clear" w:pos="5103"/>
          <w:tab w:val="clear" w:pos="6237"/>
          <w:tab w:val="clear" w:pos="7371"/>
          <w:tab w:val="left" w:pos="480"/>
          <w:tab w:val="num" w:pos="720"/>
          <w:tab w:val="num" w:pos="786"/>
        </w:tabs>
        <w:spacing w:before="240"/>
        <w:ind w:firstLine="0"/>
        <w:rPr>
          <w:b/>
          <w:color w:val="000000" w:themeColor="text1"/>
          <w:szCs w:val="26"/>
        </w:rPr>
      </w:pPr>
      <w:r>
        <w:rPr>
          <w:b/>
          <w:color w:val="000000" w:themeColor="text1"/>
        </w:rPr>
        <w:t xml:space="preserve">c) Aurrekontu-egonkortasuna eta finantza-iraunkortasuna </w:t>
      </w:r>
    </w:p>
    <w:p w14:paraId="3B1B5073" w14:textId="6D649E2E" w:rsidR="00AB588F" w:rsidRP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2/2012 Lege Organikoa, apirilaren 27koa, aurrekontu-egonkortasunari eta finantza-iraunkortasunari buruzkoa.</w:t>
      </w:r>
    </w:p>
    <w:p w14:paraId="21EA0D7E"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9/2013 Lege Organikoa, abenduaren 20koa, sektore publikoan merkataritza-zorra kontrolatzeari buruzkoa.</w:t>
      </w:r>
    </w:p>
    <w:p w14:paraId="2B1459B7"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6/2015 Lege Organikoa, ekainaren 12koa, honako hauek aldatzekoa: Autonomia-erkidegoak Finantzatzeari buruzko irailaren 22ko 8/1980 Lege Organikoa eta Aurrekontu-egonkortasunari eta Finantza-iraunkortasunari buruzko apirilaren 27ko 2/2012 Lege Organikoa.</w:t>
      </w:r>
    </w:p>
    <w:p w14:paraId="46C28B23"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lastRenderedPageBreak/>
        <w:t>25/2013 Legea, abenduaren 27koa, sektore publikoan faktura elektronikoa bultzatzeari eta fakturen kontabilitate-erregistroa sortzeari buruzkoa.</w:t>
      </w:r>
    </w:p>
    <w:p w14:paraId="30608666"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27/2013 Legea, abenduaren 27koa, Toki Administrazioaren arrazionalizazioari eta iraunkortasunari buruzkoa. </w:t>
      </w:r>
    </w:p>
    <w:p w14:paraId="0210B1E1"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8/2013 Errege Lege-dekretua, ekainaren 28koa, herri-administrazioen eta finantza-arazoak dituzten toki-erakundeei laguntzeko premiazko neurriei buruzkoa.</w:t>
      </w:r>
    </w:p>
    <w:p w14:paraId="5584A867" w14:textId="77777777" w:rsidR="00F944DD"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17/2014 Errege Lege-dekretua, abenduaren 26koa, autonomia-erkidegoen eta toki-erakundeen finantza-iraunkortasunerako neurriei eta bestelako neurri ekonomikoei buruzkoa. </w:t>
      </w:r>
    </w:p>
    <w:p w14:paraId="1DC45C77" w14:textId="0CF84CE8" w:rsidR="008E43F9" w:rsidRPr="008E43F9" w:rsidRDefault="008E43F9"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10/2019 Errege Lege-dekretua, martxoaren 29koa, zeinaren bidez, batetik, 2019rako luzatzen baita finantzen aldetik jasangarriak diren inbertsioetarako autonomia-erkidegoen eta toki entitateen superabitaren xedea eta, bestetik, beste neurri batzuk hartzen baitira toki entitateetan gaikuntza nazionala duten langileen eginkizunari dagokionez. </w:t>
      </w:r>
    </w:p>
    <w:p w14:paraId="5D3D62F1" w14:textId="77777777" w:rsidR="00F944DD" w:rsidRPr="00AF43A9"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11/2020 Errege Lege-dekretua, martxoaren 31koa, COVID-19ari aurre egiteko arlo sozial eta ekonomikoan premiazko neurri osagarriak ezartzen dituena. </w:t>
      </w:r>
    </w:p>
    <w:p w14:paraId="17099B22" w14:textId="77777777" w:rsidR="00F944DD" w:rsidRPr="00AF43A9"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23/2020 Errege Lege-dekretua, ekainaren 23koa, ekonomia biziberritzeko neurriak onesten dituena energiaren arloan eta beste arlo batzuetan.</w:t>
      </w:r>
    </w:p>
    <w:p w14:paraId="66912A30" w14:textId="77777777" w:rsidR="00F944DD" w:rsidRPr="008E43F9"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27/2020 Errege Lege-dekretua, abuztuaren 4koa, toki entitateei aplikatu beharreko finantza-neurri berezi eta presakoei buruzkoa.</w:t>
      </w:r>
    </w:p>
    <w:p w14:paraId="751FECE9" w14:textId="77777777" w:rsidR="00F944DD" w:rsidRPr="00AF43A9"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Diputatuen Kongresuaren Erabakia, 2020ko urriaren 20koa, zeinaren bidez aitortzen baita badela ezohiko larrialdi egoera bat, 2020an eta 2021ean arau fiskalak aldi baterako etetea justifikatzen duena. </w:t>
      </w:r>
    </w:p>
    <w:p w14:paraId="64D09B4E" w14:textId="77777777" w:rsidR="00AB588F" w:rsidRP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HAP/2105/2012 Agindua, urriaren 1ekoa, Aurrekontu-egonkortasunari eta Finantza-iraunkortasunari buruzko apirilaren 27ko 2/2012 Lege Organikoan informazioa emateko aurreikusitako betebeharrak garatzekoa.</w:t>
      </w:r>
    </w:p>
    <w:p w14:paraId="31E2F87F"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2017ko uztailaren 4ko Ebazpena, Altxorraren eta Finantza Politikaren Idazkaritza Nagusiarena, zeinaren bidez definitzen baita zorpetze-eragiketei eta autonomia erkidegoetatik eta toki entitateetatik heldutakoei aplikatzekoa zaien zuhurtasun finantzarioa.</w:t>
      </w:r>
    </w:p>
    <w:p w14:paraId="6B63EEF5" w14:textId="77777777" w:rsid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27/2012 Foru Legea, abenduaren 28koa, zeinaren bidez Nafarroako Foru Komunitatean neurriak hartzen baitira aurrekontu-oreka bermatzeko eta lehiakortasuna sustatzeko.</w:t>
      </w:r>
    </w:p>
    <w:p w14:paraId="0C87D6F1" w14:textId="47773D14" w:rsidR="00345C6C" w:rsidRPr="002F16EC" w:rsidRDefault="00F20AA2" w:rsidP="00AB588F">
      <w:pPr>
        <w:pStyle w:val="texto"/>
        <w:tabs>
          <w:tab w:val="clear" w:pos="2835"/>
          <w:tab w:val="clear" w:pos="3969"/>
          <w:tab w:val="clear" w:pos="5103"/>
          <w:tab w:val="clear" w:pos="6237"/>
          <w:tab w:val="clear" w:pos="7371"/>
          <w:tab w:val="left" w:pos="480"/>
          <w:tab w:val="num" w:pos="720"/>
        </w:tabs>
        <w:ind w:firstLine="0"/>
        <w:rPr>
          <w:b/>
          <w:color w:val="000000" w:themeColor="text1"/>
          <w:szCs w:val="26"/>
        </w:rPr>
      </w:pPr>
      <w:r>
        <w:rPr>
          <w:b/>
          <w:color w:val="000000" w:themeColor="text1"/>
        </w:rPr>
        <w:t xml:space="preserve">d) Kontratazio administratiboa </w:t>
      </w:r>
    </w:p>
    <w:p w14:paraId="524D9731" w14:textId="77777777" w:rsidR="00302151" w:rsidRPr="002F16EC" w:rsidRDefault="00302151" w:rsidP="00302151">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7/2020 Errege Lege-dekretua, martxoaren 12koa, COVID-19 gaitzaren inpaktu ekonomikoari erantzuteko presako neurriak hartzekoa. </w:t>
      </w:r>
    </w:p>
    <w:p w14:paraId="04861A75" w14:textId="5F64B4C5" w:rsidR="00AB588F" w:rsidRP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lastRenderedPageBreak/>
        <w:t>2/2018 Foru Legea, apirilaren 13koa, kontratu publikoei buruzkoa.</w:t>
      </w:r>
    </w:p>
    <w:p w14:paraId="27B1A4D7" w14:textId="338155BF" w:rsidR="00AB588F" w:rsidRPr="00AB588F" w:rsidRDefault="00AB588F"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spacing w:after="120"/>
        <w:ind w:left="0" w:firstLine="290"/>
        <w:rPr>
          <w:color w:val="000000" w:themeColor="text1"/>
          <w:szCs w:val="26"/>
        </w:rPr>
      </w:pPr>
      <w:r>
        <w:rPr>
          <w:color w:val="000000" w:themeColor="text1"/>
        </w:rPr>
        <w:t>6/2006 Foru Legea, ekainaren 9koa, kontratu publikoei buruzkoa (2/2018 Foru Legeak indarra hartu zuen egunean jada administrazio klausula partikularren edo baldintza arautzaileen agiriak onetsita zeuzkaten kontratuetarako).</w:t>
      </w:r>
    </w:p>
    <w:p w14:paraId="650D97A2" w14:textId="77777777" w:rsidR="00AB588F" w:rsidRPr="00AB588F" w:rsidRDefault="00AB588F"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317/2019 Foru Dekretua, azaroaren 13koa, Kontratu Publikoei buruzko apirilaren 13ko 2/2018 Foru Legearen Europako atalaseak eguneratzen dituena. </w:t>
      </w:r>
    </w:p>
    <w:p w14:paraId="557EFF49" w14:textId="6C4CD370" w:rsidR="00E77055" w:rsidRPr="00E77055" w:rsidRDefault="004D0737"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2/2020 Foru Lege-dekretua, martxoaren 25ekoa, premiazko neurriak onesten dituena </w:t>
      </w:r>
      <w:proofErr w:type="spellStart"/>
      <w:r>
        <w:rPr>
          <w:color w:val="000000" w:themeColor="text1"/>
        </w:rPr>
        <w:t>koronabirusaren</w:t>
      </w:r>
      <w:proofErr w:type="spellEnd"/>
      <w:r>
        <w:rPr>
          <w:color w:val="000000" w:themeColor="text1"/>
        </w:rPr>
        <w:t xml:space="preserve"> (COVID-19a) osasun krisiak eragindako inpaktuari aurre egiteko.</w:t>
      </w:r>
    </w:p>
    <w:p w14:paraId="219CB29A" w14:textId="5CCB1D9C" w:rsidR="00AB588F" w:rsidRPr="008E43F9" w:rsidRDefault="004D0737"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5/2020 Foru Lege-dekretua, maiatzaren 20koa, premiazko neurriak onesten dituena </w:t>
      </w:r>
      <w:proofErr w:type="spellStart"/>
      <w:r>
        <w:rPr>
          <w:color w:val="000000" w:themeColor="text1"/>
        </w:rPr>
        <w:t>koronabirusaren</w:t>
      </w:r>
      <w:proofErr w:type="spellEnd"/>
      <w:r>
        <w:rPr>
          <w:color w:val="000000" w:themeColor="text1"/>
        </w:rPr>
        <w:t xml:space="preserve"> (COVID-19a) osasun krisiak eragindako inpaktuari aurre egiteko.</w:t>
      </w:r>
    </w:p>
    <w:p w14:paraId="290C62EA" w14:textId="043C09E8" w:rsidR="00345C6C" w:rsidRPr="00B81E61" w:rsidRDefault="00F20AA2" w:rsidP="00136925">
      <w:pPr>
        <w:pStyle w:val="texto"/>
        <w:spacing w:before="240"/>
        <w:ind w:firstLine="0"/>
        <w:rPr>
          <w:b/>
          <w:color w:val="000000" w:themeColor="text1"/>
          <w:szCs w:val="26"/>
        </w:rPr>
      </w:pPr>
      <w:r>
        <w:rPr>
          <w:b/>
          <w:color w:val="000000" w:themeColor="text1"/>
        </w:rPr>
        <w:t xml:space="preserve">e) Langileak  </w:t>
      </w:r>
    </w:p>
    <w:p w14:paraId="5B3B7F60"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2/2015 Legegintzako Errege Dekretua, urriaren 23koa, Langileen Estatutuaren Legearen testu </w:t>
      </w:r>
      <w:proofErr w:type="spellStart"/>
      <w:r>
        <w:rPr>
          <w:color w:val="000000" w:themeColor="text1"/>
        </w:rPr>
        <w:t>bategina</w:t>
      </w:r>
      <w:proofErr w:type="spellEnd"/>
      <w:r>
        <w:rPr>
          <w:color w:val="000000" w:themeColor="text1"/>
        </w:rPr>
        <w:t xml:space="preserve"> onesten duena.</w:t>
      </w:r>
    </w:p>
    <w:p w14:paraId="149273F3"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4/2015 Errege Lege-dekretua, martxoaren 22koa, lan arloan enplegurako lanbide heziketaren sistema presaz erreformatzekoa.</w:t>
      </w:r>
    </w:p>
    <w:p w14:paraId="5176DE3C" w14:textId="77777777" w:rsidR="00F944DD" w:rsidRPr="00F944DD"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2/2020 Errege Lege-dekretua, 2020ko urtarrilaren 21ekoa, sektore publikoaren esparruko ordainsarien arloan presako neurriak onesten dituena.</w:t>
      </w:r>
    </w:p>
    <w:p w14:paraId="58387D09" w14:textId="77777777" w:rsidR="00F944DD" w:rsidRPr="00F944DD"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29/2020 Errege Lege-dekretua, irailaren 29koa, administrazio publikoetako telelanaren arloan eta Osasun Sistema Nazionaleko giza baliabideen arloan presako neurriak ezartzen dituena COVID-19ak eragindako osasun krisiari aurre egiteko.</w:t>
      </w:r>
    </w:p>
    <w:p w14:paraId="0A21A8ED"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13/2012 Foru Legea, ekainaren 21ekoa, Nafarroako Administrazio Publikoen zerbitzuko langileen arloan presako zenbait neurri hartzeari buruzkoa.</w:t>
      </w:r>
    </w:p>
    <w:p w14:paraId="485A39BB"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13/2015 Foru Legea, apirilaren 10ekoa, Nafarroako Administrazio Publikoen Zerbitzuko Langileen Estatutuaren testu </w:t>
      </w:r>
      <w:proofErr w:type="spellStart"/>
      <w:r>
        <w:rPr>
          <w:color w:val="000000" w:themeColor="text1"/>
        </w:rPr>
        <w:t>bategina</w:t>
      </w:r>
      <w:proofErr w:type="spellEnd"/>
      <w:r>
        <w:rPr>
          <w:color w:val="000000" w:themeColor="text1"/>
        </w:rPr>
        <w:t xml:space="preserve"> aldatzen duena, desgaitasuna dutenek enplegu publikoa eskuratzeari dagokionez.</w:t>
      </w:r>
    </w:p>
    <w:p w14:paraId="48658629"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23/2018 Foru Legea, azaroaren 19koa, Nafarroako poliziei buruzkoa.</w:t>
      </w:r>
    </w:p>
    <w:p w14:paraId="79D8BAD1" w14:textId="77777777" w:rsidR="00F944DD" w:rsidRPr="00AB588F" w:rsidRDefault="00F944DD" w:rsidP="00F944DD">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251/1993 Legegintzako Foru Dekretua, abuztuaren 30ekoa, Nafarroako Administrazio Publikoen zerbitzuko Langileen Estatutuaren testu </w:t>
      </w:r>
      <w:proofErr w:type="spellStart"/>
      <w:r>
        <w:rPr>
          <w:color w:val="000000" w:themeColor="text1"/>
        </w:rPr>
        <w:t>bategina</w:t>
      </w:r>
      <w:proofErr w:type="spellEnd"/>
      <w:r>
        <w:rPr>
          <w:color w:val="000000" w:themeColor="text1"/>
        </w:rPr>
        <w:t xml:space="preserve"> onesten duena, bai eta hura garatzeko xedapenak ere.</w:t>
      </w:r>
    </w:p>
    <w:p w14:paraId="0A83E1A9" w14:textId="77777777" w:rsidR="00F944DD" w:rsidRPr="008E43F9" w:rsidRDefault="00F944DD"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10/2020 Foru  Lege-dekretua, irailaren 16koa, zeinaren bidez neurri batzuk onesten baitira Nafarroako Foru Komunitateko Administrazioaren eta haren erakunde autonomoen zerbitzuko langileen arlokoak.</w:t>
      </w:r>
    </w:p>
    <w:p w14:paraId="0074BC15" w14:textId="57F68977" w:rsidR="00AB588F" w:rsidRP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lastRenderedPageBreak/>
        <w:t>158/1984 Errege Dekretua, uztailaren 4koa, Nafarroako Administrazio Publikoen zerbitzuko langileen ordainsariei buruzko behin-behineko Erregelamendua onesten duena (martxoaren 29ko 21/2017 Foru Dekretuaren bidez aldatu zen).</w:t>
      </w:r>
    </w:p>
    <w:p w14:paraId="19602123" w14:textId="77777777" w:rsidR="00AB588F" w:rsidRP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113/1985 Foru Dekretua, ekainaren 5ekoa, Nafarroako administrazio publikoetan sartzeari buruzko erregelamendua onesten duena.</w:t>
      </w:r>
    </w:p>
    <w:p w14:paraId="17E3F557" w14:textId="1E8EBF1C" w:rsidR="00AB588F" w:rsidRPr="00AB588F"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215/1985 Foru Dekretua, azaroaren 6koa, Nafarroako Administrazio Publikoetako lanpostuak betetzeko erregelamendua onesten duena (maiatzaren 17ko 29/2017 Foru Dekretuaren bidez aldatu zen).</w:t>
      </w:r>
    </w:p>
    <w:p w14:paraId="7F8C5E66" w14:textId="4B4D10E5" w:rsidR="00AB588F" w:rsidRPr="008A3EB8" w:rsidRDefault="00F20AA2" w:rsidP="00136925">
      <w:pPr>
        <w:pStyle w:val="texto"/>
        <w:tabs>
          <w:tab w:val="clear" w:pos="2835"/>
          <w:tab w:val="clear" w:pos="3969"/>
          <w:tab w:val="clear" w:pos="5103"/>
          <w:tab w:val="clear" w:pos="6237"/>
          <w:tab w:val="clear" w:pos="7371"/>
          <w:tab w:val="left" w:pos="480"/>
          <w:tab w:val="num" w:pos="720"/>
          <w:tab w:val="num" w:pos="786"/>
        </w:tabs>
        <w:spacing w:before="240"/>
        <w:ind w:firstLine="0"/>
        <w:rPr>
          <w:b/>
          <w:color w:val="000000" w:themeColor="text1"/>
          <w:szCs w:val="26"/>
        </w:rPr>
      </w:pPr>
      <w:r>
        <w:rPr>
          <w:b/>
          <w:color w:val="000000" w:themeColor="text1"/>
        </w:rPr>
        <w:t xml:space="preserve">f) Dirulaguntzak </w:t>
      </w:r>
    </w:p>
    <w:p w14:paraId="470E6015" w14:textId="3BC6C584" w:rsidR="00F944DD" w:rsidRDefault="00AB588F"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38/2003 Lege Orokorra, azaroaren 17koa, dirulaguntzei buruzkoa.</w:t>
      </w:r>
    </w:p>
    <w:p w14:paraId="0D88F2F4" w14:textId="7B691E7D" w:rsidR="00AB588F" w:rsidRPr="00AB588F" w:rsidRDefault="00AB588F"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887/2006 Errege Dekretua, uztailaren 21ekoa, Dirulaguntzei buruzko azaroaren 17ko 38/2003 Lege Orokorraren Erregelamendua onesten duena.</w:t>
      </w:r>
    </w:p>
    <w:p w14:paraId="155325AB" w14:textId="2CFFE700" w:rsidR="00345C6C" w:rsidRPr="008A3EB8" w:rsidRDefault="00F20AA2" w:rsidP="00136925">
      <w:pPr>
        <w:pStyle w:val="texto"/>
        <w:tabs>
          <w:tab w:val="clear" w:pos="2835"/>
          <w:tab w:val="clear" w:pos="3969"/>
          <w:tab w:val="clear" w:pos="5103"/>
          <w:tab w:val="clear" w:pos="6237"/>
          <w:tab w:val="clear" w:pos="7371"/>
          <w:tab w:val="left" w:pos="480"/>
          <w:tab w:val="num" w:pos="720"/>
          <w:tab w:val="num" w:pos="786"/>
        </w:tabs>
        <w:spacing w:before="240"/>
        <w:ind w:firstLine="0"/>
        <w:rPr>
          <w:b/>
          <w:color w:val="000000" w:themeColor="text1"/>
          <w:szCs w:val="26"/>
        </w:rPr>
      </w:pPr>
      <w:r>
        <w:rPr>
          <w:b/>
          <w:color w:val="000000" w:themeColor="text1"/>
        </w:rPr>
        <w:t>g) Hirigintza eta beste arlo batzuk</w:t>
      </w:r>
    </w:p>
    <w:p w14:paraId="31D8CDAA" w14:textId="77777777" w:rsidR="00181012" w:rsidRPr="00AB588F" w:rsidRDefault="00181012"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7/2003 Foru Legea, otsailaren 14koa, Nafarroako turismoari buruzkoa.</w:t>
      </w:r>
    </w:p>
    <w:p w14:paraId="6556C39A" w14:textId="77777777" w:rsidR="00181012" w:rsidRPr="00AB588F" w:rsidRDefault="00181012"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17/2020 Foru Legea, abenduaren 16koa, ingurumenean eragina duten jarduerak arautzen dituena. </w:t>
      </w:r>
    </w:p>
    <w:p w14:paraId="4C9AEAC6" w14:textId="77777777" w:rsidR="00181012" w:rsidRPr="00AB588F" w:rsidRDefault="00181012"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18/2020 Foru Legea, abenduaren 16koa, enpresen sustraitzearen aldeko eta enpresen deslokalizazioaren aurkako neurriei buruzkoa..</w:t>
      </w:r>
    </w:p>
    <w:p w14:paraId="3396AE84" w14:textId="77777777" w:rsidR="00657B5B" w:rsidRPr="00AB588F" w:rsidRDefault="00657B5B"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19/2020 Foru Legea, abenduaren 16koa, Nafarroako Turismoari buruzko otsailaren 14ko 7/2003 Foru Legea aldatzen duena.</w:t>
      </w:r>
    </w:p>
    <w:p w14:paraId="6E2D831F" w14:textId="77777777" w:rsidR="00181012" w:rsidRPr="00AB588F" w:rsidRDefault="00181012"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21/2020 Foru Legea, abenduaren 29koa, zenbait zerga aldatu eta beste tributu-neurri batzuk hartzekoa eta Lurraldearen Antolamenduari eta Hirigintzari buruzko Foru Legearen testu </w:t>
      </w:r>
      <w:proofErr w:type="spellStart"/>
      <w:r>
        <w:rPr>
          <w:color w:val="000000" w:themeColor="text1"/>
        </w:rPr>
        <w:t>bategina</w:t>
      </w:r>
      <w:proofErr w:type="spellEnd"/>
      <w:r>
        <w:rPr>
          <w:color w:val="000000" w:themeColor="text1"/>
        </w:rPr>
        <w:t xml:space="preserve"> aldatzekoa. </w:t>
      </w:r>
    </w:p>
    <w:p w14:paraId="64BDF254" w14:textId="77777777" w:rsidR="00AB588F" w:rsidRDefault="00AB588F"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1/2017 Legegintzako Foru Dekretua, uztailaren 26koa, Lurraldearen Antolamenduari eta Hirigintzari buruzko Foru Legearen testu </w:t>
      </w:r>
      <w:proofErr w:type="spellStart"/>
      <w:r>
        <w:rPr>
          <w:color w:val="000000" w:themeColor="text1"/>
        </w:rPr>
        <w:t>bategina</w:t>
      </w:r>
      <w:proofErr w:type="spellEnd"/>
      <w:r>
        <w:rPr>
          <w:color w:val="000000" w:themeColor="text1"/>
        </w:rPr>
        <w:t xml:space="preserve"> onesten duena.</w:t>
      </w:r>
    </w:p>
    <w:p w14:paraId="66065DE0" w14:textId="7207C78E" w:rsidR="00E35D6B" w:rsidRPr="00AB588F" w:rsidRDefault="002D49BE" w:rsidP="008E43F9">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48/2020 Foru Dekretua, uztailaren 15ekoa, zeinaren bidez arautzen baitira oinarrizko gizarte zerbitzuen oinarrizko programak eta finantzaketa sistema.</w:t>
      </w:r>
    </w:p>
    <w:p w14:paraId="11591E30" w14:textId="596F4069" w:rsidR="00345C6C" w:rsidRPr="00B81E61" w:rsidRDefault="00F20AA2" w:rsidP="00136925">
      <w:pPr>
        <w:pStyle w:val="texto"/>
        <w:ind w:firstLine="0"/>
        <w:rPr>
          <w:b/>
          <w:color w:val="000000" w:themeColor="text1"/>
          <w:szCs w:val="26"/>
        </w:rPr>
      </w:pPr>
      <w:r>
        <w:rPr>
          <w:b/>
          <w:color w:val="000000" w:themeColor="text1"/>
        </w:rPr>
        <w:t>h) Toki entitate bakoitzaren barne araubidea</w:t>
      </w:r>
    </w:p>
    <w:p w14:paraId="22E7D0E9" w14:textId="77777777" w:rsidR="00345C6C" w:rsidRPr="00B81E61" w:rsidRDefault="00345C6C" w:rsidP="00345C6C">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Toki entitateen aurrekontuen exekuzio oinarriak, 2020rako. </w:t>
      </w:r>
    </w:p>
    <w:p w14:paraId="32463A56" w14:textId="77777777" w:rsidR="00345C6C" w:rsidRPr="00B81E61" w:rsidRDefault="00345C6C" w:rsidP="00345C6C">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Tasa eta prezio publikoak arautzen dituzten ordenantzak eta erabakiak.</w:t>
      </w:r>
    </w:p>
    <w:p w14:paraId="43F17E8D" w14:textId="4C53A769" w:rsidR="00F20AA2" w:rsidRDefault="00345C6C" w:rsidP="00F20AA2">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Berariazko hitzarmen kolektiboak.</w:t>
      </w:r>
    </w:p>
    <w:p w14:paraId="23ADC7B9" w14:textId="77777777" w:rsidR="00F20AA2" w:rsidRPr="00AB588F" w:rsidRDefault="00F20AA2" w:rsidP="00F20AA2">
      <w:pPr>
        <w:pStyle w:val="texto"/>
        <w:tabs>
          <w:tab w:val="clear" w:pos="2835"/>
          <w:tab w:val="clear" w:pos="3969"/>
          <w:tab w:val="clear" w:pos="5103"/>
          <w:tab w:val="clear" w:pos="6237"/>
          <w:tab w:val="clear" w:pos="7371"/>
          <w:tab w:val="left" w:pos="480"/>
          <w:tab w:val="num" w:pos="720"/>
        </w:tabs>
        <w:ind w:firstLine="0"/>
        <w:rPr>
          <w:b/>
          <w:color w:val="000000" w:themeColor="text1"/>
          <w:szCs w:val="26"/>
        </w:rPr>
      </w:pPr>
      <w:r>
        <w:rPr>
          <w:b/>
          <w:color w:val="000000" w:themeColor="text1"/>
        </w:rPr>
        <w:t>d) COVID-19arekin lotutako finantzaketa</w:t>
      </w:r>
    </w:p>
    <w:p w14:paraId="5CD3D7E7" w14:textId="77777777" w:rsidR="00F20AA2" w:rsidRDefault="00F20AA2" w:rsidP="00F20AA2">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lastRenderedPageBreak/>
        <w:t>8/2020 Errege Lege-dekretua, martxoaren 17koa, COVID-19aren inpaktu ekonomiko eta sozialari aurre egiteko presako neurri bereziei buruzkoa.</w:t>
      </w:r>
    </w:p>
    <w:p w14:paraId="460E8EA3" w14:textId="77777777" w:rsidR="00F20AA2" w:rsidRPr="00AF43A9" w:rsidRDefault="00F20AA2" w:rsidP="00F20AA2">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8/2020 Foru Legea, apirilaren 8koa, zeinaren bidez kreditu-gehigarri bat ematen baita, COVID-19ak eragindako osasun publikoko arrazoiak direla-eta hartutako neurri berezi eta urgenteek ekarritako beharrei erantzuteko.</w:t>
      </w:r>
    </w:p>
    <w:p w14:paraId="3782D543" w14:textId="77777777" w:rsidR="00F20AA2" w:rsidRPr="00AF43A9" w:rsidRDefault="00F20AA2" w:rsidP="00F20AA2">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13/2020 Foru Legea, uztailaren 1ekoa, 25 milioi euroko aparteko kreditu bat eman, arautu eta banatzekoa, Nafarroako Toki Ogasunen parte-hartzearen funtsaren kargura, COVID-19ak eragindako osasun publikoko arrazoiak direla-eta hartu behar izan diren ohiz kanpoko neurri urgenteengatik toki entitateek dituzten beharrei erantzuteko.</w:t>
      </w:r>
    </w:p>
    <w:p w14:paraId="313C4135" w14:textId="77777777" w:rsidR="00F20AA2" w:rsidRPr="00AF43A9" w:rsidRDefault="00F20AA2" w:rsidP="00F20AA2">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14/2020 Foru Legea, irailaren 1ekoa, zeinaren bidez ohiz kanpoko neurri batzuk hartzen baitira </w:t>
      </w:r>
      <w:proofErr w:type="spellStart"/>
      <w:r>
        <w:rPr>
          <w:color w:val="000000" w:themeColor="text1"/>
        </w:rPr>
        <w:t>koronabirusaren</w:t>
      </w:r>
      <w:proofErr w:type="spellEnd"/>
      <w:r>
        <w:rPr>
          <w:color w:val="000000" w:themeColor="text1"/>
        </w:rPr>
        <w:t xml:space="preserve"> (COVID-19a) osasun krisiari aurre egiteko, normaltasun berrirako trantsizio planaren 3. fasea gainditu ondoren.</w:t>
      </w:r>
    </w:p>
    <w:p w14:paraId="6F9E6E3C" w14:textId="77777777" w:rsidR="00F20AA2" w:rsidRPr="00AF43A9" w:rsidRDefault="00F20AA2" w:rsidP="00F20AA2">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 xml:space="preserve">3/2020 Foru Lege-dekretua, apirilaren 15ekoa, premiazko neurriak onesten dituena </w:t>
      </w:r>
      <w:proofErr w:type="spellStart"/>
      <w:r>
        <w:rPr>
          <w:color w:val="000000" w:themeColor="text1"/>
        </w:rPr>
        <w:t>koronabirusaren</w:t>
      </w:r>
      <w:proofErr w:type="spellEnd"/>
      <w:r>
        <w:rPr>
          <w:color w:val="000000" w:themeColor="text1"/>
        </w:rPr>
        <w:t xml:space="preserve"> (COVID-19a) osasun krisiak eragindako inpaktuari aurre egiteko.</w:t>
      </w:r>
    </w:p>
    <w:p w14:paraId="2BF7E7CA" w14:textId="77777777" w:rsidR="00F20AA2" w:rsidRPr="008E43F9" w:rsidRDefault="00F20AA2" w:rsidP="00F20AA2">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233/2020 Foru Agindua, uztailaren 24koa, Eskubide Sozialetako Kontseilariak emana, irizpideak ezartzen dituena martxoaren 17ko 8/2020 Errege Lege-dekretuak araututako aparteko gizarte funtsa esleitzeko, “COVID-19a, Nafarroako oinarrizko gizarte zerbitzuetako plantillak indartzea” proiektuari adjudikatua.</w:t>
      </w:r>
    </w:p>
    <w:p w14:paraId="6083EAC0" w14:textId="77777777" w:rsidR="00F20AA2" w:rsidRDefault="00F20AA2" w:rsidP="00F20AA2">
      <w:pPr>
        <w:pStyle w:val="texto"/>
        <w:numPr>
          <w:ilvl w:val="0"/>
          <w:numId w:val="2"/>
        </w:numPr>
        <w:tabs>
          <w:tab w:val="clear" w:pos="2835"/>
          <w:tab w:val="clear" w:pos="3969"/>
          <w:tab w:val="clear" w:pos="5103"/>
          <w:tab w:val="clear" w:pos="6237"/>
          <w:tab w:val="clear" w:pos="7371"/>
          <w:tab w:val="left" w:pos="480"/>
          <w:tab w:val="num" w:pos="600"/>
          <w:tab w:val="num" w:pos="720"/>
          <w:tab w:val="num" w:pos="5606"/>
        </w:tabs>
        <w:ind w:left="0" w:firstLine="290"/>
        <w:rPr>
          <w:color w:val="000000" w:themeColor="text1"/>
          <w:szCs w:val="26"/>
        </w:rPr>
      </w:pPr>
      <w:r>
        <w:rPr>
          <w:color w:val="000000" w:themeColor="text1"/>
        </w:rPr>
        <w:t>591/2020 Ebazpena, azaroaren 12koa, Aurrekontuen, Ondarearen eta Politika Ekonomikoaren zuzendari nagusiak emana.</w:t>
      </w:r>
    </w:p>
    <w:p w14:paraId="36B86B42" w14:textId="77777777" w:rsidR="00AB588F" w:rsidRPr="006F29F9" w:rsidRDefault="00AB588F" w:rsidP="00136925">
      <w:pPr>
        <w:pStyle w:val="texto"/>
        <w:numPr>
          <w:ilvl w:val="0"/>
          <w:numId w:val="28"/>
        </w:numPr>
        <w:tabs>
          <w:tab w:val="clear" w:pos="2835"/>
          <w:tab w:val="clear" w:pos="3969"/>
          <w:tab w:val="clear" w:pos="5103"/>
          <w:tab w:val="clear" w:pos="6237"/>
          <w:tab w:val="clear" w:pos="7371"/>
          <w:tab w:val="left" w:pos="480"/>
          <w:tab w:val="num" w:pos="786"/>
        </w:tabs>
        <w:ind w:left="0" w:hanging="11"/>
        <w:rPr>
          <w:b/>
          <w:szCs w:val="26"/>
        </w:rPr>
      </w:pPr>
      <w:r>
        <w:rPr>
          <w:b/>
        </w:rPr>
        <w:t>COVID-19 araudia</w:t>
      </w:r>
    </w:p>
    <w:p w14:paraId="5BF79027" w14:textId="3FA15B00" w:rsidR="00AB588F" w:rsidRPr="00A16FC4" w:rsidRDefault="00AB588F" w:rsidP="00AB588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spacing w:val="2"/>
          <w:szCs w:val="26"/>
        </w:rPr>
      </w:pPr>
      <w:r>
        <w:t>463/2020 Errege Dekretua, martxoaren 14koa, zeinaren bitartez alarma-egoera deklaratzen baita COVID-19aren ondoriozko krisi sanitarioko egoera kudeatzeko.</w:t>
      </w:r>
    </w:p>
    <w:p w14:paraId="59E7ABAD" w14:textId="49B9F494" w:rsidR="00657B5B" w:rsidRPr="007A6732" w:rsidRDefault="00657B5B" w:rsidP="00AB588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szCs w:val="26"/>
        </w:rPr>
      </w:pPr>
      <w:r>
        <w:t>537/2020 Errege Dekretua, maiatzaren 22koa, zeinaren bidez luzatzen baita COVID-19ak eragindako osasun krisia kudeatzeko alarma-egoera deklaratu zuen martxoaren 14ko 463/2020 Errege Dekretuak ezarritako alarma-egoera.</w:t>
      </w:r>
    </w:p>
    <w:p w14:paraId="7368A169" w14:textId="382DC239" w:rsidR="007D68B8" w:rsidRPr="007A6732" w:rsidRDefault="00CA1AA0" w:rsidP="00EC2B57">
      <w:pPr>
        <w:pStyle w:val="texto"/>
        <w:tabs>
          <w:tab w:val="clear" w:pos="2835"/>
          <w:tab w:val="clear" w:pos="3969"/>
          <w:tab w:val="clear" w:pos="5103"/>
          <w:tab w:val="clear" w:pos="6237"/>
          <w:tab w:val="clear" w:pos="7371"/>
          <w:tab w:val="left" w:pos="480"/>
          <w:tab w:val="num" w:pos="786"/>
        </w:tabs>
        <w:rPr>
          <w:b/>
          <w:bCs/>
          <w:color w:val="000000" w:themeColor="text1"/>
          <w:sz w:val="24"/>
        </w:rPr>
      </w:pPr>
      <w:r>
        <w:t xml:space="preserve">Errege dekretu horiez gain, COVID-19aren pandemiak sortutako egoeraren ondorioz arau sorta handi bat aldarrikatu zen. Horien artean, Nafarroako toki sektore publikoaren jardueraren gaineko eragin </w:t>
      </w:r>
      <w:proofErr w:type="spellStart"/>
      <w:r>
        <w:t>handienekotzat</w:t>
      </w:r>
      <w:proofErr w:type="spellEnd"/>
      <w:r>
        <w:t xml:space="preserve"> jo direnak aurreko ataletan jaso dira, gaia dela eta.</w:t>
      </w:r>
      <w:r>
        <w:rPr>
          <w:b/>
          <w:color w:val="000000" w:themeColor="text1"/>
          <w:sz w:val="24"/>
        </w:rPr>
        <w:t xml:space="preserve"> </w:t>
      </w:r>
      <w:r>
        <w:rPr>
          <w:b/>
          <w:color w:val="000000" w:themeColor="text1"/>
          <w:sz w:val="24"/>
        </w:rPr>
        <w:br w:type="page"/>
      </w:r>
    </w:p>
    <w:p w14:paraId="2AC1C1FB" w14:textId="77777777" w:rsidR="00A16FC4" w:rsidRDefault="00A16FC4" w:rsidP="00A16FC4">
      <w:pPr>
        <w:pStyle w:val="texto"/>
      </w:pPr>
      <w:bookmarkStart w:id="122" w:name="_Toc402257034"/>
      <w:bookmarkStart w:id="123" w:name="_Toc465686694"/>
      <w:bookmarkStart w:id="124" w:name="_Toc529773891"/>
      <w:bookmarkStart w:id="125" w:name="_Toc24100151"/>
      <w:bookmarkStart w:id="126" w:name="_Toc52348329"/>
      <w:bookmarkStart w:id="127" w:name="_Toc88727724"/>
    </w:p>
    <w:p w14:paraId="10053EF8" w14:textId="0B85E57E" w:rsidR="00345C6C" w:rsidRPr="00A16FC4" w:rsidRDefault="00345C6C" w:rsidP="00A16FC4">
      <w:pPr>
        <w:pStyle w:val="Ttulo1"/>
        <w:ind w:left="1134" w:firstLine="0"/>
        <w:rPr>
          <w:sz w:val="28"/>
          <w:szCs w:val="28"/>
        </w:rPr>
      </w:pPr>
      <w:bookmarkStart w:id="128" w:name="_Toc126061993"/>
      <w:r>
        <w:rPr>
          <w:sz w:val="28"/>
        </w:rPr>
        <w:t>2.</w:t>
      </w:r>
      <w:bookmarkEnd w:id="122"/>
      <w:r>
        <w:rPr>
          <w:sz w:val="28"/>
        </w:rPr>
        <w:t xml:space="preserve"> eranskina. Nafarroako toki sektore publikoaren finantza egoera 20</w:t>
      </w:r>
      <w:bookmarkEnd w:id="123"/>
      <w:bookmarkEnd w:id="124"/>
      <w:bookmarkEnd w:id="125"/>
      <w:bookmarkEnd w:id="126"/>
      <w:bookmarkEnd w:id="127"/>
      <w:r>
        <w:rPr>
          <w:sz w:val="28"/>
        </w:rPr>
        <w:t>20an</w:t>
      </w:r>
      <w:bookmarkEnd w:id="128"/>
    </w:p>
    <w:p w14:paraId="344D7375" w14:textId="77777777" w:rsidR="00345C6C" w:rsidRPr="000E7BBF" w:rsidRDefault="00345C6C" w:rsidP="00345C6C">
      <w:pPr>
        <w:pStyle w:val="texto"/>
        <w:rPr>
          <w:color w:val="000000" w:themeColor="text1"/>
          <w:lang w:val="es-ES"/>
        </w:rPr>
      </w:pPr>
    </w:p>
    <w:sectPr w:rsidR="00345C6C" w:rsidRPr="000E7BBF" w:rsidSect="00822A40">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67EB" w14:textId="77777777" w:rsidR="004E2CFD" w:rsidRDefault="004E2CFD">
      <w:r>
        <w:separator/>
      </w:r>
    </w:p>
    <w:p w14:paraId="277785E1" w14:textId="77777777" w:rsidR="004E2CFD" w:rsidRDefault="004E2CFD"/>
    <w:p w14:paraId="2F57C49B" w14:textId="77777777" w:rsidR="004E2CFD" w:rsidRDefault="004E2CFD"/>
    <w:p w14:paraId="551E4D2B" w14:textId="77777777" w:rsidR="004E2CFD" w:rsidRDefault="004E2CFD"/>
  </w:endnote>
  <w:endnote w:type="continuationSeparator" w:id="0">
    <w:p w14:paraId="74A6F762" w14:textId="77777777" w:rsidR="004E2CFD" w:rsidRDefault="004E2CFD">
      <w:r>
        <w:continuationSeparator/>
      </w:r>
    </w:p>
    <w:p w14:paraId="446D51EE" w14:textId="77777777" w:rsidR="004E2CFD" w:rsidRDefault="004E2CFD"/>
    <w:p w14:paraId="30ECDD85" w14:textId="77777777" w:rsidR="004E2CFD" w:rsidRDefault="004E2CFD"/>
    <w:p w14:paraId="09FB0ACA" w14:textId="77777777" w:rsidR="004E2CFD" w:rsidRDefault="004E2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altName w:val="Arial"/>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B450" w14:textId="6EEE4040" w:rsidR="004E2CFD" w:rsidRDefault="004E2CFD"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1D3F8C">
      <w:rPr>
        <w:rStyle w:val="Nmerodepgina"/>
      </w:rPr>
      <w:fldChar w:fldCharType="separate"/>
    </w:r>
    <w:r w:rsidR="001D3F8C">
      <w:rPr>
        <w:rStyle w:val="Nmerodepgina"/>
        <w:noProof/>
      </w:rPr>
      <w:t>55</w:t>
    </w:r>
    <w:r>
      <w:rPr>
        <w:rStyle w:val="Nmerodepgina"/>
      </w:rPr>
      <w:fldChar w:fldCharType="end"/>
    </w:r>
  </w:p>
  <w:p w14:paraId="3EDE16B6" w14:textId="77777777" w:rsidR="004E2CFD" w:rsidRDefault="004E2CFD" w:rsidP="0059650E">
    <w:pPr>
      <w:pStyle w:val="Piedepgina"/>
      <w:ind w:right="360"/>
    </w:pPr>
  </w:p>
  <w:p w14:paraId="691A200D" w14:textId="77777777" w:rsidR="004E2CFD" w:rsidRDefault="004E2C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882D" w14:textId="77777777" w:rsidR="004E2CFD" w:rsidRPr="00F03814" w:rsidRDefault="004E2CFD"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40F2D3C9" wp14:editId="3EB39166">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545EFF10" w14:textId="77777777" w:rsidR="004E2CFD" w:rsidRPr="00F74E38" w:rsidRDefault="004E2CFD" w:rsidP="00F03814">
    <w:pPr>
      <w:pStyle w:val="Piedepgina"/>
      <w:tabs>
        <w:tab w:val="clear" w:pos="4252"/>
        <w:tab w:val="clear" w:pos="8504"/>
        <w:tab w:val="center" w:pos="4560"/>
      </w:tabs>
      <w:ind w:right="360"/>
      <w:jc w:val="left"/>
      <w:rPr>
        <w:rStyle w:val="Nmerodepgina"/>
      </w:rPr>
    </w:pPr>
  </w:p>
  <w:p w14:paraId="5B6BE50C" w14:textId="77777777" w:rsidR="004E2CFD" w:rsidRPr="00C13453" w:rsidRDefault="004E2CFD" w:rsidP="00D2472C">
    <w:pPr>
      <w:pStyle w:val="BorradorProvisional"/>
      <w:ind w:left="0"/>
      <w:jc w:val="center"/>
    </w:pPr>
    <w:r>
      <w:t>Azken zirriborroa</w:t>
    </w:r>
  </w:p>
  <w:p w14:paraId="553EEE33" w14:textId="77777777" w:rsidR="004E2CFD" w:rsidRDefault="004E2C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BF5D" w14:textId="77777777" w:rsidR="004E2CFD" w:rsidRDefault="004E2CFD" w:rsidP="0059650E">
    <w:pPr>
      <w:pStyle w:val="Piedepgina"/>
      <w:ind w:right="360"/>
    </w:pPr>
  </w:p>
  <w:p w14:paraId="0777558A" w14:textId="77777777" w:rsidR="004E2CFD" w:rsidRDefault="004E2CF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7B1D" w14:textId="7832E77A" w:rsidR="004E2CFD" w:rsidRPr="00F03814" w:rsidRDefault="004E2CFD"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7A5EC3C3" wp14:editId="2088F718">
          <wp:extent cx="213100" cy="3714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52769F96" w14:textId="6356C89B" w:rsidR="004E2CFD" w:rsidRDefault="004E2CFD"/>
  <w:p w14:paraId="135AD15B" w14:textId="77777777" w:rsidR="004E2CFD" w:rsidRDefault="004E2CF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715196"/>
      <w:docPartObj>
        <w:docPartGallery w:val="Page Numbers (Bottom of Page)"/>
        <w:docPartUnique/>
      </w:docPartObj>
    </w:sdtPr>
    <w:sdtEndPr>
      <w:rPr>
        <w:sz w:val="24"/>
        <w:szCs w:val="24"/>
      </w:rPr>
    </w:sdtEndPr>
    <w:sdtContent>
      <w:p w14:paraId="49A02464" w14:textId="77777777" w:rsidR="004E2CFD" w:rsidRDefault="004E2CFD" w:rsidP="00822A40">
        <w:pPr>
          <w:pStyle w:val="Piedepgina"/>
          <w:spacing w:after="0"/>
          <w:jc w:val="left"/>
        </w:pPr>
        <w:r>
          <w:rPr>
            <w:rFonts w:ascii="GillSans" w:hAnsi="GillSans"/>
            <w:noProof/>
          </w:rPr>
          <w:drawing>
            <wp:inline distT="0" distB="0" distL="0" distR="0" wp14:anchorId="5592B062" wp14:editId="77857877">
              <wp:extent cx="213100" cy="37147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14:paraId="2709DCF8" w14:textId="28681815" w:rsidR="004E2CFD" w:rsidRDefault="004E2CFD" w:rsidP="00822A40">
        <w:pPr>
          <w:pStyle w:val="Piedepgina"/>
          <w:spacing w:after="0"/>
          <w:jc w:val="center"/>
          <w:rPr>
            <w:sz w:val="24"/>
            <w:szCs w:val="24"/>
          </w:rPr>
        </w:pPr>
        <w:r>
          <w:t xml:space="preserve">- </w:t>
        </w:r>
        <w:r w:rsidRPr="00822A40">
          <w:rPr>
            <w:sz w:val="24"/>
          </w:rPr>
          <w:fldChar w:fldCharType="begin"/>
        </w:r>
        <w:r w:rsidRPr="00822A40">
          <w:rPr>
            <w:sz w:val="24"/>
          </w:rPr>
          <w:instrText>PAGE   \* MERGEFORMAT</w:instrText>
        </w:r>
        <w:r w:rsidRPr="00822A40">
          <w:rPr>
            <w:sz w:val="24"/>
          </w:rPr>
          <w:fldChar w:fldCharType="separate"/>
        </w:r>
        <w:r w:rsidR="001A5A4B" w:rsidRPr="001A5A4B">
          <w:rPr>
            <w:sz w:val="24"/>
          </w:rPr>
          <w:t>3</w:t>
        </w:r>
        <w:r w:rsidRPr="00822A40">
          <w:rPr>
            <w:sz w:val="24"/>
          </w:rPr>
          <w:fldChar w:fldCharType="end"/>
        </w:r>
        <w:r>
          <w:rPr>
            <w:sz w:val="24"/>
          </w:rPr>
          <w:t xml:space="preserve"> -</w:t>
        </w:r>
      </w:p>
      <w:p w14:paraId="3D89C381" w14:textId="77777777" w:rsidR="004E2CFD" w:rsidRDefault="004E2CFD" w:rsidP="00822A40">
        <w:pPr>
          <w:pStyle w:val="Piedepgina"/>
          <w:spacing w:after="0"/>
          <w:jc w:val="center"/>
          <w:rPr>
            <w:sz w:val="24"/>
            <w:szCs w:val="24"/>
          </w:rPr>
        </w:pPr>
      </w:p>
      <w:p w14:paraId="7CCA395D" w14:textId="5EB414AB" w:rsidR="004E2CFD" w:rsidRPr="00822A40" w:rsidRDefault="00DD1BC4" w:rsidP="00822A40">
        <w:pPr>
          <w:pStyle w:val="Piedepgina"/>
          <w:spacing w:after="0"/>
          <w:jc w:val="center"/>
          <w:rPr>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612B" w14:textId="77777777" w:rsidR="004E2CFD" w:rsidRDefault="004E2CFD" w:rsidP="006D5F52">
      <w:pPr>
        <w:ind w:firstLine="0"/>
      </w:pPr>
      <w:r>
        <w:separator/>
      </w:r>
    </w:p>
  </w:footnote>
  <w:footnote w:type="continuationSeparator" w:id="0">
    <w:p w14:paraId="79C81938" w14:textId="77777777" w:rsidR="004E2CFD" w:rsidRDefault="004E2CFD">
      <w:r>
        <w:continuationSeparator/>
      </w:r>
    </w:p>
    <w:p w14:paraId="0C7C73A1" w14:textId="77777777" w:rsidR="004E2CFD" w:rsidRDefault="004E2CFD"/>
    <w:p w14:paraId="1D6CABC0" w14:textId="77777777" w:rsidR="004E2CFD" w:rsidRDefault="004E2CFD"/>
    <w:p w14:paraId="6D05AA6E" w14:textId="77777777" w:rsidR="004E2CFD" w:rsidRDefault="004E2CFD"/>
  </w:footnote>
  <w:footnote w:id="1">
    <w:p w14:paraId="644FBBD7" w14:textId="59E4E177" w:rsidR="004E2CFD" w:rsidRPr="008E43F9" w:rsidRDefault="004E2CFD" w:rsidP="006D5F52">
      <w:pPr>
        <w:pStyle w:val="Textonotapie"/>
        <w:spacing w:after="60"/>
        <w:ind w:firstLine="0"/>
      </w:pPr>
      <w:r>
        <w:rPr>
          <w:rStyle w:val="Refdenotaalpie"/>
        </w:rPr>
        <w:footnoteRef/>
      </w:r>
      <w:r>
        <w:t xml:space="preserve"> Hiru sozietate publikoak bateratu gabeko datuak.</w:t>
      </w:r>
    </w:p>
  </w:footnote>
  <w:footnote w:id="2">
    <w:p w14:paraId="417C12E2" w14:textId="77777777" w:rsidR="004E2CFD" w:rsidRDefault="004E2CFD" w:rsidP="006D5F52">
      <w:pPr>
        <w:pStyle w:val="Textonotapie"/>
        <w:spacing w:after="60"/>
        <w:ind w:firstLine="0"/>
      </w:pPr>
      <w:r>
        <w:rPr>
          <w:rStyle w:val="Refdenotaalpie"/>
        </w:rPr>
        <w:footnoteRef/>
      </w:r>
      <w:r>
        <w:t xml:space="preserve"> Denak bideratu dira udaletara hiri garraioaren defizit erantsiari dagokiona izan ezik, horrek mankomunitateak ere hartzen baitzituen. Azken horretatik, Iruñerriko Mankomunitateak 0,99 milioi jaso zituen eta Tuterako Udalak 0,01.</w:t>
      </w:r>
    </w:p>
  </w:footnote>
  <w:footnote w:id="3">
    <w:p w14:paraId="67A6FA4D" w14:textId="79D6F01F" w:rsidR="004E2CFD" w:rsidRPr="008E43F9" w:rsidRDefault="004E2CFD" w:rsidP="006D5F52">
      <w:pPr>
        <w:pStyle w:val="Textonotapie"/>
        <w:spacing w:after="60"/>
        <w:ind w:firstLine="0"/>
      </w:pPr>
      <w:r>
        <w:rPr>
          <w:rStyle w:val="Refdenotaalpie"/>
        </w:rPr>
        <w:footnoteRef/>
      </w:r>
      <w:r>
        <w:t xml:space="preserve"> Hiru sozietate publikoak bateratu gabeko datuak.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DB33" w14:textId="77777777" w:rsidR="004E2CFD" w:rsidRDefault="004E2CFD">
    <w:pPr>
      <w:pStyle w:val="Encabezado"/>
    </w:pPr>
  </w:p>
  <w:p w14:paraId="72BD0100" w14:textId="77777777" w:rsidR="004E2CFD" w:rsidRDefault="004E2C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1CDA" w14:textId="15383D9B" w:rsidR="004E2CFD" w:rsidRPr="0059650E" w:rsidRDefault="004E2CFD" w:rsidP="0029777F">
    <w:pPr>
      <w:pStyle w:val="Encabezado"/>
      <w:pBdr>
        <w:bottom w:val="single" w:sz="4" w:space="1" w:color="auto"/>
      </w:pBdr>
      <w:spacing w:after="40"/>
      <w:ind w:firstLine="0"/>
      <w:jc w:val="left"/>
    </w:pPr>
    <w:r>
      <w:rPr>
        <w:b/>
        <w:noProof/>
      </w:rPr>
      <w:drawing>
        <wp:inline distT="0" distB="0" distL="0" distR="0" wp14:anchorId="783D6EB5" wp14:editId="67CD102F">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w:t>
    </w:r>
    <w:r>
      <w:t>Nafarroako toki sektore publikoari buruzko fiskalizazio txostena, 2020ko ekitaldia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2759" w14:textId="77777777" w:rsidR="004E2CFD" w:rsidRDefault="004E2CFD" w:rsidP="006A2D41">
    <w:pPr>
      <w:pStyle w:val="Encabezado"/>
      <w:ind w:firstLine="0"/>
      <w:jc w:val="left"/>
    </w:pPr>
    <w:r>
      <w:rPr>
        <w:noProof/>
      </w:rPr>
      <w:drawing>
        <wp:inline distT="0" distB="0" distL="0" distR="0" wp14:anchorId="09DDC58F" wp14:editId="1BF0A7B6">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501475D8" w14:textId="77777777" w:rsidR="004E2CFD" w:rsidRDefault="004E2CF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6EAC" w14:textId="77777777" w:rsidR="004E2CFD" w:rsidRDefault="004E2CFD"/>
  <w:p w14:paraId="55479353" w14:textId="77777777" w:rsidR="004E2CFD" w:rsidRDefault="004E2CFD"/>
  <w:p w14:paraId="35EBC500" w14:textId="77777777" w:rsidR="004E2CFD" w:rsidRDefault="004E2C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A42"/>
    <w:multiLevelType w:val="hybridMultilevel"/>
    <w:tmpl w:val="E6BA26A0"/>
    <w:lvl w:ilvl="0" w:tplc="2A462E34">
      <w:start w:val="1"/>
      <w:numFmt w:val="decimal"/>
      <w:lvlText w:val="(%1)"/>
      <w:lvlJc w:val="left"/>
      <w:pPr>
        <w:ind w:left="644" w:hanging="360"/>
      </w:pPr>
      <w:rPr>
        <w:rFonts w:hint="default"/>
        <w:i/>
        <w:sz w:val="18"/>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151255F"/>
    <w:multiLevelType w:val="hybridMultilevel"/>
    <w:tmpl w:val="E77E60D4"/>
    <w:lvl w:ilvl="0" w:tplc="F302438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6E52C42"/>
    <w:multiLevelType w:val="hybridMultilevel"/>
    <w:tmpl w:val="369691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71A0E8D"/>
    <w:multiLevelType w:val="hybridMultilevel"/>
    <w:tmpl w:val="C3485924"/>
    <w:lvl w:ilvl="0" w:tplc="FB5ED7DC">
      <w:start w:val="1"/>
      <w:numFmt w:val="bullet"/>
      <w:lvlText w:val=""/>
      <w:lvlJc w:val="left"/>
      <w:pPr>
        <w:ind w:left="1004" w:hanging="360"/>
      </w:pPr>
      <w:rPr>
        <w:rFonts w:ascii="Symbol" w:hAnsi="Symbol" w:hint="default"/>
      </w:rPr>
    </w:lvl>
    <w:lvl w:ilvl="1" w:tplc="0C0A0019">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4"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15:restartNumberingAfterBreak="0">
    <w:nsid w:val="14BE03CF"/>
    <w:multiLevelType w:val="hybridMultilevel"/>
    <w:tmpl w:val="14D6DB56"/>
    <w:lvl w:ilvl="0" w:tplc="D8163EA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15AF7DDB"/>
    <w:multiLevelType w:val="hybridMultilevel"/>
    <w:tmpl w:val="B31E2B62"/>
    <w:lvl w:ilvl="0" w:tplc="07A4591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17944E2C"/>
    <w:multiLevelType w:val="hybridMultilevel"/>
    <w:tmpl w:val="9FB204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D7D03FB"/>
    <w:multiLevelType w:val="hybridMultilevel"/>
    <w:tmpl w:val="DF9605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1F4542CA"/>
    <w:multiLevelType w:val="hybridMultilevel"/>
    <w:tmpl w:val="22B6F5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1FFC4427"/>
    <w:multiLevelType w:val="hybridMultilevel"/>
    <w:tmpl w:val="8A02F10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F46449"/>
    <w:multiLevelType w:val="hybridMultilevel"/>
    <w:tmpl w:val="35B25016"/>
    <w:lvl w:ilvl="0" w:tplc="5ECC5584">
      <w:start w:val="1"/>
      <w:numFmt w:val="low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C487E29"/>
    <w:multiLevelType w:val="hybridMultilevel"/>
    <w:tmpl w:val="677203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5313CF"/>
    <w:multiLevelType w:val="hybridMultilevel"/>
    <w:tmpl w:val="76C6EA1A"/>
    <w:lvl w:ilvl="0" w:tplc="A2807A9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335B607A"/>
    <w:multiLevelType w:val="hybridMultilevel"/>
    <w:tmpl w:val="35DECD3C"/>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1164C7"/>
    <w:multiLevelType w:val="hybridMultilevel"/>
    <w:tmpl w:val="F0965294"/>
    <w:lvl w:ilvl="0" w:tplc="0C0A0017">
      <w:start w:val="1"/>
      <w:numFmt w:val="lowerLetter"/>
      <w:lvlText w:val="%1)"/>
      <w:lvlJc w:val="left"/>
      <w:pPr>
        <w:ind w:left="1004" w:hanging="360"/>
      </w:pPr>
      <w:rPr>
        <w:rFonts w:cs="Times New Roman"/>
      </w:rPr>
    </w:lvl>
    <w:lvl w:ilvl="1" w:tplc="0C0A0019">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6" w15:restartNumberingAfterBreak="0">
    <w:nsid w:val="443A2E7B"/>
    <w:multiLevelType w:val="hybridMultilevel"/>
    <w:tmpl w:val="C0AC0F22"/>
    <w:lvl w:ilvl="0" w:tplc="AB8494E0">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7"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480079F6"/>
    <w:multiLevelType w:val="hybridMultilevel"/>
    <w:tmpl w:val="0C464B76"/>
    <w:lvl w:ilvl="0" w:tplc="4C98ECD8">
      <w:start w:val="1"/>
      <w:numFmt w:val="decimal"/>
      <w:lvlText w:val="(%1)"/>
      <w:lvlJc w:val="left"/>
      <w:pPr>
        <w:tabs>
          <w:tab w:val="num" w:pos="885"/>
        </w:tabs>
        <w:ind w:left="885" w:hanging="525"/>
      </w:pPr>
      <w:rPr>
        <w:rFonts w:cs="Times New Roman" w:hint="default"/>
        <w:vertAlign w:val="superscrip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12628E"/>
    <w:multiLevelType w:val="hybridMultilevel"/>
    <w:tmpl w:val="3854420A"/>
    <w:lvl w:ilvl="0" w:tplc="0C0A0017">
      <w:start w:val="1"/>
      <w:numFmt w:val="lowerLetter"/>
      <w:lvlText w:val="%1)"/>
      <w:lvlJc w:val="left"/>
      <w:pPr>
        <w:ind w:left="1004" w:hanging="360"/>
      </w:pPr>
      <w:rPr>
        <w:rFonts w:cs="Times New Roman"/>
      </w:rPr>
    </w:lvl>
    <w:lvl w:ilvl="1" w:tplc="0C0A0001">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0" w15:restartNumberingAfterBreak="0">
    <w:nsid w:val="4B3E5938"/>
    <w:multiLevelType w:val="hybridMultilevel"/>
    <w:tmpl w:val="0ED41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D921AE"/>
    <w:multiLevelType w:val="hybridMultilevel"/>
    <w:tmpl w:val="7116FA58"/>
    <w:lvl w:ilvl="0" w:tplc="0C0A0017">
      <w:start w:val="1"/>
      <w:numFmt w:val="lowerLetter"/>
      <w:lvlText w:val="%1)"/>
      <w:lvlJc w:val="left"/>
      <w:pPr>
        <w:ind w:left="1004" w:hanging="360"/>
      </w:pPr>
      <w:rPr>
        <w:rFonts w:cs="Times New Roman"/>
      </w:rPr>
    </w:lvl>
    <w:lvl w:ilvl="1" w:tplc="FB5ED7DC">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2" w15:restartNumberingAfterBreak="0">
    <w:nsid w:val="55740F03"/>
    <w:multiLevelType w:val="hybridMultilevel"/>
    <w:tmpl w:val="44E09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6985E1E"/>
    <w:multiLevelType w:val="hybridMultilevel"/>
    <w:tmpl w:val="C5D4EA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644B5128"/>
    <w:multiLevelType w:val="singleLevel"/>
    <w:tmpl w:val="F50A19D2"/>
    <w:lvl w:ilvl="0">
      <w:start w:val="46"/>
      <w:numFmt w:val="bullet"/>
      <w:lvlText w:val=""/>
      <w:lvlJc w:val="left"/>
      <w:pPr>
        <w:tabs>
          <w:tab w:val="num" w:pos="786"/>
        </w:tabs>
        <w:ind w:left="256" w:firstLine="170"/>
      </w:pPr>
      <w:rPr>
        <w:rFonts w:ascii="Wingdings" w:hAnsi="Wingdings" w:hint="default"/>
      </w:rPr>
    </w:lvl>
  </w:abstractNum>
  <w:abstractNum w:abstractNumId="25" w15:restartNumberingAfterBreak="0">
    <w:nsid w:val="69C619B9"/>
    <w:multiLevelType w:val="hybridMultilevel"/>
    <w:tmpl w:val="2C7255AE"/>
    <w:lvl w:ilvl="0" w:tplc="F50A19D2">
      <w:start w:val="46"/>
      <w:numFmt w:val="bullet"/>
      <w:lvlText w:val=""/>
      <w:lvlJc w:val="left"/>
      <w:pPr>
        <w:tabs>
          <w:tab w:val="num" w:pos="2232"/>
        </w:tabs>
        <w:ind w:left="1702" w:firstLine="17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7003001F"/>
    <w:multiLevelType w:val="hybridMultilevel"/>
    <w:tmpl w:val="76808282"/>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28" w15:restartNumberingAfterBreak="0">
    <w:nsid w:val="70E30354"/>
    <w:multiLevelType w:val="hybridMultilevel"/>
    <w:tmpl w:val="6226D416"/>
    <w:lvl w:ilvl="0" w:tplc="5B261A90">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29" w15:restartNumberingAfterBreak="0">
    <w:nsid w:val="717A37D5"/>
    <w:multiLevelType w:val="hybridMultilevel"/>
    <w:tmpl w:val="1C58AD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2B1CD7"/>
    <w:multiLevelType w:val="hybridMultilevel"/>
    <w:tmpl w:val="226AC086"/>
    <w:lvl w:ilvl="0" w:tplc="1F94E58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31009EC"/>
    <w:multiLevelType w:val="hybridMultilevel"/>
    <w:tmpl w:val="9BDCCFDE"/>
    <w:lvl w:ilvl="0" w:tplc="0C0A0017">
      <w:start w:val="1"/>
      <w:numFmt w:val="lowerLetter"/>
      <w:lvlText w:val="%1)"/>
      <w:lvlJc w:val="left"/>
      <w:pPr>
        <w:ind w:left="1004" w:hanging="360"/>
      </w:pPr>
      <w:rPr>
        <w:rFonts w:cs="Times New Roman"/>
      </w:rPr>
    </w:lvl>
    <w:lvl w:ilvl="1" w:tplc="07DE3244">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32" w15:restartNumberingAfterBreak="0">
    <w:nsid w:val="74221C53"/>
    <w:multiLevelType w:val="hybridMultilevel"/>
    <w:tmpl w:val="0BAC00C0"/>
    <w:lvl w:ilvl="0" w:tplc="730027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51D222F"/>
    <w:multiLevelType w:val="hybridMultilevel"/>
    <w:tmpl w:val="A7FE360E"/>
    <w:lvl w:ilvl="0" w:tplc="F070AA86">
      <w:start w:val="1"/>
      <w:numFmt w:val="bullet"/>
      <w:lvlText w:val=""/>
      <w:lvlJc w:val="left"/>
      <w:pPr>
        <w:ind w:left="433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6DC2CC0"/>
    <w:multiLevelType w:val="hybridMultilevel"/>
    <w:tmpl w:val="8C10B442"/>
    <w:lvl w:ilvl="0" w:tplc="6DF0EDF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9CF4F8F"/>
    <w:multiLevelType w:val="hybridMultilevel"/>
    <w:tmpl w:val="F21E21D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451364134">
    <w:abstractNumId w:val="36"/>
  </w:num>
  <w:num w:numId="2" w16cid:durableId="821776885">
    <w:abstractNumId w:val="24"/>
  </w:num>
  <w:num w:numId="3" w16cid:durableId="1254361934">
    <w:abstractNumId w:val="4"/>
  </w:num>
  <w:num w:numId="4" w16cid:durableId="1516842691">
    <w:abstractNumId w:val="17"/>
  </w:num>
  <w:num w:numId="5" w16cid:durableId="1915579274">
    <w:abstractNumId w:val="26"/>
  </w:num>
  <w:num w:numId="6" w16cid:durableId="750082975">
    <w:abstractNumId w:val="4"/>
  </w:num>
  <w:num w:numId="7" w16cid:durableId="1129665980">
    <w:abstractNumId w:val="4"/>
  </w:num>
  <w:num w:numId="8" w16cid:durableId="331374826">
    <w:abstractNumId w:val="4"/>
  </w:num>
  <w:num w:numId="9" w16cid:durableId="861751001">
    <w:abstractNumId w:val="18"/>
  </w:num>
  <w:num w:numId="10" w16cid:durableId="746418946">
    <w:abstractNumId w:val="7"/>
  </w:num>
  <w:num w:numId="11" w16cid:durableId="403995462">
    <w:abstractNumId w:val="15"/>
  </w:num>
  <w:num w:numId="12" w16cid:durableId="530076800">
    <w:abstractNumId w:val="27"/>
  </w:num>
  <w:num w:numId="13" w16cid:durableId="441387495">
    <w:abstractNumId w:val="16"/>
  </w:num>
  <w:num w:numId="14" w16cid:durableId="1022786292">
    <w:abstractNumId w:val="34"/>
  </w:num>
  <w:num w:numId="15" w16cid:durableId="111948491">
    <w:abstractNumId w:val="9"/>
  </w:num>
  <w:num w:numId="16" w16cid:durableId="1935244684">
    <w:abstractNumId w:val="2"/>
  </w:num>
  <w:num w:numId="17" w16cid:durableId="445999708">
    <w:abstractNumId w:val="35"/>
  </w:num>
  <w:num w:numId="18" w16cid:durableId="1352758052">
    <w:abstractNumId w:val="1"/>
  </w:num>
  <w:num w:numId="19" w16cid:durableId="2095589684">
    <w:abstractNumId w:val="5"/>
  </w:num>
  <w:num w:numId="20" w16cid:durableId="350761933">
    <w:abstractNumId w:val="32"/>
  </w:num>
  <w:num w:numId="21" w16cid:durableId="1192915054">
    <w:abstractNumId w:val="28"/>
  </w:num>
  <w:num w:numId="22" w16cid:durableId="442651274">
    <w:abstractNumId w:val="6"/>
  </w:num>
  <w:num w:numId="23" w16cid:durableId="369576202">
    <w:abstractNumId w:val="0"/>
  </w:num>
  <w:num w:numId="24" w16cid:durableId="703215724">
    <w:abstractNumId w:val="12"/>
  </w:num>
  <w:num w:numId="25" w16cid:durableId="850073330">
    <w:abstractNumId w:val="30"/>
  </w:num>
  <w:num w:numId="26" w16cid:durableId="181285072">
    <w:abstractNumId w:val="23"/>
  </w:num>
  <w:num w:numId="27" w16cid:durableId="1421021452">
    <w:abstractNumId w:val="8"/>
  </w:num>
  <w:num w:numId="28" w16cid:durableId="1539703986">
    <w:abstractNumId w:val="11"/>
  </w:num>
  <w:num w:numId="29" w16cid:durableId="684793908">
    <w:abstractNumId w:val="33"/>
  </w:num>
  <w:num w:numId="30" w16cid:durableId="1865052696">
    <w:abstractNumId w:val="13"/>
  </w:num>
  <w:num w:numId="31" w16cid:durableId="240914336">
    <w:abstractNumId w:val="22"/>
  </w:num>
  <w:num w:numId="32" w16cid:durableId="1931884376">
    <w:abstractNumId w:val="14"/>
  </w:num>
  <w:num w:numId="33" w16cid:durableId="1709910938">
    <w:abstractNumId w:val="20"/>
  </w:num>
  <w:num w:numId="34" w16cid:durableId="1847670438">
    <w:abstractNumId w:val="29"/>
  </w:num>
  <w:num w:numId="35" w16cid:durableId="50542780">
    <w:abstractNumId w:val="10"/>
  </w:num>
  <w:num w:numId="36" w16cid:durableId="1252350313">
    <w:abstractNumId w:val="4"/>
  </w:num>
  <w:num w:numId="37" w16cid:durableId="70081830">
    <w:abstractNumId w:val="25"/>
  </w:num>
  <w:num w:numId="38" w16cid:durableId="1009719334">
    <w:abstractNumId w:val="19"/>
  </w:num>
  <w:num w:numId="39" w16cid:durableId="1146896168">
    <w:abstractNumId w:val="21"/>
  </w:num>
  <w:num w:numId="40" w16cid:durableId="657265719">
    <w:abstractNumId w:val="3"/>
  </w:num>
  <w:num w:numId="41" w16cid:durableId="12493849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6C"/>
    <w:rsid w:val="000019D8"/>
    <w:rsid w:val="00005CAD"/>
    <w:rsid w:val="00006736"/>
    <w:rsid w:val="00006A97"/>
    <w:rsid w:val="0001123B"/>
    <w:rsid w:val="00012A7F"/>
    <w:rsid w:val="000166FA"/>
    <w:rsid w:val="00017A3A"/>
    <w:rsid w:val="00023DC6"/>
    <w:rsid w:val="000259CF"/>
    <w:rsid w:val="0003647B"/>
    <w:rsid w:val="00036E42"/>
    <w:rsid w:val="0004373B"/>
    <w:rsid w:val="000448FA"/>
    <w:rsid w:val="00051F60"/>
    <w:rsid w:val="00053A42"/>
    <w:rsid w:val="0005517D"/>
    <w:rsid w:val="000565BE"/>
    <w:rsid w:val="00060273"/>
    <w:rsid w:val="0006133D"/>
    <w:rsid w:val="00063585"/>
    <w:rsid w:val="00071CD0"/>
    <w:rsid w:val="00075677"/>
    <w:rsid w:val="00075692"/>
    <w:rsid w:val="000823A0"/>
    <w:rsid w:val="00082610"/>
    <w:rsid w:val="00087B0A"/>
    <w:rsid w:val="00087B8D"/>
    <w:rsid w:val="00093D67"/>
    <w:rsid w:val="00093E60"/>
    <w:rsid w:val="00095E01"/>
    <w:rsid w:val="00097599"/>
    <w:rsid w:val="00097F99"/>
    <w:rsid w:val="000A18B7"/>
    <w:rsid w:val="000A2C1E"/>
    <w:rsid w:val="000A4697"/>
    <w:rsid w:val="000B268D"/>
    <w:rsid w:val="000B2728"/>
    <w:rsid w:val="000B3943"/>
    <w:rsid w:val="000B4477"/>
    <w:rsid w:val="000C0704"/>
    <w:rsid w:val="000C1BEA"/>
    <w:rsid w:val="000C2B07"/>
    <w:rsid w:val="000C39CC"/>
    <w:rsid w:val="000C7566"/>
    <w:rsid w:val="000D188E"/>
    <w:rsid w:val="000D5335"/>
    <w:rsid w:val="000D6A40"/>
    <w:rsid w:val="000D6E0F"/>
    <w:rsid w:val="000D7B42"/>
    <w:rsid w:val="000E7B86"/>
    <w:rsid w:val="000E7BBF"/>
    <w:rsid w:val="000F2B66"/>
    <w:rsid w:val="000F3D83"/>
    <w:rsid w:val="000F44C5"/>
    <w:rsid w:val="001004C5"/>
    <w:rsid w:val="00100F12"/>
    <w:rsid w:val="00101E58"/>
    <w:rsid w:val="00103589"/>
    <w:rsid w:val="00103FBD"/>
    <w:rsid w:val="00104149"/>
    <w:rsid w:val="001045C9"/>
    <w:rsid w:val="00107CC1"/>
    <w:rsid w:val="00111A92"/>
    <w:rsid w:val="001145C3"/>
    <w:rsid w:val="001145D9"/>
    <w:rsid w:val="001161D2"/>
    <w:rsid w:val="00130853"/>
    <w:rsid w:val="00131DF1"/>
    <w:rsid w:val="00132C38"/>
    <w:rsid w:val="00133182"/>
    <w:rsid w:val="00133984"/>
    <w:rsid w:val="00135208"/>
    <w:rsid w:val="001365C4"/>
    <w:rsid w:val="00136925"/>
    <w:rsid w:val="001374CC"/>
    <w:rsid w:val="0014147D"/>
    <w:rsid w:val="00141D29"/>
    <w:rsid w:val="0014506A"/>
    <w:rsid w:val="0014728F"/>
    <w:rsid w:val="0014737C"/>
    <w:rsid w:val="001521A2"/>
    <w:rsid w:val="00152358"/>
    <w:rsid w:val="00153ACF"/>
    <w:rsid w:val="00155BFF"/>
    <w:rsid w:val="00157BF1"/>
    <w:rsid w:val="00160F66"/>
    <w:rsid w:val="001633AF"/>
    <w:rsid w:val="0016527F"/>
    <w:rsid w:val="00166A6C"/>
    <w:rsid w:val="001728D0"/>
    <w:rsid w:val="00173672"/>
    <w:rsid w:val="00173EDD"/>
    <w:rsid w:val="0017402B"/>
    <w:rsid w:val="00176B58"/>
    <w:rsid w:val="00181012"/>
    <w:rsid w:val="00181D37"/>
    <w:rsid w:val="001835B7"/>
    <w:rsid w:val="0018426B"/>
    <w:rsid w:val="00185A37"/>
    <w:rsid w:val="001867C2"/>
    <w:rsid w:val="00187519"/>
    <w:rsid w:val="00193D8B"/>
    <w:rsid w:val="00194309"/>
    <w:rsid w:val="00194F51"/>
    <w:rsid w:val="0019660E"/>
    <w:rsid w:val="001A2B89"/>
    <w:rsid w:val="001A3BA2"/>
    <w:rsid w:val="001A5A4B"/>
    <w:rsid w:val="001B093A"/>
    <w:rsid w:val="001B2567"/>
    <w:rsid w:val="001B39E2"/>
    <w:rsid w:val="001C2B26"/>
    <w:rsid w:val="001C3A32"/>
    <w:rsid w:val="001C793D"/>
    <w:rsid w:val="001D3F8C"/>
    <w:rsid w:val="001D4DC4"/>
    <w:rsid w:val="001D4F09"/>
    <w:rsid w:val="001D7DFD"/>
    <w:rsid w:val="001F0F4C"/>
    <w:rsid w:val="001F1482"/>
    <w:rsid w:val="001F20D7"/>
    <w:rsid w:val="001F3DCD"/>
    <w:rsid w:val="001F7744"/>
    <w:rsid w:val="002014EB"/>
    <w:rsid w:val="00202B1A"/>
    <w:rsid w:val="002034EE"/>
    <w:rsid w:val="00204979"/>
    <w:rsid w:val="00205AC4"/>
    <w:rsid w:val="00211D69"/>
    <w:rsid w:val="0021232E"/>
    <w:rsid w:val="002179DB"/>
    <w:rsid w:val="00220A51"/>
    <w:rsid w:val="00227E48"/>
    <w:rsid w:val="00230577"/>
    <w:rsid w:val="0023159D"/>
    <w:rsid w:val="0023209D"/>
    <w:rsid w:val="002333F8"/>
    <w:rsid w:val="00233D79"/>
    <w:rsid w:val="0023469F"/>
    <w:rsid w:val="002369E5"/>
    <w:rsid w:val="00236D9A"/>
    <w:rsid w:val="00237657"/>
    <w:rsid w:val="00242BA7"/>
    <w:rsid w:val="002437B5"/>
    <w:rsid w:val="002442C1"/>
    <w:rsid w:val="00244EF1"/>
    <w:rsid w:val="00246F21"/>
    <w:rsid w:val="00253E78"/>
    <w:rsid w:val="002563B1"/>
    <w:rsid w:val="0026295B"/>
    <w:rsid w:val="00262C3C"/>
    <w:rsid w:val="00264C88"/>
    <w:rsid w:val="0026532C"/>
    <w:rsid w:val="0026575D"/>
    <w:rsid w:val="00265EF6"/>
    <w:rsid w:val="002705B0"/>
    <w:rsid w:val="002717A6"/>
    <w:rsid w:val="00271C18"/>
    <w:rsid w:val="00272015"/>
    <w:rsid w:val="00273C10"/>
    <w:rsid w:val="00274B4C"/>
    <w:rsid w:val="00276264"/>
    <w:rsid w:val="00281DCA"/>
    <w:rsid w:val="002821B9"/>
    <w:rsid w:val="002827A0"/>
    <w:rsid w:val="00291051"/>
    <w:rsid w:val="0029777F"/>
    <w:rsid w:val="00297B04"/>
    <w:rsid w:val="00297E99"/>
    <w:rsid w:val="002A056C"/>
    <w:rsid w:val="002A2B5E"/>
    <w:rsid w:val="002A66A5"/>
    <w:rsid w:val="002A6EBB"/>
    <w:rsid w:val="002B21E9"/>
    <w:rsid w:val="002B2783"/>
    <w:rsid w:val="002B2B87"/>
    <w:rsid w:val="002B4E0F"/>
    <w:rsid w:val="002B5258"/>
    <w:rsid w:val="002B5754"/>
    <w:rsid w:val="002C2086"/>
    <w:rsid w:val="002C7026"/>
    <w:rsid w:val="002C7E08"/>
    <w:rsid w:val="002D089F"/>
    <w:rsid w:val="002D1390"/>
    <w:rsid w:val="002D49BE"/>
    <w:rsid w:val="002D5635"/>
    <w:rsid w:val="002D65E8"/>
    <w:rsid w:val="002D7D32"/>
    <w:rsid w:val="002E02E5"/>
    <w:rsid w:val="002E0478"/>
    <w:rsid w:val="002E0791"/>
    <w:rsid w:val="002E09C1"/>
    <w:rsid w:val="002E192B"/>
    <w:rsid w:val="002E1B92"/>
    <w:rsid w:val="002E43F6"/>
    <w:rsid w:val="002E5D2D"/>
    <w:rsid w:val="002E7B81"/>
    <w:rsid w:val="002F09FB"/>
    <w:rsid w:val="002F0FE3"/>
    <w:rsid w:val="002F16EC"/>
    <w:rsid w:val="002F17A2"/>
    <w:rsid w:val="002F1AF0"/>
    <w:rsid w:val="002F2530"/>
    <w:rsid w:val="002F272A"/>
    <w:rsid w:val="002F2A93"/>
    <w:rsid w:val="002F3225"/>
    <w:rsid w:val="002F53B4"/>
    <w:rsid w:val="002F76D6"/>
    <w:rsid w:val="002F7A3B"/>
    <w:rsid w:val="003000CA"/>
    <w:rsid w:val="00302151"/>
    <w:rsid w:val="00303506"/>
    <w:rsid w:val="003067C1"/>
    <w:rsid w:val="00307057"/>
    <w:rsid w:val="003118C4"/>
    <w:rsid w:val="00312819"/>
    <w:rsid w:val="00312E9C"/>
    <w:rsid w:val="00313875"/>
    <w:rsid w:val="003203BF"/>
    <w:rsid w:val="0032128C"/>
    <w:rsid w:val="00321369"/>
    <w:rsid w:val="00323118"/>
    <w:rsid w:val="00330787"/>
    <w:rsid w:val="00330E2B"/>
    <w:rsid w:val="00337493"/>
    <w:rsid w:val="0034285F"/>
    <w:rsid w:val="00345C6C"/>
    <w:rsid w:val="003464A4"/>
    <w:rsid w:val="00351684"/>
    <w:rsid w:val="00354458"/>
    <w:rsid w:val="00363653"/>
    <w:rsid w:val="0036509D"/>
    <w:rsid w:val="0037228C"/>
    <w:rsid w:val="00372E85"/>
    <w:rsid w:val="003738FD"/>
    <w:rsid w:val="00376B43"/>
    <w:rsid w:val="00377C40"/>
    <w:rsid w:val="00377DEA"/>
    <w:rsid w:val="003810BE"/>
    <w:rsid w:val="00386F6C"/>
    <w:rsid w:val="00387709"/>
    <w:rsid w:val="00387794"/>
    <w:rsid w:val="00397162"/>
    <w:rsid w:val="003A0421"/>
    <w:rsid w:val="003A335E"/>
    <w:rsid w:val="003A3DD2"/>
    <w:rsid w:val="003B2F9F"/>
    <w:rsid w:val="003B3573"/>
    <w:rsid w:val="003B5813"/>
    <w:rsid w:val="003C03EA"/>
    <w:rsid w:val="003C17BD"/>
    <w:rsid w:val="003C196B"/>
    <w:rsid w:val="003C6E1D"/>
    <w:rsid w:val="003D058C"/>
    <w:rsid w:val="003D1445"/>
    <w:rsid w:val="003D318C"/>
    <w:rsid w:val="003D76B1"/>
    <w:rsid w:val="003E17A6"/>
    <w:rsid w:val="003E4AA5"/>
    <w:rsid w:val="003F1CEC"/>
    <w:rsid w:val="003F43BF"/>
    <w:rsid w:val="003F6432"/>
    <w:rsid w:val="003F6BE4"/>
    <w:rsid w:val="00400FFE"/>
    <w:rsid w:val="00403CF8"/>
    <w:rsid w:val="00403EFD"/>
    <w:rsid w:val="00407459"/>
    <w:rsid w:val="0041121B"/>
    <w:rsid w:val="00414D01"/>
    <w:rsid w:val="004170FE"/>
    <w:rsid w:val="0041740E"/>
    <w:rsid w:val="004209E6"/>
    <w:rsid w:val="0042324B"/>
    <w:rsid w:val="004234E8"/>
    <w:rsid w:val="004248BF"/>
    <w:rsid w:val="00425AFD"/>
    <w:rsid w:val="00426805"/>
    <w:rsid w:val="00430150"/>
    <w:rsid w:val="004302F9"/>
    <w:rsid w:val="0043229B"/>
    <w:rsid w:val="00435287"/>
    <w:rsid w:val="004367EF"/>
    <w:rsid w:val="00440397"/>
    <w:rsid w:val="00440A22"/>
    <w:rsid w:val="00442CCA"/>
    <w:rsid w:val="0045550E"/>
    <w:rsid w:val="00456456"/>
    <w:rsid w:val="00460B29"/>
    <w:rsid w:val="00461FE8"/>
    <w:rsid w:val="00462367"/>
    <w:rsid w:val="0046490C"/>
    <w:rsid w:val="00464D81"/>
    <w:rsid w:val="00470287"/>
    <w:rsid w:val="00470733"/>
    <w:rsid w:val="00471802"/>
    <w:rsid w:val="00474131"/>
    <w:rsid w:val="00475573"/>
    <w:rsid w:val="00477C53"/>
    <w:rsid w:val="0048192A"/>
    <w:rsid w:val="00485380"/>
    <w:rsid w:val="00487743"/>
    <w:rsid w:val="004937B1"/>
    <w:rsid w:val="00493D87"/>
    <w:rsid w:val="004950D4"/>
    <w:rsid w:val="004954EA"/>
    <w:rsid w:val="004A0506"/>
    <w:rsid w:val="004A12BD"/>
    <w:rsid w:val="004A2342"/>
    <w:rsid w:val="004A2F62"/>
    <w:rsid w:val="004B044B"/>
    <w:rsid w:val="004B1DB8"/>
    <w:rsid w:val="004B1F4E"/>
    <w:rsid w:val="004B2F01"/>
    <w:rsid w:val="004B35F2"/>
    <w:rsid w:val="004B4182"/>
    <w:rsid w:val="004B4538"/>
    <w:rsid w:val="004B6FB6"/>
    <w:rsid w:val="004B701D"/>
    <w:rsid w:val="004C3423"/>
    <w:rsid w:val="004C571D"/>
    <w:rsid w:val="004C5885"/>
    <w:rsid w:val="004C741A"/>
    <w:rsid w:val="004D0115"/>
    <w:rsid w:val="004D0737"/>
    <w:rsid w:val="004D3571"/>
    <w:rsid w:val="004D35A2"/>
    <w:rsid w:val="004D5FD1"/>
    <w:rsid w:val="004D7828"/>
    <w:rsid w:val="004E2CFD"/>
    <w:rsid w:val="004F62BB"/>
    <w:rsid w:val="004F7C93"/>
    <w:rsid w:val="0050238B"/>
    <w:rsid w:val="00506105"/>
    <w:rsid w:val="00513162"/>
    <w:rsid w:val="00514E3E"/>
    <w:rsid w:val="00525809"/>
    <w:rsid w:val="00534BA4"/>
    <w:rsid w:val="00535130"/>
    <w:rsid w:val="00537302"/>
    <w:rsid w:val="00543D5A"/>
    <w:rsid w:val="00545944"/>
    <w:rsid w:val="00555509"/>
    <w:rsid w:val="00557276"/>
    <w:rsid w:val="00561C5B"/>
    <w:rsid w:val="005636E0"/>
    <w:rsid w:val="00564F2D"/>
    <w:rsid w:val="00565DBB"/>
    <w:rsid w:val="00566CDA"/>
    <w:rsid w:val="0056727E"/>
    <w:rsid w:val="00567BA6"/>
    <w:rsid w:val="00570033"/>
    <w:rsid w:val="00570147"/>
    <w:rsid w:val="0057307E"/>
    <w:rsid w:val="00573A4C"/>
    <w:rsid w:val="00574B79"/>
    <w:rsid w:val="00574D12"/>
    <w:rsid w:val="00576A54"/>
    <w:rsid w:val="005800B4"/>
    <w:rsid w:val="0058070B"/>
    <w:rsid w:val="0058296F"/>
    <w:rsid w:val="005848BA"/>
    <w:rsid w:val="00586731"/>
    <w:rsid w:val="00593AAE"/>
    <w:rsid w:val="00593E0D"/>
    <w:rsid w:val="00595E80"/>
    <w:rsid w:val="0059650E"/>
    <w:rsid w:val="00596953"/>
    <w:rsid w:val="005A0D09"/>
    <w:rsid w:val="005A5CD0"/>
    <w:rsid w:val="005A6030"/>
    <w:rsid w:val="005A7D1C"/>
    <w:rsid w:val="005B57AD"/>
    <w:rsid w:val="005B722E"/>
    <w:rsid w:val="005C02FE"/>
    <w:rsid w:val="005C2EEF"/>
    <w:rsid w:val="005C31B6"/>
    <w:rsid w:val="005C50AC"/>
    <w:rsid w:val="005C6406"/>
    <w:rsid w:val="005C70E8"/>
    <w:rsid w:val="005D0F2E"/>
    <w:rsid w:val="005D69D1"/>
    <w:rsid w:val="005E210D"/>
    <w:rsid w:val="005F2425"/>
    <w:rsid w:val="005F5EC7"/>
    <w:rsid w:val="005F7207"/>
    <w:rsid w:val="005F7FCF"/>
    <w:rsid w:val="00603A53"/>
    <w:rsid w:val="00607691"/>
    <w:rsid w:val="0061062C"/>
    <w:rsid w:val="00613183"/>
    <w:rsid w:val="006133F0"/>
    <w:rsid w:val="00616888"/>
    <w:rsid w:val="006176BE"/>
    <w:rsid w:val="00617780"/>
    <w:rsid w:val="006202F5"/>
    <w:rsid w:val="00621298"/>
    <w:rsid w:val="006212CB"/>
    <w:rsid w:val="006279F9"/>
    <w:rsid w:val="006369EE"/>
    <w:rsid w:val="00640A31"/>
    <w:rsid w:val="00642D26"/>
    <w:rsid w:val="00643720"/>
    <w:rsid w:val="0064700E"/>
    <w:rsid w:val="00650183"/>
    <w:rsid w:val="00650677"/>
    <w:rsid w:val="006556FD"/>
    <w:rsid w:val="00657B5B"/>
    <w:rsid w:val="00657BCD"/>
    <w:rsid w:val="00663402"/>
    <w:rsid w:val="00671006"/>
    <w:rsid w:val="006736A9"/>
    <w:rsid w:val="00673BC7"/>
    <w:rsid w:val="00674975"/>
    <w:rsid w:val="00675D39"/>
    <w:rsid w:val="006761BC"/>
    <w:rsid w:val="00681E7B"/>
    <w:rsid w:val="00683931"/>
    <w:rsid w:val="0068560B"/>
    <w:rsid w:val="006A1277"/>
    <w:rsid w:val="006A185D"/>
    <w:rsid w:val="006A2602"/>
    <w:rsid w:val="006A2D41"/>
    <w:rsid w:val="006A63EC"/>
    <w:rsid w:val="006A67E1"/>
    <w:rsid w:val="006B1D1B"/>
    <w:rsid w:val="006B372D"/>
    <w:rsid w:val="006C36FB"/>
    <w:rsid w:val="006C7D62"/>
    <w:rsid w:val="006D0B23"/>
    <w:rsid w:val="006D2ED6"/>
    <w:rsid w:val="006D3802"/>
    <w:rsid w:val="006D5685"/>
    <w:rsid w:val="006D5F52"/>
    <w:rsid w:val="006D762B"/>
    <w:rsid w:val="006E1987"/>
    <w:rsid w:val="006E23B2"/>
    <w:rsid w:val="006E5207"/>
    <w:rsid w:val="006F231C"/>
    <w:rsid w:val="006F4AD5"/>
    <w:rsid w:val="006F5C70"/>
    <w:rsid w:val="006F5F14"/>
    <w:rsid w:val="006F6A20"/>
    <w:rsid w:val="007047B2"/>
    <w:rsid w:val="00704DE7"/>
    <w:rsid w:val="00706868"/>
    <w:rsid w:val="00706B38"/>
    <w:rsid w:val="007078B8"/>
    <w:rsid w:val="00715E32"/>
    <w:rsid w:val="007162D1"/>
    <w:rsid w:val="00716463"/>
    <w:rsid w:val="0071706E"/>
    <w:rsid w:val="007212FE"/>
    <w:rsid w:val="007221C6"/>
    <w:rsid w:val="00727292"/>
    <w:rsid w:val="0073427D"/>
    <w:rsid w:val="00740876"/>
    <w:rsid w:val="00742F6A"/>
    <w:rsid w:val="007446E8"/>
    <w:rsid w:val="00751553"/>
    <w:rsid w:val="0075165E"/>
    <w:rsid w:val="00751965"/>
    <w:rsid w:val="00754E10"/>
    <w:rsid w:val="007618A7"/>
    <w:rsid w:val="00762A29"/>
    <w:rsid w:val="0076327D"/>
    <w:rsid w:val="00767745"/>
    <w:rsid w:val="007707FC"/>
    <w:rsid w:val="00770BE3"/>
    <w:rsid w:val="0077177A"/>
    <w:rsid w:val="007728A8"/>
    <w:rsid w:val="00775B81"/>
    <w:rsid w:val="007825F1"/>
    <w:rsid w:val="00784CBA"/>
    <w:rsid w:val="00785A76"/>
    <w:rsid w:val="00785D01"/>
    <w:rsid w:val="00787852"/>
    <w:rsid w:val="007915BC"/>
    <w:rsid w:val="00793D68"/>
    <w:rsid w:val="007967FA"/>
    <w:rsid w:val="00796A87"/>
    <w:rsid w:val="00797E7A"/>
    <w:rsid w:val="007A0EA6"/>
    <w:rsid w:val="007A1EC0"/>
    <w:rsid w:val="007A2D9E"/>
    <w:rsid w:val="007A3C1B"/>
    <w:rsid w:val="007A56E6"/>
    <w:rsid w:val="007A6732"/>
    <w:rsid w:val="007B0381"/>
    <w:rsid w:val="007B0F3D"/>
    <w:rsid w:val="007B148D"/>
    <w:rsid w:val="007B18C8"/>
    <w:rsid w:val="007B28DE"/>
    <w:rsid w:val="007B465C"/>
    <w:rsid w:val="007B6C60"/>
    <w:rsid w:val="007B7A5F"/>
    <w:rsid w:val="007C36BE"/>
    <w:rsid w:val="007D0032"/>
    <w:rsid w:val="007D0B27"/>
    <w:rsid w:val="007D53ED"/>
    <w:rsid w:val="007D6001"/>
    <w:rsid w:val="007D68B8"/>
    <w:rsid w:val="007D7F94"/>
    <w:rsid w:val="007E1B76"/>
    <w:rsid w:val="007E219A"/>
    <w:rsid w:val="007E37BF"/>
    <w:rsid w:val="007E6593"/>
    <w:rsid w:val="007F06ED"/>
    <w:rsid w:val="007F1101"/>
    <w:rsid w:val="007F2CB1"/>
    <w:rsid w:val="007F48E9"/>
    <w:rsid w:val="007F5879"/>
    <w:rsid w:val="00803D20"/>
    <w:rsid w:val="00803F9A"/>
    <w:rsid w:val="008112A0"/>
    <w:rsid w:val="0081696D"/>
    <w:rsid w:val="00816E01"/>
    <w:rsid w:val="008173D0"/>
    <w:rsid w:val="00822A40"/>
    <w:rsid w:val="00823235"/>
    <w:rsid w:val="008249F1"/>
    <w:rsid w:val="00824AF2"/>
    <w:rsid w:val="00826686"/>
    <w:rsid w:val="00832BCD"/>
    <w:rsid w:val="00835563"/>
    <w:rsid w:val="00836511"/>
    <w:rsid w:val="00836B02"/>
    <w:rsid w:val="00836EC6"/>
    <w:rsid w:val="0083741E"/>
    <w:rsid w:val="00837985"/>
    <w:rsid w:val="00840E3D"/>
    <w:rsid w:val="00841C2E"/>
    <w:rsid w:val="00841D8C"/>
    <w:rsid w:val="00842220"/>
    <w:rsid w:val="008433A0"/>
    <w:rsid w:val="00844111"/>
    <w:rsid w:val="00844F74"/>
    <w:rsid w:val="0084582D"/>
    <w:rsid w:val="00846382"/>
    <w:rsid w:val="00846D14"/>
    <w:rsid w:val="00850F57"/>
    <w:rsid w:val="008536C2"/>
    <w:rsid w:val="0085536E"/>
    <w:rsid w:val="008600C7"/>
    <w:rsid w:val="008617D0"/>
    <w:rsid w:val="00861A60"/>
    <w:rsid w:val="00862357"/>
    <w:rsid w:val="00862D02"/>
    <w:rsid w:val="008633BF"/>
    <w:rsid w:val="008637B9"/>
    <w:rsid w:val="00864194"/>
    <w:rsid w:val="00870399"/>
    <w:rsid w:val="008711EC"/>
    <w:rsid w:val="008718FE"/>
    <w:rsid w:val="00872946"/>
    <w:rsid w:val="00883928"/>
    <w:rsid w:val="00883DDE"/>
    <w:rsid w:val="00887977"/>
    <w:rsid w:val="00891D73"/>
    <w:rsid w:val="00892A44"/>
    <w:rsid w:val="00893FBF"/>
    <w:rsid w:val="008974DA"/>
    <w:rsid w:val="008A2DE8"/>
    <w:rsid w:val="008A312D"/>
    <w:rsid w:val="008A3E09"/>
    <w:rsid w:val="008A3E57"/>
    <w:rsid w:val="008A77A7"/>
    <w:rsid w:val="008B3F34"/>
    <w:rsid w:val="008B5AD0"/>
    <w:rsid w:val="008B6411"/>
    <w:rsid w:val="008C027D"/>
    <w:rsid w:val="008C56B9"/>
    <w:rsid w:val="008C7339"/>
    <w:rsid w:val="008D05E0"/>
    <w:rsid w:val="008D2600"/>
    <w:rsid w:val="008E0AC0"/>
    <w:rsid w:val="008E215C"/>
    <w:rsid w:val="008E221A"/>
    <w:rsid w:val="008E3FFE"/>
    <w:rsid w:val="008E42D7"/>
    <w:rsid w:val="008E43F9"/>
    <w:rsid w:val="008E4AB0"/>
    <w:rsid w:val="008E518B"/>
    <w:rsid w:val="008E60BE"/>
    <w:rsid w:val="008E6423"/>
    <w:rsid w:val="008E6B74"/>
    <w:rsid w:val="008F0FAF"/>
    <w:rsid w:val="008F46CD"/>
    <w:rsid w:val="008F6480"/>
    <w:rsid w:val="008F7740"/>
    <w:rsid w:val="008F7ECB"/>
    <w:rsid w:val="00900CA2"/>
    <w:rsid w:val="00903653"/>
    <w:rsid w:val="009047EC"/>
    <w:rsid w:val="0090665E"/>
    <w:rsid w:val="00910A52"/>
    <w:rsid w:val="00911479"/>
    <w:rsid w:val="009119CB"/>
    <w:rsid w:val="0091484D"/>
    <w:rsid w:val="00921E56"/>
    <w:rsid w:val="0092576D"/>
    <w:rsid w:val="00925E71"/>
    <w:rsid w:val="0093329F"/>
    <w:rsid w:val="00933A7F"/>
    <w:rsid w:val="00937043"/>
    <w:rsid w:val="0094017F"/>
    <w:rsid w:val="009445D3"/>
    <w:rsid w:val="00945FB9"/>
    <w:rsid w:val="00955A8A"/>
    <w:rsid w:val="0096400D"/>
    <w:rsid w:val="009641E2"/>
    <w:rsid w:val="00966600"/>
    <w:rsid w:val="009671D9"/>
    <w:rsid w:val="00971352"/>
    <w:rsid w:val="00974F8A"/>
    <w:rsid w:val="00975E5B"/>
    <w:rsid w:val="00977C8F"/>
    <w:rsid w:val="00977F94"/>
    <w:rsid w:val="009803E4"/>
    <w:rsid w:val="009818CE"/>
    <w:rsid w:val="00982B6E"/>
    <w:rsid w:val="00983CA6"/>
    <w:rsid w:val="009863E9"/>
    <w:rsid w:val="00986B66"/>
    <w:rsid w:val="00990189"/>
    <w:rsid w:val="00992E20"/>
    <w:rsid w:val="009936FC"/>
    <w:rsid w:val="00993925"/>
    <w:rsid w:val="00993977"/>
    <w:rsid w:val="009956B1"/>
    <w:rsid w:val="009A05D1"/>
    <w:rsid w:val="009A28AC"/>
    <w:rsid w:val="009A3A5B"/>
    <w:rsid w:val="009A3F2A"/>
    <w:rsid w:val="009A5BDA"/>
    <w:rsid w:val="009B2AAC"/>
    <w:rsid w:val="009B3521"/>
    <w:rsid w:val="009B541C"/>
    <w:rsid w:val="009B6237"/>
    <w:rsid w:val="009C4460"/>
    <w:rsid w:val="009D46C5"/>
    <w:rsid w:val="009D7192"/>
    <w:rsid w:val="009E0E38"/>
    <w:rsid w:val="009E1A35"/>
    <w:rsid w:val="009E536C"/>
    <w:rsid w:val="009F09AA"/>
    <w:rsid w:val="009F0AA8"/>
    <w:rsid w:val="009F0B89"/>
    <w:rsid w:val="009F2C16"/>
    <w:rsid w:val="009F2C1B"/>
    <w:rsid w:val="009F335C"/>
    <w:rsid w:val="009F35A7"/>
    <w:rsid w:val="009F50C6"/>
    <w:rsid w:val="009F6861"/>
    <w:rsid w:val="00A002B5"/>
    <w:rsid w:val="00A0260C"/>
    <w:rsid w:val="00A02FED"/>
    <w:rsid w:val="00A041B5"/>
    <w:rsid w:val="00A04F8C"/>
    <w:rsid w:val="00A05158"/>
    <w:rsid w:val="00A11DAD"/>
    <w:rsid w:val="00A13BF5"/>
    <w:rsid w:val="00A14837"/>
    <w:rsid w:val="00A16FC4"/>
    <w:rsid w:val="00A225E3"/>
    <w:rsid w:val="00A23A26"/>
    <w:rsid w:val="00A24A8F"/>
    <w:rsid w:val="00A25708"/>
    <w:rsid w:val="00A25BF0"/>
    <w:rsid w:val="00A3026E"/>
    <w:rsid w:val="00A3668A"/>
    <w:rsid w:val="00A41B74"/>
    <w:rsid w:val="00A422A6"/>
    <w:rsid w:val="00A42B4F"/>
    <w:rsid w:val="00A45614"/>
    <w:rsid w:val="00A4576A"/>
    <w:rsid w:val="00A45AD0"/>
    <w:rsid w:val="00A45EE9"/>
    <w:rsid w:val="00A53C14"/>
    <w:rsid w:val="00A54C63"/>
    <w:rsid w:val="00A61410"/>
    <w:rsid w:val="00A6198A"/>
    <w:rsid w:val="00A65108"/>
    <w:rsid w:val="00A7067F"/>
    <w:rsid w:val="00A707A7"/>
    <w:rsid w:val="00A718FD"/>
    <w:rsid w:val="00A72341"/>
    <w:rsid w:val="00A776ED"/>
    <w:rsid w:val="00A80E50"/>
    <w:rsid w:val="00A8137F"/>
    <w:rsid w:val="00A81996"/>
    <w:rsid w:val="00A83663"/>
    <w:rsid w:val="00A83B0F"/>
    <w:rsid w:val="00A84216"/>
    <w:rsid w:val="00A87EED"/>
    <w:rsid w:val="00A90BFA"/>
    <w:rsid w:val="00A92BF3"/>
    <w:rsid w:val="00A943C8"/>
    <w:rsid w:val="00A950A4"/>
    <w:rsid w:val="00A9520D"/>
    <w:rsid w:val="00A9747D"/>
    <w:rsid w:val="00AA00A6"/>
    <w:rsid w:val="00AA07E3"/>
    <w:rsid w:val="00AA5343"/>
    <w:rsid w:val="00AA6BA8"/>
    <w:rsid w:val="00AA7F5A"/>
    <w:rsid w:val="00AB2340"/>
    <w:rsid w:val="00AB3E84"/>
    <w:rsid w:val="00AB588F"/>
    <w:rsid w:val="00AB5FE4"/>
    <w:rsid w:val="00AB659D"/>
    <w:rsid w:val="00AB734D"/>
    <w:rsid w:val="00AC06A5"/>
    <w:rsid w:val="00AC229F"/>
    <w:rsid w:val="00AD7671"/>
    <w:rsid w:val="00AE0E5C"/>
    <w:rsid w:val="00AE13D4"/>
    <w:rsid w:val="00AE3333"/>
    <w:rsid w:val="00AE354A"/>
    <w:rsid w:val="00AE53E8"/>
    <w:rsid w:val="00AE6FE4"/>
    <w:rsid w:val="00AF04B7"/>
    <w:rsid w:val="00AF2059"/>
    <w:rsid w:val="00AF3D84"/>
    <w:rsid w:val="00AF4161"/>
    <w:rsid w:val="00AF43A9"/>
    <w:rsid w:val="00AF580B"/>
    <w:rsid w:val="00B007C8"/>
    <w:rsid w:val="00B01A5E"/>
    <w:rsid w:val="00B034AC"/>
    <w:rsid w:val="00B072D2"/>
    <w:rsid w:val="00B11B1E"/>
    <w:rsid w:val="00B14410"/>
    <w:rsid w:val="00B15291"/>
    <w:rsid w:val="00B15E61"/>
    <w:rsid w:val="00B166A5"/>
    <w:rsid w:val="00B1765B"/>
    <w:rsid w:val="00B22F8D"/>
    <w:rsid w:val="00B246D6"/>
    <w:rsid w:val="00B24F35"/>
    <w:rsid w:val="00B25349"/>
    <w:rsid w:val="00B30E7B"/>
    <w:rsid w:val="00B32C88"/>
    <w:rsid w:val="00B34747"/>
    <w:rsid w:val="00B4144B"/>
    <w:rsid w:val="00B42E49"/>
    <w:rsid w:val="00B43F2E"/>
    <w:rsid w:val="00B50903"/>
    <w:rsid w:val="00B51B98"/>
    <w:rsid w:val="00B547BB"/>
    <w:rsid w:val="00B62FFE"/>
    <w:rsid w:val="00B64D34"/>
    <w:rsid w:val="00B65013"/>
    <w:rsid w:val="00B710EA"/>
    <w:rsid w:val="00B7123A"/>
    <w:rsid w:val="00B714B7"/>
    <w:rsid w:val="00B72304"/>
    <w:rsid w:val="00B7435C"/>
    <w:rsid w:val="00B763E1"/>
    <w:rsid w:val="00B76F38"/>
    <w:rsid w:val="00B772FA"/>
    <w:rsid w:val="00B77FE7"/>
    <w:rsid w:val="00B8085D"/>
    <w:rsid w:val="00B81EFF"/>
    <w:rsid w:val="00B82588"/>
    <w:rsid w:val="00B836BB"/>
    <w:rsid w:val="00B83A58"/>
    <w:rsid w:val="00B84122"/>
    <w:rsid w:val="00B862B0"/>
    <w:rsid w:val="00B87177"/>
    <w:rsid w:val="00B9454E"/>
    <w:rsid w:val="00B95F8E"/>
    <w:rsid w:val="00BA2B7C"/>
    <w:rsid w:val="00BA63E6"/>
    <w:rsid w:val="00BB142A"/>
    <w:rsid w:val="00BB34B9"/>
    <w:rsid w:val="00BB35C2"/>
    <w:rsid w:val="00BB553B"/>
    <w:rsid w:val="00BC201A"/>
    <w:rsid w:val="00BC28D7"/>
    <w:rsid w:val="00BC2D0B"/>
    <w:rsid w:val="00BC376C"/>
    <w:rsid w:val="00BC5897"/>
    <w:rsid w:val="00BC6321"/>
    <w:rsid w:val="00BC7817"/>
    <w:rsid w:val="00BD3819"/>
    <w:rsid w:val="00BD4BFD"/>
    <w:rsid w:val="00BD642D"/>
    <w:rsid w:val="00BD6988"/>
    <w:rsid w:val="00BE1A77"/>
    <w:rsid w:val="00BE4742"/>
    <w:rsid w:val="00BE48EC"/>
    <w:rsid w:val="00BE511E"/>
    <w:rsid w:val="00BE7383"/>
    <w:rsid w:val="00BE754D"/>
    <w:rsid w:val="00BF0A78"/>
    <w:rsid w:val="00BF1DB9"/>
    <w:rsid w:val="00BF6D10"/>
    <w:rsid w:val="00BF6E79"/>
    <w:rsid w:val="00BF74D8"/>
    <w:rsid w:val="00C01180"/>
    <w:rsid w:val="00C03F6C"/>
    <w:rsid w:val="00C050A8"/>
    <w:rsid w:val="00C12108"/>
    <w:rsid w:val="00C121D9"/>
    <w:rsid w:val="00C13453"/>
    <w:rsid w:val="00C220F9"/>
    <w:rsid w:val="00C247F8"/>
    <w:rsid w:val="00C2541C"/>
    <w:rsid w:val="00C26862"/>
    <w:rsid w:val="00C26CF1"/>
    <w:rsid w:val="00C30458"/>
    <w:rsid w:val="00C31D05"/>
    <w:rsid w:val="00C31DA6"/>
    <w:rsid w:val="00C31E0B"/>
    <w:rsid w:val="00C32FC8"/>
    <w:rsid w:val="00C33260"/>
    <w:rsid w:val="00C349E7"/>
    <w:rsid w:val="00C41EBC"/>
    <w:rsid w:val="00C4598F"/>
    <w:rsid w:val="00C50360"/>
    <w:rsid w:val="00C54E12"/>
    <w:rsid w:val="00C55468"/>
    <w:rsid w:val="00C57A54"/>
    <w:rsid w:val="00C622C3"/>
    <w:rsid w:val="00C63BD5"/>
    <w:rsid w:val="00C668F9"/>
    <w:rsid w:val="00C70306"/>
    <w:rsid w:val="00C70DD5"/>
    <w:rsid w:val="00C72EC6"/>
    <w:rsid w:val="00C74906"/>
    <w:rsid w:val="00C75E3C"/>
    <w:rsid w:val="00C775B8"/>
    <w:rsid w:val="00C77DCA"/>
    <w:rsid w:val="00C81B40"/>
    <w:rsid w:val="00C81FEA"/>
    <w:rsid w:val="00C83969"/>
    <w:rsid w:val="00C86C95"/>
    <w:rsid w:val="00C91EFD"/>
    <w:rsid w:val="00CA05EB"/>
    <w:rsid w:val="00CA1AA0"/>
    <w:rsid w:val="00CA3515"/>
    <w:rsid w:val="00CA3A05"/>
    <w:rsid w:val="00CA472D"/>
    <w:rsid w:val="00CA5250"/>
    <w:rsid w:val="00CA59A0"/>
    <w:rsid w:val="00CB14E9"/>
    <w:rsid w:val="00CB6D90"/>
    <w:rsid w:val="00CB72C3"/>
    <w:rsid w:val="00CC40EE"/>
    <w:rsid w:val="00CC45E4"/>
    <w:rsid w:val="00CD019F"/>
    <w:rsid w:val="00CD27C5"/>
    <w:rsid w:val="00CD4CDB"/>
    <w:rsid w:val="00CE2ACA"/>
    <w:rsid w:val="00CE4169"/>
    <w:rsid w:val="00CE66FD"/>
    <w:rsid w:val="00CE7894"/>
    <w:rsid w:val="00CF0526"/>
    <w:rsid w:val="00CF06A1"/>
    <w:rsid w:val="00CF1467"/>
    <w:rsid w:val="00CF1E06"/>
    <w:rsid w:val="00CF48D6"/>
    <w:rsid w:val="00CF57D6"/>
    <w:rsid w:val="00CF6C1B"/>
    <w:rsid w:val="00D019D5"/>
    <w:rsid w:val="00D040FE"/>
    <w:rsid w:val="00D168FD"/>
    <w:rsid w:val="00D16F64"/>
    <w:rsid w:val="00D17928"/>
    <w:rsid w:val="00D23225"/>
    <w:rsid w:val="00D2472C"/>
    <w:rsid w:val="00D279BA"/>
    <w:rsid w:val="00D35117"/>
    <w:rsid w:val="00D3641B"/>
    <w:rsid w:val="00D37BBA"/>
    <w:rsid w:val="00D404B5"/>
    <w:rsid w:val="00D447CB"/>
    <w:rsid w:val="00D46C83"/>
    <w:rsid w:val="00D47D16"/>
    <w:rsid w:val="00D505F4"/>
    <w:rsid w:val="00D51CE1"/>
    <w:rsid w:val="00D535F4"/>
    <w:rsid w:val="00D562F2"/>
    <w:rsid w:val="00D5707B"/>
    <w:rsid w:val="00D612F5"/>
    <w:rsid w:val="00D61B93"/>
    <w:rsid w:val="00D64F53"/>
    <w:rsid w:val="00D67E4A"/>
    <w:rsid w:val="00D710A8"/>
    <w:rsid w:val="00D73492"/>
    <w:rsid w:val="00D763FD"/>
    <w:rsid w:val="00D871C5"/>
    <w:rsid w:val="00D87694"/>
    <w:rsid w:val="00D90AD1"/>
    <w:rsid w:val="00D92179"/>
    <w:rsid w:val="00D941F7"/>
    <w:rsid w:val="00DA0A2D"/>
    <w:rsid w:val="00DA0F30"/>
    <w:rsid w:val="00DA4DDF"/>
    <w:rsid w:val="00DA5225"/>
    <w:rsid w:val="00DA6EB1"/>
    <w:rsid w:val="00DA7C49"/>
    <w:rsid w:val="00DB0804"/>
    <w:rsid w:val="00DB1C73"/>
    <w:rsid w:val="00DB2FC4"/>
    <w:rsid w:val="00DB45F1"/>
    <w:rsid w:val="00DB537B"/>
    <w:rsid w:val="00DC2AD3"/>
    <w:rsid w:val="00DC382A"/>
    <w:rsid w:val="00DD06D1"/>
    <w:rsid w:val="00DD1BC4"/>
    <w:rsid w:val="00DD2401"/>
    <w:rsid w:val="00DD412B"/>
    <w:rsid w:val="00DE1923"/>
    <w:rsid w:val="00DE2B33"/>
    <w:rsid w:val="00DE3AEA"/>
    <w:rsid w:val="00DE638B"/>
    <w:rsid w:val="00DE72EE"/>
    <w:rsid w:val="00DF37E5"/>
    <w:rsid w:val="00E034FE"/>
    <w:rsid w:val="00E041E5"/>
    <w:rsid w:val="00E04888"/>
    <w:rsid w:val="00E0763B"/>
    <w:rsid w:val="00E10302"/>
    <w:rsid w:val="00E10ADA"/>
    <w:rsid w:val="00E112F3"/>
    <w:rsid w:val="00E17EC5"/>
    <w:rsid w:val="00E26BFD"/>
    <w:rsid w:val="00E27795"/>
    <w:rsid w:val="00E27E90"/>
    <w:rsid w:val="00E33D02"/>
    <w:rsid w:val="00E34F2C"/>
    <w:rsid w:val="00E34F65"/>
    <w:rsid w:val="00E35D6B"/>
    <w:rsid w:val="00E35D79"/>
    <w:rsid w:val="00E361DB"/>
    <w:rsid w:val="00E36872"/>
    <w:rsid w:val="00E4641E"/>
    <w:rsid w:val="00E519AE"/>
    <w:rsid w:val="00E54FF7"/>
    <w:rsid w:val="00E57AF7"/>
    <w:rsid w:val="00E57B08"/>
    <w:rsid w:val="00E6241B"/>
    <w:rsid w:val="00E63B1D"/>
    <w:rsid w:val="00E64FCC"/>
    <w:rsid w:val="00E703B6"/>
    <w:rsid w:val="00E72200"/>
    <w:rsid w:val="00E72B1B"/>
    <w:rsid w:val="00E737FF"/>
    <w:rsid w:val="00E75D47"/>
    <w:rsid w:val="00E75F05"/>
    <w:rsid w:val="00E766F5"/>
    <w:rsid w:val="00E77055"/>
    <w:rsid w:val="00E82948"/>
    <w:rsid w:val="00E83B37"/>
    <w:rsid w:val="00E846FB"/>
    <w:rsid w:val="00E8650E"/>
    <w:rsid w:val="00E8701D"/>
    <w:rsid w:val="00E90218"/>
    <w:rsid w:val="00E913BB"/>
    <w:rsid w:val="00E92E19"/>
    <w:rsid w:val="00E95F2E"/>
    <w:rsid w:val="00E97D61"/>
    <w:rsid w:val="00E97ED9"/>
    <w:rsid w:val="00EA1508"/>
    <w:rsid w:val="00EA1541"/>
    <w:rsid w:val="00EA32E4"/>
    <w:rsid w:val="00EA5D4F"/>
    <w:rsid w:val="00EA7E36"/>
    <w:rsid w:val="00EB0898"/>
    <w:rsid w:val="00EB627B"/>
    <w:rsid w:val="00EB6D94"/>
    <w:rsid w:val="00EC2B57"/>
    <w:rsid w:val="00EC2C18"/>
    <w:rsid w:val="00EC4183"/>
    <w:rsid w:val="00EC6468"/>
    <w:rsid w:val="00EC6708"/>
    <w:rsid w:val="00ED1AC4"/>
    <w:rsid w:val="00ED207C"/>
    <w:rsid w:val="00ED325A"/>
    <w:rsid w:val="00ED3EB1"/>
    <w:rsid w:val="00ED3F41"/>
    <w:rsid w:val="00ED5615"/>
    <w:rsid w:val="00ED692E"/>
    <w:rsid w:val="00ED69AF"/>
    <w:rsid w:val="00EE13C5"/>
    <w:rsid w:val="00EE1847"/>
    <w:rsid w:val="00EE240E"/>
    <w:rsid w:val="00EE32F4"/>
    <w:rsid w:val="00EE593C"/>
    <w:rsid w:val="00EE6211"/>
    <w:rsid w:val="00EE688E"/>
    <w:rsid w:val="00EE6A6D"/>
    <w:rsid w:val="00EF03E2"/>
    <w:rsid w:val="00EF0883"/>
    <w:rsid w:val="00EF37DA"/>
    <w:rsid w:val="00EF7F8B"/>
    <w:rsid w:val="00F00171"/>
    <w:rsid w:val="00F0072C"/>
    <w:rsid w:val="00F03814"/>
    <w:rsid w:val="00F07386"/>
    <w:rsid w:val="00F078C3"/>
    <w:rsid w:val="00F07A09"/>
    <w:rsid w:val="00F1390C"/>
    <w:rsid w:val="00F14730"/>
    <w:rsid w:val="00F14D98"/>
    <w:rsid w:val="00F20AA2"/>
    <w:rsid w:val="00F20C5E"/>
    <w:rsid w:val="00F20E8F"/>
    <w:rsid w:val="00F2234A"/>
    <w:rsid w:val="00F32BCE"/>
    <w:rsid w:val="00F36A1D"/>
    <w:rsid w:val="00F404B8"/>
    <w:rsid w:val="00F40F96"/>
    <w:rsid w:val="00F44278"/>
    <w:rsid w:val="00F51B65"/>
    <w:rsid w:val="00F52AAB"/>
    <w:rsid w:val="00F52EB6"/>
    <w:rsid w:val="00F55260"/>
    <w:rsid w:val="00F6316B"/>
    <w:rsid w:val="00F65AE0"/>
    <w:rsid w:val="00F671E0"/>
    <w:rsid w:val="00F70460"/>
    <w:rsid w:val="00F74E38"/>
    <w:rsid w:val="00F76120"/>
    <w:rsid w:val="00F76D6F"/>
    <w:rsid w:val="00F778B0"/>
    <w:rsid w:val="00F83B7B"/>
    <w:rsid w:val="00F83BC2"/>
    <w:rsid w:val="00F914F0"/>
    <w:rsid w:val="00F92EC1"/>
    <w:rsid w:val="00F944DD"/>
    <w:rsid w:val="00F94C47"/>
    <w:rsid w:val="00F96735"/>
    <w:rsid w:val="00F970FC"/>
    <w:rsid w:val="00FA0421"/>
    <w:rsid w:val="00FA3389"/>
    <w:rsid w:val="00FA3476"/>
    <w:rsid w:val="00FA4909"/>
    <w:rsid w:val="00FA495F"/>
    <w:rsid w:val="00FA4F7F"/>
    <w:rsid w:val="00FB0C10"/>
    <w:rsid w:val="00FB2CFA"/>
    <w:rsid w:val="00FB3C36"/>
    <w:rsid w:val="00FB4280"/>
    <w:rsid w:val="00FB7CCE"/>
    <w:rsid w:val="00FC01C8"/>
    <w:rsid w:val="00FC5027"/>
    <w:rsid w:val="00FC50C7"/>
    <w:rsid w:val="00FC511D"/>
    <w:rsid w:val="00FC59E2"/>
    <w:rsid w:val="00FC68BC"/>
    <w:rsid w:val="00FD11D4"/>
    <w:rsid w:val="00FD225D"/>
    <w:rsid w:val="00FD2384"/>
    <w:rsid w:val="00FE452E"/>
    <w:rsid w:val="00FE675C"/>
    <w:rsid w:val="00FF30E6"/>
    <w:rsid w:val="00FF4275"/>
    <w:rsid w:val="00FF4A4C"/>
    <w:rsid w:val="00FF4C15"/>
    <w:rsid w:val="00FF5AE3"/>
    <w:rsid w:val="00FF7F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9C1A7B"/>
  <w15:docId w15:val="{610594C5-FBE6-4D59-B099-01E309A8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4248BF"/>
    <w:pPr>
      <w:spacing w:after="140"/>
      <w:ind w:firstLine="567"/>
      <w:jc w:val="both"/>
    </w:pPr>
    <w:rPr>
      <w:lang w:eastAsia="en-US"/>
    </w:rPr>
  </w:style>
  <w:style w:type="paragraph" w:styleId="Ttulo1">
    <w:name w:val="heading 1"/>
    <w:basedOn w:val="Normal"/>
    <w:next w:val="Normal"/>
    <w:qFormat/>
    <w:rsid w:val="004248BF"/>
    <w:pPr>
      <w:keepNext/>
      <w:spacing w:before="240" w:after="240"/>
      <w:outlineLvl w:val="0"/>
    </w:pPr>
    <w:rPr>
      <w:rFonts w:ascii="Arial" w:hAnsi="Arial" w:cs="Arial"/>
      <w:b/>
      <w:bCs/>
      <w:kern w:val="32"/>
      <w:sz w:val="25"/>
      <w:szCs w:val="32"/>
    </w:rPr>
  </w:style>
  <w:style w:type="paragraph" w:styleId="Ttulo2">
    <w:name w:val="heading 2"/>
    <w:basedOn w:val="Normal"/>
    <w:next w:val="Normal"/>
    <w:qFormat/>
    <w:rsid w:val="004248BF"/>
    <w:pPr>
      <w:keepNext/>
      <w:spacing w:before="240" w:after="240"/>
      <w:ind w:firstLine="0"/>
      <w:outlineLvl w:val="1"/>
    </w:pPr>
    <w:rPr>
      <w:rFonts w:ascii="Arial" w:hAnsi="Arial" w:cs="Arial"/>
      <w:bCs/>
      <w:iCs/>
      <w:sz w:val="25"/>
      <w:szCs w:val="28"/>
    </w:rPr>
  </w:style>
  <w:style w:type="paragraph" w:styleId="Ttulo3">
    <w:name w:val="heading 3"/>
    <w:basedOn w:val="Normal"/>
    <w:next w:val="Normal"/>
    <w:link w:val="Ttulo3Car"/>
    <w:uiPriority w:val="9"/>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2835"/>
        <w:tab w:val="clear" w:pos="3969"/>
        <w:tab w:val="clear" w:pos="5103"/>
        <w:tab w:val="clear" w:pos="6237"/>
        <w:tab w:val="clear" w:pos="7371"/>
      </w:tabs>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ind w:firstLine="0"/>
      <w:outlineLvl w:val="9"/>
    </w:pPr>
    <w:rPr>
      <w:rFonts w:cs="Times New Roman"/>
      <w:bCs w:val="0"/>
      <w:color w:val="000000"/>
      <w:kern w:val="28"/>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345C6C"/>
    <w:rPr>
      <w:rFonts w:ascii="Arial" w:hAnsi="Arial"/>
      <w:b/>
      <w:color w:val="000000"/>
      <w:kern w:val="28"/>
      <w:sz w:val="25"/>
      <w:szCs w:val="26"/>
      <w:lang w:val="eu-ES" w:eastAsia="en-US"/>
    </w:rPr>
  </w:style>
  <w:style w:type="character" w:customStyle="1" w:styleId="atitulo2Car">
    <w:name w:val="atitulo2 Car"/>
    <w:link w:val="atitulo2"/>
    <w:uiPriority w:val="99"/>
    <w:locked/>
    <w:rsid w:val="00345C6C"/>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345C6C"/>
    <w:pPr>
      <w:spacing w:after="0"/>
      <w:ind w:left="720" w:firstLine="0"/>
      <w:contextualSpacing/>
      <w:jc w:val="left"/>
    </w:pPr>
  </w:style>
  <w:style w:type="character" w:customStyle="1" w:styleId="PiedepginaCar">
    <w:name w:val="Pie de página Car"/>
    <w:basedOn w:val="Fuentedeprrafopredeter"/>
    <w:link w:val="Piedepgina"/>
    <w:uiPriority w:val="99"/>
    <w:rsid w:val="00345C6C"/>
    <w:rPr>
      <w:spacing w:val="6"/>
      <w:lang w:val="eu-ES" w:eastAsia="en-US"/>
    </w:rPr>
  </w:style>
  <w:style w:type="character" w:customStyle="1" w:styleId="Ttulo5Car">
    <w:name w:val="Título 5 Car"/>
    <w:basedOn w:val="Fuentedeprrafopredeter"/>
    <w:link w:val="Ttulo5"/>
    <w:uiPriority w:val="99"/>
    <w:rsid w:val="00345C6C"/>
    <w:rPr>
      <w:b/>
      <w:sz w:val="28"/>
      <w:lang w:eastAsia="en-US"/>
    </w:rPr>
  </w:style>
  <w:style w:type="character" w:customStyle="1" w:styleId="markedcontent">
    <w:name w:val="markedcontent"/>
    <w:basedOn w:val="Fuentedeprrafopredeter"/>
    <w:rsid w:val="00345C6C"/>
  </w:style>
  <w:style w:type="paragraph" w:styleId="Textonotapie">
    <w:name w:val="footnote text"/>
    <w:basedOn w:val="Normal"/>
    <w:link w:val="TextonotapieCar"/>
    <w:semiHidden/>
    <w:unhideWhenUsed/>
    <w:rsid w:val="00345C6C"/>
    <w:pPr>
      <w:spacing w:after="0"/>
    </w:pPr>
  </w:style>
  <w:style w:type="character" w:customStyle="1" w:styleId="TextonotapieCar">
    <w:name w:val="Texto nota pie Car"/>
    <w:basedOn w:val="Fuentedeprrafopredeter"/>
    <w:link w:val="Textonotapie"/>
    <w:semiHidden/>
    <w:rsid w:val="00345C6C"/>
    <w:rPr>
      <w:lang w:val="eu-ES" w:eastAsia="en-US"/>
    </w:rPr>
  </w:style>
  <w:style w:type="character" w:styleId="Refdenotaalpie">
    <w:name w:val="footnote reference"/>
    <w:basedOn w:val="Fuentedeprrafopredeter"/>
    <w:semiHidden/>
    <w:unhideWhenUsed/>
    <w:rsid w:val="00345C6C"/>
    <w:rPr>
      <w:vertAlign w:val="superscript"/>
    </w:rPr>
  </w:style>
  <w:style w:type="character" w:styleId="Refdecomentario">
    <w:name w:val="annotation reference"/>
    <w:basedOn w:val="Fuentedeprrafopredeter"/>
    <w:semiHidden/>
    <w:unhideWhenUsed/>
    <w:rsid w:val="00B72304"/>
    <w:rPr>
      <w:sz w:val="16"/>
      <w:szCs w:val="16"/>
    </w:rPr>
  </w:style>
  <w:style w:type="paragraph" w:styleId="Textocomentario">
    <w:name w:val="annotation text"/>
    <w:basedOn w:val="Normal"/>
    <w:link w:val="TextocomentarioCar"/>
    <w:semiHidden/>
    <w:unhideWhenUsed/>
    <w:rsid w:val="00B72304"/>
  </w:style>
  <w:style w:type="character" w:customStyle="1" w:styleId="TextocomentarioCar">
    <w:name w:val="Texto comentario Car"/>
    <w:basedOn w:val="Fuentedeprrafopredeter"/>
    <w:link w:val="Textocomentario"/>
    <w:semiHidden/>
    <w:rsid w:val="00B72304"/>
    <w:rPr>
      <w:lang w:val="eu-ES" w:eastAsia="en-US"/>
    </w:rPr>
  </w:style>
  <w:style w:type="paragraph" w:styleId="Asuntodelcomentario">
    <w:name w:val="annotation subject"/>
    <w:basedOn w:val="Textocomentario"/>
    <w:next w:val="Textocomentario"/>
    <w:link w:val="AsuntodelcomentarioCar"/>
    <w:semiHidden/>
    <w:unhideWhenUsed/>
    <w:rsid w:val="00B72304"/>
    <w:rPr>
      <w:b/>
      <w:bCs/>
    </w:rPr>
  </w:style>
  <w:style w:type="character" w:customStyle="1" w:styleId="AsuntodelcomentarioCar">
    <w:name w:val="Asunto del comentario Car"/>
    <w:basedOn w:val="TextocomentarioCar"/>
    <w:link w:val="Asuntodelcomentario"/>
    <w:semiHidden/>
    <w:rsid w:val="00B72304"/>
    <w:rPr>
      <w:b/>
      <w:bCs/>
      <w:lang w:val="eu-ES" w:eastAsia="en-US"/>
    </w:rPr>
  </w:style>
  <w:style w:type="character" w:customStyle="1" w:styleId="Ttulo3Car">
    <w:name w:val="Título 3 Car"/>
    <w:basedOn w:val="Fuentedeprrafopredeter"/>
    <w:link w:val="Ttulo3"/>
    <w:uiPriority w:val="9"/>
    <w:rsid w:val="00B83A58"/>
    <w:rPr>
      <w:rFonts w:ascii="Arial" w:hAnsi="Arial" w:cs="Arial"/>
      <w:b/>
      <w:bCs/>
      <w:szCs w:val="26"/>
      <w:lang w:val="eu-ES" w:eastAsia="en-US"/>
    </w:rPr>
  </w:style>
  <w:style w:type="character" w:styleId="Hipervnculovisitado">
    <w:name w:val="FollowedHyperlink"/>
    <w:basedOn w:val="Fuentedeprrafopredeter"/>
    <w:semiHidden/>
    <w:unhideWhenUsed/>
    <w:rsid w:val="00B83A58"/>
    <w:rPr>
      <w:color w:val="800080" w:themeColor="followedHyperlink"/>
      <w:u w:val="single"/>
    </w:rPr>
  </w:style>
  <w:style w:type="character" w:styleId="nfasis">
    <w:name w:val="Emphasis"/>
    <w:basedOn w:val="Fuentedeprrafopredeter"/>
    <w:uiPriority w:val="20"/>
    <w:qFormat/>
    <w:rsid w:val="00F944DD"/>
    <w:rPr>
      <w:i/>
      <w:iCs/>
    </w:rPr>
  </w:style>
  <w:style w:type="paragraph" w:styleId="TtuloTDC">
    <w:name w:val="TOC Heading"/>
    <w:basedOn w:val="Ttulo1"/>
    <w:next w:val="Normal"/>
    <w:uiPriority w:val="39"/>
    <w:unhideWhenUsed/>
    <w:qFormat/>
    <w:rsid w:val="00DA0A2D"/>
    <w:pPr>
      <w:keepLines/>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lang w:eastAsia="es-ES"/>
    </w:rPr>
  </w:style>
  <w:style w:type="paragraph" w:styleId="Revisin">
    <w:name w:val="Revision"/>
    <w:hidden/>
    <w:uiPriority w:val="99"/>
    <w:semiHidden/>
    <w:rsid w:val="0029105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3562">
      <w:bodyDiv w:val="1"/>
      <w:marLeft w:val="0"/>
      <w:marRight w:val="0"/>
      <w:marTop w:val="0"/>
      <w:marBottom w:val="0"/>
      <w:divBdr>
        <w:top w:val="none" w:sz="0" w:space="0" w:color="auto"/>
        <w:left w:val="none" w:sz="0" w:space="0" w:color="auto"/>
        <w:bottom w:val="none" w:sz="0" w:space="0" w:color="auto"/>
        <w:right w:val="none" w:sz="0" w:space="0" w:color="auto"/>
      </w:divBdr>
    </w:div>
    <w:div w:id="68233929">
      <w:bodyDiv w:val="1"/>
      <w:marLeft w:val="0"/>
      <w:marRight w:val="0"/>
      <w:marTop w:val="0"/>
      <w:marBottom w:val="0"/>
      <w:divBdr>
        <w:top w:val="none" w:sz="0" w:space="0" w:color="auto"/>
        <w:left w:val="none" w:sz="0" w:space="0" w:color="auto"/>
        <w:bottom w:val="none" w:sz="0" w:space="0" w:color="auto"/>
        <w:right w:val="none" w:sz="0" w:space="0" w:color="auto"/>
      </w:divBdr>
    </w:div>
    <w:div w:id="105927191">
      <w:bodyDiv w:val="1"/>
      <w:marLeft w:val="0"/>
      <w:marRight w:val="0"/>
      <w:marTop w:val="0"/>
      <w:marBottom w:val="0"/>
      <w:divBdr>
        <w:top w:val="none" w:sz="0" w:space="0" w:color="auto"/>
        <w:left w:val="none" w:sz="0" w:space="0" w:color="auto"/>
        <w:bottom w:val="none" w:sz="0" w:space="0" w:color="auto"/>
        <w:right w:val="none" w:sz="0" w:space="0" w:color="auto"/>
      </w:divBdr>
    </w:div>
    <w:div w:id="108209940">
      <w:bodyDiv w:val="1"/>
      <w:marLeft w:val="0"/>
      <w:marRight w:val="0"/>
      <w:marTop w:val="0"/>
      <w:marBottom w:val="0"/>
      <w:divBdr>
        <w:top w:val="none" w:sz="0" w:space="0" w:color="auto"/>
        <w:left w:val="none" w:sz="0" w:space="0" w:color="auto"/>
        <w:bottom w:val="none" w:sz="0" w:space="0" w:color="auto"/>
        <w:right w:val="none" w:sz="0" w:space="0" w:color="auto"/>
      </w:divBdr>
    </w:div>
    <w:div w:id="123355064">
      <w:bodyDiv w:val="1"/>
      <w:marLeft w:val="0"/>
      <w:marRight w:val="0"/>
      <w:marTop w:val="0"/>
      <w:marBottom w:val="0"/>
      <w:divBdr>
        <w:top w:val="none" w:sz="0" w:space="0" w:color="auto"/>
        <w:left w:val="none" w:sz="0" w:space="0" w:color="auto"/>
        <w:bottom w:val="none" w:sz="0" w:space="0" w:color="auto"/>
        <w:right w:val="none" w:sz="0" w:space="0" w:color="auto"/>
      </w:divBdr>
    </w:div>
    <w:div w:id="166140417">
      <w:bodyDiv w:val="1"/>
      <w:marLeft w:val="0"/>
      <w:marRight w:val="0"/>
      <w:marTop w:val="0"/>
      <w:marBottom w:val="0"/>
      <w:divBdr>
        <w:top w:val="none" w:sz="0" w:space="0" w:color="auto"/>
        <w:left w:val="none" w:sz="0" w:space="0" w:color="auto"/>
        <w:bottom w:val="none" w:sz="0" w:space="0" w:color="auto"/>
        <w:right w:val="none" w:sz="0" w:space="0" w:color="auto"/>
      </w:divBdr>
    </w:div>
    <w:div w:id="240718713">
      <w:bodyDiv w:val="1"/>
      <w:marLeft w:val="0"/>
      <w:marRight w:val="0"/>
      <w:marTop w:val="0"/>
      <w:marBottom w:val="0"/>
      <w:divBdr>
        <w:top w:val="none" w:sz="0" w:space="0" w:color="auto"/>
        <w:left w:val="none" w:sz="0" w:space="0" w:color="auto"/>
        <w:bottom w:val="none" w:sz="0" w:space="0" w:color="auto"/>
        <w:right w:val="none" w:sz="0" w:space="0" w:color="auto"/>
      </w:divBdr>
    </w:div>
    <w:div w:id="248775428">
      <w:bodyDiv w:val="1"/>
      <w:marLeft w:val="0"/>
      <w:marRight w:val="0"/>
      <w:marTop w:val="0"/>
      <w:marBottom w:val="0"/>
      <w:divBdr>
        <w:top w:val="none" w:sz="0" w:space="0" w:color="auto"/>
        <w:left w:val="none" w:sz="0" w:space="0" w:color="auto"/>
        <w:bottom w:val="none" w:sz="0" w:space="0" w:color="auto"/>
        <w:right w:val="none" w:sz="0" w:space="0" w:color="auto"/>
      </w:divBdr>
    </w:div>
    <w:div w:id="320692413">
      <w:bodyDiv w:val="1"/>
      <w:marLeft w:val="0"/>
      <w:marRight w:val="0"/>
      <w:marTop w:val="0"/>
      <w:marBottom w:val="0"/>
      <w:divBdr>
        <w:top w:val="none" w:sz="0" w:space="0" w:color="auto"/>
        <w:left w:val="none" w:sz="0" w:space="0" w:color="auto"/>
        <w:bottom w:val="none" w:sz="0" w:space="0" w:color="auto"/>
        <w:right w:val="none" w:sz="0" w:space="0" w:color="auto"/>
      </w:divBdr>
    </w:div>
    <w:div w:id="382602904">
      <w:bodyDiv w:val="1"/>
      <w:marLeft w:val="0"/>
      <w:marRight w:val="0"/>
      <w:marTop w:val="0"/>
      <w:marBottom w:val="0"/>
      <w:divBdr>
        <w:top w:val="none" w:sz="0" w:space="0" w:color="auto"/>
        <w:left w:val="none" w:sz="0" w:space="0" w:color="auto"/>
        <w:bottom w:val="none" w:sz="0" w:space="0" w:color="auto"/>
        <w:right w:val="none" w:sz="0" w:space="0" w:color="auto"/>
      </w:divBdr>
    </w:div>
    <w:div w:id="497622484">
      <w:bodyDiv w:val="1"/>
      <w:marLeft w:val="0"/>
      <w:marRight w:val="0"/>
      <w:marTop w:val="0"/>
      <w:marBottom w:val="0"/>
      <w:divBdr>
        <w:top w:val="none" w:sz="0" w:space="0" w:color="auto"/>
        <w:left w:val="none" w:sz="0" w:space="0" w:color="auto"/>
        <w:bottom w:val="none" w:sz="0" w:space="0" w:color="auto"/>
        <w:right w:val="none" w:sz="0" w:space="0" w:color="auto"/>
      </w:divBdr>
    </w:div>
    <w:div w:id="573273155">
      <w:bodyDiv w:val="1"/>
      <w:marLeft w:val="0"/>
      <w:marRight w:val="0"/>
      <w:marTop w:val="0"/>
      <w:marBottom w:val="0"/>
      <w:divBdr>
        <w:top w:val="none" w:sz="0" w:space="0" w:color="auto"/>
        <w:left w:val="none" w:sz="0" w:space="0" w:color="auto"/>
        <w:bottom w:val="none" w:sz="0" w:space="0" w:color="auto"/>
        <w:right w:val="none" w:sz="0" w:space="0" w:color="auto"/>
      </w:divBdr>
    </w:div>
    <w:div w:id="698505010">
      <w:bodyDiv w:val="1"/>
      <w:marLeft w:val="0"/>
      <w:marRight w:val="0"/>
      <w:marTop w:val="0"/>
      <w:marBottom w:val="0"/>
      <w:divBdr>
        <w:top w:val="none" w:sz="0" w:space="0" w:color="auto"/>
        <w:left w:val="none" w:sz="0" w:space="0" w:color="auto"/>
        <w:bottom w:val="none" w:sz="0" w:space="0" w:color="auto"/>
        <w:right w:val="none" w:sz="0" w:space="0" w:color="auto"/>
      </w:divBdr>
    </w:div>
    <w:div w:id="700400079">
      <w:bodyDiv w:val="1"/>
      <w:marLeft w:val="0"/>
      <w:marRight w:val="0"/>
      <w:marTop w:val="0"/>
      <w:marBottom w:val="0"/>
      <w:divBdr>
        <w:top w:val="none" w:sz="0" w:space="0" w:color="auto"/>
        <w:left w:val="none" w:sz="0" w:space="0" w:color="auto"/>
        <w:bottom w:val="none" w:sz="0" w:space="0" w:color="auto"/>
        <w:right w:val="none" w:sz="0" w:space="0" w:color="auto"/>
      </w:divBdr>
    </w:div>
    <w:div w:id="751467608">
      <w:bodyDiv w:val="1"/>
      <w:marLeft w:val="0"/>
      <w:marRight w:val="0"/>
      <w:marTop w:val="0"/>
      <w:marBottom w:val="0"/>
      <w:divBdr>
        <w:top w:val="none" w:sz="0" w:space="0" w:color="auto"/>
        <w:left w:val="none" w:sz="0" w:space="0" w:color="auto"/>
        <w:bottom w:val="none" w:sz="0" w:space="0" w:color="auto"/>
        <w:right w:val="none" w:sz="0" w:space="0" w:color="auto"/>
      </w:divBdr>
    </w:div>
    <w:div w:id="999577563">
      <w:bodyDiv w:val="1"/>
      <w:marLeft w:val="0"/>
      <w:marRight w:val="0"/>
      <w:marTop w:val="0"/>
      <w:marBottom w:val="0"/>
      <w:divBdr>
        <w:top w:val="none" w:sz="0" w:space="0" w:color="auto"/>
        <w:left w:val="none" w:sz="0" w:space="0" w:color="auto"/>
        <w:bottom w:val="none" w:sz="0" w:space="0" w:color="auto"/>
        <w:right w:val="none" w:sz="0" w:space="0" w:color="auto"/>
      </w:divBdr>
    </w:div>
    <w:div w:id="1216088206">
      <w:bodyDiv w:val="1"/>
      <w:marLeft w:val="0"/>
      <w:marRight w:val="0"/>
      <w:marTop w:val="0"/>
      <w:marBottom w:val="0"/>
      <w:divBdr>
        <w:top w:val="none" w:sz="0" w:space="0" w:color="auto"/>
        <w:left w:val="none" w:sz="0" w:space="0" w:color="auto"/>
        <w:bottom w:val="none" w:sz="0" w:space="0" w:color="auto"/>
        <w:right w:val="none" w:sz="0" w:space="0" w:color="auto"/>
      </w:divBdr>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
    <w:div w:id="1302925367">
      <w:bodyDiv w:val="1"/>
      <w:marLeft w:val="0"/>
      <w:marRight w:val="0"/>
      <w:marTop w:val="0"/>
      <w:marBottom w:val="0"/>
      <w:divBdr>
        <w:top w:val="none" w:sz="0" w:space="0" w:color="auto"/>
        <w:left w:val="none" w:sz="0" w:space="0" w:color="auto"/>
        <w:bottom w:val="none" w:sz="0" w:space="0" w:color="auto"/>
        <w:right w:val="none" w:sz="0" w:space="0" w:color="auto"/>
      </w:divBdr>
    </w:div>
    <w:div w:id="1309357615">
      <w:bodyDiv w:val="1"/>
      <w:marLeft w:val="0"/>
      <w:marRight w:val="0"/>
      <w:marTop w:val="0"/>
      <w:marBottom w:val="0"/>
      <w:divBdr>
        <w:top w:val="none" w:sz="0" w:space="0" w:color="auto"/>
        <w:left w:val="none" w:sz="0" w:space="0" w:color="auto"/>
        <w:bottom w:val="none" w:sz="0" w:space="0" w:color="auto"/>
        <w:right w:val="none" w:sz="0" w:space="0" w:color="auto"/>
      </w:divBdr>
    </w:div>
    <w:div w:id="1461612394">
      <w:bodyDiv w:val="1"/>
      <w:marLeft w:val="0"/>
      <w:marRight w:val="0"/>
      <w:marTop w:val="0"/>
      <w:marBottom w:val="0"/>
      <w:divBdr>
        <w:top w:val="none" w:sz="0" w:space="0" w:color="auto"/>
        <w:left w:val="none" w:sz="0" w:space="0" w:color="auto"/>
        <w:bottom w:val="none" w:sz="0" w:space="0" w:color="auto"/>
        <w:right w:val="none" w:sz="0" w:space="0" w:color="auto"/>
      </w:divBdr>
    </w:div>
    <w:div w:id="1525167433">
      <w:bodyDiv w:val="1"/>
      <w:marLeft w:val="0"/>
      <w:marRight w:val="0"/>
      <w:marTop w:val="0"/>
      <w:marBottom w:val="0"/>
      <w:divBdr>
        <w:top w:val="none" w:sz="0" w:space="0" w:color="auto"/>
        <w:left w:val="none" w:sz="0" w:space="0" w:color="auto"/>
        <w:bottom w:val="none" w:sz="0" w:space="0" w:color="auto"/>
        <w:right w:val="none" w:sz="0" w:space="0" w:color="auto"/>
      </w:divBdr>
    </w:div>
    <w:div w:id="1547332483">
      <w:bodyDiv w:val="1"/>
      <w:marLeft w:val="0"/>
      <w:marRight w:val="0"/>
      <w:marTop w:val="0"/>
      <w:marBottom w:val="0"/>
      <w:divBdr>
        <w:top w:val="none" w:sz="0" w:space="0" w:color="auto"/>
        <w:left w:val="none" w:sz="0" w:space="0" w:color="auto"/>
        <w:bottom w:val="none" w:sz="0" w:space="0" w:color="auto"/>
        <w:right w:val="none" w:sz="0" w:space="0" w:color="auto"/>
      </w:divBdr>
    </w:div>
    <w:div w:id="1575432640">
      <w:bodyDiv w:val="1"/>
      <w:marLeft w:val="0"/>
      <w:marRight w:val="0"/>
      <w:marTop w:val="0"/>
      <w:marBottom w:val="0"/>
      <w:divBdr>
        <w:top w:val="none" w:sz="0" w:space="0" w:color="auto"/>
        <w:left w:val="none" w:sz="0" w:space="0" w:color="auto"/>
        <w:bottom w:val="none" w:sz="0" w:space="0" w:color="auto"/>
        <w:right w:val="none" w:sz="0" w:space="0" w:color="auto"/>
      </w:divBdr>
    </w:div>
    <w:div w:id="1588074353">
      <w:bodyDiv w:val="1"/>
      <w:marLeft w:val="0"/>
      <w:marRight w:val="0"/>
      <w:marTop w:val="0"/>
      <w:marBottom w:val="0"/>
      <w:divBdr>
        <w:top w:val="none" w:sz="0" w:space="0" w:color="auto"/>
        <w:left w:val="none" w:sz="0" w:space="0" w:color="auto"/>
        <w:bottom w:val="none" w:sz="0" w:space="0" w:color="auto"/>
        <w:right w:val="none" w:sz="0" w:space="0" w:color="auto"/>
      </w:divBdr>
    </w:div>
    <w:div w:id="1638337589">
      <w:bodyDiv w:val="1"/>
      <w:marLeft w:val="0"/>
      <w:marRight w:val="0"/>
      <w:marTop w:val="0"/>
      <w:marBottom w:val="0"/>
      <w:divBdr>
        <w:top w:val="none" w:sz="0" w:space="0" w:color="auto"/>
        <w:left w:val="none" w:sz="0" w:space="0" w:color="auto"/>
        <w:bottom w:val="none" w:sz="0" w:space="0" w:color="auto"/>
        <w:right w:val="none" w:sz="0" w:space="0" w:color="auto"/>
      </w:divBdr>
    </w:div>
    <w:div w:id="1908420521">
      <w:bodyDiv w:val="1"/>
      <w:marLeft w:val="0"/>
      <w:marRight w:val="0"/>
      <w:marTop w:val="0"/>
      <w:marBottom w:val="0"/>
      <w:divBdr>
        <w:top w:val="none" w:sz="0" w:space="0" w:color="auto"/>
        <w:left w:val="none" w:sz="0" w:space="0" w:color="auto"/>
        <w:bottom w:val="none" w:sz="0" w:space="0" w:color="auto"/>
        <w:right w:val="none" w:sz="0" w:space="0" w:color="auto"/>
      </w:divBdr>
    </w:div>
    <w:div w:id="1945992909">
      <w:bodyDiv w:val="1"/>
      <w:marLeft w:val="0"/>
      <w:marRight w:val="0"/>
      <w:marTop w:val="0"/>
      <w:marBottom w:val="0"/>
      <w:divBdr>
        <w:top w:val="none" w:sz="0" w:space="0" w:color="auto"/>
        <w:left w:val="none" w:sz="0" w:space="0" w:color="auto"/>
        <w:bottom w:val="none" w:sz="0" w:space="0" w:color="auto"/>
        <w:right w:val="none" w:sz="0" w:space="0" w:color="auto"/>
      </w:divBdr>
    </w:div>
    <w:div w:id="2003045691">
      <w:bodyDiv w:val="1"/>
      <w:marLeft w:val="0"/>
      <w:marRight w:val="0"/>
      <w:marTop w:val="0"/>
      <w:marBottom w:val="0"/>
      <w:divBdr>
        <w:top w:val="none" w:sz="0" w:space="0" w:color="auto"/>
        <w:left w:val="none" w:sz="0" w:space="0" w:color="auto"/>
        <w:bottom w:val="none" w:sz="0" w:space="0" w:color="auto"/>
        <w:right w:val="none" w:sz="0" w:space="0" w:color="auto"/>
      </w:divBdr>
    </w:div>
    <w:div w:id="203785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702681\appdata\local\temp\tm_temp\TM_2\E.1.2%20-%20Sector%20P&#250;blico%20Local%202020%20-%2026-1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u-ES"/>
              <a:t>Adjudikatutako kontratuen kopurua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'resumen FECHAS'!$C$29</c:f>
              <c:strCache>
                <c:ptCount val="1"/>
                <c:pt idx="0">
                  <c:v>2020</c:v>
                </c:pt>
              </c:strCache>
            </c:strRef>
          </c:tx>
          <c:spPr>
            <a:ln w="28575" cap="rnd">
              <a:solidFill>
                <a:schemeClr val="accent2"/>
              </a:solidFill>
              <a:round/>
            </a:ln>
            <a:effectLst/>
          </c:spPr>
          <c:marker>
            <c:symbol val="none"/>
          </c:marker>
          <c:cat>
            <c:strRef>
              <c:f>'resumen FECHAS'!$B$30:$B$41</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'resumen FECHAS'!$C$30:$C$41</c:f>
              <c:numCache>
                <c:formatCode>#,##0</c:formatCode>
                <c:ptCount val="12"/>
                <c:pt idx="0">
                  <c:v>14</c:v>
                </c:pt>
                <c:pt idx="1">
                  <c:v>22</c:v>
                </c:pt>
                <c:pt idx="2">
                  <c:v>26</c:v>
                </c:pt>
                <c:pt idx="3">
                  <c:v>3</c:v>
                </c:pt>
                <c:pt idx="4">
                  <c:v>30</c:v>
                </c:pt>
                <c:pt idx="5">
                  <c:v>36</c:v>
                </c:pt>
                <c:pt idx="6">
                  <c:v>39</c:v>
                </c:pt>
                <c:pt idx="7">
                  <c:v>39</c:v>
                </c:pt>
                <c:pt idx="8">
                  <c:v>57</c:v>
                </c:pt>
                <c:pt idx="9">
                  <c:v>51</c:v>
                </c:pt>
                <c:pt idx="10">
                  <c:v>27</c:v>
                </c:pt>
                <c:pt idx="11">
                  <c:v>48</c:v>
                </c:pt>
              </c:numCache>
            </c:numRef>
          </c:val>
          <c:smooth val="0"/>
          <c:extLst>
            <c:ext xmlns:c16="http://schemas.microsoft.com/office/drawing/2014/chart" uri="{C3380CC4-5D6E-409C-BE32-E72D297353CC}">
              <c16:uniqueId val="{00000000-6030-4B94-B903-E5759EF278FB}"/>
            </c:ext>
          </c:extLst>
        </c:ser>
        <c:ser>
          <c:idx val="1"/>
          <c:order val="1"/>
          <c:tx>
            <c:strRef>
              <c:f>'resumen FECHAS'!$D$29</c:f>
              <c:strCache>
                <c:ptCount val="1"/>
                <c:pt idx="0">
                  <c:v>2019</c:v>
                </c:pt>
              </c:strCache>
            </c:strRef>
          </c:tx>
          <c:spPr>
            <a:ln w="28575" cap="rnd">
              <a:solidFill>
                <a:schemeClr val="accent1"/>
              </a:solidFill>
              <a:round/>
            </a:ln>
            <a:effectLst/>
          </c:spPr>
          <c:marker>
            <c:symbol val="none"/>
          </c:marker>
          <c:cat>
            <c:strRef>
              <c:f>'resumen FECHAS'!$B$30:$B$41</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'resumen FECHAS'!$D$30:$D$41</c:f>
              <c:numCache>
                <c:formatCode>General</c:formatCode>
                <c:ptCount val="12"/>
                <c:pt idx="0">
                  <c:v>32</c:v>
                </c:pt>
                <c:pt idx="1">
                  <c:v>20</c:v>
                </c:pt>
                <c:pt idx="2">
                  <c:v>37</c:v>
                </c:pt>
                <c:pt idx="3">
                  <c:v>41</c:v>
                </c:pt>
                <c:pt idx="4">
                  <c:v>65</c:v>
                </c:pt>
                <c:pt idx="5">
                  <c:v>45</c:v>
                </c:pt>
                <c:pt idx="6">
                  <c:v>35</c:v>
                </c:pt>
                <c:pt idx="7">
                  <c:v>40</c:v>
                </c:pt>
                <c:pt idx="8">
                  <c:v>58</c:v>
                </c:pt>
                <c:pt idx="9">
                  <c:v>39</c:v>
                </c:pt>
                <c:pt idx="10">
                  <c:v>31</c:v>
                </c:pt>
                <c:pt idx="11">
                  <c:v>61</c:v>
                </c:pt>
              </c:numCache>
            </c:numRef>
          </c:val>
          <c:smooth val="0"/>
          <c:extLst>
            <c:ext xmlns:c16="http://schemas.microsoft.com/office/drawing/2014/chart" uri="{C3380CC4-5D6E-409C-BE32-E72D297353CC}">
              <c16:uniqueId val="{00000001-6030-4B94-B903-E5759EF278FB}"/>
            </c:ext>
          </c:extLst>
        </c:ser>
        <c:dLbls>
          <c:showLegendKey val="0"/>
          <c:showVal val="0"/>
          <c:showCatName val="0"/>
          <c:showSerName val="0"/>
          <c:showPercent val="0"/>
          <c:showBubbleSize val="0"/>
        </c:dLbls>
        <c:smooth val="0"/>
        <c:axId val="680409568"/>
        <c:axId val="680414488"/>
      </c:lineChart>
      <c:catAx>
        <c:axId val="68040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80414488"/>
        <c:crosses val="autoZero"/>
        <c:auto val="1"/>
        <c:lblAlgn val="ctr"/>
        <c:lblOffset val="100"/>
        <c:noMultiLvlLbl val="0"/>
      </c:catAx>
      <c:valAx>
        <c:axId val="680414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80409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F6F4-CC25-48C7-8B9C-AFF2168B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13429</Words>
  <Characters>96394</Characters>
  <Application>Microsoft Office Word</Application>
  <DocSecurity>0</DocSecurity>
  <Lines>803</Lines>
  <Paragraphs>219</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109604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d156363</dc:creator>
  <cp:keywords/>
  <dc:description/>
  <cp:lastModifiedBy>De Santiago, Iñaki</cp:lastModifiedBy>
  <cp:revision>2</cp:revision>
  <cp:lastPrinted>2023-01-04T13:04:00Z</cp:lastPrinted>
  <dcterms:created xsi:type="dcterms:W3CDTF">2023-01-31T12:07:00Z</dcterms:created>
  <dcterms:modified xsi:type="dcterms:W3CDTF">2023-01-31T12:07:00Z</dcterms:modified>
</cp:coreProperties>
</file>