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CE14" w14:textId="77777777" w:rsidR="001C3A32"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5F04B11E" wp14:editId="520BC369">
                <wp:simplePos x="0" y="0"/>
                <wp:positionH relativeFrom="column">
                  <wp:posOffset>-156588</wp:posOffset>
                </wp:positionH>
                <wp:positionV relativeFrom="paragraph">
                  <wp:posOffset>-816377</wp:posOffset>
                </wp:positionV>
                <wp:extent cx="1157469" cy="1145894"/>
                <wp:effectExtent l="0" t="0" r="508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469" cy="1145894"/>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CBCA413" w14:textId="77777777" w:rsidR="004E2CFD" w:rsidRPr="003A7956" w:rsidRDefault="004E2CFD" w:rsidP="004C3423">
                            <w:pPr>
                              <w:spacing w:after="0"/>
                              <w:ind w:firstLine="0"/>
                              <w:jc w:val="center"/>
                              <w:rPr>
                                <w:sz w:val="18"/>
                                <w:szCs w:val="18"/>
                                <w:lang w:val="es-ES"/>
                              </w:rPr>
                            </w:pPr>
                            <w:r w:rsidRPr="003A7956">
                              <w:rPr>
                                <w:sz w:val="18"/>
                                <w:szCs w:val="18"/>
                                <w:lang w:val="es-ES"/>
                              </w:rPr>
                              <w:t>CAMARA DE</w:t>
                            </w:r>
                          </w:p>
                          <w:p w14:paraId="4BEF4F35" w14:textId="77777777" w:rsidR="004E2CFD" w:rsidRPr="003A7956" w:rsidRDefault="004E2CFD" w:rsidP="004C3423">
                            <w:pPr>
                              <w:spacing w:after="0"/>
                              <w:ind w:firstLine="0"/>
                              <w:jc w:val="center"/>
                              <w:rPr>
                                <w:sz w:val="18"/>
                                <w:szCs w:val="18"/>
                                <w:lang w:val="es-ES"/>
                              </w:rPr>
                            </w:pPr>
                            <w:r w:rsidRPr="003A7956">
                              <w:rPr>
                                <w:sz w:val="18"/>
                                <w:szCs w:val="18"/>
                                <w:lang w:val="es-ES"/>
                              </w:rPr>
                              <w:t>COMPTOS</w:t>
                            </w:r>
                          </w:p>
                          <w:p w14:paraId="36BE8A15" w14:textId="77777777" w:rsidR="004E2CFD" w:rsidRPr="003A7956" w:rsidRDefault="004E2CFD" w:rsidP="004C3423">
                            <w:pPr>
                              <w:spacing w:after="0"/>
                              <w:ind w:firstLine="0"/>
                              <w:jc w:val="center"/>
                              <w:rPr>
                                <w:sz w:val="18"/>
                                <w:szCs w:val="18"/>
                                <w:lang w:val="es-ES"/>
                              </w:rPr>
                            </w:pPr>
                            <w:r w:rsidRPr="003A7956">
                              <w:rPr>
                                <w:sz w:val="18"/>
                                <w:szCs w:val="18"/>
                                <w:lang w:val="es-ES"/>
                              </w:rPr>
                              <w:t>DE NAVARRA</w:t>
                            </w:r>
                          </w:p>
                          <w:p w14:paraId="46C41BB3" w14:textId="77777777" w:rsidR="004E2CFD" w:rsidRPr="003A7956" w:rsidRDefault="004E2CFD" w:rsidP="004C3423">
                            <w:pPr>
                              <w:spacing w:after="0"/>
                              <w:ind w:firstLine="0"/>
                              <w:jc w:val="center"/>
                              <w:rPr>
                                <w:color w:val="808080"/>
                                <w:sz w:val="18"/>
                                <w:szCs w:val="18"/>
                                <w:lang w:val="es-ES"/>
                              </w:rPr>
                            </w:pPr>
                            <w:r w:rsidRPr="003A7956">
                              <w:rPr>
                                <w:color w:val="808080"/>
                                <w:sz w:val="18"/>
                                <w:szCs w:val="18"/>
                                <w:lang w:val="es-ES"/>
                              </w:rPr>
                              <w:t>NAFARROAKO</w:t>
                            </w:r>
                          </w:p>
                          <w:p w14:paraId="6C677439" w14:textId="77777777" w:rsidR="004E2CFD" w:rsidRPr="003A7956" w:rsidRDefault="004E2CFD" w:rsidP="004C3423">
                            <w:pPr>
                              <w:spacing w:after="0"/>
                              <w:ind w:firstLine="0"/>
                              <w:jc w:val="center"/>
                              <w:rPr>
                                <w:color w:val="808080"/>
                                <w:sz w:val="18"/>
                                <w:szCs w:val="18"/>
                                <w:lang w:val="es-ES"/>
                              </w:rPr>
                            </w:pPr>
                            <w:r w:rsidRPr="003A7956">
                              <w:rPr>
                                <w:color w:val="808080"/>
                                <w:sz w:val="18"/>
                                <w:szCs w:val="18"/>
                                <w:lang w:val="es-ES"/>
                              </w:rPr>
                              <w:t>KONTUEN</w:t>
                            </w:r>
                          </w:p>
                          <w:p w14:paraId="57E29283" w14:textId="77777777" w:rsidR="004E2CFD" w:rsidRPr="003A7956" w:rsidRDefault="004E2CFD" w:rsidP="004C3423">
                            <w:pPr>
                              <w:spacing w:after="0"/>
                              <w:ind w:firstLine="0"/>
                              <w:jc w:val="center"/>
                              <w:rPr>
                                <w:color w:val="808080"/>
                                <w:sz w:val="18"/>
                                <w:szCs w:val="18"/>
                                <w:lang w:val="es-ES"/>
                              </w:rPr>
                            </w:pPr>
                            <w:r w:rsidRPr="003A7956">
                              <w:rPr>
                                <w:color w:val="808080"/>
                                <w:sz w:val="18"/>
                                <w:szCs w:val="18"/>
                                <w:lang w:val="es-ES"/>
                              </w:rPr>
                              <w:t>GANBERA</w:t>
                            </w:r>
                          </w:p>
                          <w:p w14:paraId="2A1B8355" w14:textId="77777777" w:rsidR="004E2CFD" w:rsidRPr="002C7026" w:rsidRDefault="004E2CFD"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4B11E" id="_x0000_t202" coordsize="21600,21600" o:spt="202" path="m,l,21600r21600,l21600,xe">
                <v:stroke joinstyle="miter"/>
                <v:path gradientshapeok="t" o:connecttype="rect"/>
              </v:shapetype>
              <v:shape id="Text Box 7" o:spid="_x0000_s1026" type="#_x0000_t202" style="position:absolute;left:0;text-align:left;margin-left:-12.35pt;margin-top:-64.3pt;width:91.15pt;height: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" stroked="f" strokecolor="white">
                <v:textbox>
                  <w:txbxContent>
                    <w:p w14:paraId="5CBCA413" w14:textId="77777777" w:rsidR="004E2CFD" w:rsidRPr="003A7956" w:rsidRDefault="004E2CFD" w:rsidP="004C3423">
                      <w:pPr>
                        <w:spacing w:after="0"/>
                        <w:ind w:firstLine="0"/>
                        <w:jc w:val="center"/>
                        <w:rPr>
                          <w:sz w:val="18"/>
                          <w:szCs w:val="18"/>
                          <w:lang w:val="es-ES"/>
                        </w:rPr>
                      </w:pPr>
                      <w:r w:rsidRPr="003A7956">
                        <w:rPr>
                          <w:sz w:val="18"/>
                          <w:szCs w:val="18"/>
                          <w:lang w:val="es-ES"/>
                        </w:rPr>
                        <w:t>CAMARA DE</w:t>
                      </w:r>
                    </w:p>
                    <w:p w14:paraId="4BEF4F35" w14:textId="77777777" w:rsidR="004E2CFD" w:rsidRPr="003A7956" w:rsidRDefault="004E2CFD" w:rsidP="004C3423">
                      <w:pPr>
                        <w:spacing w:after="0"/>
                        <w:ind w:firstLine="0"/>
                        <w:jc w:val="center"/>
                        <w:rPr>
                          <w:sz w:val="18"/>
                          <w:szCs w:val="18"/>
                          <w:lang w:val="es-ES"/>
                        </w:rPr>
                      </w:pPr>
                      <w:r w:rsidRPr="003A7956">
                        <w:rPr>
                          <w:sz w:val="18"/>
                          <w:szCs w:val="18"/>
                          <w:lang w:val="es-ES"/>
                        </w:rPr>
                        <w:t>COMPTOS</w:t>
                      </w:r>
                    </w:p>
                    <w:p w14:paraId="36BE8A15" w14:textId="77777777" w:rsidR="004E2CFD" w:rsidRPr="003A7956" w:rsidRDefault="004E2CFD" w:rsidP="004C3423">
                      <w:pPr>
                        <w:spacing w:after="0"/>
                        <w:ind w:firstLine="0"/>
                        <w:jc w:val="center"/>
                        <w:rPr>
                          <w:sz w:val="18"/>
                          <w:szCs w:val="18"/>
                          <w:lang w:val="es-ES"/>
                        </w:rPr>
                      </w:pPr>
                      <w:r w:rsidRPr="003A7956">
                        <w:rPr>
                          <w:sz w:val="18"/>
                          <w:szCs w:val="18"/>
                          <w:lang w:val="es-ES"/>
                        </w:rPr>
                        <w:t>DE NAVARRA</w:t>
                      </w:r>
                    </w:p>
                    <w:p w14:paraId="46C41BB3" w14:textId="77777777" w:rsidR="004E2CFD" w:rsidRPr="003A7956" w:rsidRDefault="004E2CFD" w:rsidP="004C3423">
                      <w:pPr>
                        <w:spacing w:after="0"/>
                        <w:ind w:firstLine="0"/>
                        <w:jc w:val="center"/>
                        <w:rPr>
                          <w:color w:val="808080"/>
                          <w:sz w:val="18"/>
                          <w:szCs w:val="18"/>
                          <w:lang w:val="es-ES"/>
                        </w:rPr>
                      </w:pPr>
                      <w:r w:rsidRPr="003A7956">
                        <w:rPr>
                          <w:color w:val="808080"/>
                          <w:sz w:val="18"/>
                          <w:szCs w:val="18"/>
                          <w:lang w:val="es-ES"/>
                        </w:rPr>
                        <w:t>NAFARROAKO</w:t>
                      </w:r>
                    </w:p>
                    <w:p w14:paraId="6C677439" w14:textId="77777777" w:rsidR="004E2CFD" w:rsidRPr="003A7956" w:rsidRDefault="004E2CFD" w:rsidP="004C3423">
                      <w:pPr>
                        <w:spacing w:after="0"/>
                        <w:ind w:firstLine="0"/>
                        <w:jc w:val="center"/>
                        <w:rPr>
                          <w:color w:val="808080"/>
                          <w:sz w:val="18"/>
                          <w:szCs w:val="18"/>
                          <w:lang w:val="es-ES"/>
                        </w:rPr>
                      </w:pPr>
                      <w:r w:rsidRPr="003A7956">
                        <w:rPr>
                          <w:color w:val="808080"/>
                          <w:sz w:val="18"/>
                          <w:szCs w:val="18"/>
                          <w:lang w:val="es-ES"/>
                        </w:rPr>
                        <w:t>KONTUEN</w:t>
                      </w:r>
                    </w:p>
                    <w:p w14:paraId="57E29283" w14:textId="77777777" w:rsidR="004E2CFD" w:rsidRPr="003A7956" w:rsidRDefault="004E2CFD" w:rsidP="004C3423">
                      <w:pPr>
                        <w:spacing w:after="0"/>
                        <w:ind w:firstLine="0"/>
                        <w:jc w:val="center"/>
                        <w:rPr>
                          <w:color w:val="808080"/>
                          <w:sz w:val="18"/>
                          <w:szCs w:val="18"/>
                          <w:lang w:val="es-ES"/>
                        </w:rPr>
                      </w:pPr>
                      <w:r w:rsidRPr="003A7956">
                        <w:rPr>
                          <w:color w:val="808080"/>
                          <w:sz w:val="18"/>
                          <w:szCs w:val="18"/>
                          <w:lang w:val="es-ES"/>
                        </w:rPr>
                        <w:t>GANBERA</w:t>
                      </w:r>
                    </w:p>
                    <w:p w14:paraId="2A1B8355" w14:textId="77777777" w:rsidR="004E2CFD" w:rsidRPr="002C7026" w:rsidRDefault="004E2CFD"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02078646" w14:textId="77777777" w:rsidR="00345C6C" w:rsidRDefault="00345C6C" w:rsidP="00075677">
      <w:pPr>
        <w:pStyle w:val="cuadroCabe"/>
      </w:pPr>
    </w:p>
    <w:p w14:paraId="75B6D6F6" w14:textId="77777777" w:rsidR="00345C6C" w:rsidRPr="00204979" w:rsidRDefault="00345C6C" w:rsidP="00075677">
      <w:pPr>
        <w:pStyle w:val="cuadroCabe"/>
      </w:pPr>
    </w:p>
    <w:p w14:paraId="72EB17B2" w14:textId="77777777" w:rsidR="00345C6C" w:rsidRPr="00B81E61" w:rsidRDefault="00345C6C" w:rsidP="00345C6C">
      <w:pPr>
        <w:pStyle w:val="EstiloPortada"/>
        <w:ind w:left="3780"/>
        <w:rPr>
          <w:color w:val="000000" w:themeColor="text1"/>
        </w:rPr>
      </w:pPr>
      <w:r w:rsidRPr="00B81E61">
        <w:rPr>
          <w:color w:val="000000" w:themeColor="text1"/>
        </w:rPr>
        <w:t xml:space="preserve">Sector público local </w:t>
      </w:r>
    </w:p>
    <w:p w14:paraId="3FF8F8CF" w14:textId="77777777" w:rsidR="00345C6C" w:rsidRPr="00B81E61" w:rsidRDefault="00345C6C" w:rsidP="00345C6C">
      <w:pPr>
        <w:pStyle w:val="EstiloPortada"/>
        <w:ind w:left="3780"/>
        <w:rPr>
          <w:color w:val="000000" w:themeColor="text1"/>
        </w:rPr>
      </w:pPr>
      <w:r w:rsidRPr="00B81E61">
        <w:rPr>
          <w:color w:val="000000" w:themeColor="text1"/>
        </w:rPr>
        <w:t>de Navarra, 20</w:t>
      </w:r>
      <w:r w:rsidR="00A3668A">
        <w:rPr>
          <w:color w:val="000000" w:themeColor="text1"/>
        </w:rPr>
        <w:t>20</w:t>
      </w:r>
    </w:p>
    <w:p w14:paraId="4D6DF264" w14:textId="77777777" w:rsidR="001C3A32" w:rsidRPr="00204979" w:rsidRDefault="001C3A32" w:rsidP="00891D73">
      <w:pPr>
        <w:pStyle w:val="texto"/>
      </w:pPr>
    </w:p>
    <w:p w14:paraId="0DF8D454" w14:textId="77777777" w:rsidR="001C3A32" w:rsidRPr="00204979" w:rsidRDefault="001C3A32" w:rsidP="00891D73">
      <w:pPr>
        <w:pStyle w:val="texto"/>
      </w:pPr>
    </w:p>
    <w:p w14:paraId="1DF64082" w14:textId="77777777" w:rsidR="002F2530" w:rsidRPr="00204979" w:rsidRDefault="002F2530" w:rsidP="00891D73">
      <w:pPr>
        <w:pStyle w:val="texto"/>
      </w:pPr>
    </w:p>
    <w:p w14:paraId="0B15723A" w14:textId="77777777" w:rsidR="002F2530" w:rsidRPr="00204979" w:rsidRDefault="002F2530" w:rsidP="00891D73">
      <w:pPr>
        <w:pStyle w:val="texto"/>
      </w:pPr>
    </w:p>
    <w:p w14:paraId="50CBDAFC" w14:textId="77777777" w:rsidR="001C3A32" w:rsidRPr="00204979" w:rsidRDefault="001C3A32" w:rsidP="00891D73">
      <w:pPr>
        <w:pStyle w:val="texto"/>
      </w:pPr>
    </w:p>
    <w:p w14:paraId="379CCD10" w14:textId="77777777" w:rsidR="001C3A32" w:rsidRPr="00204979" w:rsidRDefault="001C3A32" w:rsidP="00891D73">
      <w:pPr>
        <w:pStyle w:val="texto"/>
      </w:pPr>
    </w:p>
    <w:p w14:paraId="37305F16" w14:textId="77777777" w:rsidR="001C3A32" w:rsidRPr="00204979" w:rsidRDefault="001C3A32" w:rsidP="00891D73">
      <w:pPr>
        <w:pStyle w:val="texto"/>
      </w:pPr>
    </w:p>
    <w:p w14:paraId="55BC8D8E" w14:textId="77777777" w:rsidR="001C3A32" w:rsidRPr="00204979" w:rsidRDefault="001C3A32" w:rsidP="00891D73">
      <w:pPr>
        <w:pStyle w:val="texto"/>
      </w:pPr>
    </w:p>
    <w:p w14:paraId="3D8F7420" w14:textId="189EAAF4" w:rsidR="001C3A32" w:rsidRDefault="001C3A32" w:rsidP="00891D73">
      <w:pPr>
        <w:pStyle w:val="texto"/>
      </w:pPr>
    </w:p>
    <w:p w14:paraId="1A110B24" w14:textId="5E63DEE7" w:rsidR="00C91EFD" w:rsidRDefault="00C91EFD" w:rsidP="00891D73">
      <w:pPr>
        <w:pStyle w:val="texto"/>
      </w:pPr>
    </w:p>
    <w:p w14:paraId="386B32AA" w14:textId="1E516B5A" w:rsidR="00C91EFD" w:rsidRDefault="00C91EFD" w:rsidP="00891D73">
      <w:pPr>
        <w:pStyle w:val="texto"/>
      </w:pPr>
    </w:p>
    <w:p w14:paraId="34902952" w14:textId="77777777" w:rsidR="00C91EFD" w:rsidRPr="00204979" w:rsidRDefault="00C91EFD" w:rsidP="00891D73">
      <w:pPr>
        <w:pStyle w:val="texto"/>
      </w:pPr>
    </w:p>
    <w:p w14:paraId="4366CCE9" w14:textId="77777777" w:rsidR="001C3A32" w:rsidRPr="00204979" w:rsidRDefault="001C3A32" w:rsidP="00891D73">
      <w:pPr>
        <w:pStyle w:val="texto"/>
      </w:pPr>
    </w:p>
    <w:p w14:paraId="59CFE5F4" w14:textId="77777777" w:rsidR="001C3A32" w:rsidRPr="00204979" w:rsidRDefault="001C3A32" w:rsidP="00891D73">
      <w:pPr>
        <w:pStyle w:val="texto"/>
      </w:pPr>
    </w:p>
    <w:p w14:paraId="17B59D48" w14:textId="77777777" w:rsidR="001C3A32" w:rsidRPr="00204979" w:rsidRDefault="001C3A32" w:rsidP="00891D73">
      <w:pPr>
        <w:pStyle w:val="texto"/>
      </w:pPr>
    </w:p>
    <w:p w14:paraId="2D5F8C41" w14:textId="77777777" w:rsidR="001C3A32" w:rsidRPr="00204979" w:rsidRDefault="001C3A32" w:rsidP="00891D73">
      <w:pPr>
        <w:pStyle w:val="texto"/>
      </w:pPr>
    </w:p>
    <w:p w14:paraId="45945CD3" w14:textId="77777777" w:rsidR="001C3A32" w:rsidRPr="00204979" w:rsidRDefault="001C3A32" w:rsidP="00891D73">
      <w:pPr>
        <w:pStyle w:val="texto"/>
      </w:pPr>
    </w:p>
    <w:p w14:paraId="67B9E1DE" w14:textId="77777777" w:rsidR="00844F74" w:rsidRPr="00204979" w:rsidRDefault="00844F74" w:rsidP="00891D73">
      <w:pPr>
        <w:pStyle w:val="texto"/>
      </w:pPr>
    </w:p>
    <w:p w14:paraId="611AEBF8" w14:textId="081373C4" w:rsidR="00716463" w:rsidRPr="001D4F09" w:rsidRDefault="00C91EFD" w:rsidP="009936FC">
      <w:pPr>
        <w:pStyle w:val="Fechaportada"/>
      </w:pPr>
      <w:r>
        <w:t xml:space="preserve">Enero </w:t>
      </w:r>
      <w:r w:rsidR="00345C6C">
        <w:t>de 202</w:t>
      </w:r>
      <w:r>
        <w:t>3</w:t>
      </w:r>
    </w:p>
    <w:p w14:paraId="60DB7FA1" w14:textId="77777777" w:rsidR="008E3FFE" w:rsidRPr="001D4F09" w:rsidRDefault="008E3FFE" w:rsidP="00891D73">
      <w:pPr>
        <w:pStyle w:val="ndice"/>
        <w:rPr>
          <w:rFonts w:ascii="Times New Roman" w:hAnsi="Times New Roman"/>
        </w:rPr>
        <w:sectPr w:rsidR="008E3FFE" w:rsidRPr="001D4F09" w:rsidSect="0019660E">
          <w:headerReference w:type="even" r:id="rId8"/>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14:paraId="4DE9DFED" w14:textId="77777777" w:rsidR="00345C6C" w:rsidRPr="004248BF" w:rsidRDefault="00345C6C" w:rsidP="00345C6C">
      <w:pPr>
        <w:pStyle w:val="ndice"/>
        <w:rPr>
          <w:color w:val="000000" w:themeColor="text1"/>
        </w:rPr>
      </w:pPr>
      <w:r w:rsidRPr="004248BF">
        <w:rPr>
          <w:color w:val="000000" w:themeColor="text1"/>
        </w:rPr>
        <w:lastRenderedPageBreak/>
        <w:t>Índice</w:t>
      </w:r>
    </w:p>
    <w:sdt>
      <w:sdtPr>
        <w:rPr>
          <w:rFonts w:ascii="Times New Roman" w:hAnsi="Times New Roman"/>
          <w:smallCaps w:val="0"/>
          <w:sz w:val="20"/>
        </w:rPr>
        <w:id w:val="-58942241"/>
        <w:docPartObj>
          <w:docPartGallery w:val="Table of Contents"/>
          <w:docPartUnique/>
        </w:docPartObj>
      </w:sdtPr>
      <w:sdtEndPr>
        <w:rPr>
          <w:rFonts w:ascii="Arial Narrow" w:hAnsi="Arial Narrow"/>
          <w:b/>
          <w:bCs/>
          <w:smallCaps/>
          <w:sz w:val="22"/>
        </w:rPr>
      </w:sdtEndPr>
      <w:sdtContent>
        <w:p w14:paraId="5F236441" w14:textId="16BCBF7F" w:rsidR="00095E01" w:rsidRDefault="00DA0A2D">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\u </w:instrText>
          </w:r>
          <w:r>
            <w:fldChar w:fldCharType="separate"/>
          </w:r>
          <w:hyperlink w:anchor="_Toc123724189" w:history="1">
            <w:r w:rsidR="00095E01" w:rsidRPr="00705DEA">
              <w:rPr>
                <w:rStyle w:val="Hipervnculo"/>
                <w:noProof/>
              </w:rPr>
              <w:t>I. Introducción</w:t>
            </w:r>
            <w:r w:rsidR="00095E01">
              <w:rPr>
                <w:noProof/>
                <w:webHidden/>
              </w:rPr>
              <w:tab/>
            </w:r>
            <w:r w:rsidR="00095E01">
              <w:rPr>
                <w:noProof/>
                <w:webHidden/>
              </w:rPr>
              <w:fldChar w:fldCharType="begin"/>
            </w:r>
            <w:r w:rsidR="00095E01">
              <w:rPr>
                <w:noProof/>
                <w:webHidden/>
              </w:rPr>
              <w:instrText xml:space="preserve"> PAGEREF _Toc123724189 \h </w:instrText>
            </w:r>
            <w:r w:rsidR="00095E01">
              <w:rPr>
                <w:noProof/>
                <w:webHidden/>
              </w:rPr>
            </w:r>
            <w:r w:rsidR="00095E01">
              <w:rPr>
                <w:noProof/>
                <w:webHidden/>
              </w:rPr>
              <w:fldChar w:fldCharType="separate"/>
            </w:r>
            <w:r w:rsidR="0045539E">
              <w:rPr>
                <w:noProof/>
                <w:webHidden/>
              </w:rPr>
              <w:t>3</w:t>
            </w:r>
            <w:r w:rsidR="00095E01">
              <w:rPr>
                <w:noProof/>
                <w:webHidden/>
              </w:rPr>
              <w:fldChar w:fldCharType="end"/>
            </w:r>
          </w:hyperlink>
        </w:p>
        <w:p w14:paraId="6BCA08E6" w14:textId="42E8E7A7" w:rsidR="00095E01" w:rsidRDefault="0045539E">
          <w:pPr>
            <w:pStyle w:val="TDC1"/>
            <w:rPr>
              <w:rFonts w:asciiTheme="minorHAnsi" w:eastAsiaTheme="minorEastAsia" w:hAnsiTheme="minorHAnsi" w:cstheme="minorBidi"/>
              <w:smallCaps w:val="0"/>
              <w:noProof/>
              <w:szCs w:val="22"/>
              <w:lang w:val="es-ES" w:eastAsia="es-ES"/>
            </w:rPr>
          </w:pPr>
          <w:hyperlink w:anchor="_Toc123724190" w:history="1">
            <w:r w:rsidR="00095E01" w:rsidRPr="00705DEA">
              <w:rPr>
                <w:rStyle w:val="Hipervnculo"/>
                <w:noProof/>
              </w:rPr>
              <w:t>II. Objetivos, alcance y limitaciones</w:t>
            </w:r>
            <w:r w:rsidR="00095E01">
              <w:rPr>
                <w:noProof/>
                <w:webHidden/>
              </w:rPr>
              <w:tab/>
            </w:r>
            <w:r w:rsidR="00095E01">
              <w:rPr>
                <w:noProof/>
                <w:webHidden/>
              </w:rPr>
              <w:fldChar w:fldCharType="begin"/>
            </w:r>
            <w:r w:rsidR="00095E01">
              <w:rPr>
                <w:noProof/>
                <w:webHidden/>
              </w:rPr>
              <w:instrText xml:space="preserve"> PAGEREF _Toc123724190 \h </w:instrText>
            </w:r>
            <w:r w:rsidR="00095E01">
              <w:rPr>
                <w:noProof/>
                <w:webHidden/>
              </w:rPr>
            </w:r>
            <w:r w:rsidR="00095E01">
              <w:rPr>
                <w:noProof/>
                <w:webHidden/>
              </w:rPr>
              <w:fldChar w:fldCharType="separate"/>
            </w:r>
            <w:r>
              <w:rPr>
                <w:noProof/>
                <w:webHidden/>
              </w:rPr>
              <w:t>4</w:t>
            </w:r>
            <w:r w:rsidR="00095E01">
              <w:rPr>
                <w:noProof/>
                <w:webHidden/>
              </w:rPr>
              <w:fldChar w:fldCharType="end"/>
            </w:r>
          </w:hyperlink>
        </w:p>
        <w:p w14:paraId="40C43FFD" w14:textId="6FCD16CC" w:rsidR="00095E01" w:rsidRDefault="0045539E">
          <w:pPr>
            <w:pStyle w:val="TDC1"/>
            <w:rPr>
              <w:rFonts w:asciiTheme="minorHAnsi" w:eastAsiaTheme="minorEastAsia" w:hAnsiTheme="minorHAnsi" w:cstheme="minorBidi"/>
              <w:smallCaps w:val="0"/>
              <w:noProof/>
              <w:szCs w:val="22"/>
              <w:lang w:val="es-ES" w:eastAsia="es-ES"/>
            </w:rPr>
          </w:pPr>
          <w:hyperlink w:anchor="_Toc123724191" w:history="1">
            <w:r w:rsidR="00095E01" w:rsidRPr="00705DEA">
              <w:rPr>
                <w:rStyle w:val="Hipervnculo"/>
                <w:noProof/>
              </w:rPr>
              <w:t>III. Conclusiones y recomendaciones</w:t>
            </w:r>
            <w:r w:rsidR="00095E01">
              <w:rPr>
                <w:noProof/>
                <w:webHidden/>
              </w:rPr>
              <w:tab/>
            </w:r>
            <w:r w:rsidR="00095E01">
              <w:rPr>
                <w:noProof/>
                <w:webHidden/>
              </w:rPr>
              <w:fldChar w:fldCharType="begin"/>
            </w:r>
            <w:r w:rsidR="00095E01">
              <w:rPr>
                <w:noProof/>
                <w:webHidden/>
              </w:rPr>
              <w:instrText xml:space="preserve"> PAGEREF _Toc123724191 \h </w:instrText>
            </w:r>
            <w:r w:rsidR="00095E01">
              <w:rPr>
                <w:noProof/>
                <w:webHidden/>
              </w:rPr>
            </w:r>
            <w:r w:rsidR="00095E01">
              <w:rPr>
                <w:noProof/>
                <w:webHidden/>
              </w:rPr>
              <w:fldChar w:fldCharType="separate"/>
            </w:r>
            <w:r>
              <w:rPr>
                <w:noProof/>
                <w:webHidden/>
              </w:rPr>
              <w:t>6</w:t>
            </w:r>
            <w:r w:rsidR="00095E01">
              <w:rPr>
                <w:noProof/>
                <w:webHidden/>
              </w:rPr>
              <w:fldChar w:fldCharType="end"/>
            </w:r>
          </w:hyperlink>
        </w:p>
        <w:p w14:paraId="43D79E0F" w14:textId="7F129F43" w:rsidR="00095E01" w:rsidRDefault="0045539E">
          <w:pPr>
            <w:pStyle w:val="TDC2"/>
            <w:rPr>
              <w:rFonts w:asciiTheme="minorHAnsi" w:eastAsiaTheme="minorEastAsia" w:hAnsiTheme="minorHAnsi" w:cstheme="minorBidi"/>
              <w:noProof/>
              <w:szCs w:val="22"/>
              <w:lang w:val="es-ES" w:eastAsia="es-ES"/>
            </w:rPr>
          </w:pPr>
          <w:hyperlink w:anchor="_Toc123724192" w:history="1">
            <w:r w:rsidR="00095E01" w:rsidRPr="00705DEA">
              <w:rPr>
                <w:rStyle w:val="Hipervnculo"/>
                <w:noProof/>
              </w:rPr>
              <w:t>III.1 Conclusiones</w:t>
            </w:r>
            <w:r w:rsidR="00095E01">
              <w:rPr>
                <w:noProof/>
                <w:webHidden/>
              </w:rPr>
              <w:tab/>
            </w:r>
            <w:r w:rsidR="00095E01">
              <w:rPr>
                <w:noProof/>
                <w:webHidden/>
              </w:rPr>
              <w:fldChar w:fldCharType="begin"/>
            </w:r>
            <w:r w:rsidR="00095E01">
              <w:rPr>
                <w:noProof/>
                <w:webHidden/>
              </w:rPr>
              <w:instrText xml:space="preserve"> PAGEREF _Toc123724192 \h </w:instrText>
            </w:r>
            <w:r w:rsidR="00095E01">
              <w:rPr>
                <w:noProof/>
                <w:webHidden/>
              </w:rPr>
            </w:r>
            <w:r w:rsidR="00095E01">
              <w:rPr>
                <w:noProof/>
                <w:webHidden/>
              </w:rPr>
              <w:fldChar w:fldCharType="separate"/>
            </w:r>
            <w:r>
              <w:rPr>
                <w:noProof/>
                <w:webHidden/>
              </w:rPr>
              <w:t>6</w:t>
            </w:r>
            <w:r w:rsidR="00095E01">
              <w:rPr>
                <w:noProof/>
                <w:webHidden/>
              </w:rPr>
              <w:fldChar w:fldCharType="end"/>
            </w:r>
          </w:hyperlink>
        </w:p>
        <w:p w14:paraId="41D7746D" w14:textId="1F5DB61F" w:rsidR="00095E01" w:rsidRDefault="0045539E">
          <w:pPr>
            <w:pStyle w:val="TDC2"/>
            <w:rPr>
              <w:rFonts w:asciiTheme="minorHAnsi" w:eastAsiaTheme="minorEastAsia" w:hAnsiTheme="minorHAnsi" w:cstheme="minorBidi"/>
              <w:noProof/>
              <w:szCs w:val="22"/>
              <w:lang w:val="es-ES" w:eastAsia="es-ES"/>
            </w:rPr>
          </w:pPr>
          <w:hyperlink w:anchor="_Toc123724193" w:history="1">
            <w:r w:rsidR="00095E01" w:rsidRPr="00705DEA">
              <w:rPr>
                <w:rStyle w:val="Hipervnculo"/>
                <w:noProof/>
              </w:rPr>
              <w:t>III.2. Recomendaciones</w:t>
            </w:r>
            <w:r w:rsidR="00095E01">
              <w:rPr>
                <w:noProof/>
                <w:webHidden/>
              </w:rPr>
              <w:tab/>
            </w:r>
            <w:r w:rsidR="00095E01">
              <w:rPr>
                <w:noProof/>
                <w:webHidden/>
              </w:rPr>
              <w:fldChar w:fldCharType="begin"/>
            </w:r>
            <w:r w:rsidR="00095E01">
              <w:rPr>
                <w:noProof/>
                <w:webHidden/>
              </w:rPr>
              <w:instrText xml:space="preserve"> PAGEREF _Toc123724193 \h </w:instrText>
            </w:r>
            <w:r w:rsidR="00095E01">
              <w:rPr>
                <w:noProof/>
                <w:webHidden/>
              </w:rPr>
            </w:r>
            <w:r w:rsidR="00095E01">
              <w:rPr>
                <w:noProof/>
                <w:webHidden/>
              </w:rPr>
              <w:fldChar w:fldCharType="separate"/>
            </w:r>
            <w:r>
              <w:rPr>
                <w:noProof/>
                <w:webHidden/>
              </w:rPr>
              <w:t>10</w:t>
            </w:r>
            <w:r w:rsidR="00095E01">
              <w:rPr>
                <w:noProof/>
                <w:webHidden/>
              </w:rPr>
              <w:fldChar w:fldCharType="end"/>
            </w:r>
          </w:hyperlink>
        </w:p>
        <w:p w14:paraId="019A3E50" w14:textId="06EB3E33" w:rsidR="00095E01" w:rsidRDefault="0045539E">
          <w:pPr>
            <w:pStyle w:val="TDC1"/>
            <w:rPr>
              <w:rFonts w:asciiTheme="minorHAnsi" w:eastAsiaTheme="minorEastAsia" w:hAnsiTheme="minorHAnsi" w:cstheme="minorBidi"/>
              <w:smallCaps w:val="0"/>
              <w:noProof/>
              <w:szCs w:val="22"/>
              <w:lang w:val="es-ES" w:eastAsia="es-ES"/>
            </w:rPr>
          </w:pPr>
          <w:hyperlink w:anchor="_Toc123724194" w:history="1">
            <w:r w:rsidR="00095E01" w:rsidRPr="00705DEA">
              <w:rPr>
                <w:rStyle w:val="Hipervnculo"/>
                <w:noProof/>
              </w:rPr>
              <w:t>IV. Estructura organizativa y normativa del sector público local</w:t>
            </w:r>
            <w:r w:rsidR="00095E01">
              <w:rPr>
                <w:noProof/>
                <w:webHidden/>
              </w:rPr>
              <w:tab/>
            </w:r>
            <w:r w:rsidR="00095E01">
              <w:rPr>
                <w:noProof/>
                <w:webHidden/>
              </w:rPr>
              <w:fldChar w:fldCharType="begin"/>
            </w:r>
            <w:r w:rsidR="00095E01">
              <w:rPr>
                <w:noProof/>
                <w:webHidden/>
              </w:rPr>
              <w:instrText xml:space="preserve"> PAGEREF _Toc123724194 \h </w:instrText>
            </w:r>
            <w:r w:rsidR="00095E01">
              <w:rPr>
                <w:noProof/>
                <w:webHidden/>
              </w:rPr>
            </w:r>
            <w:r w:rsidR="00095E01">
              <w:rPr>
                <w:noProof/>
                <w:webHidden/>
              </w:rPr>
              <w:fldChar w:fldCharType="separate"/>
            </w:r>
            <w:r>
              <w:rPr>
                <w:noProof/>
                <w:webHidden/>
              </w:rPr>
              <w:t>13</w:t>
            </w:r>
            <w:r w:rsidR="00095E01">
              <w:rPr>
                <w:noProof/>
                <w:webHidden/>
              </w:rPr>
              <w:fldChar w:fldCharType="end"/>
            </w:r>
          </w:hyperlink>
        </w:p>
        <w:p w14:paraId="155525D5" w14:textId="5E999999" w:rsidR="00095E01" w:rsidRDefault="0045539E">
          <w:pPr>
            <w:pStyle w:val="TDC2"/>
            <w:rPr>
              <w:rFonts w:asciiTheme="minorHAnsi" w:eastAsiaTheme="minorEastAsia" w:hAnsiTheme="minorHAnsi" w:cstheme="minorBidi"/>
              <w:noProof/>
              <w:szCs w:val="22"/>
              <w:lang w:val="es-ES" w:eastAsia="es-ES"/>
            </w:rPr>
          </w:pPr>
          <w:hyperlink w:anchor="_Toc123724195" w:history="1">
            <w:r w:rsidR="00095E01" w:rsidRPr="00705DEA">
              <w:rPr>
                <w:rStyle w:val="Hipervnculo"/>
                <w:noProof/>
              </w:rPr>
              <w:t>IV.1. Estructura organizativa</w:t>
            </w:r>
            <w:r w:rsidR="00095E01">
              <w:rPr>
                <w:noProof/>
                <w:webHidden/>
              </w:rPr>
              <w:tab/>
            </w:r>
            <w:r w:rsidR="00095E01">
              <w:rPr>
                <w:noProof/>
                <w:webHidden/>
              </w:rPr>
              <w:fldChar w:fldCharType="begin"/>
            </w:r>
            <w:r w:rsidR="00095E01">
              <w:rPr>
                <w:noProof/>
                <w:webHidden/>
              </w:rPr>
              <w:instrText xml:space="preserve"> PAGEREF _Toc123724195 \h </w:instrText>
            </w:r>
            <w:r w:rsidR="00095E01">
              <w:rPr>
                <w:noProof/>
                <w:webHidden/>
              </w:rPr>
            </w:r>
            <w:r w:rsidR="00095E01">
              <w:rPr>
                <w:noProof/>
                <w:webHidden/>
              </w:rPr>
              <w:fldChar w:fldCharType="separate"/>
            </w:r>
            <w:r>
              <w:rPr>
                <w:noProof/>
                <w:webHidden/>
              </w:rPr>
              <w:t>13</w:t>
            </w:r>
            <w:r w:rsidR="00095E01">
              <w:rPr>
                <w:noProof/>
                <w:webHidden/>
              </w:rPr>
              <w:fldChar w:fldCharType="end"/>
            </w:r>
          </w:hyperlink>
        </w:p>
        <w:p w14:paraId="7E991AA4" w14:textId="3DAF5590" w:rsidR="00095E01" w:rsidRDefault="0045539E">
          <w:pPr>
            <w:pStyle w:val="TDC2"/>
            <w:rPr>
              <w:rFonts w:asciiTheme="minorHAnsi" w:eastAsiaTheme="minorEastAsia" w:hAnsiTheme="minorHAnsi" w:cstheme="minorBidi"/>
              <w:noProof/>
              <w:szCs w:val="22"/>
              <w:lang w:val="es-ES" w:eastAsia="es-ES"/>
            </w:rPr>
          </w:pPr>
          <w:hyperlink w:anchor="_Toc123724196" w:history="1">
            <w:r w:rsidR="00095E01" w:rsidRPr="00705DEA">
              <w:rPr>
                <w:rStyle w:val="Hipervnculo"/>
                <w:noProof/>
              </w:rPr>
              <w:t>IV.2. Medidas legislativas planteadas para la racionalización del sector público local</w:t>
            </w:r>
            <w:r w:rsidR="00095E01">
              <w:rPr>
                <w:noProof/>
                <w:webHidden/>
              </w:rPr>
              <w:tab/>
            </w:r>
            <w:r w:rsidR="00095E01">
              <w:rPr>
                <w:noProof/>
                <w:webHidden/>
              </w:rPr>
              <w:fldChar w:fldCharType="begin"/>
            </w:r>
            <w:r w:rsidR="00095E01">
              <w:rPr>
                <w:noProof/>
                <w:webHidden/>
              </w:rPr>
              <w:instrText xml:space="preserve"> PAGEREF _Toc123724196 \h </w:instrText>
            </w:r>
            <w:r w:rsidR="00095E01">
              <w:rPr>
                <w:noProof/>
                <w:webHidden/>
              </w:rPr>
            </w:r>
            <w:r w:rsidR="00095E01">
              <w:rPr>
                <w:noProof/>
                <w:webHidden/>
              </w:rPr>
              <w:fldChar w:fldCharType="separate"/>
            </w:r>
            <w:r>
              <w:rPr>
                <w:noProof/>
                <w:webHidden/>
              </w:rPr>
              <w:t>16</w:t>
            </w:r>
            <w:r w:rsidR="00095E01">
              <w:rPr>
                <w:noProof/>
                <w:webHidden/>
              </w:rPr>
              <w:fldChar w:fldCharType="end"/>
            </w:r>
          </w:hyperlink>
        </w:p>
        <w:p w14:paraId="52A00F1C" w14:textId="3BD8146E" w:rsidR="00095E01" w:rsidRDefault="0045539E">
          <w:pPr>
            <w:pStyle w:val="TDC2"/>
            <w:rPr>
              <w:rFonts w:asciiTheme="minorHAnsi" w:eastAsiaTheme="minorEastAsia" w:hAnsiTheme="minorHAnsi" w:cstheme="minorBidi"/>
              <w:noProof/>
              <w:szCs w:val="22"/>
              <w:lang w:val="es-ES" w:eastAsia="es-ES"/>
            </w:rPr>
          </w:pPr>
          <w:hyperlink w:anchor="_Toc123724197" w:history="1">
            <w:r w:rsidR="00095E01" w:rsidRPr="00705DEA">
              <w:rPr>
                <w:rStyle w:val="Hipervnculo"/>
                <w:noProof/>
              </w:rPr>
              <w:t>IV.3. Normativa aprobada en 2020</w:t>
            </w:r>
            <w:r w:rsidR="00095E01">
              <w:rPr>
                <w:noProof/>
                <w:webHidden/>
              </w:rPr>
              <w:tab/>
            </w:r>
            <w:r w:rsidR="00095E01">
              <w:rPr>
                <w:noProof/>
                <w:webHidden/>
              </w:rPr>
              <w:fldChar w:fldCharType="begin"/>
            </w:r>
            <w:r w:rsidR="00095E01">
              <w:rPr>
                <w:noProof/>
                <w:webHidden/>
              </w:rPr>
              <w:instrText xml:space="preserve"> PAGEREF _Toc123724197 \h </w:instrText>
            </w:r>
            <w:r w:rsidR="00095E01">
              <w:rPr>
                <w:noProof/>
                <w:webHidden/>
              </w:rPr>
            </w:r>
            <w:r w:rsidR="00095E01">
              <w:rPr>
                <w:noProof/>
                <w:webHidden/>
              </w:rPr>
              <w:fldChar w:fldCharType="separate"/>
            </w:r>
            <w:r>
              <w:rPr>
                <w:noProof/>
                <w:webHidden/>
              </w:rPr>
              <w:t>16</w:t>
            </w:r>
            <w:r w:rsidR="00095E01">
              <w:rPr>
                <w:noProof/>
                <w:webHidden/>
              </w:rPr>
              <w:fldChar w:fldCharType="end"/>
            </w:r>
          </w:hyperlink>
        </w:p>
        <w:p w14:paraId="61707B43" w14:textId="22C8778E" w:rsidR="00095E01" w:rsidRDefault="0045539E">
          <w:pPr>
            <w:pStyle w:val="TDC1"/>
            <w:rPr>
              <w:rFonts w:asciiTheme="minorHAnsi" w:eastAsiaTheme="minorEastAsia" w:hAnsiTheme="minorHAnsi" w:cstheme="minorBidi"/>
              <w:smallCaps w:val="0"/>
              <w:noProof/>
              <w:szCs w:val="22"/>
              <w:lang w:val="es-ES" w:eastAsia="es-ES"/>
            </w:rPr>
          </w:pPr>
          <w:hyperlink w:anchor="_Toc123724198" w:history="1">
            <w:r w:rsidR="00095E01" w:rsidRPr="00705DEA">
              <w:rPr>
                <w:rStyle w:val="Hipervnculo"/>
                <w:noProof/>
              </w:rPr>
              <w:t>V. Memoria-resumen de las actuaciones de fiscalización referidas al ejercicio 2020</w:t>
            </w:r>
            <w:r w:rsidR="00095E01">
              <w:rPr>
                <w:noProof/>
                <w:webHidden/>
              </w:rPr>
              <w:tab/>
            </w:r>
            <w:r w:rsidR="00095E01">
              <w:rPr>
                <w:noProof/>
                <w:webHidden/>
              </w:rPr>
              <w:fldChar w:fldCharType="begin"/>
            </w:r>
            <w:r w:rsidR="00095E01">
              <w:rPr>
                <w:noProof/>
                <w:webHidden/>
              </w:rPr>
              <w:instrText xml:space="preserve"> PAGEREF _Toc123724198 \h </w:instrText>
            </w:r>
            <w:r w:rsidR="00095E01">
              <w:rPr>
                <w:noProof/>
                <w:webHidden/>
              </w:rPr>
            </w:r>
            <w:r w:rsidR="00095E01">
              <w:rPr>
                <w:noProof/>
                <w:webHidden/>
              </w:rPr>
              <w:fldChar w:fldCharType="separate"/>
            </w:r>
            <w:r>
              <w:rPr>
                <w:noProof/>
                <w:webHidden/>
              </w:rPr>
              <w:t>18</w:t>
            </w:r>
            <w:r w:rsidR="00095E01">
              <w:rPr>
                <w:noProof/>
                <w:webHidden/>
              </w:rPr>
              <w:fldChar w:fldCharType="end"/>
            </w:r>
          </w:hyperlink>
        </w:p>
        <w:p w14:paraId="3335AE3B" w14:textId="46152CD3" w:rsidR="00095E01" w:rsidRDefault="0045539E">
          <w:pPr>
            <w:pStyle w:val="TDC1"/>
            <w:rPr>
              <w:rFonts w:asciiTheme="minorHAnsi" w:eastAsiaTheme="minorEastAsia" w:hAnsiTheme="minorHAnsi" w:cstheme="minorBidi"/>
              <w:smallCaps w:val="0"/>
              <w:noProof/>
              <w:szCs w:val="22"/>
              <w:lang w:val="es-ES" w:eastAsia="es-ES"/>
            </w:rPr>
          </w:pPr>
          <w:hyperlink w:anchor="_Toc123724199" w:history="1">
            <w:r w:rsidR="00095E01" w:rsidRPr="00705DEA">
              <w:rPr>
                <w:rStyle w:val="Hipervnculo"/>
                <w:noProof/>
              </w:rPr>
              <w:t>VI. Situación financiera del sector público local</w:t>
            </w:r>
            <w:r w:rsidR="00095E01">
              <w:rPr>
                <w:noProof/>
                <w:webHidden/>
              </w:rPr>
              <w:tab/>
            </w:r>
            <w:r w:rsidR="00095E01">
              <w:rPr>
                <w:noProof/>
                <w:webHidden/>
              </w:rPr>
              <w:fldChar w:fldCharType="begin"/>
            </w:r>
            <w:r w:rsidR="00095E01">
              <w:rPr>
                <w:noProof/>
                <w:webHidden/>
              </w:rPr>
              <w:instrText xml:space="preserve"> PAGEREF _Toc123724199 \h </w:instrText>
            </w:r>
            <w:r w:rsidR="00095E01">
              <w:rPr>
                <w:noProof/>
                <w:webHidden/>
              </w:rPr>
            </w:r>
            <w:r w:rsidR="00095E01">
              <w:rPr>
                <w:noProof/>
                <w:webHidden/>
              </w:rPr>
              <w:fldChar w:fldCharType="separate"/>
            </w:r>
            <w:r>
              <w:rPr>
                <w:noProof/>
                <w:webHidden/>
              </w:rPr>
              <w:t>20</w:t>
            </w:r>
            <w:r w:rsidR="00095E01">
              <w:rPr>
                <w:noProof/>
                <w:webHidden/>
              </w:rPr>
              <w:fldChar w:fldCharType="end"/>
            </w:r>
          </w:hyperlink>
        </w:p>
        <w:p w14:paraId="2D69CEB3" w14:textId="4DE37558" w:rsidR="00095E01" w:rsidRDefault="0045539E">
          <w:pPr>
            <w:pStyle w:val="TDC2"/>
            <w:rPr>
              <w:rFonts w:asciiTheme="minorHAnsi" w:eastAsiaTheme="minorEastAsia" w:hAnsiTheme="minorHAnsi" w:cstheme="minorBidi"/>
              <w:noProof/>
              <w:szCs w:val="22"/>
              <w:lang w:val="es-ES" w:eastAsia="es-ES"/>
            </w:rPr>
          </w:pPr>
          <w:hyperlink w:anchor="_Toc123724200" w:history="1">
            <w:r w:rsidR="00095E01" w:rsidRPr="00705DEA">
              <w:rPr>
                <w:rStyle w:val="Hipervnculo"/>
                <w:noProof/>
              </w:rPr>
              <w:t>VI.1. Ingresos</w:t>
            </w:r>
            <w:r w:rsidR="00095E01">
              <w:rPr>
                <w:noProof/>
                <w:webHidden/>
              </w:rPr>
              <w:tab/>
            </w:r>
            <w:r w:rsidR="00095E01">
              <w:rPr>
                <w:noProof/>
                <w:webHidden/>
              </w:rPr>
              <w:fldChar w:fldCharType="begin"/>
            </w:r>
            <w:r w:rsidR="00095E01">
              <w:rPr>
                <w:noProof/>
                <w:webHidden/>
              </w:rPr>
              <w:instrText xml:space="preserve"> PAGEREF _Toc123724200 \h </w:instrText>
            </w:r>
            <w:r w:rsidR="00095E01">
              <w:rPr>
                <w:noProof/>
                <w:webHidden/>
              </w:rPr>
            </w:r>
            <w:r w:rsidR="00095E01">
              <w:rPr>
                <w:noProof/>
                <w:webHidden/>
              </w:rPr>
              <w:fldChar w:fldCharType="separate"/>
            </w:r>
            <w:r>
              <w:rPr>
                <w:noProof/>
                <w:webHidden/>
              </w:rPr>
              <w:t>20</w:t>
            </w:r>
            <w:r w:rsidR="00095E01">
              <w:rPr>
                <w:noProof/>
                <w:webHidden/>
              </w:rPr>
              <w:fldChar w:fldCharType="end"/>
            </w:r>
          </w:hyperlink>
        </w:p>
        <w:p w14:paraId="4F2B6485" w14:textId="0275C6C5" w:rsidR="00095E01" w:rsidRDefault="0045539E">
          <w:pPr>
            <w:pStyle w:val="TDC2"/>
            <w:rPr>
              <w:rFonts w:asciiTheme="minorHAnsi" w:eastAsiaTheme="minorEastAsia" w:hAnsiTheme="minorHAnsi" w:cstheme="minorBidi"/>
              <w:noProof/>
              <w:szCs w:val="22"/>
              <w:lang w:val="es-ES" w:eastAsia="es-ES"/>
            </w:rPr>
          </w:pPr>
          <w:hyperlink w:anchor="_Toc123724201" w:history="1">
            <w:r w:rsidR="00095E01" w:rsidRPr="00705DEA">
              <w:rPr>
                <w:rStyle w:val="Hipervnculo"/>
                <w:noProof/>
              </w:rPr>
              <w:t>VI.2. Gastos</w:t>
            </w:r>
            <w:r w:rsidR="00095E01">
              <w:rPr>
                <w:noProof/>
                <w:webHidden/>
              </w:rPr>
              <w:tab/>
            </w:r>
            <w:r w:rsidR="00095E01">
              <w:rPr>
                <w:noProof/>
                <w:webHidden/>
              </w:rPr>
              <w:fldChar w:fldCharType="begin"/>
            </w:r>
            <w:r w:rsidR="00095E01">
              <w:rPr>
                <w:noProof/>
                <w:webHidden/>
              </w:rPr>
              <w:instrText xml:space="preserve"> PAGEREF _Toc123724201 \h </w:instrText>
            </w:r>
            <w:r w:rsidR="00095E01">
              <w:rPr>
                <w:noProof/>
                <w:webHidden/>
              </w:rPr>
            </w:r>
            <w:r w:rsidR="00095E01">
              <w:rPr>
                <w:noProof/>
                <w:webHidden/>
              </w:rPr>
              <w:fldChar w:fldCharType="separate"/>
            </w:r>
            <w:r>
              <w:rPr>
                <w:noProof/>
                <w:webHidden/>
              </w:rPr>
              <w:t>22</w:t>
            </w:r>
            <w:r w:rsidR="00095E01">
              <w:rPr>
                <w:noProof/>
                <w:webHidden/>
              </w:rPr>
              <w:fldChar w:fldCharType="end"/>
            </w:r>
          </w:hyperlink>
        </w:p>
        <w:p w14:paraId="4EBC24B2" w14:textId="534B9AC8" w:rsidR="00095E01" w:rsidRDefault="0045539E">
          <w:pPr>
            <w:pStyle w:val="TDC2"/>
            <w:rPr>
              <w:rFonts w:asciiTheme="minorHAnsi" w:eastAsiaTheme="minorEastAsia" w:hAnsiTheme="minorHAnsi" w:cstheme="minorBidi"/>
              <w:noProof/>
              <w:szCs w:val="22"/>
              <w:lang w:val="es-ES" w:eastAsia="es-ES"/>
            </w:rPr>
          </w:pPr>
          <w:hyperlink w:anchor="_Toc123724202" w:history="1">
            <w:r w:rsidR="00095E01" w:rsidRPr="00705DEA">
              <w:rPr>
                <w:rStyle w:val="Hipervnculo"/>
                <w:noProof/>
              </w:rPr>
              <w:t>VI.3. Indicadores</w:t>
            </w:r>
            <w:r w:rsidR="00095E01">
              <w:rPr>
                <w:noProof/>
                <w:webHidden/>
              </w:rPr>
              <w:tab/>
            </w:r>
            <w:r w:rsidR="00095E01">
              <w:rPr>
                <w:noProof/>
                <w:webHidden/>
              </w:rPr>
              <w:fldChar w:fldCharType="begin"/>
            </w:r>
            <w:r w:rsidR="00095E01">
              <w:rPr>
                <w:noProof/>
                <w:webHidden/>
              </w:rPr>
              <w:instrText xml:space="preserve"> PAGEREF _Toc123724202 \h </w:instrText>
            </w:r>
            <w:r w:rsidR="00095E01">
              <w:rPr>
                <w:noProof/>
                <w:webHidden/>
              </w:rPr>
            </w:r>
            <w:r w:rsidR="00095E01">
              <w:rPr>
                <w:noProof/>
                <w:webHidden/>
              </w:rPr>
              <w:fldChar w:fldCharType="separate"/>
            </w:r>
            <w:r>
              <w:rPr>
                <w:noProof/>
                <w:webHidden/>
              </w:rPr>
              <w:t>25</w:t>
            </w:r>
            <w:r w:rsidR="00095E01">
              <w:rPr>
                <w:noProof/>
                <w:webHidden/>
              </w:rPr>
              <w:fldChar w:fldCharType="end"/>
            </w:r>
          </w:hyperlink>
        </w:p>
        <w:p w14:paraId="22D8AD76" w14:textId="15E52CF6" w:rsidR="00095E01" w:rsidRDefault="0045539E">
          <w:pPr>
            <w:pStyle w:val="TDC2"/>
            <w:rPr>
              <w:rFonts w:asciiTheme="minorHAnsi" w:eastAsiaTheme="minorEastAsia" w:hAnsiTheme="minorHAnsi" w:cstheme="minorBidi"/>
              <w:noProof/>
              <w:szCs w:val="22"/>
              <w:lang w:val="es-ES" w:eastAsia="es-ES"/>
            </w:rPr>
          </w:pPr>
          <w:hyperlink w:anchor="_Toc123724203" w:history="1">
            <w:r w:rsidR="00095E01" w:rsidRPr="00705DEA">
              <w:rPr>
                <w:rStyle w:val="Hipervnculo"/>
                <w:noProof/>
              </w:rPr>
              <w:t>VI.4. Incidencia de la Covid-19</w:t>
            </w:r>
            <w:r w:rsidR="00095E01">
              <w:rPr>
                <w:noProof/>
                <w:webHidden/>
              </w:rPr>
              <w:tab/>
            </w:r>
            <w:r w:rsidR="00095E01">
              <w:rPr>
                <w:noProof/>
                <w:webHidden/>
              </w:rPr>
              <w:fldChar w:fldCharType="begin"/>
            </w:r>
            <w:r w:rsidR="00095E01">
              <w:rPr>
                <w:noProof/>
                <w:webHidden/>
              </w:rPr>
              <w:instrText xml:space="preserve"> PAGEREF _Toc123724203 \h </w:instrText>
            </w:r>
            <w:r w:rsidR="00095E01">
              <w:rPr>
                <w:noProof/>
                <w:webHidden/>
              </w:rPr>
            </w:r>
            <w:r w:rsidR="00095E01">
              <w:rPr>
                <w:noProof/>
                <w:webHidden/>
              </w:rPr>
              <w:fldChar w:fldCharType="separate"/>
            </w:r>
            <w:r>
              <w:rPr>
                <w:noProof/>
                <w:webHidden/>
              </w:rPr>
              <w:t>27</w:t>
            </w:r>
            <w:r w:rsidR="00095E01">
              <w:rPr>
                <w:noProof/>
                <w:webHidden/>
              </w:rPr>
              <w:fldChar w:fldCharType="end"/>
            </w:r>
          </w:hyperlink>
        </w:p>
        <w:p w14:paraId="6D8357D0" w14:textId="66340F44" w:rsidR="00095E01" w:rsidRDefault="0045539E">
          <w:pPr>
            <w:pStyle w:val="TDC2"/>
            <w:rPr>
              <w:rFonts w:asciiTheme="minorHAnsi" w:eastAsiaTheme="minorEastAsia" w:hAnsiTheme="minorHAnsi" w:cstheme="minorBidi"/>
              <w:noProof/>
              <w:szCs w:val="22"/>
              <w:lang w:val="es-ES" w:eastAsia="es-ES"/>
            </w:rPr>
          </w:pPr>
          <w:hyperlink w:anchor="_Toc123724204" w:history="1">
            <w:r w:rsidR="00095E01" w:rsidRPr="00705DEA">
              <w:rPr>
                <w:rStyle w:val="Hipervnculo"/>
                <w:noProof/>
              </w:rPr>
              <w:t>VI.5. Objetivos de estabilidad presupuestaria y sostenibilidad financiera</w:t>
            </w:r>
            <w:r w:rsidR="00095E01">
              <w:rPr>
                <w:noProof/>
                <w:webHidden/>
              </w:rPr>
              <w:tab/>
            </w:r>
            <w:r w:rsidR="00095E01">
              <w:rPr>
                <w:noProof/>
                <w:webHidden/>
              </w:rPr>
              <w:fldChar w:fldCharType="begin"/>
            </w:r>
            <w:r w:rsidR="00095E01">
              <w:rPr>
                <w:noProof/>
                <w:webHidden/>
              </w:rPr>
              <w:instrText xml:space="preserve"> PAGEREF _Toc123724204 \h </w:instrText>
            </w:r>
            <w:r w:rsidR="00095E01">
              <w:rPr>
                <w:noProof/>
                <w:webHidden/>
              </w:rPr>
            </w:r>
            <w:r w:rsidR="00095E01">
              <w:rPr>
                <w:noProof/>
                <w:webHidden/>
              </w:rPr>
              <w:fldChar w:fldCharType="separate"/>
            </w:r>
            <w:r>
              <w:rPr>
                <w:noProof/>
                <w:webHidden/>
              </w:rPr>
              <w:t>29</w:t>
            </w:r>
            <w:r w:rsidR="00095E01">
              <w:rPr>
                <w:noProof/>
                <w:webHidden/>
              </w:rPr>
              <w:fldChar w:fldCharType="end"/>
            </w:r>
          </w:hyperlink>
        </w:p>
        <w:p w14:paraId="62CCBF7F" w14:textId="4F01BEB0" w:rsidR="00095E01" w:rsidRDefault="0045539E">
          <w:pPr>
            <w:pStyle w:val="TDC1"/>
            <w:rPr>
              <w:rFonts w:asciiTheme="minorHAnsi" w:eastAsiaTheme="minorEastAsia" w:hAnsiTheme="minorHAnsi" w:cstheme="minorBidi"/>
              <w:smallCaps w:val="0"/>
              <w:noProof/>
              <w:szCs w:val="22"/>
              <w:lang w:val="es-ES" w:eastAsia="es-ES"/>
            </w:rPr>
          </w:pPr>
          <w:hyperlink w:anchor="_Toc123724205" w:history="1">
            <w:r w:rsidR="00095E01" w:rsidRPr="00705DEA">
              <w:rPr>
                <w:rStyle w:val="Hipervnculo"/>
                <w:noProof/>
              </w:rPr>
              <w:t>VII. Contratación administrativa</w:t>
            </w:r>
            <w:r w:rsidR="00095E01">
              <w:rPr>
                <w:noProof/>
                <w:webHidden/>
              </w:rPr>
              <w:tab/>
            </w:r>
            <w:r w:rsidR="00095E01">
              <w:rPr>
                <w:noProof/>
                <w:webHidden/>
              </w:rPr>
              <w:fldChar w:fldCharType="begin"/>
            </w:r>
            <w:r w:rsidR="00095E01">
              <w:rPr>
                <w:noProof/>
                <w:webHidden/>
              </w:rPr>
              <w:instrText xml:space="preserve"> PAGEREF _Toc123724205 \h </w:instrText>
            </w:r>
            <w:r w:rsidR="00095E01">
              <w:rPr>
                <w:noProof/>
                <w:webHidden/>
              </w:rPr>
            </w:r>
            <w:r w:rsidR="00095E01">
              <w:rPr>
                <w:noProof/>
                <w:webHidden/>
              </w:rPr>
              <w:fldChar w:fldCharType="separate"/>
            </w:r>
            <w:r>
              <w:rPr>
                <w:noProof/>
                <w:webHidden/>
              </w:rPr>
              <w:t>31</w:t>
            </w:r>
            <w:r w:rsidR="00095E01">
              <w:rPr>
                <w:noProof/>
                <w:webHidden/>
              </w:rPr>
              <w:fldChar w:fldCharType="end"/>
            </w:r>
          </w:hyperlink>
        </w:p>
        <w:p w14:paraId="63DB4B91" w14:textId="43A49FDF" w:rsidR="00095E01" w:rsidRDefault="0045539E">
          <w:pPr>
            <w:pStyle w:val="TDC1"/>
            <w:rPr>
              <w:rFonts w:asciiTheme="minorHAnsi" w:eastAsiaTheme="minorEastAsia" w:hAnsiTheme="minorHAnsi" w:cstheme="minorBidi"/>
              <w:smallCaps w:val="0"/>
              <w:noProof/>
              <w:szCs w:val="22"/>
              <w:lang w:val="es-ES" w:eastAsia="es-ES"/>
            </w:rPr>
          </w:pPr>
          <w:hyperlink w:anchor="_Toc123724206" w:history="1">
            <w:r w:rsidR="00095E01" w:rsidRPr="00705DEA">
              <w:rPr>
                <w:rStyle w:val="Hipervnculo"/>
                <w:noProof/>
              </w:rPr>
              <w:t>VIII. Rendición de cuentas y aprobación de presupuestos</w:t>
            </w:r>
            <w:r w:rsidR="00095E01">
              <w:rPr>
                <w:noProof/>
                <w:webHidden/>
              </w:rPr>
              <w:tab/>
            </w:r>
            <w:r w:rsidR="00095E01">
              <w:rPr>
                <w:noProof/>
                <w:webHidden/>
              </w:rPr>
              <w:fldChar w:fldCharType="begin"/>
            </w:r>
            <w:r w:rsidR="00095E01">
              <w:rPr>
                <w:noProof/>
                <w:webHidden/>
              </w:rPr>
              <w:instrText xml:space="preserve"> PAGEREF _Toc123724206 \h </w:instrText>
            </w:r>
            <w:r w:rsidR="00095E01">
              <w:rPr>
                <w:noProof/>
                <w:webHidden/>
              </w:rPr>
            </w:r>
            <w:r w:rsidR="00095E01">
              <w:rPr>
                <w:noProof/>
                <w:webHidden/>
              </w:rPr>
              <w:fldChar w:fldCharType="separate"/>
            </w:r>
            <w:r>
              <w:rPr>
                <w:noProof/>
                <w:webHidden/>
              </w:rPr>
              <w:t>34</w:t>
            </w:r>
            <w:r w:rsidR="00095E01">
              <w:rPr>
                <w:noProof/>
                <w:webHidden/>
              </w:rPr>
              <w:fldChar w:fldCharType="end"/>
            </w:r>
          </w:hyperlink>
        </w:p>
        <w:p w14:paraId="6EEEF11C" w14:textId="01EF66A9" w:rsidR="00095E01" w:rsidRDefault="0045539E">
          <w:pPr>
            <w:pStyle w:val="TDC1"/>
            <w:rPr>
              <w:rFonts w:asciiTheme="minorHAnsi" w:eastAsiaTheme="minorEastAsia" w:hAnsiTheme="minorHAnsi" w:cstheme="minorBidi"/>
              <w:smallCaps w:val="0"/>
              <w:noProof/>
              <w:szCs w:val="22"/>
              <w:lang w:val="es-ES" w:eastAsia="es-ES"/>
            </w:rPr>
          </w:pPr>
          <w:hyperlink w:anchor="_Toc123724207" w:history="1">
            <w:r w:rsidR="00095E01" w:rsidRPr="00705DEA">
              <w:rPr>
                <w:rStyle w:val="Hipervnculo"/>
                <w:noProof/>
              </w:rPr>
              <w:t>IX. Control interno y reparos formulados por los órganos interventores</w:t>
            </w:r>
            <w:r w:rsidR="00095E01">
              <w:rPr>
                <w:noProof/>
                <w:webHidden/>
              </w:rPr>
              <w:tab/>
            </w:r>
            <w:r w:rsidR="00095E01">
              <w:rPr>
                <w:noProof/>
                <w:webHidden/>
              </w:rPr>
              <w:fldChar w:fldCharType="begin"/>
            </w:r>
            <w:r w:rsidR="00095E01">
              <w:rPr>
                <w:noProof/>
                <w:webHidden/>
              </w:rPr>
              <w:instrText xml:space="preserve"> PAGEREF _Toc123724207 \h </w:instrText>
            </w:r>
            <w:r w:rsidR="00095E01">
              <w:rPr>
                <w:noProof/>
                <w:webHidden/>
              </w:rPr>
            </w:r>
            <w:r w:rsidR="00095E01">
              <w:rPr>
                <w:noProof/>
                <w:webHidden/>
              </w:rPr>
              <w:fldChar w:fldCharType="separate"/>
            </w:r>
            <w:r>
              <w:rPr>
                <w:noProof/>
                <w:webHidden/>
              </w:rPr>
              <w:t>36</w:t>
            </w:r>
            <w:r w:rsidR="00095E01">
              <w:rPr>
                <w:noProof/>
                <w:webHidden/>
              </w:rPr>
              <w:fldChar w:fldCharType="end"/>
            </w:r>
          </w:hyperlink>
        </w:p>
        <w:p w14:paraId="5FA4AD8A" w14:textId="02C44F81" w:rsidR="00095E01" w:rsidRDefault="0045539E">
          <w:pPr>
            <w:pStyle w:val="TDC2"/>
            <w:rPr>
              <w:rFonts w:asciiTheme="minorHAnsi" w:eastAsiaTheme="minorEastAsia" w:hAnsiTheme="minorHAnsi" w:cstheme="minorBidi"/>
              <w:noProof/>
              <w:szCs w:val="22"/>
              <w:lang w:val="es-ES" w:eastAsia="es-ES"/>
            </w:rPr>
          </w:pPr>
          <w:hyperlink w:anchor="_Toc123724208" w:history="1">
            <w:r w:rsidR="00095E01" w:rsidRPr="00705DEA">
              <w:rPr>
                <w:rStyle w:val="Hipervnculo"/>
                <w:noProof/>
              </w:rPr>
              <w:t>IX.1. Cumplimiento de la obligación de remisión de la información solicitada</w:t>
            </w:r>
            <w:r w:rsidR="00095E01">
              <w:rPr>
                <w:noProof/>
                <w:webHidden/>
              </w:rPr>
              <w:tab/>
            </w:r>
            <w:r w:rsidR="00095E01">
              <w:rPr>
                <w:noProof/>
                <w:webHidden/>
              </w:rPr>
              <w:fldChar w:fldCharType="begin"/>
            </w:r>
            <w:r w:rsidR="00095E01">
              <w:rPr>
                <w:noProof/>
                <w:webHidden/>
              </w:rPr>
              <w:instrText xml:space="preserve"> PAGEREF _Toc123724208 \h </w:instrText>
            </w:r>
            <w:r w:rsidR="00095E01">
              <w:rPr>
                <w:noProof/>
                <w:webHidden/>
              </w:rPr>
            </w:r>
            <w:r w:rsidR="00095E01">
              <w:rPr>
                <w:noProof/>
                <w:webHidden/>
              </w:rPr>
              <w:fldChar w:fldCharType="separate"/>
            </w:r>
            <w:r>
              <w:rPr>
                <w:noProof/>
                <w:webHidden/>
              </w:rPr>
              <w:t>36</w:t>
            </w:r>
            <w:r w:rsidR="00095E01">
              <w:rPr>
                <w:noProof/>
                <w:webHidden/>
              </w:rPr>
              <w:fldChar w:fldCharType="end"/>
            </w:r>
          </w:hyperlink>
        </w:p>
        <w:p w14:paraId="4BA27667" w14:textId="2BCA7836" w:rsidR="00095E01" w:rsidRDefault="0045539E">
          <w:pPr>
            <w:pStyle w:val="TDC2"/>
            <w:rPr>
              <w:rFonts w:asciiTheme="minorHAnsi" w:eastAsiaTheme="minorEastAsia" w:hAnsiTheme="minorHAnsi" w:cstheme="minorBidi"/>
              <w:noProof/>
              <w:szCs w:val="22"/>
              <w:lang w:val="es-ES" w:eastAsia="es-ES"/>
            </w:rPr>
          </w:pPr>
          <w:hyperlink w:anchor="_Toc123724209" w:history="1">
            <w:r w:rsidR="00095E01" w:rsidRPr="00705DEA">
              <w:rPr>
                <w:rStyle w:val="Hipervnculo"/>
                <w:noProof/>
              </w:rPr>
              <w:t>IX.2. Control interno</w:t>
            </w:r>
            <w:r w:rsidR="00095E01">
              <w:rPr>
                <w:noProof/>
                <w:webHidden/>
              </w:rPr>
              <w:tab/>
            </w:r>
            <w:r w:rsidR="00095E01">
              <w:rPr>
                <w:noProof/>
                <w:webHidden/>
              </w:rPr>
              <w:fldChar w:fldCharType="begin"/>
            </w:r>
            <w:r w:rsidR="00095E01">
              <w:rPr>
                <w:noProof/>
                <w:webHidden/>
              </w:rPr>
              <w:instrText xml:space="preserve"> PAGEREF _Toc123724209 \h </w:instrText>
            </w:r>
            <w:r w:rsidR="00095E01">
              <w:rPr>
                <w:noProof/>
                <w:webHidden/>
              </w:rPr>
            </w:r>
            <w:r w:rsidR="00095E01">
              <w:rPr>
                <w:noProof/>
                <w:webHidden/>
              </w:rPr>
              <w:fldChar w:fldCharType="separate"/>
            </w:r>
            <w:r>
              <w:rPr>
                <w:noProof/>
                <w:webHidden/>
              </w:rPr>
              <w:t>36</w:t>
            </w:r>
            <w:r w:rsidR="00095E01">
              <w:rPr>
                <w:noProof/>
                <w:webHidden/>
              </w:rPr>
              <w:fldChar w:fldCharType="end"/>
            </w:r>
          </w:hyperlink>
        </w:p>
        <w:p w14:paraId="32A51D25" w14:textId="311D5FDD" w:rsidR="00095E01" w:rsidRDefault="0045539E">
          <w:pPr>
            <w:pStyle w:val="TDC2"/>
            <w:rPr>
              <w:rFonts w:asciiTheme="minorHAnsi" w:eastAsiaTheme="minorEastAsia" w:hAnsiTheme="minorHAnsi" w:cstheme="minorBidi"/>
              <w:noProof/>
              <w:szCs w:val="22"/>
              <w:lang w:val="es-ES" w:eastAsia="es-ES"/>
            </w:rPr>
          </w:pPr>
          <w:hyperlink w:anchor="_Toc123724210" w:history="1">
            <w:r w:rsidR="00095E01" w:rsidRPr="00705DEA">
              <w:rPr>
                <w:rStyle w:val="Hipervnculo"/>
                <w:noProof/>
              </w:rPr>
              <w:t>IX.3. Reparos</w:t>
            </w:r>
            <w:r w:rsidR="00095E01">
              <w:rPr>
                <w:noProof/>
                <w:webHidden/>
              </w:rPr>
              <w:tab/>
            </w:r>
            <w:r w:rsidR="00095E01">
              <w:rPr>
                <w:noProof/>
                <w:webHidden/>
              </w:rPr>
              <w:fldChar w:fldCharType="begin"/>
            </w:r>
            <w:r w:rsidR="00095E01">
              <w:rPr>
                <w:noProof/>
                <w:webHidden/>
              </w:rPr>
              <w:instrText xml:space="preserve"> PAGEREF _Toc123724210 \h </w:instrText>
            </w:r>
            <w:r w:rsidR="00095E01">
              <w:rPr>
                <w:noProof/>
                <w:webHidden/>
              </w:rPr>
            </w:r>
            <w:r w:rsidR="00095E01">
              <w:rPr>
                <w:noProof/>
                <w:webHidden/>
              </w:rPr>
              <w:fldChar w:fldCharType="separate"/>
            </w:r>
            <w:r>
              <w:rPr>
                <w:noProof/>
                <w:webHidden/>
              </w:rPr>
              <w:t>37</w:t>
            </w:r>
            <w:r w:rsidR="00095E01">
              <w:rPr>
                <w:noProof/>
                <w:webHidden/>
              </w:rPr>
              <w:fldChar w:fldCharType="end"/>
            </w:r>
          </w:hyperlink>
        </w:p>
        <w:p w14:paraId="035BD21D" w14:textId="3B732DE7" w:rsidR="00095E01" w:rsidRDefault="0045539E">
          <w:pPr>
            <w:pStyle w:val="TDC2"/>
            <w:rPr>
              <w:rFonts w:asciiTheme="minorHAnsi" w:eastAsiaTheme="minorEastAsia" w:hAnsiTheme="minorHAnsi" w:cstheme="minorBidi"/>
              <w:noProof/>
              <w:szCs w:val="22"/>
              <w:lang w:val="es-ES" w:eastAsia="es-ES"/>
            </w:rPr>
          </w:pPr>
          <w:hyperlink w:anchor="_Toc123724211" w:history="1">
            <w:r w:rsidR="00095E01" w:rsidRPr="00705DEA">
              <w:rPr>
                <w:rStyle w:val="Hipervnculo"/>
                <w:noProof/>
              </w:rPr>
              <w:t>IX.4. Principales anomalías en materia de ingresos</w:t>
            </w:r>
            <w:r w:rsidR="00095E01">
              <w:rPr>
                <w:noProof/>
                <w:webHidden/>
              </w:rPr>
              <w:tab/>
            </w:r>
            <w:r w:rsidR="00095E01">
              <w:rPr>
                <w:noProof/>
                <w:webHidden/>
              </w:rPr>
              <w:fldChar w:fldCharType="begin"/>
            </w:r>
            <w:r w:rsidR="00095E01">
              <w:rPr>
                <w:noProof/>
                <w:webHidden/>
              </w:rPr>
              <w:instrText xml:space="preserve"> PAGEREF _Toc123724211 \h </w:instrText>
            </w:r>
            <w:r w:rsidR="00095E01">
              <w:rPr>
                <w:noProof/>
                <w:webHidden/>
              </w:rPr>
            </w:r>
            <w:r w:rsidR="00095E01">
              <w:rPr>
                <w:noProof/>
                <w:webHidden/>
              </w:rPr>
              <w:fldChar w:fldCharType="separate"/>
            </w:r>
            <w:r>
              <w:rPr>
                <w:noProof/>
                <w:webHidden/>
              </w:rPr>
              <w:t>38</w:t>
            </w:r>
            <w:r w:rsidR="00095E01">
              <w:rPr>
                <w:noProof/>
                <w:webHidden/>
              </w:rPr>
              <w:fldChar w:fldCharType="end"/>
            </w:r>
          </w:hyperlink>
        </w:p>
        <w:p w14:paraId="74984274" w14:textId="4CCEE90C" w:rsidR="00095E01" w:rsidRDefault="0045539E">
          <w:pPr>
            <w:pStyle w:val="TDC1"/>
            <w:rPr>
              <w:rFonts w:asciiTheme="minorHAnsi" w:eastAsiaTheme="minorEastAsia" w:hAnsiTheme="minorHAnsi" w:cstheme="minorBidi"/>
              <w:smallCaps w:val="0"/>
              <w:noProof/>
              <w:szCs w:val="22"/>
              <w:lang w:val="es-ES" w:eastAsia="es-ES"/>
            </w:rPr>
          </w:pPr>
          <w:hyperlink w:anchor="_Toc123724212" w:history="1">
            <w:r w:rsidR="00095E01" w:rsidRPr="00705DEA">
              <w:rPr>
                <w:rStyle w:val="Hipervnculo"/>
                <w:noProof/>
              </w:rPr>
              <w:t>X. Análisis comparativo</w:t>
            </w:r>
            <w:r w:rsidR="00095E01">
              <w:rPr>
                <w:noProof/>
                <w:webHidden/>
              </w:rPr>
              <w:tab/>
            </w:r>
            <w:r w:rsidR="00095E01">
              <w:rPr>
                <w:noProof/>
                <w:webHidden/>
              </w:rPr>
              <w:fldChar w:fldCharType="begin"/>
            </w:r>
            <w:r w:rsidR="00095E01">
              <w:rPr>
                <w:noProof/>
                <w:webHidden/>
              </w:rPr>
              <w:instrText xml:space="preserve"> PAGEREF _Toc123724212 \h </w:instrText>
            </w:r>
            <w:r w:rsidR="00095E01">
              <w:rPr>
                <w:noProof/>
                <w:webHidden/>
              </w:rPr>
            </w:r>
            <w:r w:rsidR="00095E01">
              <w:rPr>
                <w:noProof/>
                <w:webHidden/>
              </w:rPr>
              <w:fldChar w:fldCharType="separate"/>
            </w:r>
            <w:r>
              <w:rPr>
                <w:noProof/>
                <w:webHidden/>
              </w:rPr>
              <w:t>39</w:t>
            </w:r>
            <w:r w:rsidR="00095E01">
              <w:rPr>
                <w:noProof/>
                <w:webHidden/>
              </w:rPr>
              <w:fldChar w:fldCharType="end"/>
            </w:r>
          </w:hyperlink>
        </w:p>
        <w:p w14:paraId="103A4485" w14:textId="4FC823ED" w:rsidR="00095E01" w:rsidRDefault="0045539E">
          <w:pPr>
            <w:pStyle w:val="TDC2"/>
            <w:rPr>
              <w:rFonts w:asciiTheme="minorHAnsi" w:eastAsiaTheme="minorEastAsia" w:hAnsiTheme="minorHAnsi" w:cstheme="minorBidi"/>
              <w:noProof/>
              <w:szCs w:val="22"/>
              <w:lang w:val="es-ES" w:eastAsia="es-ES"/>
            </w:rPr>
          </w:pPr>
          <w:hyperlink w:anchor="_Toc123724213" w:history="1">
            <w:r w:rsidR="00095E01" w:rsidRPr="00705DEA">
              <w:rPr>
                <w:rStyle w:val="Hipervnculo"/>
                <w:noProof/>
              </w:rPr>
              <w:t>X.1. Comparativa de ayuntamientos navarros por tramos de población</w:t>
            </w:r>
            <w:r w:rsidR="00095E01">
              <w:rPr>
                <w:noProof/>
                <w:webHidden/>
              </w:rPr>
              <w:tab/>
            </w:r>
            <w:r w:rsidR="00095E01">
              <w:rPr>
                <w:noProof/>
                <w:webHidden/>
              </w:rPr>
              <w:fldChar w:fldCharType="begin"/>
            </w:r>
            <w:r w:rsidR="00095E01">
              <w:rPr>
                <w:noProof/>
                <w:webHidden/>
              </w:rPr>
              <w:instrText xml:space="preserve"> PAGEREF _Toc123724213 \h </w:instrText>
            </w:r>
            <w:r w:rsidR="00095E01">
              <w:rPr>
                <w:noProof/>
                <w:webHidden/>
              </w:rPr>
            </w:r>
            <w:r w:rsidR="00095E01">
              <w:rPr>
                <w:noProof/>
                <w:webHidden/>
              </w:rPr>
              <w:fldChar w:fldCharType="separate"/>
            </w:r>
            <w:r>
              <w:rPr>
                <w:noProof/>
                <w:webHidden/>
              </w:rPr>
              <w:t>39</w:t>
            </w:r>
            <w:r w:rsidR="00095E01">
              <w:rPr>
                <w:noProof/>
                <w:webHidden/>
              </w:rPr>
              <w:fldChar w:fldCharType="end"/>
            </w:r>
          </w:hyperlink>
        </w:p>
        <w:p w14:paraId="266356D8" w14:textId="6EFF245C" w:rsidR="00095E01" w:rsidRPr="000D6E0F" w:rsidRDefault="0045539E">
          <w:pPr>
            <w:pStyle w:val="TDC2"/>
            <w:rPr>
              <w:rStyle w:val="Hipervnculo"/>
              <w:noProof/>
              <w:color w:val="auto"/>
            </w:rPr>
          </w:pPr>
          <w:hyperlink w:anchor="_Toc123724214" w:history="1">
            <w:r w:rsidR="00095E01" w:rsidRPr="00705DEA">
              <w:rPr>
                <w:rStyle w:val="Hipervnculo"/>
                <w:noProof/>
              </w:rPr>
              <w:t>X.2. Comparativa entre los ayuntamientos de Navarra, País Vasco y Estado</w:t>
            </w:r>
            <w:r w:rsidR="00095E01">
              <w:rPr>
                <w:noProof/>
                <w:webHidden/>
              </w:rPr>
              <w:tab/>
            </w:r>
            <w:r w:rsidR="00095E01">
              <w:rPr>
                <w:noProof/>
                <w:webHidden/>
              </w:rPr>
              <w:fldChar w:fldCharType="begin"/>
            </w:r>
            <w:r w:rsidR="00095E01">
              <w:rPr>
                <w:noProof/>
                <w:webHidden/>
              </w:rPr>
              <w:instrText xml:space="preserve"> PAGEREF _Toc123724214 \h </w:instrText>
            </w:r>
            <w:r w:rsidR="00095E01">
              <w:rPr>
                <w:noProof/>
                <w:webHidden/>
              </w:rPr>
            </w:r>
            <w:r w:rsidR="00095E01">
              <w:rPr>
                <w:noProof/>
                <w:webHidden/>
              </w:rPr>
              <w:fldChar w:fldCharType="separate"/>
            </w:r>
            <w:r>
              <w:rPr>
                <w:noProof/>
                <w:webHidden/>
              </w:rPr>
              <w:t>39</w:t>
            </w:r>
            <w:r w:rsidR="00095E01">
              <w:rPr>
                <w:noProof/>
                <w:webHidden/>
              </w:rPr>
              <w:fldChar w:fldCharType="end"/>
            </w:r>
          </w:hyperlink>
        </w:p>
        <w:p w14:paraId="22D9E964" w14:textId="77777777" w:rsidR="00095E01" w:rsidRPr="00095E01" w:rsidRDefault="00095E01" w:rsidP="00095E01">
          <w:pPr>
            <w:rPr>
              <w:rFonts w:eastAsiaTheme="minorEastAsia"/>
              <w:noProof/>
            </w:rPr>
          </w:pPr>
        </w:p>
        <w:p w14:paraId="4C075C9B" w14:textId="34EAD2B0" w:rsidR="00095E01" w:rsidRDefault="0045539E">
          <w:pPr>
            <w:pStyle w:val="TDC1"/>
            <w:rPr>
              <w:rFonts w:asciiTheme="minorHAnsi" w:eastAsiaTheme="minorEastAsia" w:hAnsiTheme="minorHAnsi" w:cstheme="minorBidi"/>
              <w:smallCaps w:val="0"/>
              <w:noProof/>
              <w:szCs w:val="22"/>
              <w:lang w:val="es-ES" w:eastAsia="es-ES"/>
            </w:rPr>
          </w:pPr>
          <w:hyperlink w:anchor="_Toc123724215" w:history="1">
            <w:r w:rsidR="00095E01" w:rsidRPr="00705DEA">
              <w:rPr>
                <w:rStyle w:val="Hipervnculo"/>
                <w:rFonts w:eastAsiaTheme="majorEastAsia"/>
                <w:noProof/>
                <w:lang w:eastAsia="es-ES"/>
              </w:rPr>
              <w:t>ANEXOS</w:t>
            </w:r>
            <w:r w:rsidR="00095E01">
              <w:rPr>
                <w:noProof/>
                <w:webHidden/>
              </w:rPr>
              <w:tab/>
            </w:r>
            <w:r w:rsidR="00095E01">
              <w:rPr>
                <w:noProof/>
                <w:webHidden/>
              </w:rPr>
              <w:fldChar w:fldCharType="begin"/>
            </w:r>
            <w:r w:rsidR="00095E01">
              <w:rPr>
                <w:noProof/>
                <w:webHidden/>
              </w:rPr>
              <w:instrText xml:space="preserve"> PAGEREF _Toc123724215 \h </w:instrText>
            </w:r>
            <w:r w:rsidR="00095E01">
              <w:rPr>
                <w:noProof/>
                <w:webHidden/>
              </w:rPr>
            </w:r>
            <w:r w:rsidR="00095E01">
              <w:rPr>
                <w:noProof/>
                <w:webHidden/>
              </w:rPr>
              <w:fldChar w:fldCharType="separate"/>
            </w:r>
            <w:r>
              <w:rPr>
                <w:noProof/>
                <w:webHidden/>
              </w:rPr>
              <w:t>43</w:t>
            </w:r>
            <w:r w:rsidR="00095E01">
              <w:rPr>
                <w:noProof/>
                <w:webHidden/>
              </w:rPr>
              <w:fldChar w:fldCharType="end"/>
            </w:r>
          </w:hyperlink>
        </w:p>
        <w:p w14:paraId="517892BB" w14:textId="0F83CA74" w:rsidR="00095E01" w:rsidRDefault="0045539E">
          <w:pPr>
            <w:pStyle w:val="TDC1"/>
            <w:rPr>
              <w:rFonts w:asciiTheme="minorHAnsi" w:eastAsiaTheme="minorEastAsia" w:hAnsiTheme="minorHAnsi" w:cstheme="minorBidi"/>
              <w:smallCaps w:val="0"/>
              <w:noProof/>
              <w:szCs w:val="22"/>
              <w:lang w:val="es-ES" w:eastAsia="es-ES"/>
            </w:rPr>
          </w:pPr>
          <w:hyperlink w:anchor="_Toc123724216" w:history="1">
            <w:r w:rsidR="00095E01" w:rsidRPr="00705DEA">
              <w:rPr>
                <w:rStyle w:val="Hipervnculo"/>
                <w:noProof/>
              </w:rPr>
              <w:t>Anexo 1. Normativa aplicable a las entidades locales</w:t>
            </w:r>
            <w:r w:rsidR="00095E01">
              <w:rPr>
                <w:noProof/>
                <w:webHidden/>
              </w:rPr>
              <w:tab/>
            </w:r>
            <w:r w:rsidR="00095E01">
              <w:rPr>
                <w:noProof/>
                <w:webHidden/>
              </w:rPr>
              <w:fldChar w:fldCharType="begin"/>
            </w:r>
            <w:r w:rsidR="00095E01">
              <w:rPr>
                <w:noProof/>
                <w:webHidden/>
              </w:rPr>
              <w:instrText xml:space="preserve"> PAGEREF _Toc123724216 \h </w:instrText>
            </w:r>
            <w:r w:rsidR="00095E01">
              <w:rPr>
                <w:noProof/>
                <w:webHidden/>
              </w:rPr>
            </w:r>
            <w:r w:rsidR="00095E01">
              <w:rPr>
                <w:noProof/>
                <w:webHidden/>
              </w:rPr>
              <w:fldChar w:fldCharType="separate"/>
            </w:r>
            <w:r>
              <w:rPr>
                <w:noProof/>
                <w:webHidden/>
              </w:rPr>
              <w:t>44</w:t>
            </w:r>
            <w:r w:rsidR="00095E01">
              <w:rPr>
                <w:noProof/>
                <w:webHidden/>
              </w:rPr>
              <w:fldChar w:fldCharType="end"/>
            </w:r>
          </w:hyperlink>
        </w:p>
        <w:p w14:paraId="19A1E368" w14:textId="68641790" w:rsidR="00095E01" w:rsidRDefault="0045539E">
          <w:pPr>
            <w:pStyle w:val="TDC2"/>
            <w:rPr>
              <w:rFonts w:asciiTheme="minorHAnsi" w:eastAsiaTheme="minorEastAsia" w:hAnsiTheme="minorHAnsi" w:cstheme="minorBidi"/>
              <w:noProof/>
              <w:szCs w:val="22"/>
              <w:lang w:val="es-ES" w:eastAsia="es-ES"/>
            </w:rPr>
          </w:pPr>
          <w:hyperlink w:anchor="_Toc123724217" w:history="1">
            <w:r w:rsidR="00095E01" w:rsidRPr="00705DEA">
              <w:rPr>
                <w:rStyle w:val="Hipervnculo"/>
                <w:noProof/>
              </w:rPr>
              <w:t>Principales normas aprobadas en 2020 aplicables al sector público local de Navarra</w:t>
            </w:r>
            <w:r w:rsidR="00095E01">
              <w:rPr>
                <w:noProof/>
                <w:webHidden/>
              </w:rPr>
              <w:tab/>
            </w:r>
            <w:r w:rsidR="00095E01">
              <w:rPr>
                <w:noProof/>
                <w:webHidden/>
              </w:rPr>
              <w:fldChar w:fldCharType="begin"/>
            </w:r>
            <w:r w:rsidR="00095E01">
              <w:rPr>
                <w:noProof/>
                <w:webHidden/>
              </w:rPr>
              <w:instrText xml:space="preserve"> PAGEREF _Toc123724217 \h </w:instrText>
            </w:r>
            <w:r w:rsidR="00095E01">
              <w:rPr>
                <w:noProof/>
                <w:webHidden/>
              </w:rPr>
            </w:r>
            <w:r w:rsidR="00095E01">
              <w:rPr>
                <w:noProof/>
                <w:webHidden/>
              </w:rPr>
              <w:fldChar w:fldCharType="separate"/>
            </w:r>
            <w:r>
              <w:rPr>
                <w:noProof/>
                <w:webHidden/>
              </w:rPr>
              <w:t>44</w:t>
            </w:r>
            <w:r w:rsidR="00095E01">
              <w:rPr>
                <w:noProof/>
                <w:webHidden/>
              </w:rPr>
              <w:fldChar w:fldCharType="end"/>
            </w:r>
          </w:hyperlink>
        </w:p>
        <w:p w14:paraId="729DCD97" w14:textId="282C5623" w:rsidR="00095E01" w:rsidRDefault="0045539E">
          <w:pPr>
            <w:pStyle w:val="TDC2"/>
            <w:rPr>
              <w:rFonts w:asciiTheme="minorHAnsi" w:eastAsiaTheme="minorEastAsia" w:hAnsiTheme="minorHAnsi" w:cstheme="minorBidi"/>
              <w:noProof/>
              <w:szCs w:val="22"/>
              <w:lang w:val="es-ES" w:eastAsia="es-ES"/>
            </w:rPr>
          </w:pPr>
          <w:hyperlink w:anchor="_Toc123724218" w:history="1">
            <w:r w:rsidR="00095E01" w:rsidRPr="00705DEA">
              <w:rPr>
                <w:rStyle w:val="Hipervnculo"/>
                <w:noProof/>
              </w:rPr>
              <w:t>Principales normas aplicables al sector público local de Navarra en el ejercicio 2020</w:t>
            </w:r>
            <w:r w:rsidR="00095E01">
              <w:rPr>
                <w:noProof/>
                <w:webHidden/>
              </w:rPr>
              <w:tab/>
            </w:r>
            <w:r w:rsidR="00095E01">
              <w:rPr>
                <w:noProof/>
                <w:webHidden/>
              </w:rPr>
              <w:fldChar w:fldCharType="begin"/>
            </w:r>
            <w:r w:rsidR="00095E01">
              <w:rPr>
                <w:noProof/>
                <w:webHidden/>
              </w:rPr>
              <w:instrText xml:space="preserve"> PAGEREF _Toc123724218 \h </w:instrText>
            </w:r>
            <w:r w:rsidR="00095E01">
              <w:rPr>
                <w:noProof/>
                <w:webHidden/>
              </w:rPr>
            </w:r>
            <w:r w:rsidR="00095E01">
              <w:rPr>
                <w:noProof/>
                <w:webHidden/>
              </w:rPr>
              <w:fldChar w:fldCharType="separate"/>
            </w:r>
            <w:r>
              <w:rPr>
                <w:noProof/>
                <w:webHidden/>
              </w:rPr>
              <w:t>46</w:t>
            </w:r>
            <w:r w:rsidR="00095E01">
              <w:rPr>
                <w:noProof/>
                <w:webHidden/>
              </w:rPr>
              <w:fldChar w:fldCharType="end"/>
            </w:r>
          </w:hyperlink>
        </w:p>
        <w:p w14:paraId="2AE51EA1" w14:textId="590A6D63" w:rsidR="00095E01" w:rsidRDefault="0045539E">
          <w:pPr>
            <w:pStyle w:val="TDC1"/>
            <w:rPr>
              <w:rFonts w:asciiTheme="minorHAnsi" w:eastAsiaTheme="minorEastAsia" w:hAnsiTheme="minorHAnsi" w:cstheme="minorBidi"/>
              <w:smallCaps w:val="0"/>
              <w:noProof/>
              <w:szCs w:val="22"/>
              <w:lang w:val="es-ES" w:eastAsia="es-ES"/>
            </w:rPr>
          </w:pPr>
          <w:hyperlink w:anchor="_Toc123724219" w:history="1">
            <w:r w:rsidR="00095E01" w:rsidRPr="00705DEA">
              <w:rPr>
                <w:rStyle w:val="Hipervnculo"/>
                <w:noProof/>
              </w:rPr>
              <w:t>Anexo 2. Situación financiera del sector público local de Navarra, año 2020</w:t>
            </w:r>
            <w:r w:rsidR="00095E01">
              <w:rPr>
                <w:noProof/>
                <w:webHidden/>
              </w:rPr>
              <w:tab/>
            </w:r>
            <w:r w:rsidR="00095E01">
              <w:rPr>
                <w:noProof/>
                <w:webHidden/>
              </w:rPr>
              <w:fldChar w:fldCharType="begin"/>
            </w:r>
            <w:r w:rsidR="00095E01">
              <w:rPr>
                <w:noProof/>
                <w:webHidden/>
              </w:rPr>
              <w:instrText xml:space="preserve"> PAGEREF _Toc123724219 \h </w:instrText>
            </w:r>
            <w:r w:rsidR="00095E01">
              <w:rPr>
                <w:noProof/>
                <w:webHidden/>
              </w:rPr>
            </w:r>
            <w:r w:rsidR="00095E01">
              <w:rPr>
                <w:noProof/>
                <w:webHidden/>
              </w:rPr>
              <w:fldChar w:fldCharType="separate"/>
            </w:r>
            <w:r>
              <w:rPr>
                <w:noProof/>
                <w:webHidden/>
              </w:rPr>
              <w:t>53</w:t>
            </w:r>
            <w:r w:rsidR="00095E01">
              <w:rPr>
                <w:noProof/>
                <w:webHidden/>
              </w:rPr>
              <w:fldChar w:fldCharType="end"/>
            </w:r>
          </w:hyperlink>
        </w:p>
        <w:p w14:paraId="1308CE84" w14:textId="18786E12" w:rsidR="00DA0A2D" w:rsidRDefault="00DA0A2D" w:rsidP="004B1F4E">
          <w:pPr>
            <w:pStyle w:val="TDC1"/>
          </w:pPr>
          <w:r>
            <w:rPr>
              <w:b/>
              <w:bCs/>
            </w:rPr>
            <w:fldChar w:fldCharType="end"/>
          </w:r>
        </w:p>
      </w:sdtContent>
    </w:sdt>
    <w:p w14:paraId="6115B3AA" w14:textId="77777777" w:rsidR="00822A40" w:rsidRDefault="00822A40" w:rsidP="00345C6C">
      <w:pPr>
        <w:rPr>
          <w:color w:val="000000" w:themeColor="text1"/>
        </w:rPr>
        <w:sectPr w:rsidR="00822A40" w:rsidSect="00822A40">
          <w:headerReference w:type="even" r:id="rId14"/>
          <w:footerReference w:type="default" r:id="rId15"/>
          <w:pgSz w:w="11907" w:h="16840" w:code="9"/>
          <w:pgMar w:top="2109" w:right="1559" w:bottom="1644" w:left="1559" w:header="369" w:footer="136" w:gutter="0"/>
          <w:pgNumType w:start="3"/>
          <w:cols w:space="720"/>
          <w:docGrid w:linePitch="360"/>
        </w:sectPr>
      </w:pPr>
    </w:p>
    <w:p w14:paraId="64EEA727" w14:textId="527808BA" w:rsidR="00345C6C" w:rsidRPr="00B43F2E" w:rsidRDefault="00345C6C" w:rsidP="00B43F2E">
      <w:pPr>
        <w:pStyle w:val="Ttulo1"/>
        <w:ind w:firstLine="0"/>
        <w:rPr>
          <w:szCs w:val="25"/>
        </w:rPr>
      </w:pP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52348283"/>
      <w:bookmarkStart w:id="8" w:name="_Toc88727708"/>
      <w:bookmarkStart w:id="9" w:name="_Toc123724189"/>
      <w:r w:rsidRPr="00B43F2E">
        <w:rPr>
          <w:szCs w:val="25"/>
        </w:rPr>
        <w:lastRenderedPageBreak/>
        <w:t>I. Introducción</w:t>
      </w:r>
      <w:bookmarkEnd w:id="0"/>
      <w:bookmarkEnd w:id="1"/>
      <w:bookmarkEnd w:id="2"/>
      <w:bookmarkEnd w:id="3"/>
      <w:bookmarkEnd w:id="4"/>
      <w:bookmarkEnd w:id="5"/>
      <w:bookmarkEnd w:id="6"/>
      <w:bookmarkEnd w:id="7"/>
      <w:bookmarkEnd w:id="8"/>
      <w:bookmarkEnd w:id="9"/>
    </w:p>
    <w:p w14:paraId="328F64BA" w14:textId="77777777" w:rsidR="00345C6C" w:rsidRPr="00B81E61" w:rsidRDefault="00345C6C" w:rsidP="00345C6C">
      <w:pPr>
        <w:pStyle w:val="texto"/>
        <w:rPr>
          <w:color w:val="000000" w:themeColor="text1"/>
        </w:rPr>
      </w:pPr>
      <w:r w:rsidRPr="00B81E61">
        <w:rPr>
          <w:color w:val="000000" w:themeColor="text1"/>
        </w:rPr>
        <w:t>El informe sobre el sector público local de Navarra se realiza, de acuerdo con la Ley Foral 19/1984, de 20 de diciembre, reguladora de la Cámara de Comptos, en cumplimiento de la Ley Foral 6/1990, de 2 de julio, de la Adm</w:t>
      </w:r>
      <w:r w:rsidR="00A3668A">
        <w:rPr>
          <w:color w:val="000000" w:themeColor="text1"/>
        </w:rPr>
        <w:t>inistración Local de Navarra</w:t>
      </w:r>
      <w:r w:rsidRPr="00B81E61">
        <w:rPr>
          <w:color w:val="000000" w:themeColor="text1"/>
        </w:rPr>
        <w:t>,</w:t>
      </w:r>
      <w:r w:rsidR="00A3668A">
        <w:rPr>
          <w:color w:val="000000" w:themeColor="text1"/>
        </w:rPr>
        <w:t xml:space="preserve"> cuyo</w:t>
      </w:r>
      <w:r w:rsidRPr="00B81E61">
        <w:rPr>
          <w:color w:val="000000" w:themeColor="text1"/>
        </w:rPr>
        <w:t xml:space="preserve"> artículo 350.2 establece la obligación de remitir anualmente al Parlamento y al Gobierno de Navarra una memoria-resumen de las actuaciones de fiscalización y control de la Cámara de Comptos en el ámbito de las entidades locales de Navarra.</w:t>
      </w:r>
    </w:p>
    <w:p w14:paraId="4217FA14" w14:textId="74853450" w:rsidR="00345C6C" w:rsidRPr="00B81E61" w:rsidRDefault="00345C6C" w:rsidP="00345C6C">
      <w:pPr>
        <w:pStyle w:val="texto"/>
        <w:rPr>
          <w:color w:val="000000" w:themeColor="text1"/>
        </w:rPr>
      </w:pPr>
      <w:r w:rsidRPr="00B81E61">
        <w:rPr>
          <w:color w:val="000000" w:themeColor="text1"/>
        </w:rPr>
        <w:t xml:space="preserve">Los plazos establecidos en la Ley Foral 2/1995, de 10 de marzo, de Haciendas Locales </w:t>
      </w:r>
      <w:r w:rsidR="00460B29">
        <w:rPr>
          <w:color w:val="000000" w:themeColor="text1"/>
        </w:rPr>
        <w:t xml:space="preserve">(LFHL) </w:t>
      </w:r>
      <w:r w:rsidRPr="00B81E61">
        <w:rPr>
          <w:color w:val="000000" w:themeColor="text1"/>
        </w:rPr>
        <w:t>para la aprobación y remisión al Gobierno de la Cuenta General de cada ejercicio por las entidades locales, y la complejidad del tratamiento de dicha información, explican que el informe relativo al ejercicio de 20</w:t>
      </w:r>
      <w:r w:rsidR="00A3668A">
        <w:rPr>
          <w:color w:val="000000" w:themeColor="text1"/>
        </w:rPr>
        <w:t>20</w:t>
      </w:r>
      <w:r w:rsidRPr="00B81E61">
        <w:rPr>
          <w:color w:val="000000" w:themeColor="text1"/>
        </w:rPr>
        <w:t xml:space="preserve"> no pueda realizarse con anterioridad.</w:t>
      </w:r>
    </w:p>
    <w:p w14:paraId="2CE1A82F" w14:textId="77777777" w:rsidR="00345C6C" w:rsidRPr="00B81E61" w:rsidRDefault="00345C6C" w:rsidP="00345C6C">
      <w:pPr>
        <w:pStyle w:val="texto"/>
        <w:rPr>
          <w:color w:val="000000" w:themeColor="text1"/>
        </w:rPr>
      </w:pPr>
      <w:r w:rsidRPr="00B81E61">
        <w:rPr>
          <w:color w:val="000000" w:themeColor="text1"/>
        </w:rPr>
        <w:t>El informe se acompaña, además, de dos anexos que contienen la normativa aplicable a las entidades locales de Navarra en 20</w:t>
      </w:r>
      <w:r w:rsidR="00A3668A">
        <w:rPr>
          <w:color w:val="000000" w:themeColor="text1"/>
        </w:rPr>
        <w:t>20</w:t>
      </w:r>
      <w:r w:rsidRPr="00B81E61">
        <w:rPr>
          <w:color w:val="000000" w:themeColor="text1"/>
        </w:rPr>
        <w:t xml:space="preserve"> y el informe elaborado por la Dirección General de Administración Local y Despoblación del Gobierno de Navarra </w:t>
      </w:r>
      <w:r w:rsidR="00CA5250">
        <w:rPr>
          <w:color w:val="000000" w:themeColor="text1"/>
        </w:rPr>
        <w:t xml:space="preserve">(DGALD) </w:t>
      </w:r>
      <w:r w:rsidRPr="00B81E61">
        <w:rPr>
          <w:color w:val="000000" w:themeColor="text1"/>
        </w:rPr>
        <w:t>sobre la situación financiera del sector público local en 20</w:t>
      </w:r>
      <w:r w:rsidR="00A3668A">
        <w:rPr>
          <w:color w:val="000000" w:themeColor="text1"/>
        </w:rPr>
        <w:t>20</w:t>
      </w:r>
      <w:r w:rsidRPr="00B81E61">
        <w:rPr>
          <w:color w:val="000000" w:themeColor="text1"/>
        </w:rPr>
        <w:t>.</w:t>
      </w:r>
    </w:p>
    <w:p w14:paraId="67FDE186" w14:textId="5997AF04" w:rsidR="00345C6C" w:rsidRPr="00B81E61" w:rsidRDefault="00345C6C" w:rsidP="00345C6C">
      <w:pPr>
        <w:pStyle w:val="texto"/>
        <w:rPr>
          <w:color w:val="000000" w:themeColor="text1"/>
        </w:rPr>
      </w:pPr>
      <w:r w:rsidRPr="00B81E61">
        <w:rPr>
          <w:color w:val="000000" w:themeColor="text1"/>
        </w:rPr>
        <w:t xml:space="preserve">El trabajo lo realizó </w:t>
      </w:r>
      <w:r w:rsidR="00B64D34">
        <w:rPr>
          <w:color w:val="000000" w:themeColor="text1"/>
        </w:rPr>
        <w:t>en los meses de</w:t>
      </w:r>
      <w:r w:rsidRPr="00B81E61">
        <w:rPr>
          <w:color w:val="000000" w:themeColor="text1"/>
        </w:rPr>
        <w:t xml:space="preserve"> </w:t>
      </w:r>
      <w:r>
        <w:rPr>
          <w:color w:val="000000" w:themeColor="text1"/>
        </w:rPr>
        <w:t xml:space="preserve">noviembre </w:t>
      </w:r>
      <w:r w:rsidR="00104149">
        <w:rPr>
          <w:color w:val="000000" w:themeColor="text1"/>
        </w:rPr>
        <w:t xml:space="preserve">y diciembre </w:t>
      </w:r>
      <w:r>
        <w:rPr>
          <w:color w:val="000000" w:themeColor="text1"/>
        </w:rPr>
        <w:t>de 202</w:t>
      </w:r>
      <w:r w:rsidR="00986B66">
        <w:rPr>
          <w:color w:val="000000" w:themeColor="text1"/>
        </w:rPr>
        <w:t>2</w:t>
      </w:r>
      <w:r w:rsidR="00A3668A">
        <w:rPr>
          <w:color w:val="000000" w:themeColor="text1"/>
        </w:rPr>
        <w:t xml:space="preserve"> un equipo integrado por dos</w:t>
      </w:r>
      <w:r w:rsidRPr="00B81E61">
        <w:rPr>
          <w:color w:val="000000" w:themeColor="text1"/>
        </w:rPr>
        <w:t xml:space="preserve"> técnica</w:t>
      </w:r>
      <w:r w:rsidR="00A3668A">
        <w:rPr>
          <w:color w:val="000000" w:themeColor="text1"/>
        </w:rPr>
        <w:t>s de auditoría y un auditor</w:t>
      </w:r>
      <w:r w:rsidRPr="00B81E61">
        <w:rPr>
          <w:color w:val="000000" w:themeColor="text1"/>
        </w:rPr>
        <w:t>, con la colaboración de los servicios jurídicos, informáticos y administrativos de la Cámara de Comptos.</w:t>
      </w:r>
    </w:p>
    <w:p w14:paraId="11C1B257" w14:textId="77777777" w:rsidR="00345C6C" w:rsidRDefault="00345C6C" w:rsidP="00345C6C">
      <w:pPr>
        <w:pStyle w:val="texto"/>
        <w:rPr>
          <w:color w:val="000000" w:themeColor="text1"/>
        </w:rPr>
      </w:pPr>
      <w:r w:rsidRPr="00B81E61">
        <w:rPr>
          <w:color w:val="000000" w:themeColor="text1"/>
        </w:rPr>
        <w:t>Agradecemos al personal de</w:t>
      </w:r>
      <w:r w:rsidR="00A3668A">
        <w:rPr>
          <w:color w:val="000000" w:themeColor="text1"/>
        </w:rPr>
        <w:t xml:space="preserve"> </w:t>
      </w:r>
      <w:r w:rsidRPr="00B81E61">
        <w:rPr>
          <w:color w:val="000000" w:themeColor="text1"/>
        </w:rPr>
        <w:t xml:space="preserve">la </w:t>
      </w:r>
      <w:r w:rsidR="00C26CF1">
        <w:rPr>
          <w:color w:val="000000" w:themeColor="text1"/>
        </w:rPr>
        <w:t>DGALD</w:t>
      </w:r>
      <w:r w:rsidR="00986B66">
        <w:rPr>
          <w:color w:val="000000" w:themeColor="text1"/>
        </w:rPr>
        <w:t>, de la Federación Navarra de Municipios y Concejos</w:t>
      </w:r>
      <w:r w:rsidR="00C26CF1">
        <w:rPr>
          <w:color w:val="000000" w:themeColor="text1"/>
        </w:rPr>
        <w:t xml:space="preserve"> y </w:t>
      </w:r>
      <w:r w:rsidR="00A3668A">
        <w:rPr>
          <w:color w:val="000000" w:themeColor="text1"/>
        </w:rPr>
        <w:t>de las entidades locales de Navarra</w:t>
      </w:r>
      <w:r w:rsidRPr="00B81E61">
        <w:rPr>
          <w:color w:val="000000" w:themeColor="text1"/>
        </w:rPr>
        <w:t>, la colaboración prestada en la realización del presente trabajo.</w:t>
      </w:r>
    </w:p>
    <w:p w14:paraId="4EE37338" w14:textId="77777777" w:rsidR="00A3668A" w:rsidRDefault="00A3668A" w:rsidP="00345C6C">
      <w:pPr>
        <w:pStyle w:val="texto"/>
        <w:rPr>
          <w:color w:val="000000" w:themeColor="text1"/>
        </w:rPr>
      </w:pPr>
      <w:r w:rsidRPr="00C26CF1">
        <w:rPr>
          <w:color w:val="000000" w:themeColor="text1"/>
        </w:rPr>
        <w:t>En relación con los importes monetarios del informe, se ha efectuado un redondeo para no mostrar los céntimos. Los datos presentados muestran siempre el redondeo de cada valor exacto y no la suma de los datos redondeados. Los porcentajes también se calculan sobre los valores exactos y no sobre los redondeados.</w:t>
      </w:r>
    </w:p>
    <w:p w14:paraId="06C80D5B" w14:textId="77777777" w:rsidR="00345C6C" w:rsidRPr="00822A40" w:rsidRDefault="00345C6C" w:rsidP="00345C6C">
      <w:pPr>
        <w:pStyle w:val="texto"/>
      </w:pPr>
    </w:p>
    <w:p w14:paraId="43B4FFA6" w14:textId="77777777" w:rsidR="00345C6C" w:rsidRDefault="00345C6C" w:rsidP="00345C6C">
      <w:pPr>
        <w:autoSpaceDE w:val="0"/>
        <w:autoSpaceDN w:val="0"/>
        <w:adjustRightInd w:val="0"/>
        <w:spacing w:after="0"/>
        <w:ind w:firstLine="0"/>
        <w:rPr>
          <w:color w:val="000000" w:themeColor="text1"/>
        </w:rPr>
      </w:pPr>
    </w:p>
    <w:p w14:paraId="11C067DD" w14:textId="77777777" w:rsidR="00683931" w:rsidRDefault="00683931" w:rsidP="00345C6C">
      <w:pPr>
        <w:autoSpaceDE w:val="0"/>
        <w:autoSpaceDN w:val="0"/>
        <w:adjustRightInd w:val="0"/>
        <w:spacing w:after="0"/>
        <w:ind w:firstLine="0"/>
        <w:rPr>
          <w:color w:val="000000" w:themeColor="text1"/>
        </w:rPr>
      </w:pPr>
    </w:p>
    <w:p w14:paraId="1D5D339F" w14:textId="77777777" w:rsidR="00683931" w:rsidRDefault="00683931" w:rsidP="00345C6C">
      <w:pPr>
        <w:autoSpaceDE w:val="0"/>
        <w:autoSpaceDN w:val="0"/>
        <w:adjustRightInd w:val="0"/>
        <w:spacing w:after="0"/>
        <w:ind w:firstLine="0"/>
        <w:rPr>
          <w:color w:val="000000" w:themeColor="text1"/>
        </w:rPr>
      </w:pPr>
    </w:p>
    <w:p w14:paraId="1B92264B" w14:textId="77777777" w:rsidR="00683931" w:rsidRDefault="00683931" w:rsidP="00345C6C">
      <w:pPr>
        <w:autoSpaceDE w:val="0"/>
        <w:autoSpaceDN w:val="0"/>
        <w:adjustRightInd w:val="0"/>
        <w:spacing w:after="0"/>
        <w:ind w:firstLine="0"/>
        <w:rPr>
          <w:color w:val="000000" w:themeColor="text1"/>
        </w:rPr>
      </w:pPr>
    </w:p>
    <w:p w14:paraId="50D3C251" w14:textId="77777777" w:rsidR="00683931" w:rsidRDefault="00683931" w:rsidP="00345C6C">
      <w:pPr>
        <w:autoSpaceDE w:val="0"/>
        <w:autoSpaceDN w:val="0"/>
        <w:adjustRightInd w:val="0"/>
        <w:spacing w:after="0"/>
        <w:ind w:firstLine="0"/>
        <w:rPr>
          <w:color w:val="000000" w:themeColor="text1"/>
        </w:rPr>
      </w:pPr>
    </w:p>
    <w:p w14:paraId="66D28AAB" w14:textId="77777777" w:rsidR="00683931" w:rsidRDefault="00683931" w:rsidP="00345C6C">
      <w:pPr>
        <w:autoSpaceDE w:val="0"/>
        <w:autoSpaceDN w:val="0"/>
        <w:adjustRightInd w:val="0"/>
        <w:spacing w:after="0"/>
        <w:ind w:firstLine="0"/>
        <w:rPr>
          <w:color w:val="000000" w:themeColor="text1"/>
        </w:rPr>
      </w:pPr>
    </w:p>
    <w:p w14:paraId="361EBBE1" w14:textId="77777777" w:rsidR="00683931" w:rsidRDefault="00683931" w:rsidP="00345C6C">
      <w:pPr>
        <w:autoSpaceDE w:val="0"/>
        <w:autoSpaceDN w:val="0"/>
        <w:adjustRightInd w:val="0"/>
        <w:spacing w:after="0"/>
        <w:ind w:firstLine="0"/>
        <w:rPr>
          <w:color w:val="000000" w:themeColor="text1"/>
        </w:rPr>
      </w:pPr>
    </w:p>
    <w:p w14:paraId="541A86F2" w14:textId="77777777" w:rsidR="00683931" w:rsidRDefault="00683931" w:rsidP="00345C6C">
      <w:pPr>
        <w:autoSpaceDE w:val="0"/>
        <w:autoSpaceDN w:val="0"/>
        <w:adjustRightInd w:val="0"/>
        <w:spacing w:after="0"/>
        <w:ind w:firstLine="0"/>
        <w:rPr>
          <w:color w:val="000000" w:themeColor="text1"/>
        </w:rPr>
      </w:pPr>
    </w:p>
    <w:p w14:paraId="18B7D473" w14:textId="77777777" w:rsidR="00683931" w:rsidRDefault="00683931" w:rsidP="00345C6C">
      <w:pPr>
        <w:autoSpaceDE w:val="0"/>
        <w:autoSpaceDN w:val="0"/>
        <w:adjustRightInd w:val="0"/>
        <w:spacing w:after="0"/>
        <w:ind w:firstLine="0"/>
        <w:rPr>
          <w:color w:val="000000" w:themeColor="text1"/>
        </w:rPr>
      </w:pPr>
    </w:p>
    <w:p w14:paraId="5F5DEDC8" w14:textId="687AD1E9" w:rsidR="004248BF" w:rsidRDefault="004248BF" w:rsidP="00345C6C">
      <w:pPr>
        <w:autoSpaceDE w:val="0"/>
        <w:autoSpaceDN w:val="0"/>
        <w:adjustRightInd w:val="0"/>
        <w:spacing w:after="0"/>
        <w:ind w:firstLine="0"/>
        <w:rPr>
          <w:color w:val="000000" w:themeColor="text1"/>
        </w:rPr>
      </w:pPr>
      <w:r>
        <w:rPr>
          <w:color w:val="000000" w:themeColor="text1"/>
        </w:rPr>
        <w:br w:type="page"/>
      </w:r>
    </w:p>
    <w:p w14:paraId="3177FFBA" w14:textId="77777777" w:rsidR="00683931" w:rsidRPr="004248BF" w:rsidRDefault="00683931" w:rsidP="004248BF">
      <w:pPr>
        <w:pStyle w:val="Ttulo1"/>
        <w:ind w:firstLine="0"/>
        <w:rPr>
          <w:szCs w:val="25"/>
        </w:rPr>
      </w:pPr>
      <w:bookmarkStart w:id="10" w:name="_Toc217455261"/>
      <w:bookmarkStart w:id="11" w:name="_Toc527634608"/>
      <w:bookmarkStart w:id="12" w:name="_Toc529773875"/>
      <w:bookmarkStart w:id="13" w:name="_Toc531088341"/>
      <w:bookmarkStart w:id="14" w:name="_Toc24100140"/>
      <w:bookmarkStart w:id="15" w:name="_Toc52348288"/>
      <w:bookmarkStart w:id="16" w:name="_Toc88727713"/>
      <w:bookmarkStart w:id="17" w:name="_Toc123724190"/>
      <w:bookmarkStart w:id="18" w:name="_Toc121292759"/>
      <w:bookmarkStart w:id="19" w:name="_Toc121293082"/>
      <w:bookmarkStart w:id="20" w:name="_Toc291067875"/>
      <w:bookmarkStart w:id="21" w:name="_Toc399916258"/>
      <w:bookmarkStart w:id="22" w:name="_Toc465686681"/>
      <w:r w:rsidRPr="004248BF">
        <w:rPr>
          <w:szCs w:val="25"/>
        </w:rPr>
        <w:lastRenderedPageBreak/>
        <w:t>II. Objetivo</w:t>
      </w:r>
      <w:bookmarkEnd w:id="10"/>
      <w:r w:rsidR="004B35F2" w:rsidRPr="004248BF">
        <w:rPr>
          <w:szCs w:val="25"/>
        </w:rPr>
        <w:t>s</w:t>
      </w:r>
      <w:r w:rsidRPr="004248BF">
        <w:rPr>
          <w:szCs w:val="25"/>
        </w:rPr>
        <w:t>, alcance y limitaciones</w:t>
      </w:r>
      <w:bookmarkEnd w:id="11"/>
      <w:bookmarkEnd w:id="12"/>
      <w:bookmarkEnd w:id="13"/>
      <w:bookmarkEnd w:id="14"/>
      <w:bookmarkEnd w:id="15"/>
      <w:bookmarkEnd w:id="16"/>
      <w:bookmarkEnd w:id="17"/>
      <w:r w:rsidRPr="004248BF">
        <w:rPr>
          <w:szCs w:val="25"/>
        </w:rPr>
        <w:t xml:space="preserve"> </w:t>
      </w:r>
    </w:p>
    <w:p w14:paraId="639A55E4" w14:textId="77777777" w:rsidR="00683931" w:rsidRPr="00B81E61" w:rsidRDefault="00683931" w:rsidP="00683931">
      <w:pPr>
        <w:pStyle w:val="texto"/>
        <w:rPr>
          <w:color w:val="000000" w:themeColor="text1"/>
          <w:szCs w:val="26"/>
        </w:rPr>
      </w:pPr>
      <w:r w:rsidRPr="00B81E61">
        <w:rPr>
          <w:color w:val="000000" w:themeColor="text1"/>
          <w:szCs w:val="26"/>
        </w:rPr>
        <w:t>Los objetivos de este trabajo han sido:</w:t>
      </w:r>
    </w:p>
    <w:p w14:paraId="32DDE512" w14:textId="77777777" w:rsidR="00683931" w:rsidRPr="00B81E61" w:rsidRDefault="00683931" w:rsidP="0068393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Resumir las actuaciones de fiscalización que esta Cámara ha realizado en el ámbito de las entidades locales de Navarra en relación con el ejercicio 2020.</w:t>
      </w:r>
    </w:p>
    <w:p w14:paraId="05A9A3D5" w14:textId="77777777" w:rsidR="00683931" w:rsidRDefault="00683931" w:rsidP="0068393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Ofrecer al Parlamento, a las Administraciones Públicas y a la sociedad de Navarra una visión de la organización y de la situación financiera de las entidades locales de Navarra en el año 2020.</w:t>
      </w:r>
    </w:p>
    <w:p w14:paraId="57FED002" w14:textId="50178368" w:rsidR="00683931" w:rsidRPr="00CE2ACA" w:rsidRDefault="003118C4" w:rsidP="0068393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spacing w:val="2"/>
        </w:rPr>
      </w:pPr>
      <w:r w:rsidRPr="00CE2ACA">
        <w:rPr>
          <w:rFonts w:cs="Arial"/>
          <w:color w:val="000000" w:themeColor="text1"/>
          <w:spacing w:val="2"/>
        </w:rPr>
        <w:t xml:space="preserve">Examinar </w:t>
      </w:r>
      <w:r w:rsidR="00683931" w:rsidRPr="00CE2ACA">
        <w:rPr>
          <w:rFonts w:cs="Arial"/>
          <w:color w:val="000000" w:themeColor="text1"/>
          <w:spacing w:val="2"/>
        </w:rPr>
        <w:t>la contratación realizada por las entidades locales en dicho ejercicio.</w:t>
      </w:r>
    </w:p>
    <w:p w14:paraId="1B028938" w14:textId="77777777" w:rsidR="000259CF" w:rsidRPr="000259CF" w:rsidRDefault="000259CF" w:rsidP="000259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0259CF">
        <w:rPr>
          <w:rFonts w:cs="Arial"/>
          <w:color w:val="000000" w:themeColor="text1"/>
        </w:rPr>
        <w:t>Analizar los reparos y las anomalías en materia de ingresos reportados por la Intervención de las entidades locales en relación con la actividad de 2020.</w:t>
      </w:r>
    </w:p>
    <w:p w14:paraId="657ECE51" w14:textId="77777777" w:rsidR="00683931" w:rsidRDefault="00683931" w:rsidP="0068393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Comparar un conjunto de indicadores entre los ayuntamientos navarros de diferentes tramos de población y también con los del País Vasco y los del resto del Estado.</w:t>
      </w:r>
    </w:p>
    <w:p w14:paraId="4CBDE15A" w14:textId="131447C5" w:rsidR="00683931" w:rsidRDefault="00104149" w:rsidP="0068393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 xml:space="preserve">Realizar </w:t>
      </w:r>
      <w:r w:rsidR="00683931">
        <w:rPr>
          <w:rFonts w:cs="Arial"/>
          <w:color w:val="000000" w:themeColor="text1"/>
        </w:rPr>
        <w:t>recomendaciones para mejorar la gestión del sector público local.</w:t>
      </w:r>
    </w:p>
    <w:p w14:paraId="2B7B1110" w14:textId="77777777" w:rsidR="00683931" w:rsidRPr="00B81E61" w:rsidRDefault="00683931" w:rsidP="00683931">
      <w:pPr>
        <w:pStyle w:val="texto"/>
        <w:tabs>
          <w:tab w:val="clear" w:pos="2835"/>
          <w:tab w:val="clear" w:pos="3969"/>
          <w:tab w:val="clear" w:pos="5103"/>
          <w:tab w:val="clear" w:pos="6237"/>
          <w:tab w:val="clear" w:pos="7371"/>
          <w:tab w:val="left" w:pos="480"/>
          <w:tab w:val="num" w:pos="644"/>
          <w:tab w:val="num" w:pos="720"/>
          <w:tab w:val="num" w:pos="1320"/>
          <w:tab w:val="num" w:pos="5606"/>
        </w:tabs>
        <w:ind w:firstLine="289"/>
        <w:rPr>
          <w:rFonts w:cs="Arial"/>
          <w:color w:val="000000" w:themeColor="text1"/>
        </w:rPr>
      </w:pPr>
      <w:r w:rsidRPr="00B81E61">
        <w:rPr>
          <w:rFonts w:cs="Arial"/>
          <w:color w:val="000000" w:themeColor="text1"/>
        </w:rPr>
        <w:t>El alcance del trabajo es la Cuenta General del ejer</w:t>
      </w:r>
      <w:r>
        <w:rPr>
          <w:rFonts w:cs="Arial"/>
          <w:color w:val="000000" w:themeColor="text1"/>
        </w:rPr>
        <w:t>cicio 2020</w:t>
      </w:r>
      <w:r w:rsidRPr="00B81E61">
        <w:rPr>
          <w:rFonts w:cs="Arial"/>
          <w:color w:val="000000" w:themeColor="text1"/>
        </w:rPr>
        <w:t xml:space="preserve"> de las ent</w:t>
      </w:r>
      <w:r>
        <w:rPr>
          <w:rFonts w:cs="Arial"/>
          <w:color w:val="000000" w:themeColor="text1"/>
        </w:rPr>
        <w:t xml:space="preserve">idades </w:t>
      </w:r>
      <w:r w:rsidRPr="00B81E61">
        <w:rPr>
          <w:rFonts w:cs="Arial"/>
          <w:color w:val="000000" w:themeColor="text1"/>
        </w:rPr>
        <w:t>locales, integrada por:</w:t>
      </w:r>
    </w:p>
    <w:p w14:paraId="2B4A64B6" w14:textId="77777777" w:rsidR="00683931" w:rsidRPr="00B81E61" w:rsidRDefault="00683931" w:rsidP="00683931">
      <w:pPr>
        <w:pStyle w:val="texto"/>
        <w:numPr>
          <w:ilvl w:val="0"/>
          <w:numId w:val="21"/>
        </w:numPr>
        <w:tabs>
          <w:tab w:val="clear" w:pos="2835"/>
          <w:tab w:val="clear" w:pos="3969"/>
          <w:tab w:val="clear" w:pos="5103"/>
          <w:tab w:val="clear" w:pos="6237"/>
          <w:tab w:val="clear" w:pos="7371"/>
          <w:tab w:val="left" w:pos="480"/>
          <w:tab w:val="num" w:pos="567"/>
          <w:tab w:val="num" w:pos="720"/>
          <w:tab w:val="num" w:pos="1320"/>
          <w:tab w:val="num" w:pos="5606"/>
        </w:tabs>
        <w:rPr>
          <w:rFonts w:cs="Arial"/>
          <w:color w:val="000000" w:themeColor="text1"/>
        </w:rPr>
      </w:pPr>
      <w:r>
        <w:rPr>
          <w:rFonts w:cs="Arial"/>
          <w:color w:val="000000" w:themeColor="text1"/>
        </w:rPr>
        <w:t xml:space="preserve">La de la propia entidad local y </w:t>
      </w:r>
      <w:r w:rsidRPr="00B81E61">
        <w:rPr>
          <w:rFonts w:cs="Arial"/>
          <w:color w:val="000000" w:themeColor="text1"/>
        </w:rPr>
        <w:t>la de sus organismos autónomos.</w:t>
      </w:r>
    </w:p>
    <w:p w14:paraId="6006620C" w14:textId="77777777" w:rsidR="00683931" w:rsidRPr="00B81E61" w:rsidRDefault="00683931" w:rsidP="00683931">
      <w:pPr>
        <w:pStyle w:val="texto"/>
        <w:tabs>
          <w:tab w:val="clear" w:pos="2835"/>
          <w:tab w:val="clear" w:pos="3969"/>
          <w:tab w:val="clear" w:pos="5103"/>
          <w:tab w:val="clear" w:pos="6237"/>
          <w:tab w:val="clear" w:pos="7371"/>
          <w:tab w:val="left" w:pos="480"/>
          <w:tab w:val="num" w:pos="644"/>
          <w:tab w:val="num" w:pos="720"/>
          <w:tab w:val="num" w:pos="1320"/>
          <w:tab w:val="num" w:pos="5606"/>
        </w:tabs>
        <w:ind w:left="289" w:firstLine="0"/>
        <w:rPr>
          <w:rFonts w:cs="Arial"/>
          <w:color w:val="000000" w:themeColor="text1"/>
        </w:rPr>
      </w:pPr>
      <w:r w:rsidRPr="00B81E61">
        <w:rPr>
          <w:rFonts w:cs="Arial"/>
          <w:color w:val="000000" w:themeColor="text1"/>
        </w:rPr>
        <w:t>b) La de las sociedades mercantiles de capital íntegramente propiedad de la entidad local.</w:t>
      </w:r>
    </w:p>
    <w:p w14:paraId="6FEC4E95" w14:textId="77777777" w:rsidR="00683931" w:rsidRPr="00B81E61" w:rsidRDefault="00683931" w:rsidP="00683931">
      <w:pPr>
        <w:pStyle w:val="texto"/>
        <w:tabs>
          <w:tab w:val="clear" w:pos="2835"/>
          <w:tab w:val="clear" w:pos="3969"/>
          <w:tab w:val="clear" w:pos="5103"/>
          <w:tab w:val="clear" w:pos="6237"/>
          <w:tab w:val="clear" w:pos="7371"/>
          <w:tab w:val="left" w:pos="480"/>
          <w:tab w:val="num" w:pos="644"/>
          <w:tab w:val="num" w:pos="720"/>
          <w:tab w:val="num" w:pos="1320"/>
          <w:tab w:val="num" w:pos="5606"/>
        </w:tabs>
        <w:ind w:left="289" w:firstLine="0"/>
        <w:rPr>
          <w:rFonts w:cs="Arial"/>
          <w:color w:val="000000" w:themeColor="text1"/>
        </w:rPr>
      </w:pPr>
      <w:r w:rsidRPr="00B81E61">
        <w:rPr>
          <w:rFonts w:cs="Arial"/>
          <w:color w:val="000000" w:themeColor="text1"/>
        </w:rPr>
        <w:t>c) Los anexos.</w:t>
      </w:r>
    </w:p>
    <w:p w14:paraId="578F9D5E" w14:textId="47939B72" w:rsidR="00683931" w:rsidRPr="00B81E61" w:rsidRDefault="005D0F2E" w:rsidP="00683931">
      <w:pPr>
        <w:pStyle w:val="texto"/>
        <w:tabs>
          <w:tab w:val="clear" w:pos="2835"/>
          <w:tab w:val="clear" w:pos="3969"/>
          <w:tab w:val="clear" w:pos="5103"/>
          <w:tab w:val="clear" w:pos="6237"/>
          <w:tab w:val="clear" w:pos="7371"/>
          <w:tab w:val="left" w:pos="851"/>
        </w:tabs>
        <w:spacing w:before="120" w:after="120"/>
        <w:rPr>
          <w:color w:val="000000" w:themeColor="text1"/>
          <w:szCs w:val="26"/>
        </w:rPr>
      </w:pPr>
      <w:r>
        <w:rPr>
          <w:color w:val="000000" w:themeColor="text1"/>
          <w:szCs w:val="26"/>
        </w:rPr>
        <w:t>Además,</w:t>
      </w:r>
      <w:r w:rsidR="00586731">
        <w:rPr>
          <w:color w:val="000000" w:themeColor="text1"/>
          <w:szCs w:val="26"/>
        </w:rPr>
        <w:t xml:space="preserve"> se ha analizado </w:t>
      </w:r>
      <w:r w:rsidR="00683931">
        <w:rPr>
          <w:color w:val="000000" w:themeColor="text1"/>
          <w:szCs w:val="26"/>
        </w:rPr>
        <w:t xml:space="preserve">el informe sobre la situación financiera del Sector Público Local de Navarra 2020 elaborado por la DGALD y datos del Registro de Entidades Locales gestionado por esa misma dirección general, así como información obtenida del Registro de Contratos dependiente de la Junta de Contratación Pública. </w:t>
      </w:r>
      <w:r w:rsidR="000259CF">
        <w:rPr>
          <w:color w:val="000000" w:themeColor="text1"/>
          <w:szCs w:val="26"/>
        </w:rPr>
        <w:t>También</w:t>
      </w:r>
      <w:r w:rsidR="00683931">
        <w:rPr>
          <w:color w:val="000000" w:themeColor="text1"/>
          <w:szCs w:val="26"/>
        </w:rPr>
        <w:t xml:space="preserve"> se </w:t>
      </w:r>
      <w:r>
        <w:rPr>
          <w:color w:val="000000" w:themeColor="text1"/>
          <w:szCs w:val="26"/>
        </w:rPr>
        <w:t>han analizado</w:t>
      </w:r>
      <w:r w:rsidR="00683931">
        <w:rPr>
          <w:color w:val="000000" w:themeColor="text1"/>
          <w:szCs w:val="26"/>
        </w:rPr>
        <w:t xml:space="preserve"> los informes de fiscalización emitidos por esta Cámara referidos a</w:t>
      </w:r>
      <w:r>
        <w:rPr>
          <w:color w:val="000000" w:themeColor="text1"/>
          <w:szCs w:val="26"/>
        </w:rPr>
        <w:t>l citado</w:t>
      </w:r>
      <w:r w:rsidR="00683931">
        <w:rPr>
          <w:color w:val="000000" w:themeColor="text1"/>
          <w:szCs w:val="26"/>
        </w:rPr>
        <w:t xml:space="preserve"> ejercicio y las respuestas de los órganos de intervención de las entidades locales</w:t>
      </w:r>
      <w:r>
        <w:rPr>
          <w:color w:val="000000" w:themeColor="text1"/>
          <w:szCs w:val="26"/>
        </w:rPr>
        <w:t xml:space="preserve"> al requerimiento de información sobre </w:t>
      </w:r>
      <w:r w:rsidR="000259CF">
        <w:rPr>
          <w:color w:val="000000" w:themeColor="text1"/>
          <w:szCs w:val="26"/>
        </w:rPr>
        <w:t xml:space="preserve">el control interno y los </w:t>
      </w:r>
      <w:r>
        <w:rPr>
          <w:color w:val="000000" w:themeColor="text1"/>
          <w:szCs w:val="26"/>
        </w:rPr>
        <w:t xml:space="preserve">reparos </w:t>
      </w:r>
      <w:r w:rsidR="000259CF">
        <w:rPr>
          <w:color w:val="000000" w:themeColor="text1"/>
          <w:szCs w:val="26"/>
        </w:rPr>
        <w:t xml:space="preserve">formulados </w:t>
      </w:r>
      <w:r>
        <w:rPr>
          <w:color w:val="000000" w:themeColor="text1"/>
          <w:szCs w:val="26"/>
        </w:rPr>
        <w:t xml:space="preserve">que </w:t>
      </w:r>
      <w:r w:rsidR="00F20AA2">
        <w:rPr>
          <w:color w:val="000000" w:themeColor="text1"/>
          <w:szCs w:val="26"/>
        </w:rPr>
        <w:t>les ha dirigido esta Cámara</w:t>
      </w:r>
      <w:r>
        <w:rPr>
          <w:color w:val="000000" w:themeColor="text1"/>
          <w:szCs w:val="26"/>
        </w:rPr>
        <w:t>.</w:t>
      </w:r>
    </w:p>
    <w:p w14:paraId="3B950713" w14:textId="05DEE448" w:rsidR="00683931" w:rsidRPr="00B81E61" w:rsidRDefault="00F20AA2" w:rsidP="00775B81">
      <w:pPr>
        <w:pStyle w:val="texto"/>
        <w:rPr>
          <w:color w:val="000000" w:themeColor="text1"/>
        </w:rPr>
      </w:pPr>
      <w:r>
        <w:rPr>
          <w:color w:val="000000" w:themeColor="text1"/>
        </w:rPr>
        <w:t>Ha</w:t>
      </w:r>
      <w:r w:rsidR="00683931" w:rsidRPr="00B81E61">
        <w:rPr>
          <w:color w:val="000000" w:themeColor="text1"/>
        </w:rPr>
        <w:t xml:space="preserve"> supuesto una limitación a nuestro trabajo la falta de información económico-financiera y presupuestaria sobre los entes locales que no </w:t>
      </w:r>
      <w:r w:rsidR="00683931" w:rsidRPr="00706B38">
        <w:rPr>
          <w:color w:val="000000" w:themeColor="text1"/>
        </w:rPr>
        <w:t>habían remitido la Cuenta General</w:t>
      </w:r>
      <w:r w:rsidR="00487743">
        <w:rPr>
          <w:color w:val="000000" w:themeColor="text1"/>
        </w:rPr>
        <w:t xml:space="preserve"> o liquidación del presupuesto</w:t>
      </w:r>
      <w:r w:rsidR="00683931" w:rsidRPr="00706B38">
        <w:rPr>
          <w:color w:val="000000" w:themeColor="text1"/>
        </w:rPr>
        <w:t xml:space="preserve"> del ejercicio 2020 a la </w:t>
      </w:r>
      <w:r w:rsidR="00CA5250">
        <w:rPr>
          <w:color w:val="000000" w:themeColor="text1"/>
        </w:rPr>
        <w:t>DGALD</w:t>
      </w:r>
      <w:r w:rsidR="00683931" w:rsidRPr="00706B38">
        <w:rPr>
          <w:color w:val="000000" w:themeColor="text1"/>
        </w:rPr>
        <w:t xml:space="preserve"> a finales </w:t>
      </w:r>
      <w:r w:rsidR="0073427D" w:rsidRPr="00706B38">
        <w:rPr>
          <w:color w:val="000000" w:themeColor="text1"/>
        </w:rPr>
        <w:t>de</w:t>
      </w:r>
      <w:r w:rsidR="00683931" w:rsidRPr="00706B38">
        <w:rPr>
          <w:color w:val="000000" w:themeColor="text1"/>
        </w:rPr>
        <w:t xml:space="preserve"> abril de 202</w:t>
      </w:r>
      <w:r w:rsidR="00986B66">
        <w:rPr>
          <w:color w:val="000000" w:themeColor="text1"/>
        </w:rPr>
        <w:t>2</w:t>
      </w:r>
      <w:r w:rsidR="00683931" w:rsidRPr="00706B38">
        <w:rPr>
          <w:color w:val="000000" w:themeColor="text1"/>
        </w:rPr>
        <w:t>, que son:</w:t>
      </w:r>
    </w:p>
    <w:p w14:paraId="5F3D3B44" w14:textId="72BCFA1D" w:rsidR="0073427D" w:rsidRDefault="00F20AA2" w:rsidP="00775B8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 xml:space="preserve">Un total de </w:t>
      </w:r>
      <w:r w:rsidR="0073427D">
        <w:rPr>
          <w:rFonts w:cs="Arial"/>
          <w:color w:val="000000" w:themeColor="text1"/>
        </w:rPr>
        <w:t>12</w:t>
      </w:r>
      <w:r w:rsidR="00683931" w:rsidRPr="00B81E61">
        <w:rPr>
          <w:rFonts w:cs="Arial"/>
          <w:color w:val="000000" w:themeColor="text1"/>
        </w:rPr>
        <w:t xml:space="preserve"> de los 272 municipios: </w:t>
      </w:r>
      <w:r w:rsidR="0073427D">
        <w:rPr>
          <w:rFonts w:cs="Arial"/>
          <w:color w:val="000000" w:themeColor="text1"/>
        </w:rPr>
        <w:t xml:space="preserve">Arellano, Arguedas, </w:t>
      </w:r>
      <w:proofErr w:type="spellStart"/>
      <w:r w:rsidR="0073427D">
        <w:rPr>
          <w:rFonts w:cs="Arial"/>
          <w:color w:val="000000" w:themeColor="text1"/>
        </w:rPr>
        <w:t>Eratsun</w:t>
      </w:r>
      <w:proofErr w:type="spellEnd"/>
      <w:r w:rsidR="0073427D">
        <w:rPr>
          <w:rFonts w:cs="Arial"/>
          <w:color w:val="000000" w:themeColor="text1"/>
        </w:rPr>
        <w:t xml:space="preserve">, </w:t>
      </w:r>
      <w:proofErr w:type="spellStart"/>
      <w:r w:rsidR="0073427D">
        <w:rPr>
          <w:rFonts w:cs="Arial"/>
          <w:color w:val="000000" w:themeColor="text1"/>
        </w:rPr>
        <w:t>Ezkurra</w:t>
      </w:r>
      <w:proofErr w:type="spellEnd"/>
      <w:r w:rsidR="0073427D">
        <w:rPr>
          <w:rFonts w:cs="Arial"/>
          <w:color w:val="000000" w:themeColor="text1"/>
        </w:rPr>
        <w:t xml:space="preserve">, Goñi, </w:t>
      </w:r>
      <w:proofErr w:type="spellStart"/>
      <w:r w:rsidR="0073427D">
        <w:rPr>
          <w:rFonts w:cs="Arial"/>
          <w:color w:val="000000" w:themeColor="text1"/>
        </w:rPr>
        <w:t>Imotz</w:t>
      </w:r>
      <w:proofErr w:type="spellEnd"/>
      <w:r w:rsidR="0073427D">
        <w:rPr>
          <w:rFonts w:cs="Arial"/>
          <w:color w:val="000000" w:themeColor="text1"/>
        </w:rPr>
        <w:t>, Izalzu/</w:t>
      </w:r>
      <w:proofErr w:type="spellStart"/>
      <w:r w:rsidR="0073427D">
        <w:rPr>
          <w:rFonts w:cs="Arial"/>
          <w:color w:val="000000" w:themeColor="text1"/>
        </w:rPr>
        <w:t>Itzaltzu</w:t>
      </w:r>
      <w:proofErr w:type="spellEnd"/>
      <w:r w:rsidR="0073427D">
        <w:rPr>
          <w:rFonts w:cs="Arial"/>
          <w:color w:val="000000" w:themeColor="text1"/>
        </w:rPr>
        <w:t xml:space="preserve">, </w:t>
      </w:r>
      <w:proofErr w:type="spellStart"/>
      <w:r w:rsidR="0073427D">
        <w:rPr>
          <w:rFonts w:cs="Arial"/>
          <w:color w:val="000000" w:themeColor="text1"/>
        </w:rPr>
        <w:t>Olazti</w:t>
      </w:r>
      <w:proofErr w:type="spellEnd"/>
      <w:r w:rsidR="0073427D">
        <w:rPr>
          <w:rFonts w:cs="Arial"/>
          <w:color w:val="000000" w:themeColor="text1"/>
        </w:rPr>
        <w:t>/</w:t>
      </w:r>
      <w:proofErr w:type="spellStart"/>
      <w:r w:rsidR="0073427D">
        <w:rPr>
          <w:rFonts w:cs="Arial"/>
          <w:color w:val="000000" w:themeColor="text1"/>
        </w:rPr>
        <w:t>Olazagutía</w:t>
      </w:r>
      <w:proofErr w:type="spellEnd"/>
      <w:r w:rsidR="0073427D">
        <w:rPr>
          <w:rFonts w:cs="Arial"/>
          <w:color w:val="000000" w:themeColor="text1"/>
        </w:rPr>
        <w:t xml:space="preserve">, </w:t>
      </w:r>
      <w:proofErr w:type="spellStart"/>
      <w:r w:rsidR="0073427D">
        <w:rPr>
          <w:rFonts w:cs="Arial"/>
          <w:color w:val="000000" w:themeColor="text1"/>
        </w:rPr>
        <w:t>Orkoien</w:t>
      </w:r>
      <w:proofErr w:type="spellEnd"/>
      <w:r w:rsidR="0073427D">
        <w:rPr>
          <w:rFonts w:cs="Arial"/>
          <w:color w:val="000000" w:themeColor="text1"/>
        </w:rPr>
        <w:t xml:space="preserve">, Saldias, San Martín de </w:t>
      </w:r>
      <w:proofErr w:type="spellStart"/>
      <w:r w:rsidR="0073427D">
        <w:rPr>
          <w:rFonts w:cs="Arial"/>
          <w:color w:val="000000" w:themeColor="text1"/>
        </w:rPr>
        <w:t>Unx</w:t>
      </w:r>
      <w:proofErr w:type="spellEnd"/>
      <w:r w:rsidR="0073427D">
        <w:rPr>
          <w:rFonts w:cs="Arial"/>
          <w:color w:val="000000" w:themeColor="text1"/>
        </w:rPr>
        <w:t xml:space="preserve"> y Zúñiga. La población de estos municipios asciende a 9.586 habitantes, un 1,45 por ciento de la población de Navarra a 1 de enero de 2020.</w:t>
      </w:r>
    </w:p>
    <w:p w14:paraId="4B1797F6" w14:textId="14C4E721" w:rsidR="00AE3333" w:rsidRDefault="00F20AA2" w:rsidP="008974DA">
      <w:pPr>
        <w:pStyle w:val="texto"/>
        <w:numPr>
          <w:ilvl w:val="0"/>
          <w:numId w:val="12"/>
        </w:numPr>
        <w:tabs>
          <w:tab w:val="clear" w:pos="2835"/>
          <w:tab w:val="clear" w:pos="3969"/>
          <w:tab w:val="clear" w:pos="5103"/>
          <w:tab w:val="clear" w:pos="6237"/>
          <w:tab w:val="clear" w:pos="7371"/>
          <w:tab w:val="left" w:pos="480"/>
          <w:tab w:val="num" w:pos="720"/>
          <w:tab w:val="num" w:pos="1320"/>
        </w:tabs>
        <w:ind w:left="0" w:firstLine="426"/>
        <w:rPr>
          <w:rFonts w:cs="Arial"/>
          <w:color w:val="000000" w:themeColor="text1"/>
        </w:rPr>
      </w:pPr>
      <w:r>
        <w:rPr>
          <w:rFonts w:cs="Arial"/>
          <w:color w:val="000000" w:themeColor="text1"/>
        </w:rPr>
        <w:lastRenderedPageBreak/>
        <w:t xml:space="preserve">Un total de </w:t>
      </w:r>
      <w:r w:rsidR="00AE3333" w:rsidRPr="008974DA">
        <w:rPr>
          <w:rFonts w:cs="Arial"/>
          <w:color w:val="000000" w:themeColor="text1"/>
        </w:rPr>
        <w:t>68</w:t>
      </w:r>
      <w:r w:rsidR="00683931" w:rsidRPr="008974DA">
        <w:rPr>
          <w:rFonts w:cs="Arial"/>
          <w:color w:val="000000" w:themeColor="text1"/>
        </w:rPr>
        <w:t xml:space="preserve"> de los 346 concejos: </w:t>
      </w:r>
      <w:proofErr w:type="spellStart"/>
      <w:r w:rsidR="00AE3333" w:rsidRPr="008974DA">
        <w:rPr>
          <w:rFonts w:cs="Arial"/>
          <w:color w:val="000000" w:themeColor="text1"/>
        </w:rPr>
        <w:t>Aizpún</w:t>
      </w:r>
      <w:proofErr w:type="spellEnd"/>
      <w:r w:rsidR="00AE3333" w:rsidRPr="008974DA">
        <w:rPr>
          <w:rFonts w:cs="Arial"/>
          <w:color w:val="000000" w:themeColor="text1"/>
        </w:rPr>
        <w:t xml:space="preserve">, Albiasu, </w:t>
      </w:r>
      <w:proofErr w:type="spellStart"/>
      <w:r w:rsidR="00AE3333" w:rsidRPr="008974DA">
        <w:rPr>
          <w:rFonts w:cs="Arial"/>
          <w:color w:val="000000" w:themeColor="text1"/>
        </w:rPr>
        <w:t>Ancín</w:t>
      </w:r>
      <w:proofErr w:type="spellEnd"/>
      <w:r w:rsidR="00AE3333" w:rsidRPr="008974DA">
        <w:rPr>
          <w:rFonts w:cs="Arial"/>
          <w:color w:val="000000" w:themeColor="text1"/>
        </w:rPr>
        <w:t>/</w:t>
      </w:r>
      <w:proofErr w:type="spellStart"/>
      <w:r w:rsidR="00AE3333" w:rsidRPr="008974DA">
        <w:rPr>
          <w:rFonts w:cs="Arial"/>
          <w:color w:val="000000" w:themeColor="text1"/>
        </w:rPr>
        <w:t>Antzin</w:t>
      </w:r>
      <w:proofErr w:type="spellEnd"/>
      <w:r w:rsidR="00AE3333" w:rsidRPr="008974DA">
        <w:rPr>
          <w:rFonts w:cs="Arial"/>
          <w:color w:val="000000" w:themeColor="text1"/>
        </w:rPr>
        <w:t xml:space="preserve">, </w:t>
      </w:r>
      <w:proofErr w:type="spellStart"/>
      <w:r w:rsidR="00AE3333" w:rsidRPr="008974DA">
        <w:rPr>
          <w:rFonts w:cs="Arial"/>
          <w:color w:val="000000" w:themeColor="text1"/>
        </w:rPr>
        <w:t>Ardanaz</w:t>
      </w:r>
      <w:proofErr w:type="spellEnd"/>
      <w:r w:rsidR="00AE3333" w:rsidRPr="008974DA">
        <w:rPr>
          <w:rFonts w:cs="Arial"/>
          <w:color w:val="000000" w:themeColor="text1"/>
        </w:rPr>
        <w:t xml:space="preserve"> de Egüés, Arrieta, </w:t>
      </w:r>
      <w:proofErr w:type="spellStart"/>
      <w:r w:rsidR="00AE3333" w:rsidRPr="008974DA">
        <w:rPr>
          <w:rFonts w:cs="Arial"/>
          <w:color w:val="000000" w:themeColor="text1"/>
        </w:rPr>
        <w:t>Astitz</w:t>
      </w:r>
      <w:proofErr w:type="spellEnd"/>
      <w:r w:rsidR="00AE3333" w:rsidRPr="008974DA">
        <w:rPr>
          <w:rFonts w:cs="Arial"/>
          <w:color w:val="000000" w:themeColor="text1"/>
        </w:rPr>
        <w:t xml:space="preserve">, </w:t>
      </w:r>
      <w:proofErr w:type="spellStart"/>
      <w:r w:rsidR="00AE3333" w:rsidRPr="008974DA">
        <w:rPr>
          <w:rFonts w:cs="Arial"/>
          <w:color w:val="000000" w:themeColor="text1"/>
        </w:rPr>
        <w:t>Astráin</w:t>
      </w:r>
      <w:proofErr w:type="spellEnd"/>
      <w:r w:rsidR="00AE3333" w:rsidRPr="008974DA">
        <w:rPr>
          <w:rFonts w:cs="Arial"/>
          <w:color w:val="000000" w:themeColor="text1"/>
        </w:rPr>
        <w:t xml:space="preserve">, Azparren, </w:t>
      </w:r>
      <w:proofErr w:type="spellStart"/>
      <w:r w:rsidR="00AE3333" w:rsidRPr="008974DA">
        <w:rPr>
          <w:rFonts w:cs="Arial"/>
          <w:color w:val="000000" w:themeColor="text1"/>
        </w:rPr>
        <w:t>Bigüézal</w:t>
      </w:r>
      <w:proofErr w:type="spellEnd"/>
      <w:r w:rsidR="00AE3333" w:rsidRPr="008974DA">
        <w:rPr>
          <w:rFonts w:cs="Arial"/>
          <w:color w:val="000000" w:themeColor="text1"/>
        </w:rPr>
        <w:t xml:space="preserve">, Cizur Menor, Eraso, </w:t>
      </w:r>
      <w:proofErr w:type="spellStart"/>
      <w:r w:rsidR="00AE3333" w:rsidRPr="008974DA">
        <w:rPr>
          <w:rFonts w:cs="Arial"/>
          <w:color w:val="000000" w:themeColor="text1"/>
        </w:rPr>
        <w:t>Esténoz</w:t>
      </w:r>
      <w:proofErr w:type="spellEnd"/>
      <w:r w:rsidR="00AE3333" w:rsidRPr="008974DA">
        <w:rPr>
          <w:rFonts w:cs="Arial"/>
          <w:color w:val="000000" w:themeColor="text1"/>
        </w:rPr>
        <w:t>,</w:t>
      </w:r>
      <w:r w:rsidR="00AE3333" w:rsidRPr="00AE3333">
        <w:rPr>
          <w:rFonts w:cs="Arial"/>
          <w:color w:val="000000" w:themeColor="text1"/>
        </w:rPr>
        <w:t xml:space="preserve"> </w:t>
      </w:r>
      <w:proofErr w:type="spellStart"/>
      <w:r w:rsidR="00AE3333" w:rsidRPr="00AE3333">
        <w:rPr>
          <w:rFonts w:cs="Arial"/>
          <w:color w:val="000000" w:themeColor="text1"/>
        </w:rPr>
        <w:t>Etsain</w:t>
      </w:r>
      <w:proofErr w:type="spellEnd"/>
      <w:r w:rsidR="00AE3333" w:rsidRPr="00AE3333">
        <w:rPr>
          <w:rFonts w:cs="Arial"/>
          <w:color w:val="000000" w:themeColor="text1"/>
        </w:rPr>
        <w:t xml:space="preserve">, </w:t>
      </w:r>
      <w:proofErr w:type="spellStart"/>
      <w:r w:rsidR="00AE3333" w:rsidRPr="00AE3333">
        <w:rPr>
          <w:rFonts w:cs="Arial"/>
          <w:color w:val="000000" w:themeColor="text1"/>
        </w:rPr>
        <w:t>Etxaleku</w:t>
      </w:r>
      <w:proofErr w:type="spellEnd"/>
      <w:r w:rsidR="00AE3333" w:rsidRPr="00AE3333">
        <w:rPr>
          <w:rFonts w:cs="Arial"/>
          <w:color w:val="000000" w:themeColor="text1"/>
        </w:rPr>
        <w:t xml:space="preserve">, Galdeano, </w:t>
      </w:r>
      <w:proofErr w:type="spellStart"/>
      <w:r w:rsidR="00AE3333" w:rsidRPr="00AE3333">
        <w:rPr>
          <w:rFonts w:cs="Arial"/>
          <w:color w:val="000000" w:themeColor="text1"/>
        </w:rPr>
        <w:t>Gazólaz</w:t>
      </w:r>
      <w:proofErr w:type="spellEnd"/>
      <w:r w:rsidR="00AE3333" w:rsidRPr="00AE3333">
        <w:rPr>
          <w:rFonts w:cs="Arial"/>
          <w:color w:val="000000" w:themeColor="text1"/>
        </w:rPr>
        <w:t xml:space="preserve">, </w:t>
      </w:r>
      <w:proofErr w:type="spellStart"/>
      <w:r w:rsidR="00AE3333" w:rsidRPr="00AE3333">
        <w:rPr>
          <w:rFonts w:cs="Arial"/>
          <w:color w:val="000000" w:themeColor="text1"/>
        </w:rPr>
        <w:t>Goldaratz</w:t>
      </w:r>
      <w:proofErr w:type="spellEnd"/>
      <w:r w:rsidR="00AE3333" w:rsidRPr="00AE3333">
        <w:rPr>
          <w:rFonts w:cs="Arial"/>
          <w:color w:val="000000" w:themeColor="text1"/>
        </w:rPr>
        <w:t xml:space="preserve">, Goñi, </w:t>
      </w:r>
      <w:proofErr w:type="spellStart"/>
      <w:r w:rsidR="00AE3333" w:rsidRPr="00AE3333">
        <w:rPr>
          <w:rFonts w:cs="Arial"/>
          <w:color w:val="000000" w:themeColor="text1"/>
        </w:rPr>
        <w:t>Igoa</w:t>
      </w:r>
      <w:proofErr w:type="spellEnd"/>
      <w:r w:rsidR="00AE3333" w:rsidRPr="00AE3333">
        <w:rPr>
          <w:rFonts w:cs="Arial"/>
          <w:color w:val="000000" w:themeColor="text1"/>
        </w:rPr>
        <w:t xml:space="preserve">, </w:t>
      </w:r>
      <w:proofErr w:type="spellStart"/>
      <w:r w:rsidR="00AE3333" w:rsidRPr="00AE3333">
        <w:rPr>
          <w:rFonts w:cs="Arial"/>
          <w:color w:val="000000" w:themeColor="text1"/>
        </w:rPr>
        <w:t>Ihaben</w:t>
      </w:r>
      <w:proofErr w:type="spellEnd"/>
      <w:r w:rsidR="00AE3333" w:rsidRPr="00AE3333">
        <w:rPr>
          <w:rFonts w:cs="Arial"/>
          <w:color w:val="000000" w:themeColor="text1"/>
        </w:rPr>
        <w:t xml:space="preserve">, </w:t>
      </w:r>
      <w:proofErr w:type="spellStart"/>
      <w:r w:rsidR="00AE3333" w:rsidRPr="00AE3333">
        <w:rPr>
          <w:rFonts w:cs="Arial"/>
          <w:color w:val="000000" w:themeColor="text1"/>
        </w:rPr>
        <w:t>Inbuluzketa</w:t>
      </w:r>
      <w:proofErr w:type="spellEnd"/>
      <w:r w:rsidR="00AE3333" w:rsidRPr="00AE3333">
        <w:rPr>
          <w:rFonts w:cs="Arial"/>
          <w:color w:val="000000" w:themeColor="text1"/>
        </w:rPr>
        <w:t xml:space="preserve">, </w:t>
      </w:r>
      <w:proofErr w:type="spellStart"/>
      <w:r w:rsidR="00AE3333" w:rsidRPr="00AE3333">
        <w:rPr>
          <w:rFonts w:cs="Arial"/>
          <w:color w:val="000000" w:themeColor="text1"/>
        </w:rPr>
        <w:t>Intza</w:t>
      </w:r>
      <w:proofErr w:type="spellEnd"/>
      <w:r w:rsidR="00AE3333" w:rsidRPr="00AE3333">
        <w:rPr>
          <w:rFonts w:cs="Arial"/>
          <w:color w:val="000000" w:themeColor="text1"/>
        </w:rPr>
        <w:t xml:space="preserve">, </w:t>
      </w:r>
      <w:proofErr w:type="spellStart"/>
      <w:r w:rsidR="00AE3333" w:rsidRPr="00AE3333">
        <w:rPr>
          <w:rFonts w:cs="Arial"/>
          <w:color w:val="000000" w:themeColor="text1"/>
        </w:rPr>
        <w:t>Iragi</w:t>
      </w:r>
      <w:proofErr w:type="spellEnd"/>
      <w:r w:rsidR="00AE3333" w:rsidRPr="00AE3333">
        <w:rPr>
          <w:rFonts w:cs="Arial"/>
          <w:color w:val="000000" w:themeColor="text1"/>
        </w:rPr>
        <w:t xml:space="preserve">, </w:t>
      </w:r>
      <w:proofErr w:type="spellStart"/>
      <w:r w:rsidR="00AE3333" w:rsidRPr="00AE3333">
        <w:rPr>
          <w:rFonts w:cs="Arial"/>
          <w:color w:val="000000" w:themeColor="text1"/>
        </w:rPr>
        <w:t>Iruñela</w:t>
      </w:r>
      <w:proofErr w:type="spellEnd"/>
      <w:r w:rsidR="00AE3333" w:rsidRPr="00AE3333">
        <w:rPr>
          <w:rFonts w:cs="Arial"/>
          <w:color w:val="000000" w:themeColor="text1"/>
        </w:rPr>
        <w:t xml:space="preserve">, Irurre, Itsaso, Iturgoyen, </w:t>
      </w:r>
      <w:proofErr w:type="spellStart"/>
      <w:r w:rsidR="00AE3333" w:rsidRPr="00AE3333">
        <w:rPr>
          <w:rFonts w:cs="Arial"/>
          <w:color w:val="000000" w:themeColor="text1"/>
        </w:rPr>
        <w:t>Jauntsarats</w:t>
      </w:r>
      <w:proofErr w:type="spellEnd"/>
      <w:r w:rsidR="00AE3333" w:rsidRPr="00AE3333">
        <w:rPr>
          <w:rFonts w:cs="Arial"/>
          <w:color w:val="000000" w:themeColor="text1"/>
        </w:rPr>
        <w:t xml:space="preserve">, Labeaga, Larraya, </w:t>
      </w:r>
      <w:proofErr w:type="spellStart"/>
      <w:r w:rsidR="00AE3333" w:rsidRPr="00AE3333">
        <w:rPr>
          <w:rFonts w:cs="Arial"/>
          <w:color w:val="000000" w:themeColor="text1"/>
        </w:rPr>
        <w:t>Larráyoz</w:t>
      </w:r>
      <w:proofErr w:type="spellEnd"/>
      <w:r w:rsidR="00AE3333" w:rsidRPr="00AE3333">
        <w:rPr>
          <w:rFonts w:cs="Arial"/>
          <w:color w:val="000000" w:themeColor="text1"/>
        </w:rPr>
        <w:t>, Lata</w:t>
      </w:r>
      <w:r w:rsidR="00986B66">
        <w:rPr>
          <w:rFonts w:cs="Arial"/>
          <w:color w:val="000000" w:themeColor="text1"/>
        </w:rPr>
        <w:t>sa</w:t>
      </w:r>
      <w:r w:rsidR="00AE3333" w:rsidRPr="00AE3333">
        <w:rPr>
          <w:rFonts w:cs="Arial"/>
          <w:color w:val="000000" w:themeColor="text1"/>
        </w:rPr>
        <w:t xml:space="preserve">, </w:t>
      </w:r>
      <w:proofErr w:type="spellStart"/>
      <w:r w:rsidR="00AE3333" w:rsidRPr="00AE3333">
        <w:rPr>
          <w:rFonts w:cs="Arial"/>
          <w:color w:val="000000" w:themeColor="text1"/>
        </w:rPr>
        <w:t>Lerate</w:t>
      </w:r>
      <w:proofErr w:type="spellEnd"/>
      <w:r w:rsidR="00AE3333" w:rsidRPr="00AE3333">
        <w:rPr>
          <w:rFonts w:cs="Arial"/>
          <w:color w:val="000000" w:themeColor="text1"/>
        </w:rPr>
        <w:t xml:space="preserve">, </w:t>
      </w:r>
      <w:proofErr w:type="spellStart"/>
      <w:r w:rsidR="00AE3333" w:rsidRPr="00AE3333">
        <w:rPr>
          <w:rFonts w:cs="Arial"/>
          <w:color w:val="000000" w:themeColor="text1"/>
        </w:rPr>
        <w:t>Lintzoain</w:t>
      </w:r>
      <w:proofErr w:type="spellEnd"/>
      <w:r w:rsidR="00AE3333" w:rsidRPr="00AE3333">
        <w:rPr>
          <w:rFonts w:cs="Arial"/>
          <w:color w:val="000000" w:themeColor="text1"/>
        </w:rPr>
        <w:t xml:space="preserve">, </w:t>
      </w:r>
      <w:proofErr w:type="spellStart"/>
      <w:r w:rsidR="00AE3333" w:rsidRPr="00AE3333">
        <w:rPr>
          <w:rFonts w:cs="Arial"/>
          <w:color w:val="000000" w:themeColor="text1"/>
        </w:rPr>
        <w:t>Lizarragabengoa</w:t>
      </w:r>
      <w:proofErr w:type="spellEnd"/>
      <w:r w:rsidR="00AE3333" w:rsidRPr="00AE3333">
        <w:rPr>
          <w:rFonts w:cs="Arial"/>
          <w:color w:val="000000" w:themeColor="text1"/>
        </w:rPr>
        <w:t xml:space="preserve">, Lizaso, </w:t>
      </w:r>
      <w:proofErr w:type="spellStart"/>
      <w:r w:rsidR="00AE3333" w:rsidRPr="00AE3333">
        <w:rPr>
          <w:rFonts w:cs="Arial"/>
          <w:color w:val="000000" w:themeColor="text1"/>
        </w:rPr>
        <w:t>Mendilibarri</w:t>
      </w:r>
      <w:proofErr w:type="spellEnd"/>
      <w:r w:rsidR="00AE3333" w:rsidRPr="00AE3333">
        <w:rPr>
          <w:rFonts w:cs="Arial"/>
          <w:color w:val="000000" w:themeColor="text1"/>
        </w:rPr>
        <w:t xml:space="preserve">, </w:t>
      </w:r>
      <w:proofErr w:type="spellStart"/>
      <w:r w:rsidR="00AE3333" w:rsidRPr="00AE3333">
        <w:rPr>
          <w:rFonts w:cs="Arial"/>
          <w:color w:val="000000" w:themeColor="text1"/>
        </w:rPr>
        <w:t>Mezkiritz</w:t>
      </w:r>
      <w:proofErr w:type="spellEnd"/>
      <w:r w:rsidR="00AE3333" w:rsidRPr="00AE3333">
        <w:rPr>
          <w:rFonts w:cs="Arial"/>
          <w:color w:val="000000" w:themeColor="text1"/>
        </w:rPr>
        <w:t xml:space="preserve">, </w:t>
      </w:r>
      <w:proofErr w:type="spellStart"/>
      <w:r w:rsidR="00AE3333" w:rsidRPr="00AE3333">
        <w:rPr>
          <w:rFonts w:cs="Arial"/>
          <w:color w:val="000000" w:themeColor="text1"/>
        </w:rPr>
        <w:t>Muez</w:t>
      </w:r>
      <w:proofErr w:type="spellEnd"/>
      <w:r w:rsidR="00AE3333" w:rsidRPr="00AE3333">
        <w:rPr>
          <w:rFonts w:cs="Arial"/>
          <w:color w:val="000000" w:themeColor="text1"/>
        </w:rPr>
        <w:t xml:space="preserve">, </w:t>
      </w:r>
      <w:proofErr w:type="spellStart"/>
      <w:r w:rsidR="00AE3333" w:rsidRPr="00AE3333">
        <w:rPr>
          <w:rFonts w:cs="Arial"/>
          <w:color w:val="000000" w:themeColor="text1"/>
        </w:rPr>
        <w:t>Munárriz</w:t>
      </w:r>
      <w:proofErr w:type="spellEnd"/>
      <w:r w:rsidR="00AE3333" w:rsidRPr="00AE3333">
        <w:rPr>
          <w:rFonts w:cs="Arial"/>
          <w:color w:val="000000" w:themeColor="text1"/>
        </w:rPr>
        <w:t xml:space="preserve">, </w:t>
      </w:r>
      <w:proofErr w:type="spellStart"/>
      <w:r w:rsidR="00AE3333" w:rsidRPr="00AE3333">
        <w:rPr>
          <w:rFonts w:cs="Arial"/>
          <w:color w:val="000000" w:themeColor="text1"/>
        </w:rPr>
        <w:t>Muniáin</w:t>
      </w:r>
      <w:proofErr w:type="spellEnd"/>
      <w:r w:rsidR="00AE3333" w:rsidRPr="00AE3333">
        <w:rPr>
          <w:rFonts w:cs="Arial"/>
          <w:color w:val="000000" w:themeColor="text1"/>
        </w:rPr>
        <w:t xml:space="preserve"> de </w:t>
      </w:r>
      <w:proofErr w:type="spellStart"/>
      <w:r w:rsidR="00AE3333" w:rsidRPr="00AE3333">
        <w:rPr>
          <w:rFonts w:cs="Arial"/>
          <w:color w:val="000000" w:themeColor="text1"/>
        </w:rPr>
        <w:t>Guesálaz</w:t>
      </w:r>
      <w:proofErr w:type="spellEnd"/>
      <w:r w:rsidR="00AE3333" w:rsidRPr="00AE3333">
        <w:rPr>
          <w:rFonts w:cs="Arial"/>
          <w:color w:val="000000" w:themeColor="text1"/>
        </w:rPr>
        <w:t xml:space="preserve">, Murugarren, </w:t>
      </w:r>
      <w:proofErr w:type="spellStart"/>
      <w:r w:rsidR="00AE3333" w:rsidRPr="00AE3333">
        <w:rPr>
          <w:rFonts w:cs="Arial"/>
          <w:color w:val="000000" w:themeColor="text1"/>
        </w:rPr>
        <w:t>Muskitz</w:t>
      </w:r>
      <w:proofErr w:type="spellEnd"/>
      <w:r w:rsidR="00AE3333" w:rsidRPr="00AE3333">
        <w:rPr>
          <w:rFonts w:cs="Arial"/>
          <w:color w:val="000000" w:themeColor="text1"/>
        </w:rPr>
        <w:t xml:space="preserve">, Nagore, </w:t>
      </w:r>
      <w:proofErr w:type="spellStart"/>
      <w:r w:rsidR="00AE3333" w:rsidRPr="00AE3333">
        <w:rPr>
          <w:rFonts w:cs="Arial"/>
          <w:color w:val="000000" w:themeColor="text1"/>
        </w:rPr>
        <w:t>Narbarte</w:t>
      </w:r>
      <w:proofErr w:type="spellEnd"/>
      <w:r w:rsidR="00AE3333" w:rsidRPr="00AE3333">
        <w:rPr>
          <w:rFonts w:cs="Arial"/>
          <w:color w:val="000000" w:themeColor="text1"/>
        </w:rPr>
        <w:t xml:space="preserve">, </w:t>
      </w:r>
      <w:proofErr w:type="spellStart"/>
      <w:r w:rsidR="00AE3333" w:rsidRPr="00AE3333">
        <w:rPr>
          <w:rFonts w:cs="Arial"/>
          <w:color w:val="000000" w:themeColor="text1"/>
        </w:rPr>
        <w:t>Nuin</w:t>
      </w:r>
      <w:proofErr w:type="spellEnd"/>
      <w:r w:rsidR="00AE3333" w:rsidRPr="00AE3333">
        <w:rPr>
          <w:rFonts w:cs="Arial"/>
          <w:color w:val="000000" w:themeColor="text1"/>
        </w:rPr>
        <w:t xml:space="preserve">, </w:t>
      </w:r>
      <w:proofErr w:type="spellStart"/>
      <w:r w:rsidR="00AE3333" w:rsidRPr="00AE3333">
        <w:rPr>
          <w:rFonts w:cs="Arial"/>
          <w:color w:val="000000" w:themeColor="text1"/>
        </w:rPr>
        <w:t>Oderitz</w:t>
      </w:r>
      <w:proofErr w:type="spellEnd"/>
      <w:r w:rsidR="00AE3333" w:rsidRPr="00AE3333">
        <w:rPr>
          <w:rFonts w:cs="Arial"/>
          <w:color w:val="000000" w:themeColor="text1"/>
        </w:rPr>
        <w:t xml:space="preserve">, Olóriz, </w:t>
      </w:r>
      <w:proofErr w:type="spellStart"/>
      <w:r w:rsidR="00AE3333" w:rsidRPr="00AE3333">
        <w:rPr>
          <w:rFonts w:cs="Arial"/>
          <w:color w:val="000000" w:themeColor="text1"/>
        </w:rPr>
        <w:t>Orondritz</w:t>
      </w:r>
      <w:proofErr w:type="spellEnd"/>
      <w:r w:rsidR="00AE3333" w:rsidRPr="00AE3333">
        <w:rPr>
          <w:rFonts w:cs="Arial"/>
          <w:color w:val="000000" w:themeColor="text1"/>
        </w:rPr>
        <w:t xml:space="preserve">, </w:t>
      </w:r>
      <w:proofErr w:type="spellStart"/>
      <w:r w:rsidR="00AE3333" w:rsidRPr="00AE3333">
        <w:rPr>
          <w:rFonts w:cs="Arial"/>
          <w:color w:val="000000" w:themeColor="text1"/>
        </w:rPr>
        <w:t>Osacáin</w:t>
      </w:r>
      <w:proofErr w:type="spellEnd"/>
      <w:r w:rsidR="00AE3333" w:rsidRPr="00AE3333">
        <w:rPr>
          <w:rFonts w:cs="Arial"/>
          <w:color w:val="000000" w:themeColor="text1"/>
        </w:rPr>
        <w:t xml:space="preserve">, </w:t>
      </w:r>
      <w:proofErr w:type="spellStart"/>
      <w:r w:rsidR="00AE3333" w:rsidRPr="00AE3333">
        <w:rPr>
          <w:rFonts w:cs="Arial"/>
          <w:color w:val="000000" w:themeColor="text1"/>
        </w:rPr>
        <w:t>Osácar</w:t>
      </w:r>
      <w:proofErr w:type="spellEnd"/>
      <w:r w:rsidR="00AE3333" w:rsidRPr="00AE3333">
        <w:rPr>
          <w:rFonts w:cs="Arial"/>
          <w:color w:val="000000" w:themeColor="text1"/>
        </w:rPr>
        <w:t xml:space="preserve">, </w:t>
      </w:r>
      <w:proofErr w:type="spellStart"/>
      <w:r w:rsidR="00AE3333" w:rsidRPr="00AE3333">
        <w:rPr>
          <w:rFonts w:cs="Arial"/>
          <w:color w:val="000000" w:themeColor="text1"/>
        </w:rPr>
        <w:t>Oskotz</w:t>
      </w:r>
      <w:proofErr w:type="spellEnd"/>
      <w:r w:rsidR="00AE3333" w:rsidRPr="00AE3333">
        <w:rPr>
          <w:rFonts w:cs="Arial"/>
          <w:color w:val="000000" w:themeColor="text1"/>
        </w:rPr>
        <w:t xml:space="preserve">, </w:t>
      </w:r>
      <w:proofErr w:type="spellStart"/>
      <w:r w:rsidR="00AE3333" w:rsidRPr="00AE3333">
        <w:rPr>
          <w:rFonts w:cs="Arial"/>
          <w:color w:val="000000" w:themeColor="text1"/>
        </w:rPr>
        <w:t>Paternáin</w:t>
      </w:r>
      <w:proofErr w:type="spellEnd"/>
      <w:r w:rsidR="00AE3333" w:rsidRPr="00AE3333">
        <w:rPr>
          <w:rFonts w:cs="Arial"/>
          <w:color w:val="000000" w:themeColor="text1"/>
        </w:rPr>
        <w:t xml:space="preserve">, </w:t>
      </w:r>
      <w:proofErr w:type="spellStart"/>
      <w:r w:rsidR="00AE3333" w:rsidRPr="00AE3333">
        <w:rPr>
          <w:rFonts w:cs="Arial"/>
          <w:color w:val="000000" w:themeColor="text1"/>
        </w:rPr>
        <w:t>Saigots</w:t>
      </w:r>
      <w:proofErr w:type="spellEnd"/>
      <w:r w:rsidR="00AE3333" w:rsidRPr="00AE3333">
        <w:rPr>
          <w:rFonts w:cs="Arial"/>
          <w:color w:val="000000" w:themeColor="text1"/>
        </w:rPr>
        <w:t xml:space="preserve">, Salinas de Pamplona, Saragüeta / </w:t>
      </w:r>
      <w:proofErr w:type="spellStart"/>
      <w:r w:rsidR="00AE3333" w:rsidRPr="00AE3333">
        <w:rPr>
          <w:rFonts w:cs="Arial"/>
          <w:color w:val="000000" w:themeColor="text1"/>
        </w:rPr>
        <w:t>Saragueta</w:t>
      </w:r>
      <w:proofErr w:type="spellEnd"/>
      <w:r w:rsidR="00AE3333" w:rsidRPr="00AE3333">
        <w:rPr>
          <w:rFonts w:cs="Arial"/>
          <w:color w:val="000000" w:themeColor="text1"/>
        </w:rPr>
        <w:t xml:space="preserve">, Sorauren, Unciti, </w:t>
      </w:r>
      <w:proofErr w:type="spellStart"/>
      <w:r w:rsidR="00AE3333" w:rsidRPr="00AE3333">
        <w:rPr>
          <w:rFonts w:cs="Arial"/>
          <w:color w:val="000000" w:themeColor="text1"/>
        </w:rPr>
        <w:t>Undiano</w:t>
      </w:r>
      <w:proofErr w:type="spellEnd"/>
      <w:r w:rsidR="00AE3333" w:rsidRPr="00AE3333">
        <w:rPr>
          <w:rFonts w:cs="Arial"/>
          <w:color w:val="000000" w:themeColor="text1"/>
        </w:rPr>
        <w:t xml:space="preserve"> / </w:t>
      </w:r>
      <w:proofErr w:type="spellStart"/>
      <w:r w:rsidR="00AE3333" w:rsidRPr="00AE3333">
        <w:rPr>
          <w:rFonts w:cs="Arial"/>
          <w:color w:val="000000" w:themeColor="text1"/>
        </w:rPr>
        <w:t>Undio</w:t>
      </w:r>
      <w:proofErr w:type="spellEnd"/>
      <w:r w:rsidR="00AE3333" w:rsidRPr="00AE3333">
        <w:rPr>
          <w:rFonts w:cs="Arial"/>
          <w:color w:val="000000" w:themeColor="text1"/>
        </w:rPr>
        <w:t xml:space="preserve">, </w:t>
      </w:r>
      <w:proofErr w:type="spellStart"/>
      <w:r w:rsidR="00AE3333" w:rsidRPr="00AE3333">
        <w:rPr>
          <w:rFonts w:cs="Arial"/>
          <w:color w:val="000000" w:themeColor="text1"/>
        </w:rPr>
        <w:t>Unzu</w:t>
      </w:r>
      <w:proofErr w:type="spellEnd"/>
      <w:r w:rsidR="00AE3333" w:rsidRPr="00AE3333">
        <w:rPr>
          <w:rFonts w:cs="Arial"/>
          <w:color w:val="000000" w:themeColor="text1"/>
        </w:rPr>
        <w:t xml:space="preserve">, </w:t>
      </w:r>
      <w:proofErr w:type="spellStart"/>
      <w:r w:rsidR="00AE3333" w:rsidRPr="00AE3333">
        <w:rPr>
          <w:rFonts w:cs="Arial"/>
          <w:color w:val="000000" w:themeColor="text1"/>
        </w:rPr>
        <w:t>Urdánoz</w:t>
      </w:r>
      <w:proofErr w:type="spellEnd"/>
      <w:r w:rsidR="00AE3333" w:rsidRPr="00AE3333">
        <w:rPr>
          <w:rFonts w:cs="Arial"/>
          <w:color w:val="000000" w:themeColor="text1"/>
        </w:rPr>
        <w:t xml:space="preserve">, </w:t>
      </w:r>
      <w:proofErr w:type="spellStart"/>
      <w:r w:rsidR="00AE3333" w:rsidRPr="00AE3333">
        <w:rPr>
          <w:rFonts w:cs="Arial"/>
          <w:color w:val="000000" w:themeColor="text1"/>
        </w:rPr>
        <w:t>Úriz</w:t>
      </w:r>
      <w:proofErr w:type="spellEnd"/>
      <w:r w:rsidR="00AE3333" w:rsidRPr="00AE3333">
        <w:rPr>
          <w:rFonts w:cs="Arial"/>
          <w:color w:val="000000" w:themeColor="text1"/>
        </w:rPr>
        <w:t xml:space="preserve"> / </w:t>
      </w:r>
      <w:proofErr w:type="spellStart"/>
      <w:r w:rsidR="00AE3333" w:rsidRPr="00AE3333">
        <w:rPr>
          <w:rFonts w:cs="Arial"/>
          <w:color w:val="000000" w:themeColor="text1"/>
        </w:rPr>
        <w:t>Uritz</w:t>
      </w:r>
      <w:proofErr w:type="spellEnd"/>
      <w:r w:rsidR="00AE3333" w:rsidRPr="00AE3333">
        <w:rPr>
          <w:rFonts w:cs="Arial"/>
          <w:color w:val="000000" w:themeColor="text1"/>
        </w:rPr>
        <w:t xml:space="preserve">, </w:t>
      </w:r>
      <w:proofErr w:type="spellStart"/>
      <w:r w:rsidR="00AE3333" w:rsidRPr="00AE3333">
        <w:rPr>
          <w:rFonts w:cs="Arial"/>
          <w:color w:val="000000" w:themeColor="text1"/>
        </w:rPr>
        <w:t>Urritza</w:t>
      </w:r>
      <w:proofErr w:type="spellEnd"/>
      <w:r w:rsidR="00AE3333" w:rsidRPr="00AE3333">
        <w:rPr>
          <w:rFonts w:cs="Arial"/>
          <w:color w:val="000000" w:themeColor="text1"/>
        </w:rPr>
        <w:t xml:space="preserve">, Villanueva de Arce / </w:t>
      </w:r>
      <w:proofErr w:type="spellStart"/>
      <w:r w:rsidR="00AE3333" w:rsidRPr="00AE3333">
        <w:rPr>
          <w:rFonts w:cs="Arial"/>
          <w:color w:val="000000" w:themeColor="text1"/>
        </w:rPr>
        <w:t>Hiriberri-Artzibar</w:t>
      </w:r>
      <w:proofErr w:type="spellEnd"/>
      <w:r w:rsidR="00AE3333" w:rsidRPr="00AE3333">
        <w:rPr>
          <w:rFonts w:cs="Arial"/>
          <w:color w:val="000000" w:themeColor="text1"/>
        </w:rPr>
        <w:t xml:space="preserve">, </w:t>
      </w:r>
      <w:proofErr w:type="spellStart"/>
      <w:r w:rsidR="00AE3333" w:rsidRPr="00AE3333">
        <w:rPr>
          <w:rFonts w:cs="Arial"/>
          <w:color w:val="000000" w:themeColor="text1"/>
        </w:rPr>
        <w:t>Villaveta</w:t>
      </w:r>
      <w:proofErr w:type="spellEnd"/>
      <w:r w:rsidR="00AE3333" w:rsidRPr="00AE3333">
        <w:rPr>
          <w:rFonts w:cs="Arial"/>
          <w:color w:val="000000" w:themeColor="text1"/>
        </w:rPr>
        <w:t xml:space="preserve"> / </w:t>
      </w:r>
      <w:proofErr w:type="spellStart"/>
      <w:r w:rsidR="00AE3333" w:rsidRPr="00AE3333">
        <w:rPr>
          <w:rFonts w:cs="Arial"/>
          <w:color w:val="000000" w:themeColor="text1"/>
        </w:rPr>
        <w:t>Billabeta</w:t>
      </w:r>
      <w:proofErr w:type="spellEnd"/>
      <w:r w:rsidR="00AE3333" w:rsidRPr="00AE3333">
        <w:rPr>
          <w:rFonts w:cs="Arial"/>
          <w:color w:val="000000" w:themeColor="text1"/>
        </w:rPr>
        <w:t>, Zariquiegui</w:t>
      </w:r>
      <w:r w:rsidR="00AE3333">
        <w:rPr>
          <w:rFonts w:cs="Arial"/>
          <w:color w:val="000000" w:themeColor="text1"/>
        </w:rPr>
        <w:t xml:space="preserve">, </w:t>
      </w:r>
      <w:proofErr w:type="spellStart"/>
      <w:r w:rsidR="00AE3333" w:rsidRPr="00AE3333">
        <w:rPr>
          <w:rFonts w:cs="Arial"/>
          <w:color w:val="000000" w:themeColor="text1"/>
        </w:rPr>
        <w:t>Zarrantz</w:t>
      </w:r>
      <w:proofErr w:type="spellEnd"/>
      <w:r w:rsidR="00AE3333" w:rsidRPr="00AE3333">
        <w:rPr>
          <w:rFonts w:cs="Arial"/>
          <w:color w:val="000000" w:themeColor="text1"/>
        </w:rPr>
        <w:t xml:space="preserve">, </w:t>
      </w:r>
      <w:proofErr w:type="spellStart"/>
      <w:r w:rsidR="00AE3333" w:rsidRPr="00AE3333">
        <w:rPr>
          <w:rFonts w:cs="Arial"/>
          <w:color w:val="000000" w:themeColor="text1"/>
        </w:rPr>
        <w:t>Zurucuáin</w:t>
      </w:r>
      <w:proofErr w:type="spellEnd"/>
      <w:r w:rsidR="00AE3333" w:rsidRPr="00AE3333">
        <w:rPr>
          <w:rFonts w:cs="Arial"/>
          <w:color w:val="000000" w:themeColor="text1"/>
        </w:rPr>
        <w:t xml:space="preserve"> / </w:t>
      </w:r>
      <w:proofErr w:type="spellStart"/>
      <w:r w:rsidR="00AE3333" w:rsidRPr="00AE3333">
        <w:rPr>
          <w:rFonts w:cs="Arial"/>
          <w:color w:val="000000" w:themeColor="text1"/>
        </w:rPr>
        <w:t>Zurukuain</w:t>
      </w:r>
      <w:proofErr w:type="spellEnd"/>
      <w:r w:rsidR="00AE3333">
        <w:rPr>
          <w:rFonts w:cs="Arial"/>
          <w:color w:val="000000" w:themeColor="text1"/>
        </w:rPr>
        <w:t xml:space="preserve">. La población de estos concejos es de 7.580 </w:t>
      </w:r>
      <w:r w:rsidR="00C26CF1">
        <w:rPr>
          <w:rFonts w:cs="Arial"/>
          <w:color w:val="000000" w:themeColor="text1"/>
        </w:rPr>
        <w:t>personas, lo que equivale al 1,15</w:t>
      </w:r>
      <w:r w:rsidR="00AE3333">
        <w:rPr>
          <w:rFonts w:cs="Arial"/>
          <w:color w:val="000000" w:themeColor="text1"/>
        </w:rPr>
        <w:t xml:space="preserve"> por ciento de la población total d</w:t>
      </w:r>
      <w:r w:rsidR="00593AAE">
        <w:rPr>
          <w:rFonts w:cs="Arial"/>
          <w:color w:val="000000" w:themeColor="text1"/>
        </w:rPr>
        <w:t>e Navarra y al 18,14 por ciento de la residente en concejos.</w:t>
      </w:r>
      <w:r w:rsidR="00AE3333">
        <w:rPr>
          <w:rFonts w:cs="Arial"/>
          <w:color w:val="000000" w:themeColor="text1"/>
        </w:rPr>
        <w:t xml:space="preserve"> </w:t>
      </w:r>
    </w:p>
    <w:p w14:paraId="632DA6A9" w14:textId="4AA08BA6" w:rsidR="00683931" w:rsidRPr="006B1D1B" w:rsidRDefault="00683931" w:rsidP="008974DA">
      <w:pPr>
        <w:ind w:firstLine="284"/>
        <w:rPr>
          <w:rFonts w:cs="Arial"/>
          <w:color w:val="000000" w:themeColor="text1"/>
          <w:spacing w:val="6"/>
          <w:sz w:val="26"/>
          <w:szCs w:val="24"/>
          <w:highlight w:val="yellow"/>
        </w:rPr>
      </w:pPr>
      <w:r w:rsidRPr="008E43F9">
        <w:rPr>
          <w:rFonts w:cs="Arial"/>
          <w:color w:val="000000" w:themeColor="text1"/>
          <w:spacing w:val="6"/>
          <w:sz w:val="26"/>
          <w:szCs w:val="24"/>
        </w:rPr>
        <w:t xml:space="preserve">Destaca la falta de rendición de cuentas de </w:t>
      </w:r>
      <w:r w:rsidR="00AE3333" w:rsidRPr="008E43F9">
        <w:rPr>
          <w:rFonts w:cs="Arial"/>
          <w:color w:val="000000" w:themeColor="text1"/>
          <w:spacing w:val="6"/>
          <w:sz w:val="26"/>
          <w:szCs w:val="24"/>
        </w:rPr>
        <w:t xml:space="preserve">siete de los </w:t>
      </w:r>
      <w:r w:rsidRPr="008E43F9">
        <w:rPr>
          <w:rFonts w:cs="Arial"/>
          <w:color w:val="000000" w:themeColor="text1"/>
          <w:spacing w:val="6"/>
          <w:sz w:val="26"/>
          <w:szCs w:val="24"/>
        </w:rPr>
        <w:t xml:space="preserve">ocho concejos </w:t>
      </w:r>
      <w:r w:rsidR="00104149">
        <w:rPr>
          <w:rFonts w:cs="Arial"/>
          <w:color w:val="000000" w:themeColor="text1"/>
          <w:spacing w:val="6"/>
          <w:sz w:val="26"/>
          <w:szCs w:val="24"/>
        </w:rPr>
        <w:t xml:space="preserve">de la </w:t>
      </w:r>
      <w:proofErr w:type="spellStart"/>
      <w:r w:rsidR="00104149">
        <w:rPr>
          <w:rFonts w:cs="Arial"/>
          <w:color w:val="000000" w:themeColor="text1"/>
          <w:spacing w:val="6"/>
          <w:sz w:val="26"/>
          <w:szCs w:val="24"/>
        </w:rPr>
        <w:t>Cendea</w:t>
      </w:r>
      <w:proofErr w:type="spellEnd"/>
      <w:r w:rsidR="00104149">
        <w:rPr>
          <w:rFonts w:cs="Arial"/>
          <w:color w:val="000000" w:themeColor="text1"/>
          <w:spacing w:val="6"/>
          <w:sz w:val="26"/>
          <w:szCs w:val="24"/>
        </w:rPr>
        <w:t xml:space="preserve"> de Cizur</w:t>
      </w:r>
      <w:r w:rsidRPr="008E43F9">
        <w:rPr>
          <w:rFonts w:cs="Arial"/>
          <w:color w:val="000000" w:themeColor="text1"/>
          <w:spacing w:val="6"/>
          <w:sz w:val="26"/>
          <w:szCs w:val="24"/>
        </w:rPr>
        <w:t xml:space="preserve">, </w:t>
      </w:r>
      <w:r w:rsidR="00AE3333" w:rsidRPr="008E43F9">
        <w:rPr>
          <w:rFonts w:cs="Arial"/>
          <w:color w:val="000000" w:themeColor="text1"/>
          <w:spacing w:val="6"/>
          <w:sz w:val="26"/>
          <w:szCs w:val="24"/>
        </w:rPr>
        <w:t>que suman una población de</w:t>
      </w:r>
      <w:r w:rsidRPr="008E43F9">
        <w:rPr>
          <w:rFonts w:cs="Arial"/>
          <w:color w:val="000000" w:themeColor="text1"/>
          <w:spacing w:val="6"/>
          <w:sz w:val="26"/>
          <w:szCs w:val="24"/>
        </w:rPr>
        <w:t xml:space="preserve"> 3.8</w:t>
      </w:r>
      <w:r w:rsidR="00AE3333" w:rsidRPr="008E43F9">
        <w:rPr>
          <w:rFonts w:cs="Arial"/>
          <w:color w:val="000000" w:themeColor="text1"/>
          <w:spacing w:val="6"/>
          <w:sz w:val="26"/>
          <w:szCs w:val="24"/>
        </w:rPr>
        <w:t>10</w:t>
      </w:r>
      <w:r w:rsidR="000259CF">
        <w:rPr>
          <w:rFonts w:cs="Arial"/>
          <w:color w:val="000000" w:themeColor="text1"/>
          <w:spacing w:val="6"/>
          <w:sz w:val="26"/>
          <w:szCs w:val="24"/>
        </w:rPr>
        <w:t xml:space="preserve"> habitantes.</w:t>
      </w:r>
    </w:p>
    <w:p w14:paraId="695F899E" w14:textId="46E5FDB5" w:rsidR="00683931" w:rsidRPr="00775B81" w:rsidRDefault="00775B81" w:rsidP="00543D5A">
      <w:pPr>
        <w:pStyle w:val="texto"/>
        <w:numPr>
          <w:ilvl w:val="0"/>
          <w:numId w:val="12"/>
        </w:numPr>
        <w:tabs>
          <w:tab w:val="clear" w:pos="2835"/>
          <w:tab w:val="clear" w:pos="3969"/>
          <w:tab w:val="clear" w:pos="5103"/>
          <w:tab w:val="clear" w:pos="6237"/>
          <w:tab w:val="clear" w:pos="7371"/>
          <w:tab w:val="left" w:pos="480"/>
          <w:tab w:val="num" w:pos="720"/>
          <w:tab w:val="num" w:pos="1320"/>
        </w:tabs>
        <w:ind w:left="0" w:firstLine="426"/>
        <w:rPr>
          <w:rFonts w:cs="Arial"/>
          <w:color w:val="000000" w:themeColor="text1"/>
        </w:rPr>
      </w:pPr>
      <w:r>
        <w:rPr>
          <w:rFonts w:cs="Arial"/>
          <w:color w:val="000000" w:themeColor="text1"/>
        </w:rPr>
        <w:t>11 de las 83 mancomunidades y agrupaciones</w:t>
      </w:r>
      <w:r w:rsidR="00683931" w:rsidRPr="00775B81">
        <w:rPr>
          <w:rFonts w:cs="Arial"/>
          <w:color w:val="000000" w:themeColor="text1"/>
        </w:rPr>
        <w:t xml:space="preserve">: Agrupación de Ayuntamientos de Burgui, </w:t>
      </w:r>
      <w:proofErr w:type="spellStart"/>
      <w:r w:rsidR="00683931" w:rsidRPr="00775B81">
        <w:rPr>
          <w:rFonts w:cs="Arial"/>
          <w:color w:val="000000" w:themeColor="text1"/>
        </w:rPr>
        <w:t>Vidángoz</w:t>
      </w:r>
      <w:proofErr w:type="spellEnd"/>
      <w:r w:rsidR="00683931" w:rsidRPr="00775B81">
        <w:rPr>
          <w:rFonts w:cs="Arial"/>
          <w:color w:val="000000" w:themeColor="text1"/>
        </w:rPr>
        <w:t xml:space="preserve"> y Garde</w:t>
      </w:r>
      <w:r w:rsidRPr="00775B81">
        <w:rPr>
          <w:rFonts w:cs="Arial"/>
          <w:color w:val="000000" w:themeColor="text1"/>
        </w:rPr>
        <w:t xml:space="preserve"> / </w:t>
      </w:r>
      <w:proofErr w:type="spellStart"/>
      <w:r w:rsidRPr="00775B81">
        <w:rPr>
          <w:rFonts w:cs="Arial"/>
          <w:color w:val="000000" w:themeColor="text1"/>
        </w:rPr>
        <w:t>Burgi</w:t>
      </w:r>
      <w:proofErr w:type="spellEnd"/>
      <w:r w:rsidRPr="00775B81">
        <w:rPr>
          <w:rFonts w:cs="Arial"/>
          <w:color w:val="000000" w:themeColor="text1"/>
        </w:rPr>
        <w:t xml:space="preserve">, </w:t>
      </w:r>
      <w:proofErr w:type="spellStart"/>
      <w:r w:rsidRPr="00775B81">
        <w:rPr>
          <w:rFonts w:cs="Arial"/>
          <w:color w:val="000000" w:themeColor="text1"/>
        </w:rPr>
        <w:t>Bidankoze</w:t>
      </w:r>
      <w:proofErr w:type="spellEnd"/>
      <w:r w:rsidRPr="00775B81">
        <w:rPr>
          <w:rFonts w:cs="Arial"/>
          <w:color w:val="000000" w:themeColor="text1"/>
        </w:rPr>
        <w:t xml:space="preserve"> eta </w:t>
      </w:r>
      <w:proofErr w:type="spellStart"/>
      <w:r w:rsidRPr="00775B81">
        <w:rPr>
          <w:rFonts w:cs="Arial"/>
          <w:color w:val="000000" w:themeColor="text1"/>
        </w:rPr>
        <w:t>Gardeko</w:t>
      </w:r>
      <w:proofErr w:type="spellEnd"/>
      <w:r w:rsidRPr="00775B81">
        <w:rPr>
          <w:rFonts w:cs="Arial"/>
          <w:color w:val="000000" w:themeColor="text1"/>
        </w:rPr>
        <w:t xml:space="preserve"> </w:t>
      </w:r>
      <w:proofErr w:type="spellStart"/>
      <w:r w:rsidRPr="00775B81">
        <w:rPr>
          <w:rFonts w:cs="Arial"/>
          <w:color w:val="000000" w:themeColor="text1"/>
        </w:rPr>
        <w:t>Batasunak</w:t>
      </w:r>
      <w:proofErr w:type="spellEnd"/>
      <w:r w:rsidR="00683931" w:rsidRPr="00775B81">
        <w:rPr>
          <w:rFonts w:cs="Arial"/>
          <w:color w:val="000000" w:themeColor="text1"/>
        </w:rPr>
        <w:t xml:space="preserve">, </w:t>
      </w:r>
      <w:r w:rsidRPr="00775B81">
        <w:rPr>
          <w:rFonts w:cs="Arial"/>
          <w:color w:val="000000" w:themeColor="text1"/>
        </w:rPr>
        <w:t xml:space="preserve">Agrupación de Servicios Administrativos de los Municipios de Falces y Miranda de Arga, Comunidad de </w:t>
      </w:r>
      <w:proofErr w:type="spellStart"/>
      <w:r w:rsidRPr="00775B81">
        <w:rPr>
          <w:rFonts w:cs="Arial"/>
          <w:color w:val="000000" w:themeColor="text1"/>
        </w:rPr>
        <w:t>Bardenas</w:t>
      </w:r>
      <w:proofErr w:type="spellEnd"/>
      <w:r w:rsidRPr="00775B81">
        <w:rPr>
          <w:rFonts w:cs="Arial"/>
          <w:color w:val="000000" w:themeColor="text1"/>
        </w:rPr>
        <w:t xml:space="preserve"> Reales, </w:t>
      </w:r>
      <w:r w:rsidR="00683931" w:rsidRPr="00775B81">
        <w:rPr>
          <w:rFonts w:cs="Arial"/>
          <w:color w:val="000000" w:themeColor="text1"/>
        </w:rPr>
        <w:t xml:space="preserve">Mancomunidad de </w:t>
      </w:r>
      <w:proofErr w:type="spellStart"/>
      <w:r w:rsidR="00683931" w:rsidRPr="00775B81">
        <w:rPr>
          <w:rFonts w:cs="Arial"/>
          <w:color w:val="000000" w:themeColor="text1"/>
        </w:rPr>
        <w:t>Leitza</w:t>
      </w:r>
      <w:proofErr w:type="spellEnd"/>
      <w:r w:rsidR="00683931" w:rsidRPr="00775B81">
        <w:rPr>
          <w:rFonts w:cs="Arial"/>
          <w:color w:val="000000" w:themeColor="text1"/>
        </w:rPr>
        <w:t xml:space="preserve">, Goizueta, </w:t>
      </w:r>
      <w:proofErr w:type="spellStart"/>
      <w:r w:rsidR="00683931" w:rsidRPr="00775B81">
        <w:rPr>
          <w:rFonts w:cs="Arial"/>
          <w:color w:val="000000" w:themeColor="text1"/>
        </w:rPr>
        <w:t>Areso</w:t>
      </w:r>
      <w:proofErr w:type="spellEnd"/>
      <w:r w:rsidR="00683931" w:rsidRPr="00775B81">
        <w:rPr>
          <w:rFonts w:cs="Arial"/>
          <w:color w:val="000000" w:themeColor="text1"/>
        </w:rPr>
        <w:t xml:space="preserve"> y Arano para la Gestión del Servicio Social de Base, </w:t>
      </w:r>
      <w:r w:rsidRPr="00775B81">
        <w:rPr>
          <w:rFonts w:cs="Arial"/>
          <w:color w:val="000000" w:themeColor="text1"/>
        </w:rPr>
        <w:t>Mancomunidad de Personal de Aberin-Arellano-Morentin, Mancomunidad de Residuos Sólidos Esca-Salazar /</w:t>
      </w:r>
      <w:proofErr w:type="spellStart"/>
      <w:r w:rsidRPr="00775B81">
        <w:rPr>
          <w:rFonts w:cs="Arial"/>
          <w:color w:val="000000" w:themeColor="text1"/>
        </w:rPr>
        <w:t>Eska</w:t>
      </w:r>
      <w:r w:rsidR="008E43F9">
        <w:rPr>
          <w:rFonts w:cs="Arial"/>
          <w:color w:val="000000" w:themeColor="text1"/>
        </w:rPr>
        <w:t>-Z</w:t>
      </w:r>
      <w:r w:rsidRPr="00775B81">
        <w:rPr>
          <w:rFonts w:cs="Arial"/>
          <w:color w:val="000000" w:themeColor="text1"/>
        </w:rPr>
        <w:t>araitzu</w:t>
      </w:r>
      <w:proofErr w:type="spellEnd"/>
      <w:r w:rsidRPr="00775B81">
        <w:rPr>
          <w:rFonts w:cs="Arial"/>
          <w:color w:val="000000" w:themeColor="text1"/>
        </w:rPr>
        <w:t xml:space="preserve"> </w:t>
      </w:r>
      <w:proofErr w:type="spellStart"/>
      <w:r w:rsidRPr="00775B81">
        <w:rPr>
          <w:rFonts w:cs="Arial"/>
          <w:color w:val="000000" w:themeColor="text1"/>
        </w:rPr>
        <w:t>Hondakin</w:t>
      </w:r>
      <w:proofErr w:type="spellEnd"/>
      <w:r w:rsidRPr="00775B81">
        <w:rPr>
          <w:rFonts w:cs="Arial"/>
          <w:color w:val="000000" w:themeColor="text1"/>
        </w:rPr>
        <w:t xml:space="preserve"> </w:t>
      </w:r>
      <w:proofErr w:type="spellStart"/>
      <w:r w:rsidRPr="00775B81">
        <w:rPr>
          <w:rFonts w:cs="Arial"/>
          <w:color w:val="000000" w:themeColor="text1"/>
        </w:rPr>
        <w:t>Solidoen</w:t>
      </w:r>
      <w:proofErr w:type="spellEnd"/>
      <w:r w:rsidRPr="00775B81">
        <w:rPr>
          <w:rFonts w:cs="Arial"/>
          <w:color w:val="000000" w:themeColor="text1"/>
        </w:rPr>
        <w:t xml:space="preserve"> </w:t>
      </w:r>
      <w:proofErr w:type="spellStart"/>
      <w:r w:rsidRPr="00775B81">
        <w:rPr>
          <w:rFonts w:cs="Arial"/>
          <w:color w:val="000000" w:themeColor="text1"/>
        </w:rPr>
        <w:t>Mankomunitatea</w:t>
      </w:r>
      <w:proofErr w:type="spellEnd"/>
      <w:r w:rsidRPr="00775B81">
        <w:rPr>
          <w:rFonts w:cs="Arial"/>
          <w:color w:val="000000" w:themeColor="text1"/>
        </w:rPr>
        <w:t xml:space="preserve">, </w:t>
      </w:r>
      <w:r w:rsidR="00683931" w:rsidRPr="00775B81">
        <w:rPr>
          <w:rFonts w:cs="Arial"/>
          <w:color w:val="000000" w:themeColor="text1"/>
        </w:rPr>
        <w:t xml:space="preserve">Mancomunidad de Servicios de la Comarca de Sangüesa, </w:t>
      </w:r>
      <w:r w:rsidRPr="00775B81">
        <w:rPr>
          <w:rFonts w:cs="Arial"/>
          <w:color w:val="000000" w:themeColor="text1"/>
        </w:rPr>
        <w:t xml:space="preserve">Mancomunidad de Servicios Sociales de Base de la Zona de Olite, </w:t>
      </w:r>
      <w:r w:rsidR="00683931" w:rsidRPr="00775B81">
        <w:rPr>
          <w:rFonts w:cs="Arial"/>
          <w:color w:val="000000" w:themeColor="text1"/>
        </w:rPr>
        <w:t xml:space="preserve">Mancomunidad del Alto </w:t>
      </w:r>
      <w:proofErr w:type="spellStart"/>
      <w:r w:rsidR="00683931" w:rsidRPr="00775B81">
        <w:rPr>
          <w:rFonts w:cs="Arial"/>
          <w:color w:val="000000" w:themeColor="text1"/>
        </w:rPr>
        <w:t>Araxes</w:t>
      </w:r>
      <w:proofErr w:type="spellEnd"/>
      <w:r w:rsidR="00683931" w:rsidRPr="00775B81">
        <w:rPr>
          <w:rFonts w:cs="Arial"/>
          <w:color w:val="000000" w:themeColor="text1"/>
        </w:rPr>
        <w:t>, Mancomunidad del Norte de N</w:t>
      </w:r>
      <w:r w:rsidR="005D0F2E">
        <w:rPr>
          <w:rFonts w:cs="Arial"/>
          <w:color w:val="000000" w:themeColor="text1"/>
        </w:rPr>
        <w:t>avarra para la Gestión del Euske</w:t>
      </w:r>
      <w:r w:rsidR="00683931" w:rsidRPr="00775B81">
        <w:rPr>
          <w:rFonts w:cs="Arial"/>
          <w:color w:val="000000" w:themeColor="text1"/>
        </w:rPr>
        <w:t>ra</w:t>
      </w:r>
      <w:r>
        <w:rPr>
          <w:rFonts w:cs="Arial"/>
          <w:color w:val="000000" w:themeColor="text1"/>
        </w:rPr>
        <w:t xml:space="preserve"> y </w:t>
      </w:r>
      <w:r w:rsidR="00683931" w:rsidRPr="00775B81">
        <w:rPr>
          <w:rFonts w:cs="Arial"/>
          <w:color w:val="000000" w:themeColor="text1"/>
        </w:rPr>
        <w:t>Mancomunidad Deportiva Orreaga</w:t>
      </w:r>
      <w:r>
        <w:rPr>
          <w:rFonts w:cs="Arial"/>
          <w:color w:val="000000" w:themeColor="text1"/>
        </w:rPr>
        <w:t>.</w:t>
      </w:r>
      <w:r w:rsidR="00683931" w:rsidRPr="00775B81">
        <w:rPr>
          <w:rFonts w:cs="Arial"/>
          <w:color w:val="000000" w:themeColor="text1"/>
        </w:rPr>
        <w:t xml:space="preserve"> </w:t>
      </w:r>
    </w:p>
    <w:p w14:paraId="112F65A4" w14:textId="23407E7D" w:rsidR="00543D5A" w:rsidRDefault="00683931" w:rsidP="00543D5A">
      <w:pPr>
        <w:pStyle w:val="texto"/>
        <w:rPr>
          <w:color w:val="000000" w:themeColor="text1"/>
        </w:rPr>
      </w:pPr>
      <w:r w:rsidRPr="00B81E61">
        <w:rPr>
          <w:color w:val="000000" w:themeColor="text1"/>
        </w:rPr>
        <w:t xml:space="preserve">Por otra parte, conviene precisar que el citado análisis de la situación financiera se elabora </w:t>
      </w:r>
      <w:r w:rsidR="005D0F2E">
        <w:rPr>
          <w:color w:val="000000" w:themeColor="text1"/>
        </w:rPr>
        <w:t>fundamentalmente en base a</w:t>
      </w:r>
      <w:r w:rsidRPr="00B81E61">
        <w:rPr>
          <w:color w:val="000000" w:themeColor="text1"/>
        </w:rPr>
        <w:t xml:space="preserve"> datos presupuestarios consolidados de las entidades loca</w:t>
      </w:r>
      <w:r w:rsidR="005D0F2E">
        <w:rPr>
          <w:color w:val="000000" w:themeColor="text1"/>
        </w:rPr>
        <w:t>les y sus organismos autónomos, si bien en ciertos aspectos se presenta informaci</w:t>
      </w:r>
      <w:r w:rsidR="00543D5A">
        <w:rPr>
          <w:color w:val="000000" w:themeColor="text1"/>
        </w:rPr>
        <w:t>ón incluyendo</w:t>
      </w:r>
      <w:r w:rsidR="003118C4">
        <w:rPr>
          <w:color w:val="000000" w:themeColor="text1"/>
        </w:rPr>
        <w:t xml:space="preserve"> también</w:t>
      </w:r>
      <w:r w:rsidR="00543D5A">
        <w:rPr>
          <w:color w:val="000000" w:themeColor="text1"/>
        </w:rPr>
        <w:t xml:space="preserve"> las sociedades Servicios de la Comarca de Pamplona, S.A. (SCPSA), Servicios Técnicos Mancomunados S.L.U. (</w:t>
      </w:r>
      <w:proofErr w:type="spellStart"/>
      <w:r w:rsidR="00543D5A">
        <w:rPr>
          <w:color w:val="000000" w:themeColor="text1"/>
        </w:rPr>
        <w:t>Sertecma</w:t>
      </w:r>
      <w:proofErr w:type="spellEnd"/>
      <w:r w:rsidR="00543D5A">
        <w:rPr>
          <w:color w:val="000000" w:themeColor="text1"/>
        </w:rPr>
        <w:t>) y Servicios de la Mancomunidad de Montejurra S.A. (SMSA). El análisis del endeudamiento sí incluye la consolidación de todas las sociedades dependientes de municipios y mancomunidades. Por su parte, las fundaciones públicas y los consorcios no se incluyen en ninguna consolidación.</w:t>
      </w:r>
    </w:p>
    <w:p w14:paraId="625B05FD" w14:textId="77777777" w:rsidR="00683931" w:rsidRPr="00B81E61" w:rsidRDefault="00683931" w:rsidP="00543D5A">
      <w:pPr>
        <w:pStyle w:val="texto"/>
        <w:rPr>
          <w:color w:val="000000" w:themeColor="text1"/>
        </w:rPr>
      </w:pPr>
      <w:r w:rsidRPr="00B81E61">
        <w:rPr>
          <w:color w:val="000000" w:themeColor="text1"/>
        </w:rPr>
        <w:t>Si bien ha existido esta limitación al alcance por falta de información, consideramos que las conclusiones alcanzadas en nuestro trabajo, en caso de haber dispuesto de esos datos, no habrían variado significativamente.</w:t>
      </w:r>
    </w:p>
    <w:p w14:paraId="5901AAB4" w14:textId="77777777" w:rsidR="00683931" w:rsidRPr="00B81E61" w:rsidRDefault="00683931" w:rsidP="00543D5A">
      <w:pPr>
        <w:rPr>
          <w:rFonts w:cs="Arial"/>
          <w:color w:val="000000" w:themeColor="text1"/>
          <w:spacing w:val="6"/>
          <w:sz w:val="26"/>
          <w:szCs w:val="24"/>
        </w:rPr>
      </w:pPr>
      <w:r w:rsidRPr="00B81E61">
        <w:rPr>
          <w:color w:val="000000" w:themeColor="text1"/>
        </w:rPr>
        <w:br w:type="page"/>
      </w:r>
      <w:bookmarkEnd w:id="18"/>
      <w:bookmarkEnd w:id="19"/>
      <w:bookmarkEnd w:id="20"/>
      <w:bookmarkEnd w:id="21"/>
      <w:bookmarkEnd w:id="22"/>
    </w:p>
    <w:p w14:paraId="2FFE9588" w14:textId="60E04D11" w:rsidR="00683931" w:rsidRPr="004248BF" w:rsidRDefault="00683931" w:rsidP="004248BF">
      <w:pPr>
        <w:pStyle w:val="Ttulo1"/>
        <w:ind w:firstLine="0"/>
        <w:rPr>
          <w:szCs w:val="25"/>
        </w:rPr>
      </w:pPr>
      <w:bookmarkStart w:id="23" w:name="_Toc24100149"/>
      <w:bookmarkStart w:id="24" w:name="_Toc52348327"/>
      <w:bookmarkStart w:id="25" w:name="_Toc88727722"/>
      <w:bookmarkStart w:id="26" w:name="_Toc123724191"/>
      <w:r w:rsidRPr="004248BF">
        <w:rPr>
          <w:szCs w:val="25"/>
        </w:rPr>
        <w:lastRenderedPageBreak/>
        <w:t>III. Conclusiones y recomendaciones</w:t>
      </w:r>
      <w:bookmarkEnd w:id="23"/>
      <w:bookmarkEnd w:id="24"/>
      <w:bookmarkEnd w:id="25"/>
      <w:bookmarkEnd w:id="26"/>
    </w:p>
    <w:p w14:paraId="38352DE2" w14:textId="2CD80938" w:rsidR="00982B6E" w:rsidRDefault="00982B6E" w:rsidP="00982B6E">
      <w:pPr>
        <w:pStyle w:val="Ttulo2"/>
      </w:pPr>
      <w:bookmarkStart w:id="27" w:name="_Toc123724192"/>
      <w:r>
        <w:t>III.1</w:t>
      </w:r>
      <w:r w:rsidR="00095E01">
        <w:t>.</w:t>
      </w:r>
      <w:r>
        <w:t xml:space="preserve"> Conclusiones</w:t>
      </w:r>
      <w:bookmarkEnd w:id="27"/>
    </w:p>
    <w:p w14:paraId="54BB4996" w14:textId="1DD9B363" w:rsidR="00683931" w:rsidRDefault="00683931" w:rsidP="0029777F">
      <w:pPr>
        <w:pStyle w:val="texto"/>
        <w:rPr>
          <w:color w:val="000000" w:themeColor="text1"/>
        </w:rPr>
      </w:pPr>
      <w:r w:rsidRPr="00C26CF1">
        <w:rPr>
          <w:color w:val="000000" w:themeColor="text1"/>
        </w:rPr>
        <w:t>Las principales conclusiones sobre la organización, fiscalización y situación financiera del sector público local en el año 20</w:t>
      </w:r>
      <w:r w:rsidR="00220A51" w:rsidRPr="00C26CF1">
        <w:rPr>
          <w:color w:val="000000" w:themeColor="text1"/>
        </w:rPr>
        <w:t>20</w:t>
      </w:r>
      <w:r w:rsidRPr="00C26CF1">
        <w:rPr>
          <w:color w:val="000000" w:themeColor="text1"/>
        </w:rPr>
        <w:t xml:space="preserve"> son las siguientes:</w:t>
      </w:r>
    </w:p>
    <w:p w14:paraId="43C398C3" w14:textId="77777777" w:rsidR="00B64D34" w:rsidRDefault="00B64D34" w:rsidP="0029777F">
      <w:pPr>
        <w:pStyle w:val="texto"/>
        <w:rPr>
          <w:color w:val="000000" w:themeColor="text1"/>
        </w:rPr>
      </w:pPr>
    </w:p>
    <w:p w14:paraId="3A5D8349" w14:textId="278EC730" w:rsidR="00291051" w:rsidRPr="00291051" w:rsidRDefault="00291051" w:rsidP="00291051">
      <w:pPr>
        <w:pStyle w:val="texto"/>
        <w:ind w:firstLine="0"/>
        <w:rPr>
          <w:i/>
          <w:color w:val="000000" w:themeColor="text1"/>
        </w:rPr>
      </w:pPr>
      <w:r w:rsidRPr="00291051">
        <w:rPr>
          <w:i/>
          <w:color w:val="000000" w:themeColor="text1"/>
        </w:rPr>
        <w:t>Composición del sector público local en 2020</w:t>
      </w:r>
    </w:p>
    <w:p w14:paraId="3002EEC3" w14:textId="77777777" w:rsidR="00683931" w:rsidRPr="00291051" w:rsidRDefault="00683931" w:rsidP="00291051">
      <w:pPr>
        <w:pStyle w:val="texto"/>
        <w:rPr>
          <w:color w:val="000000" w:themeColor="text1"/>
          <w:w w:val="103"/>
        </w:rPr>
      </w:pPr>
      <w:r w:rsidRPr="00291051">
        <w:rPr>
          <w:color w:val="000000" w:themeColor="text1"/>
          <w:w w:val="103"/>
        </w:rPr>
        <w:t>El sector público local está conformado por 70</w:t>
      </w:r>
      <w:r w:rsidR="00220A51" w:rsidRPr="00291051">
        <w:rPr>
          <w:color w:val="000000" w:themeColor="text1"/>
          <w:w w:val="103"/>
        </w:rPr>
        <w:t>1</w:t>
      </w:r>
      <w:r w:rsidRPr="00291051">
        <w:rPr>
          <w:color w:val="000000" w:themeColor="text1"/>
          <w:w w:val="103"/>
        </w:rPr>
        <w:t xml:space="preserve"> entes locales: 272 municipios, 346 concejos, 6</w:t>
      </w:r>
      <w:r w:rsidR="00220A51" w:rsidRPr="00291051">
        <w:rPr>
          <w:color w:val="000000" w:themeColor="text1"/>
          <w:w w:val="103"/>
        </w:rPr>
        <w:t>1</w:t>
      </w:r>
      <w:r w:rsidRPr="00291051">
        <w:rPr>
          <w:color w:val="000000" w:themeColor="text1"/>
          <w:w w:val="103"/>
        </w:rPr>
        <w:t xml:space="preserve"> mancomunidades y 22 agrupaciones de municipios. Estos entes locales </w:t>
      </w:r>
      <w:r w:rsidR="00220A51" w:rsidRPr="00291051">
        <w:rPr>
          <w:color w:val="000000" w:themeColor="text1"/>
          <w:w w:val="103"/>
        </w:rPr>
        <w:t>cuentan con</w:t>
      </w:r>
      <w:r w:rsidRPr="00291051">
        <w:rPr>
          <w:color w:val="000000" w:themeColor="text1"/>
          <w:w w:val="103"/>
        </w:rPr>
        <w:t xml:space="preserve"> 1</w:t>
      </w:r>
      <w:r w:rsidR="00220A51" w:rsidRPr="00291051">
        <w:rPr>
          <w:color w:val="000000" w:themeColor="text1"/>
          <w:w w:val="103"/>
        </w:rPr>
        <w:t>18</w:t>
      </w:r>
      <w:r w:rsidRPr="00291051">
        <w:rPr>
          <w:color w:val="000000" w:themeColor="text1"/>
          <w:w w:val="103"/>
        </w:rPr>
        <w:t xml:space="preserve"> entes dependientes para la prestación de servicios y forman parte de 17 consorcios.</w:t>
      </w:r>
    </w:p>
    <w:p w14:paraId="7B8E7E8F" w14:textId="707F5CC6" w:rsidR="00683931" w:rsidRPr="00B81E61" w:rsidRDefault="00683931" w:rsidP="0029777F">
      <w:pPr>
        <w:pStyle w:val="texto"/>
        <w:rPr>
          <w:color w:val="000000" w:themeColor="text1"/>
          <w:szCs w:val="26"/>
          <w:lang w:val="es-ES" w:eastAsia="es-ES"/>
        </w:rPr>
      </w:pPr>
      <w:r w:rsidRPr="00B81E61">
        <w:rPr>
          <w:color w:val="000000" w:themeColor="text1"/>
          <w:w w:val="103"/>
        </w:rPr>
        <w:t>Persiste el problema indicado reitera</w:t>
      </w:r>
      <w:r w:rsidR="00173672">
        <w:rPr>
          <w:color w:val="000000" w:themeColor="text1"/>
          <w:w w:val="103"/>
        </w:rPr>
        <w:t>damente</w:t>
      </w:r>
      <w:r w:rsidRPr="00B81E61">
        <w:rPr>
          <w:color w:val="000000" w:themeColor="text1"/>
          <w:w w:val="103"/>
        </w:rPr>
        <w:t xml:space="preserve"> por esta Cámara sobre la falta de racionalización de la actual planta municipal de Navarra junto con la reducida dimensión poblacional de sus municipios</w:t>
      </w:r>
      <w:r w:rsidR="001145D9">
        <w:rPr>
          <w:color w:val="000000" w:themeColor="text1"/>
          <w:w w:val="103"/>
        </w:rPr>
        <w:t xml:space="preserve">. </w:t>
      </w:r>
      <w:r w:rsidR="00194F51">
        <w:rPr>
          <w:color w:val="000000" w:themeColor="text1"/>
          <w:w w:val="103"/>
        </w:rPr>
        <w:t>Son</w:t>
      </w:r>
      <w:r w:rsidRPr="00B81E61">
        <w:rPr>
          <w:color w:val="000000" w:themeColor="text1"/>
          <w:w w:val="103"/>
        </w:rPr>
        <w:t xml:space="preserve"> cuestiones que afectan a la dotación de recursos y a la </w:t>
      </w:r>
      <w:r w:rsidR="00205AC4">
        <w:rPr>
          <w:color w:val="000000" w:themeColor="text1"/>
          <w:w w:val="103"/>
        </w:rPr>
        <w:t>carencia</w:t>
      </w:r>
      <w:r w:rsidR="00205AC4" w:rsidRPr="00B81E61">
        <w:rPr>
          <w:color w:val="000000" w:themeColor="text1"/>
          <w:w w:val="103"/>
        </w:rPr>
        <w:t xml:space="preserve"> </w:t>
      </w:r>
      <w:r w:rsidRPr="00B81E61">
        <w:rPr>
          <w:color w:val="000000" w:themeColor="text1"/>
          <w:w w:val="103"/>
        </w:rPr>
        <w:t>de una estructura administrativa adecuada y suficiente para la gestión de sus competencias, dificultando la prestación de unos servicios públicos eficientes y de calidad</w:t>
      </w:r>
      <w:r w:rsidRPr="00B81E61">
        <w:rPr>
          <w:color w:val="000000" w:themeColor="text1"/>
          <w:szCs w:val="26"/>
          <w:lang w:val="es-ES" w:eastAsia="es-ES"/>
        </w:rPr>
        <w:t>.</w:t>
      </w:r>
    </w:p>
    <w:p w14:paraId="249A3E58" w14:textId="268D987D" w:rsidR="00796A87" w:rsidRDefault="00683931" w:rsidP="0029777F">
      <w:pPr>
        <w:pStyle w:val="texto"/>
        <w:rPr>
          <w:color w:val="000000" w:themeColor="text1"/>
        </w:rPr>
      </w:pPr>
      <w:r w:rsidRPr="00B81E61">
        <w:rPr>
          <w:color w:val="000000" w:themeColor="text1"/>
        </w:rPr>
        <w:t>A</w:t>
      </w:r>
      <w:r w:rsidR="00220A51">
        <w:rPr>
          <w:color w:val="000000" w:themeColor="text1"/>
        </w:rPr>
        <w:t xml:space="preserve"> este</w:t>
      </w:r>
      <w:r w:rsidRPr="00B81E61">
        <w:rPr>
          <w:color w:val="000000" w:themeColor="text1"/>
        </w:rPr>
        <w:t xml:space="preserve"> respecto</w:t>
      </w:r>
      <w:r>
        <w:rPr>
          <w:color w:val="000000" w:themeColor="text1"/>
        </w:rPr>
        <w:t>,</w:t>
      </w:r>
      <w:r w:rsidRPr="00B81E61">
        <w:rPr>
          <w:color w:val="000000" w:themeColor="text1"/>
        </w:rPr>
        <w:t xml:space="preserve"> </w:t>
      </w:r>
      <w:r w:rsidR="00220A51">
        <w:rPr>
          <w:color w:val="000000" w:themeColor="text1"/>
        </w:rPr>
        <w:t xml:space="preserve">en 2019 se aprobó la </w:t>
      </w:r>
      <w:r w:rsidRPr="00B81E61">
        <w:rPr>
          <w:color w:val="000000" w:themeColor="text1"/>
        </w:rPr>
        <w:t xml:space="preserve">Ley Foral </w:t>
      </w:r>
      <w:r w:rsidR="00220A51">
        <w:rPr>
          <w:color w:val="000000" w:themeColor="text1"/>
        </w:rPr>
        <w:t xml:space="preserve">4/2019, </w:t>
      </w:r>
      <w:r w:rsidR="00205AC4">
        <w:rPr>
          <w:color w:val="000000" w:themeColor="text1"/>
        </w:rPr>
        <w:t xml:space="preserve">de 4 de febrero, </w:t>
      </w:r>
      <w:r w:rsidRPr="00B81E61">
        <w:rPr>
          <w:color w:val="000000" w:themeColor="text1"/>
        </w:rPr>
        <w:t xml:space="preserve">de Reforma de la Administración Local de Navarra, </w:t>
      </w:r>
      <w:r>
        <w:rPr>
          <w:color w:val="000000" w:themeColor="text1"/>
        </w:rPr>
        <w:t>que</w:t>
      </w:r>
      <w:r w:rsidRPr="00B81E61">
        <w:rPr>
          <w:color w:val="000000" w:themeColor="text1"/>
        </w:rPr>
        <w:t xml:space="preserve"> </w:t>
      </w:r>
      <w:r w:rsidR="002442C1">
        <w:rPr>
          <w:color w:val="000000" w:themeColor="text1"/>
        </w:rPr>
        <w:t xml:space="preserve">prevé </w:t>
      </w:r>
      <w:r w:rsidR="00205AC4">
        <w:rPr>
          <w:color w:val="000000" w:themeColor="text1"/>
        </w:rPr>
        <w:t xml:space="preserve">reformar el mapa local y el establecer un nuevo sistema de financiación, mediante la aprobación de las </w:t>
      </w:r>
      <w:r w:rsidR="00205AC4" w:rsidRPr="00593AAE">
        <w:rPr>
          <w:color w:val="000000" w:themeColor="text1"/>
        </w:rPr>
        <w:t>normas correspondientes</w:t>
      </w:r>
      <w:r w:rsidR="002442C1" w:rsidRPr="00593AAE">
        <w:rPr>
          <w:color w:val="000000" w:themeColor="text1"/>
        </w:rPr>
        <w:t>. En 2020 no se aprobó ninguna de estas normas</w:t>
      </w:r>
      <w:r w:rsidR="00153ACF" w:rsidRPr="00593AAE">
        <w:rPr>
          <w:color w:val="000000" w:themeColor="text1"/>
        </w:rPr>
        <w:t xml:space="preserve"> y expiró el plazo establecido para adoptar la iniciativa de creación de las comarcas. </w:t>
      </w:r>
      <w:r w:rsidR="0032128C" w:rsidRPr="00593AAE">
        <w:rPr>
          <w:color w:val="000000" w:themeColor="text1"/>
        </w:rPr>
        <w:t>E</w:t>
      </w:r>
      <w:r w:rsidR="002442C1" w:rsidRPr="00593AAE">
        <w:rPr>
          <w:color w:val="000000" w:themeColor="text1"/>
        </w:rPr>
        <w:t>n 2022</w:t>
      </w:r>
      <w:r w:rsidR="002442C1">
        <w:rPr>
          <w:color w:val="000000" w:themeColor="text1"/>
        </w:rPr>
        <w:t xml:space="preserve"> se ha</w:t>
      </w:r>
      <w:r w:rsidR="00FF7FC8">
        <w:rPr>
          <w:color w:val="000000" w:themeColor="text1"/>
        </w:rPr>
        <w:t xml:space="preserve">n aprobado tres leyes forales que configuran un </w:t>
      </w:r>
      <w:r w:rsidR="00796A87">
        <w:rPr>
          <w:color w:val="000000" w:themeColor="text1"/>
        </w:rPr>
        <w:t>nuevo sistema</w:t>
      </w:r>
      <w:r w:rsidR="002442C1">
        <w:rPr>
          <w:color w:val="000000" w:themeColor="text1"/>
        </w:rPr>
        <w:t xml:space="preserve"> d</w:t>
      </w:r>
      <w:r w:rsidR="00FF7FC8">
        <w:rPr>
          <w:color w:val="000000" w:themeColor="text1"/>
        </w:rPr>
        <w:t>e financiación.</w:t>
      </w:r>
    </w:p>
    <w:p w14:paraId="1A857EC0" w14:textId="77777777" w:rsidR="00B64D34" w:rsidRDefault="00B64D34" w:rsidP="0029777F">
      <w:pPr>
        <w:pStyle w:val="texto"/>
        <w:rPr>
          <w:color w:val="000000" w:themeColor="text1"/>
        </w:rPr>
      </w:pPr>
    </w:p>
    <w:p w14:paraId="56C423B2" w14:textId="0D3515B8" w:rsidR="00291051" w:rsidRPr="00291051" w:rsidRDefault="00291051" w:rsidP="00291051">
      <w:pPr>
        <w:pStyle w:val="texto"/>
        <w:ind w:firstLine="0"/>
        <w:rPr>
          <w:i/>
          <w:color w:val="000000" w:themeColor="text1"/>
        </w:rPr>
      </w:pPr>
      <w:r w:rsidRPr="00291051">
        <w:rPr>
          <w:i/>
          <w:color w:val="000000" w:themeColor="text1"/>
        </w:rPr>
        <w:t>Trabajos de fiscalización realizados por la Cámara de Comptos</w:t>
      </w:r>
      <w:r w:rsidR="00E10ADA">
        <w:rPr>
          <w:i/>
          <w:color w:val="000000" w:themeColor="text1"/>
        </w:rPr>
        <w:t xml:space="preserve"> referidos a </w:t>
      </w:r>
      <w:r w:rsidR="00B64D34">
        <w:rPr>
          <w:i/>
          <w:color w:val="000000" w:themeColor="text1"/>
        </w:rPr>
        <w:t>2020</w:t>
      </w:r>
    </w:p>
    <w:p w14:paraId="2CEC6B7F" w14:textId="2D914226" w:rsidR="00683931" w:rsidRPr="00593AAE" w:rsidRDefault="00E737FF" w:rsidP="00291051">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rFonts w:cs="Arial"/>
          <w:color w:val="000000" w:themeColor="text1"/>
        </w:rPr>
        <w:t>Esta Cámara realizó una fiscalización financiera y de legalidad de la actividad económico-financiera del Ayuntamiento de Pamplona</w:t>
      </w:r>
      <w:r w:rsidR="008E42D7">
        <w:rPr>
          <w:rFonts w:cs="Arial"/>
          <w:color w:val="000000" w:themeColor="text1"/>
        </w:rPr>
        <w:t xml:space="preserve"> en</w:t>
      </w:r>
      <w:r>
        <w:rPr>
          <w:rFonts w:cs="Arial"/>
          <w:color w:val="000000" w:themeColor="text1"/>
        </w:rPr>
        <w:t xml:space="preserve"> 2020. También realizó una fiscalización horizontal sobre la contratación de personal de la Mancomunidad de </w:t>
      </w:r>
      <w:r w:rsidR="008E43F9">
        <w:rPr>
          <w:rFonts w:cs="Arial"/>
          <w:color w:val="000000" w:themeColor="text1"/>
        </w:rPr>
        <w:t>Montejurra y los A</w:t>
      </w:r>
      <w:r w:rsidR="00683931">
        <w:rPr>
          <w:rFonts w:cs="Arial"/>
          <w:color w:val="000000" w:themeColor="text1"/>
        </w:rPr>
        <w:t xml:space="preserve">yuntamientos de </w:t>
      </w:r>
      <w:proofErr w:type="spellStart"/>
      <w:r w:rsidR="00683931">
        <w:rPr>
          <w:rFonts w:cs="Arial"/>
          <w:color w:val="000000" w:themeColor="text1"/>
        </w:rPr>
        <w:t>Lekunberri</w:t>
      </w:r>
      <w:proofErr w:type="spellEnd"/>
      <w:r w:rsidR="00683931">
        <w:rPr>
          <w:rFonts w:cs="Arial"/>
          <w:color w:val="000000" w:themeColor="text1"/>
        </w:rPr>
        <w:t xml:space="preserve">, Lodosa, </w:t>
      </w:r>
      <w:proofErr w:type="spellStart"/>
      <w:r w:rsidR="00683931">
        <w:rPr>
          <w:rFonts w:cs="Arial"/>
          <w:color w:val="000000" w:themeColor="text1"/>
        </w:rPr>
        <w:t>Ribaforada</w:t>
      </w:r>
      <w:proofErr w:type="spellEnd"/>
      <w:r w:rsidR="00683931">
        <w:rPr>
          <w:rFonts w:cs="Arial"/>
          <w:color w:val="000000" w:themeColor="text1"/>
        </w:rPr>
        <w:t xml:space="preserve"> y Sangüesa</w:t>
      </w:r>
      <w:r>
        <w:rPr>
          <w:rFonts w:cs="Arial"/>
          <w:color w:val="000000" w:themeColor="text1"/>
        </w:rPr>
        <w:t xml:space="preserve"> (2015-2020) y un informe sobre seguimiento de recomendaciones del Ayuntamiento de </w:t>
      </w:r>
      <w:proofErr w:type="spellStart"/>
      <w:r>
        <w:rPr>
          <w:rFonts w:cs="Arial"/>
          <w:color w:val="000000" w:themeColor="text1"/>
        </w:rPr>
        <w:t>Urdazubi</w:t>
      </w:r>
      <w:proofErr w:type="spellEnd"/>
      <w:r>
        <w:rPr>
          <w:rFonts w:cs="Arial"/>
          <w:color w:val="000000" w:themeColor="text1"/>
        </w:rPr>
        <w:t xml:space="preserve">-Urdax </w:t>
      </w:r>
      <w:r w:rsidRPr="00593AAE">
        <w:rPr>
          <w:rFonts w:cs="Arial"/>
          <w:color w:val="000000" w:themeColor="text1"/>
        </w:rPr>
        <w:t>referido al ejercicio 2020.</w:t>
      </w:r>
    </w:p>
    <w:p w14:paraId="04E4BDD5" w14:textId="7C87000F" w:rsidR="00E737FF" w:rsidRDefault="00E737FF" w:rsidP="0029777F">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sidRPr="00593AAE">
        <w:rPr>
          <w:rFonts w:cs="Arial"/>
          <w:color w:val="000000" w:themeColor="text1"/>
        </w:rPr>
        <w:t xml:space="preserve">Ha realizado también varios informes </w:t>
      </w:r>
      <w:r w:rsidR="00FF30E6" w:rsidRPr="00593AAE">
        <w:rPr>
          <w:rFonts w:cs="Arial"/>
          <w:color w:val="000000" w:themeColor="text1"/>
        </w:rPr>
        <w:t xml:space="preserve">de fiscalización operativa </w:t>
      </w:r>
      <w:r w:rsidRPr="00593AAE">
        <w:rPr>
          <w:rFonts w:cs="Arial"/>
          <w:color w:val="000000" w:themeColor="text1"/>
        </w:rPr>
        <w:t xml:space="preserve">cuyo alcance temporal incluye el ejercicio 2020: “Servicio de abastecimiento y saneamiento del agua del Ayuntamiento de </w:t>
      </w:r>
      <w:proofErr w:type="spellStart"/>
      <w:r w:rsidRPr="00593AAE">
        <w:rPr>
          <w:rFonts w:cs="Arial"/>
          <w:color w:val="000000" w:themeColor="text1"/>
        </w:rPr>
        <w:t>Lekunberri</w:t>
      </w:r>
      <w:proofErr w:type="spellEnd"/>
      <w:r w:rsidRPr="00593AAE">
        <w:rPr>
          <w:rFonts w:cs="Arial"/>
          <w:color w:val="000000" w:themeColor="text1"/>
        </w:rPr>
        <w:t>”</w:t>
      </w:r>
      <w:r>
        <w:rPr>
          <w:rFonts w:cs="Arial"/>
          <w:color w:val="000000" w:themeColor="text1"/>
        </w:rPr>
        <w:t xml:space="preserve"> (2017-2020), “Residuos domésticos y comerciales, cómo mejorar la coordinación entre las administraciones para una gestión más eficaz y eficiente” (2020) e “Implantación de la Administración Electrónica en los ayuntamientos de Navarra de 8.000 a 20.000 habitantes” (2020-2021).</w:t>
      </w:r>
    </w:p>
    <w:p w14:paraId="5BC7EC14" w14:textId="730C2823" w:rsidR="00291051" w:rsidRPr="00291051" w:rsidRDefault="00291051" w:rsidP="00291051">
      <w:pPr>
        <w:pStyle w:val="texto"/>
        <w:ind w:firstLine="0"/>
        <w:rPr>
          <w:i/>
          <w:color w:val="000000" w:themeColor="text1"/>
        </w:rPr>
      </w:pPr>
      <w:r w:rsidRPr="00291051">
        <w:rPr>
          <w:i/>
          <w:color w:val="000000" w:themeColor="text1"/>
        </w:rPr>
        <w:lastRenderedPageBreak/>
        <w:t>Situación financiera del sector público local en 2020</w:t>
      </w:r>
    </w:p>
    <w:p w14:paraId="54E143C1" w14:textId="25D24E4D" w:rsidR="00DC2AD3" w:rsidRDefault="00F32BCE" w:rsidP="00B64D34">
      <w:pPr>
        <w:pStyle w:val="texto"/>
        <w:tabs>
          <w:tab w:val="clear" w:pos="2835"/>
          <w:tab w:val="center" w:pos="567"/>
        </w:tabs>
        <w:rPr>
          <w:rFonts w:cs="Arial"/>
          <w:color w:val="000000" w:themeColor="text1"/>
        </w:rPr>
      </w:pPr>
      <w:r>
        <w:rPr>
          <w:rFonts w:cs="Arial"/>
          <w:color w:val="000000" w:themeColor="text1"/>
        </w:rPr>
        <w:t>El conjunto de las entidades locales y organismos autónomos dependientes obtuvo en 2020 u</w:t>
      </w:r>
      <w:r w:rsidR="00DC2AD3">
        <w:rPr>
          <w:rFonts w:cs="Arial"/>
          <w:color w:val="000000" w:themeColor="text1"/>
        </w:rPr>
        <w:t>nos ingresos de 855,31 millones, de los que la mitad proviene</w:t>
      </w:r>
      <w:r w:rsidR="00104149">
        <w:rPr>
          <w:rFonts w:cs="Arial"/>
          <w:color w:val="000000" w:themeColor="text1"/>
        </w:rPr>
        <w:t>n</w:t>
      </w:r>
      <w:r w:rsidR="00DC2AD3">
        <w:rPr>
          <w:rFonts w:cs="Arial"/>
          <w:color w:val="000000" w:themeColor="text1"/>
        </w:rPr>
        <w:t xml:space="preserve"> de transferencias y el 44 por ciento de ingresos tributarios. Los gastos ascendieron a 799,18 millones, de los que el 8</w:t>
      </w:r>
      <w:r w:rsidR="006B1D1B">
        <w:rPr>
          <w:rFonts w:cs="Arial"/>
          <w:color w:val="000000" w:themeColor="text1"/>
        </w:rPr>
        <w:t>1</w:t>
      </w:r>
      <w:r w:rsidR="00DC2AD3">
        <w:rPr>
          <w:rFonts w:cs="Arial"/>
          <w:color w:val="000000" w:themeColor="text1"/>
        </w:rPr>
        <w:t xml:space="preserve"> por ciento son gastos de funcionamiento, principalmente personal (39 por ciento) y bienes corrientes y servicios (32 por ciento).</w:t>
      </w:r>
    </w:p>
    <w:p w14:paraId="60F127F7" w14:textId="62ADF28A" w:rsidR="00F32BCE" w:rsidRPr="00DC2AD3" w:rsidRDefault="005A7D1C" w:rsidP="0029777F">
      <w:pPr>
        <w:pStyle w:val="texto"/>
        <w:tabs>
          <w:tab w:val="clear" w:pos="2835"/>
          <w:tab w:val="center" w:pos="567"/>
        </w:tabs>
        <w:rPr>
          <w:rFonts w:cs="Arial"/>
          <w:color w:val="000000" w:themeColor="text1"/>
        </w:rPr>
      </w:pPr>
      <w:r>
        <w:rPr>
          <w:rFonts w:cs="Arial"/>
          <w:color w:val="000000" w:themeColor="text1"/>
        </w:rPr>
        <w:t>Con respecto al ejercicio anterior, l</w:t>
      </w:r>
      <w:r w:rsidR="00DC2AD3" w:rsidRPr="00DC2AD3">
        <w:rPr>
          <w:rFonts w:cs="Arial"/>
          <w:color w:val="000000" w:themeColor="text1"/>
        </w:rPr>
        <w:t xml:space="preserve">os ingresos y gastos totales se reducen en un </w:t>
      </w:r>
      <w:r w:rsidR="00F32BCE" w:rsidRPr="00DC2AD3">
        <w:rPr>
          <w:rFonts w:cs="Arial"/>
          <w:color w:val="000000" w:themeColor="text1"/>
        </w:rPr>
        <w:t xml:space="preserve">cuatro y </w:t>
      </w:r>
      <w:r>
        <w:rPr>
          <w:rFonts w:cs="Arial"/>
          <w:color w:val="000000" w:themeColor="text1"/>
        </w:rPr>
        <w:t xml:space="preserve">un </w:t>
      </w:r>
      <w:r w:rsidR="001374CC">
        <w:rPr>
          <w:rFonts w:cs="Arial"/>
          <w:color w:val="000000" w:themeColor="text1"/>
        </w:rPr>
        <w:t>diez</w:t>
      </w:r>
      <w:r w:rsidR="001374CC" w:rsidRPr="00DC2AD3">
        <w:rPr>
          <w:rFonts w:cs="Arial"/>
          <w:color w:val="000000" w:themeColor="text1"/>
        </w:rPr>
        <w:t xml:space="preserve"> </w:t>
      </w:r>
      <w:r w:rsidR="00F32BCE" w:rsidRPr="00DC2AD3">
        <w:rPr>
          <w:rFonts w:cs="Arial"/>
          <w:color w:val="000000" w:themeColor="text1"/>
        </w:rPr>
        <w:t>por ciento, respectivamente.</w:t>
      </w:r>
      <w:r w:rsidR="00CA59A0" w:rsidRPr="00DC2AD3">
        <w:rPr>
          <w:rFonts w:cs="Arial"/>
          <w:color w:val="000000" w:themeColor="text1"/>
        </w:rPr>
        <w:t xml:space="preserve"> Esta evolución está muy marcada por las consecuencias de la crisis sanitaria, social y económica derivada del </w:t>
      </w:r>
      <w:proofErr w:type="spellStart"/>
      <w:r w:rsidR="00CA59A0" w:rsidRPr="00DC2AD3">
        <w:rPr>
          <w:rFonts w:cs="Arial"/>
          <w:color w:val="000000" w:themeColor="text1"/>
        </w:rPr>
        <w:t>Covid-19</w:t>
      </w:r>
      <w:proofErr w:type="spellEnd"/>
      <w:r w:rsidR="00CA59A0" w:rsidRPr="00DC2AD3">
        <w:rPr>
          <w:rFonts w:cs="Arial"/>
          <w:color w:val="000000" w:themeColor="text1"/>
        </w:rPr>
        <w:t xml:space="preserve"> y de las medidas adoptadas para afrontarla.</w:t>
      </w:r>
    </w:p>
    <w:p w14:paraId="1E971B4E" w14:textId="0069438E" w:rsidR="00F32BCE" w:rsidRDefault="00CA59A0" w:rsidP="0029777F">
      <w:pPr>
        <w:pStyle w:val="texto"/>
        <w:tabs>
          <w:tab w:val="clear" w:pos="2835"/>
          <w:tab w:val="center" w:pos="567"/>
        </w:tabs>
        <w:rPr>
          <w:rFonts w:cs="Arial"/>
          <w:color w:val="000000" w:themeColor="text1"/>
        </w:rPr>
      </w:pPr>
      <w:r>
        <w:rPr>
          <w:rFonts w:cs="Arial"/>
          <w:color w:val="000000" w:themeColor="text1"/>
        </w:rPr>
        <w:t xml:space="preserve">Entre los ingresos corrientes, destaca la reducción de los </w:t>
      </w:r>
      <w:r w:rsidR="001374CC">
        <w:rPr>
          <w:rFonts w:cs="Arial"/>
          <w:color w:val="000000" w:themeColor="text1"/>
        </w:rPr>
        <w:t xml:space="preserve">relacionados directamente con la </w:t>
      </w:r>
      <w:r>
        <w:rPr>
          <w:rFonts w:cs="Arial"/>
          <w:color w:val="000000" w:themeColor="text1"/>
        </w:rPr>
        <w:t>act</w:t>
      </w:r>
      <w:r w:rsidR="007A56E6">
        <w:rPr>
          <w:rFonts w:cs="Arial"/>
          <w:color w:val="000000" w:themeColor="text1"/>
        </w:rPr>
        <w:t xml:space="preserve">ividad económica y social: </w:t>
      </w:r>
      <w:r>
        <w:rPr>
          <w:rFonts w:cs="Arial"/>
          <w:color w:val="000000" w:themeColor="text1"/>
        </w:rPr>
        <w:t>las tasas y precios públicos y los impuestos indirectos, que suman una caída de 26,60 millones</w:t>
      </w:r>
      <w:r w:rsidR="00832BCD">
        <w:rPr>
          <w:rFonts w:cs="Arial"/>
          <w:color w:val="000000" w:themeColor="text1"/>
        </w:rPr>
        <w:t xml:space="preserve">. </w:t>
      </w:r>
      <w:r>
        <w:rPr>
          <w:rFonts w:cs="Arial"/>
          <w:color w:val="000000" w:themeColor="text1"/>
        </w:rPr>
        <w:t xml:space="preserve"> </w:t>
      </w:r>
      <w:r w:rsidR="00832BCD">
        <w:rPr>
          <w:rFonts w:cs="Arial"/>
          <w:color w:val="000000" w:themeColor="text1"/>
        </w:rPr>
        <w:t>Esta disminución</w:t>
      </w:r>
      <w:r>
        <w:rPr>
          <w:rFonts w:cs="Arial"/>
          <w:color w:val="000000" w:themeColor="text1"/>
        </w:rPr>
        <w:t xml:space="preserve"> se ve compensada en buena medida por el aumento de las transferencias </w:t>
      </w:r>
      <w:r w:rsidR="006B1D1B">
        <w:rPr>
          <w:rFonts w:cs="Arial"/>
          <w:color w:val="000000" w:themeColor="text1"/>
        </w:rPr>
        <w:t xml:space="preserve">corrientes </w:t>
      </w:r>
      <w:r>
        <w:rPr>
          <w:rFonts w:cs="Arial"/>
          <w:color w:val="000000" w:themeColor="text1"/>
        </w:rPr>
        <w:t>recibidas,</w:t>
      </w:r>
      <w:r w:rsidR="007A56E6">
        <w:rPr>
          <w:rFonts w:cs="Arial"/>
          <w:color w:val="000000" w:themeColor="text1"/>
        </w:rPr>
        <w:t xml:space="preserve"> incluyendo 13,13 millones expresamente vinculad</w:t>
      </w:r>
      <w:r w:rsidR="00E97D61">
        <w:rPr>
          <w:rFonts w:cs="Arial"/>
          <w:color w:val="000000" w:themeColor="text1"/>
        </w:rPr>
        <w:t>o</w:t>
      </w:r>
      <w:r w:rsidR="008E43F9">
        <w:rPr>
          <w:rFonts w:cs="Arial"/>
          <w:color w:val="000000" w:themeColor="text1"/>
        </w:rPr>
        <w:t>s a la pandemia de</w:t>
      </w:r>
      <w:r w:rsidR="007A56E6">
        <w:rPr>
          <w:rFonts w:cs="Arial"/>
          <w:color w:val="000000" w:themeColor="text1"/>
        </w:rPr>
        <w:t xml:space="preserve"> </w:t>
      </w:r>
      <w:proofErr w:type="spellStart"/>
      <w:r w:rsidR="007A56E6">
        <w:rPr>
          <w:rFonts w:cs="Arial"/>
          <w:color w:val="000000" w:themeColor="text1"/>
        </w:rPr>
        <w:t>Covid-19</w:t>
      </w:r>
      <w:proofErr w:type="spellEnd"/>
      <w:r w:rsidR="007A56E6">
        <w:rPr>
          <w:rFonts w:cs="Arial"/>
          <w:color w:val="000000" w:themeColor="text1"/>
        </w:rPr>
        <w:t xml:space="preserve">. Así, </w:t>
      </w:r>
      <w:r>
        <w:rPr>
          <w:rFonts w:cs="Arial"/>
          <w:color w:val="000000" w:themeColor="text1"/>
        </w:rPr>
        <w:t>el total de ingresos corrientes se reduce un uno por ciento.</w:t>
      </w:r>
    </w:p>
    <w:p w14:paraId="25FF3A62" w14:textId="56856BB2" w:rsidR="00CA59A0" w:rsidRDefault="00CA59A0" w:rsidP="0029777F">
      <w:pPr>
        <w:pStyle w:val="texto"/>
        <w:tabs>
          <w:tab w:val="clear" w:pos="2835"/>
          <w:tab w:val="center" w:pos="567"/>
        </w:tabs>
        <w:rPr>
          <w:rFonts w:cs="Arial"/>
          <w:color w:val="000000" w:themeColor="text1"/>
        </w:rPr>
      </w:pPr>
      <w:r>
        <w:rPr>
          <w:rFonts w:cs="Arial"/>
          <w:color w:val="000000" w:themeColor="text1"/>
        </w:rPr>
        <w:t xml:space="preserve">En lo que respecta a los </w:t>
      </w:r>
      <w:r w:rsidR="008E215C">
        <w:rPr>
          <w:rFonts w:cs="Arial"/>
          <w:color w:val="000000" w:themeColor="text1"/>
        </w:rPr>
        <w:t>g</w:t>
      </w:r>
      <w:r w:rsidR="00640A31">
        <w:rPr>
          <w:rFonts w:cs="Arial"/>
          <w:color w:val="000000" w:themeColor="text1"/>
        </w:rPr>
        <w:t>astos</w:t>
      </w:r>
      <w:r>
        <w:rPr>
          <w:rFonts w:cs="Arial"/>
          <w:color w:val="000000" w:themeColor="text1"/>
        </w:rPr>
        <w:t xml:space="preserve">, </w:t>
      </w:r>
      <w:r w:rsidR="007A56E6">
        <w:rPr>
          <w:rFonts w:cs="Arial"/>
          <w:color w:val="000000" w:themeColor="text1"/>
        </w:rPr>
        <w:t>resulta determinante</w:t>
      </w:r>
      <w:r>
        <w:rPr>
          <w:rFonts w:cs="Arial"/>
          <w:color w:val="000000" w:themeColor="text1"/>
        </w:rPr>
        <w:t xml:space="preserve"> la reducción de</w:t>
      </w:r>
      <w:r w:rsidR="00640A31">
        <w:rPr>
          <w:rFonts w:cs="Arial"/>
          <w:color w:val="000000" w:themeColor="text1"/>
        </w:rPr>
        <w:t>l gasto corriente de 22,68 millo</w:t>
      </w:r>
      <w:r w:rsidR="00E97D61">
        <w:rPr>
          <w:rFonts w:cs="Arial"/>
          <w:color w:val="000000" w:themeColor="text1"/>
        </w:rPr>
        <w:t>nes en la política de cultura, como consecuencia</w:t>
      </w:r>
      <w:r>
        <w:rPr>
          <w:rFonts w:cs="Arial"/>
          <w:color w:val="000000" w:themeColor="text1"/>
        </w:rPr>
        <w:t xml:space="preserve"> de l</w:t>
      </w:r>
      <w:r w:rsidR="008E215C">
        <w:rPr>
          <w:rFonts w:cs="Arial"/>
          <w:color w:val="000000" w:themeColor="text1"/>
        </w:rPr>
        <w:t xml:space="preserve">a no celebración de </w:t>
      </w:r>
      <w:r w:rsidR="000823A0">
        <w:rPr>
          <w:rFonts w:cs="Arial"/>
          <w:color w:val="000000" w:themeColor="text1"/>
        </w:rPr>
        <w:t>actividades, eventos y fiestas</w:t>
      </w:r>
      <w:r w:rsidR="008E215C">
        <w:rPr>
          <w:rFonts w:cs="Arial"/>
          <w:color w:val="000000" w:themeColor="text1"/>
        </w:rPr>
        <w:t>. Esta caída se ve parcialmente neutralizada por el aumento de otros gastos, entre los que destacan los de personal</w:t>
      </w:r>
      <w:r w:rsidR="00E97D61">
        <w:rPr>
          <w:rFonts w:cs="Arial"/>
          <w:color w:val="000000" w:themeColor="text1"/>
        </w:rPr>
        <w:t>, que aumentan en 12 millones</w:t>
      </w:r>
      <w:r w:rsidR="008E215C">
        <w:rPr>
          <w:rFonts w:cs="Arial"/>
          <w:color w:val="000000" w:themeColor="text1"/>
        </w:rPr>
        <w:t xml:space="preserve">, de manera que </w:t>
      </w:r>
      <w:r w:rsidR="00640A31">
        <w:rPr>
          <w:rFonts w:cs="Arial"/>
          <w:color w:val="000000" w:themeColor="text1"/>
        </w:rPr>
        <w:t>el conjunto de los gastos</w:t>
      </w:r>
      <w:r w:rsidR="008E43F9">
        <w:rPr>
          <w:rFonts w:cs="Arial"/>
          <w:color w:val="000000" w:themeColor="text1"/>
        </w:rPr>
        <w:t xml:space="preserve"> de funcionamiento se reduce</w:t>
      </w:r>
      <w:r w:rsidR="00640A31">
        <w:rPr>
          <w:rFonts w:cs="Arial"/>
          <w:color w:val="000000" w:themeColor="text1"/>
        </w:rPr>
        <w:t xml:space="preserve"> un dos por ciento.</w:t>
      </w:r>
    </w:p>
    <w:p w14:paraId="4B6F7A2C" w14:textId="6031B63B" w:rsidR="00640A31" w:rsidRDefault="00640A31" w:rsidP="0029777F">
      <w:pPr>
        <w:pStyle w:val="texto"/>
        <w:tabs>
          <w:tab w:val="clear" w:pos="2835"/>
          <w:tab w:val="center" w:pos="567"/>
        </w:tabs>
        <w:rPr>
          <w:rFonts w:cs="Arial"/>
          <w:color w:val="000000" w:themeColor="text1"/>
        </w:rPr>
      </w:pPr>
      <w:r>
        <w:rPr>
          <w:rFonts w:cs="Arial"/>
          <w:color w:val="000000" w:themeColor="text1"/>
        </w:rPr>
        <w:t>Como resultado, los ahorro</w:t>
      </w:r>
      <w:r w:rsidR="008E43F9">
        <w:rPr>
          <w:rFonts w:cs="Arial"/>
          <w:color w:val="000000" w:themeColor="text1"/>
        </w:rPr>
        <w:t>s</w:t>
      </w:r>
      <w:r>
        <w:rPr>
          <w:rFonts w:cs="Arial"/>
          <w:color w:val="000000" w:themeColor="text1"/>
        </w:rPr>
        <w:t xml:space="preserve"> bruto y neto </w:t>
      </w:r>
      <w:r w:rsidR="00832BCD">
        <w:rPr>
          <w:rFonts w:cs="Arial"/>
          <w:color w:val="000000" w:themeColor="text1"/>
        </w:rPr>
        <w:t xml:space="preserve">del conjunto de entidades locales y sus organismos autónomos </w:t>
      </w:r>
      <w:r w:rsidR="007A56E6">
        <w:rPr>
          <w:rFonts w:cs="Arial"/>
          <w:color w:val="000000" w:themeColor="text1"/>
        </w:rPr>
        <w:t>se han</w:t>
      </w:r>
      <w:r>
        <w:rPr>
          <w:rFonts w:cs="Arial"/>
          <w:color w:val="000000" w:themeColor="text1"/>
        </w:rPr>
        <w:t xml:space="preserve"> situado</w:t>
      </w:r>
      <w:r w:rsidR="00D535F4">
        <w:rPr>
          <w:rFonts w:cs="Arial"/>
          <w:color w:val="000000" w:themeColor="text1"/>
        </w:rPr>
        <w:t xml:space="preserve"> en 138,84 y 1</w:t>
      </w:r>
      <w:r w:rsidR="000259CF">
        <w:rPr>
          <w:rFonts w:cs="Arial"/>
          <w:color w:val="000000" w:themeColor="text1"/>
        </w:rPr>
        <w:t>08,51 millones, respectivamente, cifras muy similares a las del ejercicio anterior.</w:t>
      </w:r>
    </w:p>
    <w:p w14:paraId="0EAEC926" w14:textId="011F4FB4" w:rsidR="00640A31" w:rsidRDefault="00640A31" w:rsidP="0029777F">
      <w:pPr>
        <w:pStyle w:val="texto"/>
        <w:tabs>
          <w:tab w:val="clear" w:pos="2835"/>
          <w:tab w:val="center" w:pos="567"/>
        </w:tabs>
        <w:rPr>
          <w:rFonts w:cs="Arial"/>
          <w:color w:val="000000" w:themeColor="text1"/>
        </w:rPr>
      </w:pPr>
      <w:r>
        <w:rPr>
          <w:rFonts w:cs="Arial"/>
          <w:color w:val="000000" w:themeColor="text1"/>
        </w:rPr>
        <w:t xml:space="preserve">Por su parte, los ingresos y gastos de capital se han </w:t>
      </w:r>
      <w:r w:rsidR="00D535F4">
        <w:rPr>
          <w:rFonts w:cs="Arial"/>
          <w:color w:val="000000" w:themeColor="text1"/>
        </w:rPr>
        <w:t>reducido de manera muy considerable</w:t>
      </w:r>
      <w:r>
        <w:rPr>
          <w:rFonts w:cs="Arial"/>
          <w:color w:val="000000" w:themeColor="text1"/>
        </w:rPr>
        <w:t xml:space="preserve">, pero </w:t>
      </w:r>
      <w:r w:rsidR="00DC2AD3">
        <w:rPr>
          <w:rFonts w:cs="Arial"/>
          <w:color w:val="000000" w:themeColor="text1"/>
        </w:rPr>
        <w:t>las cifras de 2019 eran excepcionalmente altas debido a que se trataba del últi</w:t>
      </w:r>
      <w:r w:rsidR="00DC2AD3" w:rsidRPr="00FF30E6">
        <w:rPr>
          <w:rFonts w:cs="Arial"/>
          <w:color w:val="000000" w:themeColor="text1"/>
        </w:rPr>
        <w:t>mo ejercicio del Plan de Infraestructuras Locales 2017-2019 y del Plan de Inversiones Financieramente Sostenibles aprobado por L</w:t>
      </w:r>
      <w:r w:rsidR="0084582D" w:rsidRPr="00FF30E6">
        <w:rPr>
          <w:rFonts w:cs="Arial"/>
          <w:color w:val="000000" w:themeColor="text1"/>
        </w:rPr>
        <w:t xml:space="preserve">ey </w:t>
      </w:r>
      <w:r w:rsidR="00DC2AD3" w:rsidRPr="00FF30E6">
        <w:rPr>
          <w:rFonts w:cs="Arial"/>
          <w:color w:val="000000" w:themeColor="text1"/>
        </w:rPr>
        <w:t>F</w:t>
      </w:r>
      <w:r w:rsidR="0084582D" w:rsidRPr="00FF30E6">
        <w:rPr>
          <w:rFonts w:cs="Arial"/>
          <w:color w:val="000000" w:themeColor="text1"/>
        </w:rPr>
        <w:t>oral</w:t>
      </w:r>
      <w:r w:rsidR="0032128C" w:rsidRPr="00FF30E6">
        <w:rPr>
          <w:rFonts w:cs="Arial"/>
          <w:color w:val="000000" w:themeColor="text1"/>
        </w:rPr>
        <w:t xml:space="preserve"> 19/2018.</w:t>
      </w:r>
      <w:r w:rsidR="0032128C">
        <w:rPr>
          <w:rFonts w:cs="Arial"/>
          <w:color w:val="000000" w:themeColor="text1"/>
        </w:rPr>
        <w:t xml:space="preserve"> </w:t>
      </w:r>
    </w:p>
    <w:p w14:paraId="62675E24" w14:textId="181B131C" w:rsidR="00D871C5" w:rsidRDefault="007A56E6" w:rsidP="0029777F">
      <w:pPr>
        <w:pStyle w:val="texto"/>
        <w:tabs>
          <w:tab w:val="clear" w:pos="2835"/>
          <w:tab w:val="center" w:pos="567"/>
        </w:tabs>
        <w:rPr>
          <w:rFonts w:cs="Arial"/>
          <w:color w:val="000000" w:themeColor="text1"/>
        </w:rPr>
      </w:pPr>
      <w:r>
        <w:rPr>
          <w:rFonts w:cs="Arial"/>
          <w:color w:val="000000" w:themeColor="text1"/>
        </w:rPr>
        <w:t>La deuda viva del sector público local, incluyendo las entidades locales, sus organismos públicos dependientes y las sociedades públicas participadas íntegramente por ellas</w:t>
      </w:r>
      <w:r w:rsidR="000259CF">
        <w:rPr>
          <w:rFonts w:cs="Arial"/>
          <w:color w:val="000000" w:themeColor="text1"/>
        </w:rPr>
        <w:t>,</w:t>
      </w:r>
      <w:r>
        <w:rPr>
          <w:rFonts w:cs="Arial"/>
          <w:color w:val="000000" w:themeColor="text1"/>
        </w:rPr>
        <w:t xml:space="preserve"> se situaba en 137,74 millones a cierre de 2020</w:t>
      </w:r>
      <w:r w:rsidR="001374CC">
        <w:rPr>
          <w:rFonts w:cs="Arial"/>
          <w:color w:val="000000" w:themeColor="text1"/>
        </w:rPr>
        <w:t>. Esta</w:t>
      </w:r>
      <w:r>
        <w:rPr>
          <w:rFonts w:cs="Arial"/>
          <w:color w:val="000000" w:themeColor="text1"/>
        </w:rPr>
        <w:t xml:space="preserve"> cifra representa el 18 por ciento de los ingresos corrientes</w:t>
      </w:r>
      <w:r w:rsidR="001374CC">
        <w:rPr>
          <w:rFonts w:cs="Arial"/>
          <w:color w:val="000000" w:themeColor="text1"/>
        </w:rPr>
        <w:t>, se sitúa</w:t>
      </w:r>
      <w:r w:rsidR="00D871C5">
        <w:rPr>
          <w:rFonts w:cs="Arial"/>
          <w:color w:val="000000" w:themeColor="text1"/>
        </w:rPr>
        <w:t xml:space="preserve"> lejos del límite legal del 110 por ciento,</w:t>
      </w:r>
      <w:r>
        <w:rPr>
          <w:rFonts w:cs="Arial"/>
          <w:color w:val="000000" w:themeColor="text1"/>
        </w:rPr>
        <w:t xml:space="preserve"> e implica una reducción del 23 por ciento con respecto a 2019. </w:t>
      </w:r>
    </w:p>
    <w:p w14:paraId="329372C8" w14:textId="65B7FF0E" w:rsidR="00D871C5" w:rsidRDefault="00D871C5" w:rsidP="0029777F">
      <w:pPr>
        <w:pStyle w:val="texto"/>
        <w:tabs>
          <w:tab w:val="clear" w:pos="2835"/>
          <w:tab w:val="center" w:pos="567"/>
        </w:tabs>
        <w:rPr>
          <w:rFonts w:cs="Arial"/>
          <w:color w:val="000000" w:themeColor="text1"/>
        </w:rPr>
      </w:pPr>
      <w:r>
        <w:rPr>
          <w:rFonts w:cs="Arial"/>
          <w:color w:val="000000" w:themeColor="text1"/>
        </w:rPr>
        <w:t xml:space="preserve">Por su parte, el </w:t>
      </w:r>
      <w:r w:rsidR="001374CC">
        <w:rPr>
          <w:rFonts w:cs="Arial"/>
          <w:color w:val="000000" w:themeColor="text1"/>
        </w:rPr>
        <w:t xml:space="preserve">remanente </w:t>
      </w:r>
      <w:r>
        <w:rPr>
          <w:rFonts w:cs="Arial"/>
          <w:color w:val="000000" w:themeColor="text1"/>
        </w:rPr>
        <w:t xml:space="preserve">de </w:t>
      </w:r>
      <w:r w:rsidR="001374CC">
        <w:rPr>
          <w:rFonts w:cs="Arial"/>
          <w:color w:val="000000" w:themeColor="text1"/>
        </w:rPr>
        <w:t xml:space="preserve">tesorería </w:t>
      </w:r>
      <w:r>
        <w:rPr>
          <w:rFonts w:cs="Arial"/>
          <w:color w:val="000000" w:themeColor="text1"/>
        </w:rPr>
        <w:t>para gastos generales ha aumentado en 26,35 millones, continuando la tendencia creciente de los últimos años.</w:t>
      </w:r>
    </w:p>
    <w:p w14:paraId="5DA7251E" w14:textId="32BC3DD0" w:rsidR="009B6237" w:rsidRDefault="009B6237" w:rsidP="0029777F">
      <w:pPr>
        <w:pStyle w:val="texto"/>
        <w:tabs>
          <w:tab w:val="clear" w:pos="2835"/>
          <w:tab w:val="center" w:pos="567"/>
        </w:tabs>
        <w:rPr>
          <w:rFonts w:cs="Arial"/>
          <w:color w:val="000000" w:themeColor="text1"/>
        </w:rPr>
      </w:pPr>
      <w:r>
        <w:rPr>
          <w:rFonts w:cs="Arial"/>
          <w:color w:val="000000" w:themeColor="text1"/>
        </w:rPr>
        <w:lastRenderedPageBreak/>
        <w:t xml:space="preserve">En materia de estabilidad presupuestaria y sostenibilidad financiera, se han cumplido las reglas fiscales vigentes y se hubieran cumplido las suspendidas con motivo de la pandemia, </w:t>
      </w:r>
      <w:r w:rsidR="00D535F4">
        <w:rPr>
          <w:rFonts w:cs="Arial"/>
          <w:color w:val="000000" w:themeColor="text1"/>
        </w:rPr>
        <w:t>si bien</w:t>
      </w:r>
      <w:r w:rsidR="00E97D61">
        <w:rPr>
          <w:rFonts w:cs="Arial"/>
          <w:color w:val="000000" w:themeColor="text1"/>
        </w:rPr>
        <w:t xml:space="preserve"> la “regla de gasto” </w:t>
      </w:r>
      <w:r>
        <w:rPr>
          <w:rFonts w:cs="Arial"/>
          <w:color w:val="000000" w:themeColor="text1"/>
        </w:rPr>
        <w:t>no puede evaluarse al carecer de un valor de referencia válido.</w:t>
      </w:r>
    </w:p>
    <w:p w14:paraId="642DE6F7" w14:textId="77777777" w:rsidR="009D46C5" w:rsidRPr="00305D02" w:rsidRDefault="009D46C5" w:rsidP="009D46C5">
      <w:pPr>
        <w:pStyle w:val="texto"/>
        <w:tabs>
          <w:tab w:val="clear" w:pos="2835"/>
          <w:tab w:val="center" w:pos="567"/>
        </w:tabs>
        <w:rPr>
          <w:rFonts w:cs="Arial"/>
          <w:color w:val="000000" w:themeColor="text1"/>
        </w:rPr>
      </w:pPr>
      <w:r w:rsidRPr="00305D02">
        <w:rPr>
          <w:rFonts w:cs="Arial"/>
          <w:color w:val="000000" w:themeColor="text1"/>
        </w:rPr>
        <w:t xml:space="preserve">La pandemia de </w:t>
      </w:r>
      <w:proofErr w:type="spellStart"/>
      <w:r w:rsidRPr="00305D02">
        <w:rPr>
          <w:rFonts w:cs="Arial"/>
          <w:color w:val="000000" w:themeColor="text1"/>
        </w:rPr>
        <w:t>Covid-19</w:t>
      </w:r>
      <w:proofErr w:type="spellEnd"/>
      <w:r w:rsidRPr="00305D02">
        <w:rPr>
          <w:rFonts w:cs="Arial"/>
          <w:color w:val="000000" w:themeColor="text1"/>
        </w:rPr>
        <w:t xml:space="preserve"> tuvo un impacto muy relevante en la actividad de las entidades locales de Navarra. El total de ingresos corrientes experimentó una leve disminución debido a que la reducción de los ingresos más directamente vinculados a la actividad económica y social se vio compensada en buena medida por el aumento de los ingresos por transferencias corrientes. Por su parte, los gastos de funcionamiento se redujeron debido a la no celebración de ciertas actividades, eventos y fiestas. Como consecuencia, los ahorros bruto y neto se situaron en cifras muy similares a los del ejercicio anterior, a pesar de la pandemia. </w:t>
      </w:r>
    </w:p>
    <w:p w14:paraId="500279CE" w14:textId="77777777" w:rsidR="009D46C5" w:rsidRPr="00A81996" w:rsidRDefault="009D46C5" w:rsidP="00A81996">
      <w:pPr>
        <w:pStyle w:val="texto"/>
        <w:tabs>
          <w:tab w:val="clear" w:pos="2835"/>
          <w:tab w:val="center" w:pos="567"/>
        </w:tabs>
        <w:rPr>
          <w:rFonts w:cs="Arial"/>
          <w:color w:val="000000" w:themeColor="text1"/>
        </w:rPr>
      </w:pPr>
      <w:r w:rsidRPr="00A81996">
        <w:rPr>
          <w:rFonts w:cs="Arial"/>
          <w:color w:val="000000" w:themeColor="text1"/>
        </w:rPr>
        <w:t xml:space="preserve">En definitiva, la situación económica global del sector público local en 2020 era saneada y no se vio deteriorada como consecuencia de la pandemia de </w:t>
      </w:r>
      <w:proofErr w:type="spellStart"/>
      <w:r w:rsidRPr="00A81996">
        <w:rPr>
          <w:rFonts w:cs="Arial"/>
          <w:color w:val="000000" w:themeColor="text1"/>
        </w:rPr>
        <w:t>Covid-19</w:t>
      </w:r>
      <w:proofErr w:type="spellEnd"/>
      <w:r w:rsidRPr="00A81996">
        <w:rPr>
          <w:rFonts w:cs="Arial"/>
          <w:color w:val="000000" w:themeColor="text1"/>
        </w:rPr>
        <w:t>. La deuda viva siguió descendiendo y el remanente de tesorería para gastos generales aumentando, continuando en ambos casos la tendencia favorable de los años anteriores.</w:t>
      </w:r>
    </w:p>
    <w:p w14:paraId="7B99CE39" w14:textId="79AFB15A" w:rsidR="003118C4" w:rsidRDefault="003118C4" w:rsidP="00095E01">
      <w:pPr>
        <w:pStyle w:val="texto"/>
        <w:tabs>
          <w:tab w:val="clear" w:pos="2835"/>
          <w:tab w:val="center" w:pos="567"/>
        </w:tabs>
        <w:spacing w:after="0"/>
        <w:rPr>
          <w:rFonts w:cs="Arial"/>
          <w:color w:val="000000" w:themeColor="text1"/>
        </w:rPr>
      </w:pPr>
    </w:p>
    <w:p w14:paraId="4015F3B0" w14:textId="5D73310F" w:rsidR="003118C4" w:rsidRPr="009D46C5" w:rsidRDefault="003118C4" w:rsidP="009D46C5">
      <w:pPr>
        <w:pStyle w:val="texto"/>
        <w:ind w:firstLine="0"/>
        <w:rPr>
          <w:i/>
          <w:color w:val="000000" w:themeColor="text1"/>
        </w:rPr>
      </w:pPr>
      <w:r w:rsidRPr="009D46C5">
        <w:rPr>
          <w:i/>
          <w:color w:val="000000" w:themeColor="text1"/>
        </w:rPr>
        <w:t>Contratación pública</w:t>
      </w:r>
    </w:p>
    <w:p w14:paraId="0DBCC1B5" w14:textId="3650620B" w:rsidR="00B77FE7" w:rsidRDefault="00330E2B" w:rsidP="009D46C5">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r>
        <w:rPr>
          <w:rFonts w:cs="Arial"/>
          <w:color w:val="000000" w:themeColor="text1"/>
        </w:rPr>
        <w:t>Las entidades locales y sus entes dependientes adjudicaron un total de 392 contratos, por un importe total de 114</w:t>
      </w:r>
      <w:r w:rsidR="00060273">
        <w:rPr>
          <w:rFonts w:cs="Arial"/>
          <w:color w:val="000000" w:themeColor="text1"/>
        </w:rPr>
        <w:t>,</w:t>
      </w:r>
      <w:r>
        <w:rPr>
          <w:rFonts w:cs="Arial"/>
          <w:color w:val="000000" w:themeColor="text1"/>
        </w:rPr>
        <w:t xml:space="preserve">61 millones. El 73 por ciento de los contratos y el 54 por ciento del importe se concentra en los ayuntamientos. </w:t>
      </w:r>
      <w:r w:rsidR="00060273">
        <w:rPr>
          <w:rFonts w:cs="Arial"/>
          <w:color w:val="000000" w:themeColor="text1"/>
        </w:rPr>
        <w:t>Del importe total adjudicado, el 45 y el 43 por ciento corresponden a contratos de servicios y de obras, respectivamente</w:t>
      </w:r>
      <w:r w:rsidR="00E34F65">
        <w:rPr>
          <w:rFonts w:cs="Arial"/>
          <w:color w:val="000000" w:themeColor="text1"/>
        </w:rPr>
        <w:t>. Estos</w:t>
      </w:r>
      <w:r w:rsidR="00060273">
        <w:rPr>
          <w:rFonts w:cs="Arial"/>
          <w:color w:val="000000" w:themeColor="text1"/>
        </w:rPr>
        <w:t xml:space="preserve"> porcentajes están muy condicionados por la adjudicación</w:t>
      </w:r>
      <w:r w:rsidR="00E34F65">
        <w:rPr>
          <w:rFonts w:cs="Arial"/>
          <w:color w:val="000000" w:themeColor="text1"/>
        </w:rPr>
        <w:t xml:space="preserve"> por parte de una mancomunidad</w:t>
      </w:r>
      <w:r w:rsidR="00060273">
        <w:rPr>
          <w:rFonts w:cs="Arial"/>
          <w:color w:val="000000" w:themeColor="text1"/>
        </w:rPr>
        <w:t xml:space="preserve"> de un contrato de servicios por importe de 24,5 millones</w:t>
      </w:r>
      <w:r w:rsidR="00E34F65">
        <w:rPr>
          <w:rFonts w:cs="Arial"/>
          <w:color w:val="000000" w:themeColor="text1"/>
        </w:rPr>
        <w:t xml:space="preserve"> por parte de una mancomunidad.</w:t>
      </w:r>
    </w:p>
    <w:p w14:paraId="1D5FE2E5" w14:textId="7A9FD5B2" w:rsidR="00060273" w:rsidRDefault="00060273" w:rsidP="0029777F">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r>
        <w:rPr>
          <w:rFonts w:cs="Arial"/>
          <w:color w:val="000000" w:themeColor="text1"/>
        </w:rPr>
        <w:t xml:space="preserve">La actividad de contratación se ha visto afectada por la pandemia de </w:t>
      </w:r>
      <w:proofErr w:type="spellStart"/>
      <w:r>
        <w:rPr>
          <w:rFonts w:cs="Arial"/>
          <w:color w:val="000000" w:themeColor="text1"/>
        </w:rPr>
        <w:t>Covid-19</w:t>
      </w:r>
      <w:proofErr w:type="spellEnd"/>
      <w:r>
        <w:rPr>
          <w:rFonts w:cs="Arial"/>
          <w:color w:val="000000" w:themeColor="text1"/>
        </w:rPr>
        <w:t>, reduciéndose el número de contratos en un 22 por ciento con respecto al ejercicio anterior.</w:t>
      </w:r>
    </w:p>
    <w:p w14:paraId="60D5F97C" w14:textId="181812B1" w:rsidR="003118C4" w:rsidRDefault="003118C4" w:rsidP="00095E01">
      <w:pPr>
        <w:pStyle w:val="texto"/>
        <w:tabs>
          <w:tab w:val="clear" w:pos="2835"/>
          <w:tab w:val="center" w:pos="567"/>
        </w:tabs>
        <w:spacing w:after="0"/>
        <w:rPr>
          <w:rFonts w:cs="Arial"/>
          <w:color w:val="000000" w:themeColor="text1"/>
        </w:rPr>
      </w:pPr>
    </w:p>
    <w:p w14:paraId="6E91CD97" w14:textId="1A925A5E" w:rsidR="003118C4" w:rsidRPr="009D46C5" w:rsidRDefault="003118C4" w:rsidP="009D46C5">
      <w:pPr>
        <w:pStyle w:val="texto"/>
        <w:ind w:firstLine="0"/>
        <w:rPr>
          <w:i/>
          <w:color w:val="000000" w:themeColor="text1"/>
        </w:rPr>
      </w:pPr>
      <w:r w:rsidRPr="009D46C5">
        <w:rPr>
          <w:i/>
          <w:color w:val="000000" w:themeColor="text1"/>
        </w:rPr>
        <w:t>Rendición de cuentas y presupuestos</w:t>
      </w:r>
    </w:p>
    <w:p w14:paraId="02903021" w14:textId="169AE471" w:rsidR="00945FB9" w:rsidRDefault="00796A87" w:rsidP="009D46C5">
      <w:pPr>
        <w:pStyle w:val="texto"/>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rPr>
          <w:rFonts w:cs="Arial"/>
          <w:color w:val="000000" w:themeColor="text1"/>
        </w:rPr>
      </w:pPr>
      <w:r w:rsidRPr="00796A87">
        <w:rPr>
          <w:rFonts w:cs="Arial"/>
          <w:color w:val="000000" w:themeColor="text1"/>
        </w:rPr>
        <w:t xml:space="preserve">En general, las entidades locales aprueban sus cuentas y las remiten a la DGALD, pero en muchos casos existen demoras significativas con respecto a los plazos legales. En concreto, </w:t>
      </w:r>
      <w:r>
        <w:rPr>
          <w:rFonts w:cs="Arial"/>
          <w:color w:val="000000" w:themeColor="text1"/>
        </w:rPr>
        <w:t xml:space="preserve">estas obligaciones </w:t>
      </w:r>
      <w:r w:rsidR="0085536E">
        <w:rPr>
          <w:rFonts w:cs="Arial"/>
          <w:color w:val="000000" w:themeColor="text1"/>
        </w:rPr>
        <w:t xml:space="preserve">de aprobación y remisión </w:t>
      </w:r>
      <w:r w:rsidR="000B268D">
        <w:rPr>
          <w:rFonts w:cs="Arial"/>
          <w:color w:val="000000" w:themeColor="text1"/>
        </w:rPr>
        <w:t xml:space="preserve">las </w:t>
      </w:r>
      <w:r>
        <w:rPr>
          <w:rFonts w:cs="Arial"/>
          <w:color w:val="000000" w:themeColor="text1"/>
        </w:rPr>
        <w:t xml:space="preserve">han </w:t>
      </w:r>
      <w:r w:rsidRPr="00796A87">
        <w:rPr>
          <w:rFonts w:cs="Arial"/>
          <w:color w:val="000000" w:themeColor="text1"/>
        </w:rPr>
        <w:t>cumplid</w:t>
      </w:r>
      <w:r w:rsidR="000B268D">
        <w:rPr>
          <w:rFonts w:cs="Arial"/>
          <w:color w:val="000000" w:themeColor="text1"/>
        </w:rPr>
        <w:t>o</w:t>
      </w:r>
      <w:r w:rsidRPr="00796A87">
        <w:rPr>
          <w:rFonts w:cs="Arial"/>
          <w:color w:val="000000" w:themeColor="text1"/>
        </w:rPr>
        <w:t xml:space="preserve"> dentro del plazo máximo legalmente previsto </w:t>
      </w:r>
      <w:r w:rsidRPr="008E43F9">
        <w:rPr>
          <w:rFonts w:cs="Arial"/>
          <w:color w:val="000000" w:themeColor="text1"/>
        </w:rPr>
        <w:t>el 6</w:t>
      </w:r>
      <w:r w:rsidR="008E43F9" w:rsidRPr="008E43F9">
        <w:rPr>
          <w:rFonts w:cs="Arial"/>
          <w:color w:val="000000" w:themeColor="text1"/>
        </w:rPr>
        <w:t>8</w:t>
      </w:r>
      <w:r w:rsidRPr="008E43F9">
        <w:rPr>
          <w:rFonts w:cs="Arial"/>
          <w:color w:val="000000" w:themeColor="text1"/>
        </w:rPr>
        <w:t xml:space="preserve"> y el 5</w:t>
      </w:r>
      <w:r w:rsidR="008E43F9" w:rsidRPr="008E43F9">
        <w:rPr>
          <w:rFonts w:cs="Arial"/>
          <w:color w:val="000000" w:themeColor="text1"/>
        </w:rPr>
        <w:t>3</w:t>
      </w:r>
      <w:r w:rsidRPr="008E43F9">
        <w:rPr>
          <w:rFonts w:cs="Arial"/>
          <w:color w:val="000000" w:themeColor="text1"/>
        </w:rPr>
        <w:t xml:space="preserve"> por</w:t>
      </w:r>
      <w:r w:rsidRPr="00796A87">
        <w:rPr>
          <w:rFonts w:cs="Arial"/>
          <w:color w:val="000000" w:themeColor="text1"/>
        </w:rPr>
        <w:t xml:space="preserve"> ciento de las entidades locales, respectivamente, si bien a fecha de elaboración de este informe </w:t>
      </w:r>
      <w:r w:rsidR="00945FB9" w:rsidRPr="008E43F9">
        <w:rPr>
          <w:rFonts w:cs="Arial"/>
          <w:color w:val="000000" w:themeColor="text1"/>
        </w:rPr>
        <w:t>el 86 por ciento de las entidades locales ya ha remitido sus cuentas a la DGALD.</w:t>
      </w:r>
    </w:p>
    <w:p w14:paraId="709319A8" w14:textId="725CF413" w:rsidR="00796A87" w:rsidRDefault="00945FB9" w:rsidP="00A81996">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spacing w:after="0"/>
        <w:rPr>
          <w:rFonts w:cs="Arial"/>
          <w:color w:val="000000" w:themeColor="text1"/>
        </w:rPr>
      </w:pPr>
      <w:r>
        <w:rPr>
          <w:rFonts w:cs="Arial"/>
          <w:color w:val="000000" w:themeColor="text1"/>
        </w:rPr>
        <w:t xml:space="preserve">En lo referido al presupuesto, llama la atención </w:t>
      </w:r>
      <w:r w:rsidRPr="008E43F9">
        <w:rPr>
          <w:rFonts w:cs="Arial"/>
          <w:color w:val="000000" w:themeColor="text1"/>
        </w:rPr>
        <w:t xml:space="preserve">que solo el 23 por ciento de las entidades locales lo aprueba antes iniciarse el ejercicio correspondiente y solo </w:t>
      </w:r>
      <w:r w:rsidRPr="008E43F9">
        <w:rPr>
          <w:rFonts w:cs="Arial"/>
          <w:color w:val="000000" w:themeColor="text1"/>
        </w:rPr>
        <w:lastRenderedPageBreak/>
        <w:t>el tres por ciento lo remite a la DGALD dentro del</w:t>
      </w:r>
      <w:r>
        <w:rPr>
          <w:rFonts w:cs="Arial"/>
          <w:color w:val="000000" w:themeColor="text1"/>
        </w:rPr>
        <w:t xml:space="preserve"> plazo máximo legalmente previsto.</w:t>
      </w:r>
      <w:r w:rsidR="00796A87" w:rsidRPr="00796A87">
        <w:rPr>
          <w:rFonts w:cs="Arial"/>
          <w:color w:val="000000" w:themeColor="text1"/>
        </w:rPr>
        <w:t xml:space="preserve"> </w:t>
      </w:r>
    </w:p>
    <w:p w14:paraId="730C7C94" w14:textId="3F08AEDE" w:rsidR="003118C4" w:rsidRDefault="003118C4" w:rsidP="00095E01">
      <w:pPr>
        <w:pStyle w:val="texto"/>
        <w:tabs>
          <w:tab w:val="clear" w:pos="2835"/>
          <w:tab w:val="center" w:pos="567"/>
        </w:tabs>
        <w:spacing w:after="0"/>
        <w:rPr>
          <w:rFonts w:cs="Arial"/>
          <w:color w:val="000000" w:themeColor="text1"/>
        </w:rPr>
      </w:pPr>
    </w:p>
    <w:p w14:paraId="4B2957EF" w14:textId="3ADC212A" w:rsidR="003118C4" w:rsidRPr="009D46C5" w:rsidRDefault="003118C4" w:rsidP="009D46C5">
      <w:pPr>
        <w:pStyle w:val="texto"/>
        <w:ind w:firstLine="0"/>
        <w:rPr>
          <w:i/>
          <w:color w:val="000000" w:themeColor="text1"/>
        </w:rPr>
      </w:pPr>
      <w:r w:rsidRPr="009D46C5">
        <w:rPr>
          <w:i/>
          <w:color w:val="000000" w:themeColor="text1"/>
        </w:rPr>
        <w:t>Control interno</w:t>
      </w:r>
    </w:p>
    <w:p w14:paraId="564C40A9" w14:textId="200A3EDA" w:rsidR="00796A87" w:rsidRDefault="009D46C5" w:rsidP="009D46C5">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rPr>
          <w:rFonts w:cs="Arial"/>
          <w:color w:val="000000" w:themeColor="text1"/>
        </w:rPr>
      </w:pPr>
      <w:r>
        <w:rPr>
          <w:rFonts w:cs="Arial"/>
          <w:color w:val="000000" w:themeColor="text1"/>
        </w:rPr>
        <w:t>En relación con</w:t>
      </w:r>
      <w:r w:rsidR="00945FB9">
        <w:rPr>
          <w:rFonts w:cs="Arial"/>
          <w:color w:val="000000" w:themeColor="text1"/>
        </w:rPr>
        <w:t xml:space="preserve"> las tres modalidades de control interno </w:t>
      </w:r>
      <w:r w:rsidR="00593E0D">
        <w:rPr>
          <w:rFonts w:cs="Arial"/>
          <w:color w:val="000000" w:themeColor="text1"/>
        </w:rPr>
        <w:t>establecidas</w:t>
      </w:r>
      <w:r w:rsidR="00945FB9">
        <w:rPr>
          <w:rFonts w:cs="Arial"/>
          <w:color w:val="000000" w:themeColor="text1"/>
        </w:rPr>
        <w:t xml:space="preserve"> en la Ley Foral 6/1990 de la Administración Local de Navarra (</w:t>
      </w:r>
      <w:r w:rsidR="00A87EED">
        <w:rPr>
          <w:rFonts w:cs="Arial"/>
          <w:color w:val="000000" w:themeColor="text1"/>
        </w:rPr>
        <w:t xml:space="preserve">en adelante </w:t>
      </w:r>
      <w:r w:rsidR="00945FB9">
        <w:rPr>
          <w:rFonts w:cs="Arial"/>
          <w:color w:val="000000" w:themeColor="text1"/>
        </w:rPr>
        <w:t xml:space="preserve">LFAL), </w:t>
      </w:r>
      <w:r w:rsidR="00F078C3">
        <w:rPr>
          <w:rFonts w:cs="Arial"/>
          <w:color w:val="000000" w:themeColor="text1"/>
        </w:rPr>
        <w:t>de acuerdo con el cuestionario</w:t>
      </w:r>
      <w:r>
        <w:rPr>
          <w:rFonts w:cs="Arial"/>
          <w:color w:val="000000" w:themeColor="text1"/>
        </w:rPr>
        <w:t xml:space="preserve"> respondido por los órganos interventores, </w:t>
      </w:r>
      <w:r w:rsidR="00945FB9">
        <w:rPr>
          <w:rFonts w:cs="Arial"/>
          <w:color w:val="000000" w:themeColor="text1"/>
        </w:rPr>
        <w:t xml:space="preserve">la función de intervención se ejerce de manera generalizada, mientras que las </w:t>
      </w:r>
      <w:r w:rsidR="00593E0D">
        <w:rPr>
          <w:rFonts w:cs="Arial"/>
          <w:color w:val="000000" w:themeColor="text1"/>
        </w:rPr>
        <w:t>otras dos</w:t>
      </w:r>
      <w:r w:rsidR="00945FB9">
        <w:rPr>
          <w:rFonts w:cs="Arial"/>
          <w:color w:val="000000" w:themeColor="text1"/>
        </w:rPr>
        <w:t xml:space="preserve"> </w:t>
      </w:r>
      <w:r w:rsidR="00593E0D">
        <w:rPr>
          <w:rFonts w:cs="Arial"/>
          <w:color w:val="000000" w:themeColor="text1"/>
        </w:rPr>
        <w:t xml:space="preserve">tienen una implantación mucho menor: de los órganos interventores que han respondido a la pregunta correspondiente, solo </w:t>
      </w:r>
      <w:r w:rsidR="00945FB9">
        <w:rPr>
          <w:rFonts w:cs="Arial"/>
          <w:color w:val="000000" w:themeColor="text1"/>
        </w:rPr>
        <w:t xml:space="preserve">el 56 y 42 por ciento </w:t>
      </w:r>
      <w:r w:rsidR="00593E0D">
        <w:rPr>
          <w:rFonts w:cs="Arial"/>
          <w:color w:val="000000" w:themeColor="text1"/>
        </w:rPr>
        <w:t>declaran efectuar</w:t>
      </w:r>
      <w:r w:rsidR="000259CF">
        <w:rPr>
          <w:rFonts w:cs="Arial"/>
          <w:color w:val="000000" w:themeColor="text1"/>
        </w:rPr>
        <w:t>, respectivamente,</w:t>
      </w:r>
      <w:r w:rsidR="00593E0D">
        <w:rPr>
          <w:rFonts w:cs="Arial"/>
          <w:color w:val="000000" w:themeColor="text1"/>
        </w:rPr>
        <w:t xml:space="preserve"> el control finan</w:t>
      </w:r>
      <w:r w:rsidR="000259CF">
        <w:rPr>
          <w:rFonts w:cs="Arial"/>
          <w:color w:val="000000" w:themeColor="text1"/>
        </w:rPr>
        <w:t>ciero y el control de eficacia.</w:t>
      </w:r>
    </w:p>
    <w:p w14:paraId="46598343" w14:textId="2B6A4EE2" w:rsidR="00796A87" w:rsidRDefault="00945FB9" w:rsidP="0029777F">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r>
        <w:rPr>
          <w:rFonts w:cs="Arial"/>
          <w:color w:val="000000" w:themeColor="text1"/>
        </w:rPr>
        <w:t xml:space="preserve">Los órganos </w:t>
      </w:r>
      <w:r w:rsidR="001374CC">
        <w:rPr>
          <w:rFonts w:cs="Arial"/>
          <w:color w:val="000000" w:themeColor="text1"/>
        </w:rPr>
        <w:t>interventores</w:t>
      </w:r>
      <w:r>
        <w:rPr>
          <w:rFonts w:cs="Arial"/>
          <w:color w:val="000000" w:themeColor="text1"/>
        </w:rPr>
        <w:t xml:space="preserve"> han formulado 188 reparos, de los que en 172 casos se cuantifica el importe afectado, que ascendió a un total de </w:t>
      </w:r>
      <w:r w:rsidR="00265EF6">
        <w:rPr>
          <w:rFonts w:cs="Arial"/>
          <w:color w:val="000000" w:themeColor="text1"/>
        </w:rPr>
        <w:t>5,06</w:t>
      </w:r>
      <w:r>
        <w:rPr>
          <w:rFonts w:cs="Arial"/>
          <w:color w:val="000000" w:themeColor="text1"/>
        </w:rPr>
        <w:t xml:space="preserve"> millones. </w:t>
      </w:r>
      <w:r w:rsidR="00E97D61">
        <w:rPr>
          <w:rFonts w:cs="Arial"/>
          <w:color w:val="000000" w:themeColor="text1"/>
        </w:rPr>
        <w:t>Por importes, e</w:t>
      </w:r>
      <w:r>
        <w:rPr>
          <w:rFonts w:cs="Arial"/>
          <w:color w:val="000000" w:themeColor="text1"/>
        </w:rPr>
        <w:t>l área más afectada por los reparos es la de contratación pública (86 por ciento</w:t>
      </w:r>
      <w:r w:rsidR="00E112F3">
        <w:rPr>
          <w:rFonts w:cs="Arial"/>
          <w:color w:val="000000" w:themeColor="text1"/>
        </w:rPr>
        <w:t xml:space="preserve"> del total</w:t>
      </w:r>
      <w:r>
        <w:rPr>
          <w:rFonts w:cs="Arial"/>
          <w:color w:val="000000" w:themeColor="text1"/>
        </w:rPr>
        <w:t xml:space="preserve">), seguida de las </w:t>
      </w:r>
      <w:r w:rsidR="00D535F4">
        <w:rPr>
          <w:rFonts w:cs="Arial"/>
          <w:color w:val="000000" w:themeColor="text1"/>
        </w:rPr>
        <w:t xml:space="preserve">de </w:t>
      </w:r>
      <w:r w:rsidR="00E97D61">
        <w:rPr>
          <w:rFonts w:cs="Arial"/>
          <w:color w:val="000000" w:themeColor="text1"/>
        </w:rPr>
        <w:t>subvenciones y personal</w:t>
      </w:r>
      <w:r>
        <w:rPr>
          <w:rFonts w:cs="Arial"/>
          <w:color w:val="000000" w:themeColor="text1"/>
        </w:rPr>
        <w:t xml:space="preserve">. </w:t>
      </w:r>
    </w:p>
    <w:p w14:paraId="738A777B" w14:textId="1F8BA295" w:rsidR="003118C4" w:rsidRDefault="00236D9A" w:rsidP="00A81996">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0"/>
        <w:rPr>
          <w:rFonts w:cs="Arial"/>
          <w:color w:val="000000" w:themeColor="text1"/>
        </w:rPr>
      </w:pPr>
      <w:r>
        <w:rPr>
          <w:rFonts w:cs="Arial"/>
          <w:color w:val="000000" w:themeColor="text1"/>
        </w:rPr>
        <w:t>Cabe señalar que en Navarra no se ha realizado desarrollo reglamentario del régimen jurídico del control interno</w:t>
      </w:r>
      <w:r w:rsidR="003118C4">
        <w:rPr>
          <w:rFonts w:cs="Arial"/>
          <w:color w:val="000000" w:themeColor="text1"/>
        </w:rPr>
        <w:t xml:space="preserve">, a diferencia de lo que sucede en el Estado, donde se llevó a cabo mediante aprobación </w:t>
      </w:r>
      <w:r w:rsidR="00D5707B">
        <w:rPr>
          <w:rFonts w:cs="Arial"/>
          <w:color w:val="000000" w:themeColor="text1"/>
        </w:rPr>
        <w:t>del Real</w:t>
      </w:r>
      <w:r w:rsidR="003118C4">
        <w:rPr>
          <w:rFonts w:cs="Arial"/>
          <w:color w:val="000000" w:themeColor="text1"/>
        </w:rPr>
        <w:t xml:space="preserve"> Decreto 424/2017, de 28 de abril, por el que se regula el régimen jurídico del control interno de las entidades del sector público local.</w:t>
      </w:r>
    </w:p>
    <w:p w14:paraId="4C36012D" w14:textId="23A8E5FD" w:rsidR="003118C4" w:rsidRDefault="003118C4" w:rsidP="00095E01">
      <w:pPr>
        <w:pStyle w:val="texto"/>
        <w:tabs>
          <w:tab w:val="clear" w:pos="2835"/>
          <w:tab w:val="center" w:pos="567"/>
        </w:tabs>
        <w:spacing w:after="0"/>
        <w:rPr>
          <w:rFonts w:cs="Arial"/>
          <w:color w:val="000000" w:themeColor="text1"/>
        </w:rPr>
      </w:pPr>
    </w:p>
    <w:p w14:paraId="218BCE2A" w14:textId="43B9C1A5" w:rsidR="003118C4" w:rsidRPr="00B072D2" w:rsidRDefault="003118C4" w:rsidP="00B072D2">
      <w:pPr>
        <w:pStyle w:val="texto"/>
        <w:tabs>
          <w:tab w:val="num" w:pos="786"/>
        </w:tabs>
        <w:ind w:firstLine="0"/>
        <w:rPr>
          <w:i/>
          <w:color w:val="000000" w:themeColor="text1"/>
        </w:rPr>
      </w:pPr>
      <w:r w:rsidRPr="00B072D2">
        <w:rPr>
          <w:i/>
          <w:color w:val="000000" w:themeColor="text1"/>
        </w:rPr>
        <w:t>Análisis comparativo</w:t>
      </w:r>
    </w:p>
    <w:p w14:paraId="730D8272" w14:textId="0101B6DC" w:rsidR="00945FB9" w:rsidRDefault="00E34F65" w:rsidP="00B072D2">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rPr>
          <w:rFonts w:cs="Arial"/>
          <w:color w:val="000000" w:themeColor="text1"/>
        </w:rPr>
      </w:pPr>
      <w:r>
        <w:rPr>
          <w:rFonts w:cs="Arial"/>
          <w:color w:val="000000" w:themeColor="text1"/>
        </w:rPr>
        <w:t>En la comparativa de</w:t>
      </w:r>
      <w:r w:rsidR="00945FB9">
        <w:rPr>
          <w:rFonts w:cs="Arial"/>
          <w:color w:val="000000" w:themeColor="text1"/>
        </w:rPr>
        <w:t xml:space="preserve"> los ayuntamientos navarros comprendidos en distintos tramos de población, se observa que, con la excepción de Pamplona, conforme </w:t>
      </w:r>
      <w:r w:rsidR="00D612F5">
        <w:rPr>
          <w:rFonts w:cs="Arial"/>
          <w:color w:val="000000" w:themeColor="text1"/>
        </w:rPr>
        <w:t xml:space="preserve">aumenta </w:t>
      </w:r>
      <w:r w:rsidR="00945FB9">
        <w:rPr>
          <w:rFonts w:cs="Arial"/>
          <w:color w:val="000000" w:themeColor="text1"/>
        </w:rPr>
        <w:t>el tamaño del municipio, disminuyen los ingresos corrientes</w:t>
      </w:r>
      <w:r w:rsidR="00D535F4">
        <w:rPr>
          <w:rFonts w:cs="Arial"/>
          <w:color w:val="000000" w:themeColor="text1"/>
        </w:rPr>
        <w:t xml:space="preserve">, los gastos de funcionamiento y </w:t>
      </w:r>
      <w:r w:rsidR="000259CF">
        <w:rPr>
          <w:rFonts w:cs="Arial"/>
          <w:color w:val="000000" w:themeColor="text1"/>
        </w:rPr>
        <w:t>los</w:t>
      </w:r>
      <w:r w:rsidR="00D535F4">
        <w:rPr>
          <w:rFonts w:cs="Arial"/>
          <w:color w:val="000000" w:themeColor="text1"/>
        </w:rPr>
        <w:t xml:space="preserve"> ahorro</w:t>
      </w:r>
      <w:r w:rsidR="000259CF">
        <w:rPr>
          <w:rFonts w:cs="Arial"/>
          <w:color w:val="000000" w:themeColor="text1"/>
        </w:rPr>
        <w:t>s</w:t>
      </w:r>
      <w:r w:rsidR="00D535F4">
        <w:rPr>
          <w:rFonts w:cs="Arial"/>
          <w:color w:val="000000" w:themeColor="text1"/>
        </w:rPr>
        <w:t xml:space="preserve"> bruto </w:t>
      </w:r>
      <w:r w:rsidR="000259CF">
        <w:rPr>
          <w:rFonts w:cs="Arial"/>
          <w:color w:val="000000" w:themeColor="text1"/>
        </w:rPr>
        <w:t xml:space="preserve">y neto </w:t>
      </w:r>
      <w:r w:rsidR="00D535F4">
        <w:rPr>
          <w:rFonts w:cs="Arial"/>
          <w:color w:val="000000" w:themeColor="text1"/>
        </w:rPr>
        <w:t>por habitante.</w:t>
      </w:r>
    </w:p>
    <w:p w14:paraId="33EC6E53" w14:textId="64C1D566" w:rsidR="003118C4" w:rsidRDefault="00FF7FC8" w:rsidP="00B072D2">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rPr>
          <w:rFonts w:cs="Arial"/>
          <w:color w:val="000000" w:themeColor="text1"/>
        </w:rPr>
      </w:pPr>
      <w:r>
        <w:rPr>
          <w:rFonts w:cs="Arial"/>
          <w:color w:val="000000" w:themeColor="text1"/>
        </w:rPr>
        <w:t xml:space="preserve">Al </w:t>
      </w:r>
      <w:r w:rsidR="00B072D2">
        <w:rPr>
          <w:rFonts w:cs="Arial"/>
          <w:color w:val="000000" w:themeColor="text1"/>
        </w:rPr>
        <w:t>comparar los ayuntamientos</w:t>
      </w:r>
      <w:r>
        <w:rPr>
          <w:rFonts w:cs="Arial"/>
          <w:color w:val="000000" w:themeColor="text1"/>
        </w:rPr>
        <w:t xml:space="preserve"> navarros de población </w:t>
      </w:r>
      <w:r w:rsidRPr="00B072D2">
        <w:rPr>
          <w:rFonts w:cs="Arial"/>
          <w:color w:val="000000" w:themeColor="text1"/>
        </w:rPr>
        <w:t>inferior a 40.000 habitantes con sus homólogos del País Vasco y del resto del Estado</w:t>
      </w:r>
      <w:r w:rsidR="002E192B" w:rsidRPr="00B072D2">
        <w:rPr>
          <w:rFonts w:cs="Arial"/>
          <w:color w:val="000000" w:themeColor="text1"/>
        </w:rPr>
        <w:t>, que disponen de</w:t>
      </w:r>
      <w:r w:rsidR="00F078C3" w:rsidRPr="00B072D2">
        <w:rPr>
          <w:rFonts w:cs="Arial"/>
          <w:color w:val="000000" w:themeColor="text1"/>
        </w:rPr>
        <w:t xml:space="preserve"> sistemas de financiación</w:t>
      </w:r>
      <w:r w:rsidR="002E192B" w:rsidRPr="00B072D2">
        <w:rPr>
          <w:rFonts w:cs="Arial"/>
          <w:color w:val="000000" w:themeColor="text1"/>
        </w:rPr>
        <w:t xml:space="preserve"> local diferentes</w:t>
      </w:r>
      <w:r w:rsidRPr="00B072D2">
        <w:rPr>
          <w:rFonts w:cs="Arial"/>
          <w:color w:val="000000" w:themeColor="text1"/>
        </w:rPr>
        <w:t xml:space="preserve">, se observa que los ingresos y gastos per </w:t>
      </w:r>
      <w:r w:rsidR="00A54C63" w:rsidRPr="00B072D2">
        <w:rPr>
          <w:rFonts w:cs="Arial"/>
          <w:color w:val="000000" w:themeColor="text1"/>
        </w:rPr>
        <w:t>cápita</w:t>
      </w:r>
      <w:r w:rsidRPr="00B072D2">
        <w:rPr>
          <w:rFonts w:cs="Arial"/>
          <w:color w:val="000000" w:themeColor="text1"/>
        </w:rPr>
        <w:t xml:space="preserve"> de los ayuntamientos navarros son superiores a los del</w:t>
      </w:r>
      <w:r>
        <w:rPr>
          <w:rFonts w:cs="Arial"/>
          <w:color w:val="000000" w:themeColor="text1"/>
        </w:rPr>
        <w:t xml:space="preserve"> resto del Estado e inferiores a los del País Vasco. Los ayuntamientos del País Vasco reciben un importe de transferencias por habitante </w:t>
      </w:r>
      <w:r w:rsidR="00B1765B">
        <w:rPr>
          <w:rFonts w:cs="Arial"/>
          <w:color w:val="000000" w:themeColor="text1"/>
        </w:rPr>
        <w:t xml:space="preserve">significativamente </w:t>
      </w:r>
      <w:r>
        <w:rPr>
          <w:rFonts w:cs="Arial"/>
          <w:color w:val="000000" w:themeColor="text1"/>
        </w:rPr>
        <w:t>mayor que los navarros</w:t>
      </w:r>
      <w:r w:rsidR="00B1765B">
        <w:rPr>
          <w:rFonts w:cs="Arial"/>
          <w:color w:val="000000" w:themeColor="text1"/>
        </w:rPr>
        <w:t xml:space="preserve">; en cambio, la principal diferencia con los del resto del Estado </w:t>
      </w:r>
      <w:r w:rsidR="00B072D2">
        <w:rPr>
          <w:rFonts w:cs="Arial"/>
          <w:color w:val="000000" w:themeColor="text1"/>
        </w:rPr>
        <w:t>se encuentra</w:t>
      </w:r>
      <w:r w:rsidR="00B772FA">
        <w:rPr>
          <w:rFonts w:cs="Arial"/>
          <w:color w:val="000000" w:themeColor="text1"/>
        </w:rPr>
        <w:t xml:space="preserve"> </w:t>
      </w:r>
      <w:r w:rsidR="00B1765B">
        <w:rPr>
          <w:rFonts w:cs="Arial"/>
          <w:color w:val="000000" w:themeColor="text1"/>
        </w:rPr>
        <w:t xml:space="preserve">en que estos registran mayores ingresos por habitante por imposición directa. En el análisis interanual se observa que la disminución de ingresos corrientes de los ayuntamientos </w:t>
      </w:r>
      <w:r w:rsidR="00D535F4">
        <w:rPr>
          <w:rFonts w:cs="Arial"/>
          <w:color w:val="000000" w:themeColor="text1"/>
        </w:rPr>
        <w:t>del País Vasco</w:t>
      </w:r>
      <w:r w:rsidR="00B1765B">
        <w:rPr>
          <w:rFonts w:cs="Arial"/>
          <w:color w:val="000000" w:themeColor="text1"/>
        </w:rPr>
        <w:t xml:space="preserve"> es considerablemente superior a la de los navarros y a </w:t>
      </w:r>
      <w:r w:rsidR="00E34F65">
        <w:rPr>
          <w:rFonts w:cs="Arial"/>
          <w:color w:val="000000" w:themeColor="text1"/>
        </w:rPr>
        <w:t xml:space="preserve">la </w:t>
      </w:r>
      <w:r w:rsidR="00B1765B">
        <w:rPr>
          <w:rFonts w:cs="Arial"/>
          <w:color w:val="000000" w:themeColor="text1"/>
        </w:rPr>
        <w:t>del resto del Estado, debido a las diferencias existentes en los respectivos sistemas de financiación</w:t>
      </w:r>
      <w:r w:rsidR="00D612F5">
        <w:rPr>
          <w:rFonts w:cs="Arial"/>
          <w:color w:val="000000" w:themeColor="text1"/>
        </w:rPr>
        <w:t xml:space="preserve">. Por otra parte, en 2020 los ayuntamientos navarros presentan cifras de ahorros bruto y </w:t>
      </w:r>
      <w:proofErr w:type="gramStart"/>
      <w:r w:rsidR="00B072D2">
        <w:rPr>
          <w:rFonts w:cs="Arial"/>
          <w:color w:val="000000" w:themeColor="text1"/>
        </w:rPr>
        <w:t>neto superiores</w:t>
      </w:r>
      <w:proofErr w:type="gramEnd"/>
      <w:r w:rsidR="00D612F5">
        <w:rPr>
          <w:rFonts w:cs="Arial"/>
          <w:color w:val="000000" w:themeColor="text1"/>
        </w:rPr>
        <w:t xml:space="preserve"> a los del País Vasco y del resto del Estado, tanto en términos absolutos como en relación con los ingresos corrientes. </w:t>
      </w:r>
    </w:p>
    <w:p w14:paraId="31593CE2" w14:textId="4862EBB9" w:rsidR="003118C4" w:rsidRPr="003118C4" w:rsidRDefault="003118C4" w:rsidP="00D5707B">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firstLine="0"/>
        <w:rPr>
          <w:rFonts w:cs="Arial"/>
          <w:color w:val="000000" w:themeColor="text1"/>
        </w:rPr>
      </w:pPr>
      <w:r w:rsidRPr="00D5707B">
        <w:rPr>
          <w:i/>
          <w:color w:val="000000" w:themeColor="text1"/>
        </w:rPr>
        <w:lastRenderedPageBreak/>
        <w:t>Normativa contable y presupuestaria</w:t>
      </w:r>
    </w:p>
    <w:p w14:paraId="355B5976" w14:textId="54BE2D30" w:rsidR="00683931" w:rsidRPr="003118C4" w:rsidRDefault="009B6237" w:rsidP="00D5707B">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rPr>
          <w:rFonts w:cs="Arial"/>
          <w:color w:val="000000" w:themeColor="text1"/>
        </w:rPr>
      </w:pPr>
      <w:r>
        <w:rPr>
          <w:rFonts w:cs="Arial"/>
          <w:color w:val="000000" w:themeColor="text1"/>
        </w:rPr>
        <w:t>L</w:t>
      </w:r>
      <w:r w:rsidR="00683931" w:rsidRPr="009B6237">
        <w:rPr>
          <w:rFonts w:cs="Arial"/>
          <w:color w:val="000000" w:themeColor="text1"/>
        </w:rPr>
        <w:t>a contabilidad local en Navarra está regulada sobre la base del Plan General de Contabilidad Pública adaptado a la administración local aprobado por Orden Min</w:t>
      </w:r>
      <w:r w:rsidR="00B1765B" w:rsidRPr="009B6237">
        <w:rPr>
          <w:rFonts w:cs="Arial"/>
          <w:color w:val="000000" w:themeColor="text1"/>
        </w:rPr>
        <w:t xml:space="preserve">isterial de 17 de julio de 1990, salvo en lo que respecta a la estructura presupuestaria de las entidades locales, que se actualizó en 2015. </w:t>
      </w:r>
      <w:r w:rsidR="00683931" w:rsidRPr="003118C4">
        <w:rPr>
          <w:rFonts w:cs="Arial"/>
          <w:color w:val="000000" w:themeColor="text1"/>
        </w:rPr>
        <w:t xml:space="preserve">No se han dictado normas sobre consolidación de los estados contables de la entidad local y sus entes dependientes. </w:t>
      </w:r>
    </w:p>
    <w:p w14:paraId="572810BE" w14:textId="374FAF4B" w:rsidR="00291051" w:rsidRPr="00291051" w:rsidRDefault="00291051" w:rsidP="00C91EFD">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spacing w:after="0"/>
        <w:rPr>
          <w:rFonts w:cs="Arial"/>
          <w:color w:val="000000" w:themeColor="text1"/>
        </w:rPr>
      </w:pPr>
      <w:r w:rsidRPr="00291051">
        <w:rPr>
          <w:rFonts w:cs="Arial"/>
          <w:color w:val="000000" w:themeColor="text1"/>
        </w:rPr>
        <w:t xml:space="preserve">Por otra parte, la Ley Foral 22/2020, de 29 de diciembre, de modificación de la Ley Foral 2/1995, de Haciendas Locales de Navarra, </w:t>
      </w:r>
      <w:r w:rsidR="002C2086">
        <w:rPr>
          <w:rFonts w:cs="Arial"/>
          <w:color w:val="000000" w:themeColor="text1"/>
        </w:rPr>
        <w:t xml:space="preserve">con entrada en vigor el uno de enero de 2021, </w:t>
      </w:r>
      <w:r w:rsidRPr="00291051">
        <w:rPr>
          <w:rFonts w:cs="Arial"/>
          <w:color w:val="000000" w:themeColor="text1"/>
        </w:rPr>
        <w:t xml:space="preserve">introdujo diversas modificaciones dirigidas a flexibilizar los procedimientos de gestión económica y presupuestaria de las entidades locales, desarrollar la regulación relativa a la estabilidad presupuestaria y sostenibilidad financiera e introducir algunas novedades en materia tributaria. </w:t>
      </w:r>
    </w:p>
    <w:p w14:paraId="1ED863E7" w14:textId="77777777" w:rsidR="00291051" w:rsidRDefault="00291051" w:rsidP="00095E01">
      <w:pPr>
        <w:pStyle w:val="texto"/>
        <w:tabs>
          <w:tab w:val="clear" w:pos="2835"/>
          <w:tab w:val="center" w:pos="567"/>
        </w:tabs>
        <w:spacing w:after="0"/>
        <w:rPr>
          <w:color w:val="000000" w:themeColor="text1"/>
        </w:rPr>
      </w:pPr>
    </w:p>
    <w:p w14:paraId="3BE43092" w14:textId="77777777" w:rsidR="00982B6E" w:rsidRPr="00891A2F" w:rsidRDefault="00982B6E" w:rsidP="00982B6E">
      <w:pPr>
        <w:pStyle w:val="Ttulo2"/>
      </w:pPr>
      <w:bookmarkStart w:id="28" w:name="_Toc123724193"/>
      <w:r w:rsidRPr="00891A2F">
        <w:t>III.2. Recomendaciones</w:t>
      </w:r>
      <w:bookmarkEnd w:id="28"/>
    </w:p>
    <w:p w14:paraId="564212A9" w14:textId="77777777" w:rsidR="00D5707B" w:rsidRPr="000259CF" w:rsidRDefault="00D5707B" w:rsidP="00D5707B">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bookmarkStart w:id="29" w:name="_Toc311633164"/>
      <w:bookmarkStart w:id="30" w:name="_Toc311633173"/>
      <w:bookmarkStart w:id="31" w:name="_Toc399916259"/>
      <w:bookmarkStart w:id="32" w:name="_Toc465686682"/>
      <w:bookmarkStart w:id="33" w:name="_Toc529773876"/>
      <w:bookmarkStart w:id="34" w:name="_Toc24100136"/>
      <w:bookmarkStart w:id="35" w:name="_Toc52348284"/>
      <w:bookmarkStart w:id="36" w:name="_Toc88727709"/>
      <w:r>
        <w:rPr>
          <w:rFonts w:cs="Arial"/>
          <w:color w:val="000000" w:themeColor="text1"/>
        </w:rPr>
        <w:t>Teniendo en cuenta las conclusiones señaladas y las recomendaciones relevantes incluidas en informes anteriores que siguen vigentes, se formulan las siguientes recomendaciones:</w:t>
      </w:r>
    </w:p>
    <w:p w14:paraId="3FD2CBB0" w14:textId="6DEFDBAA" w:rsidR="00D5707B" w:rsidRPr="00305D02" w:rsidRDefault="00D5707B" w:rsidP="00D5707B">
      <w:pPr>
        <w:pStyle w:val="texto"/>
        <w:spacing w:before="240"/>
        <w:ind w:firstLine="0"/>
        <w:rPr>
          <w:b/>
          <w:i/>
          <w:color w:val="000000" w:themeColor="text1"/>
        </w:rPr>
      </w:pPr>
      <w:r w:rsidRPr="00305D02">
        <w:rPr>
          <w:b/>
          <w:i/>
          <w:color w:val="000000" w:themeColor="text1"/>
        </w:rPr>
        <w:t>A la Administración de la Comunidad Foral y al Parlamento de Navarra</w:t>
      </w:r>
    </w:p>
    <w:p w14:paraId="14DD072A" w14:textId="77777777" w:rsidR="00D5707B"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2F3254">
        <w:rPr>
          <w:rFonts w:cs="Arial"/>
          <w:i/>
          <w:color w:val="000000" w:themeColor="text1"/>
        </w:rPr>
        <w:t>A</w:t>
      </w:r>
      <w:r>
        <w:rPr>
          <w:rFonts w:cs="Arial"/>
          <w:i/>
          <w:color w:val="000000" w:themeColor="text1"/>
        </w:rPr>
        <w:t xml:space="preserve">probar </w:t>
      </w:r>
      <w:r w:rsidRPr="002F3254">
        <w:rPr>
          <w:rFonts w:cs="Arial"/>
          <w:i/>
          <w:color w:val="000000" w:themeColor="text1"/>
        </w:rPr>
        <w:t>las medidas legislativas y administrativas precisas para completar la reestructuración de la administración local Navarra establecida en la Ley Foral 4/2019, de 4 de febrero, de Reforma de la Administración Local de Navarra,</w:t>
      </w:r>
      <w:r>
        <w:rPr>
          <w:rFonts w:cs="Arial"/>
          <w:i/>
          <w:color w:val="000000" w:themeColor="text1"/>
        </w:rPr>
        <w:t xml:space="preserve"> con la finalidad de lograr una gestión pública eficiente y eficaz.</w:t>
      </w:r>
    </w:p>
    <w:p w14:paraId="7E68A321" w14:textId="77777777"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D84569">
        <w:rPr>
          <w:rFonts w:cs="Arial"/>
          <w:i/>
          <w:color w:val="000000" w:themeColor="text1"/>
        </w:rPr>
        <w:t>Acometer urgentemente la reforma de la contabilidad local adaptándola al vigente Plan General de Contabilidad Pública de 2010.</w:t>
      </w:r>
    </w:p>
    <w:p w14:paraId="0F473721" w14:textId="77777777" w:rsidR="00D5707B" w:rsidRPr="002F3254"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rFonts w:cs="Arial"/>
          <w:i/>
          <w:color w:val="000000" w:themeColor="text1"/>
        </w:rPr>
        <w:t xml:space="preserve">Aprobar el desarrollo reglamentario del régimen jurídico del control interno de las entidades locales conjugando la agilidad en la gestión con el necesario rigor en el control interno y el refuerzo de la función interventora. </w:t>
      </w:r>
    </w:p>
    <w:p w14:paraId="3A1AB67E" w14:textId="77777777" w:rsidR="00D5707B"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spacing w:val="4"/>
        </w:rPr>
      </w:pPr>
      <w:r w:rsidRPr="00D84569">
        <w:rPr>
          <w:rFonts w:cs="Arial"/>
          <w:i/>
          <w:color w:val="000000" w:themeColor="text1"/>
          <w:spacing w:val="4"/>
        </w:rPr>
        <w:t>Elaborar normas reguladoras sobre la metodología para la consolidación de los estados contables de los entes locales y sus entes dependientes, con el fin de proporcionar una visión integral de la actividad realizada por todo el sector público local.</w:t>
      </w:r>
    </w:p>
    <w:p w14:paraId="2DD7E0E2" w14:textId="77777777"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spacing w:val="4"/>
        </w:rPr>
      </w:pPr>
      <w:r>
        <w:rPr>
          <w:rFonts w:cs="Arial"/>
          <w:i/>
          <w:color w:val="000000" w:themeColor="text1"/>
          <w:spacing w:val="4"/>
        </w:rPr>
        <w:t>Diseñar e impulsar la implantación de un sistema de cálculo de costes de los servicios locales, así como los correspondientes indicadores de gestión, dando cumplimiento a lo previsto tanto en la Ley de Racionalización y Sostenibilidad de la Administración Local, como a lo dispuesto en la Ley Foral de Reforma de la Administración Local de Navarra.</w:t>
      </w:r>
    </w:p>
    <w:p w14:paraId="4DDB0129" w14:textId="77777777" w:rsidR="00D5707B" w:rsidRPr="00593AAE"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D84569">
        <w:rPr>
          <w:rFonts w:cs="Arial"/>
          <w:i/>
          <w:color w:val="000000" w:themeColor="text1"/>
        </w:rPr>
        <w:lastRenderedPageBreak/>
        <w:t xml:space="preserve"> Elaborar un modelo de plantilla orgánica de personal que contemple, de forma clara y concreta, los requisitos e información que debe contener tal documento y que permita, a su vez, cumplir a las </w:t>
      </w:r>
      <w:r w:rsidRPr="00593AAE">
        <w:rPr>
          <w:rFonts w:cs="Arial"/>
          <w:i/>
          <w:color w:val="000000" w:themeColor="text1"/>
        </w:rPr>
        <w:t>entidades locales con las distintas exigencias de información.</w:t>
      </w:r>
    </w:p>
    <w:p w14:paraId="1E791274" w14:textId="77777777" w:rsidR="0032128C" w:rsidRPr="00593AAE" w:rsidRDefault="0032128C" w:rsidP="0032128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sidRPr="00593AAE">
        <w:rPr>
          <w:rFonts w:cs="Arial"/>
          <w:i/>
          <w:color w:val="000000" w:themeColor="text1"/>
        </w:rPr>
        <w:t xml:space="preserve">Realizar los desarrollos informáticos oportunos para facilitar a los órganos interventores de las entidades locales el cumplimiento de las obligaciones de información derivadas de la LO 2/2012, de 27 de abril, de Estabilidad Presupuestaria y Sostenibilidad Financiera (en adelante </w:t>
      </w:r>
      <w:proofErr w:type="spellStart"/>
      <w:r w:rsidRPr="00593AAE">
        <w:rPr>
          <w:rFonts w:cs="Arial"/>
          <w:i/>
          <w:color w:val="000000" w:themeColor="text1"/>
        </w:rPr>
        <w:t>LOEPySF</w:t>
      </w:r>
      <w:proofErr w:type="spellEnd"/>
      <w:r w:rsidRPr="00593AAE">
        <w:rPr>
          <w:rFonts w:cs="Arial"/>
          <w:i/>
          <w:color w:val="000000" w:themeColor="text1"/>
        </w:rPr>
        <w:t>).</w:t>
      </w:r>
    </w:p>
    <w:p w14:paraId="65C87189" w14:textId="3B4AB422" w:rsidR="00D5707B" w:rsidRPr="00593AAE"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sidRPr="00593AAE">
        <w:rPr>
          <w:rFonts w:cs="Arial"/>
          <w:i/>
          <w:color w:val="000000" w:themeColor="text1"/>
        </w:rPr>
        <w:t>Incorporar al registro de entidades locales la información referida a los consorcios adscritos a las mismas.</w:t>
      </w:r>
    </w:p>
    <w:p w14:paraId="482F2A8D" w14:textId="05ADF8B8" w:rsidR="00D5707B" w:rsidRPr="00F14730" w:rsidRDefault="00D5707B" w:rsidP="00D5707B">
      <w:pPr>
        <w:pStyle w:val="texto"/>
        <w:spacing w:before="240"/>
        <w:ind w:firstLine="0"/>
        <w:rPr>
          <w:b/>
          <w:i/>
          <w:color w:val="000000" w:themeColor="text1"/>
        </w:rPr>
      </w:pPr>
      <w:r w:rsidRPr="00F14730">
        <w:rPr>
          <w:b/>
          <w:i/>
          <w:color w:val="000000" w:themeColor="text1"/>
        </w:rPr>
        <w:t>A las entidades locales</w:t>
      </w:r>
    </w:p>
    <w:p w14:paraId="54804873" w14:textId="7EB45A25" w:rsidR="00D5707B" w:rsidRPr="002E09C1"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spacing w:val="4"/>
        </w:rPr>
      </w:pPr>
      <w:r w:rsidRPr="002E09C1">
        <w:rPr>
          <w:rFonts w:cs="Arial"/>
          <w:i/>
          <w:color w:val="000000" w:themeColor="text1"/>
          <w:spacing w:val="4"/>
        </w:rPr>
        <w:t>Continuar realizando una gestión económico-financiera bajo principios de prudencia y responsabilidad fiscal también durante el actual periodo de suspensión de algunas de las reglas de estabilidad presupuestaria y sostenibilidad financiera y haciendo seguimiento de las variables vinculadas a las mismas.</w:t>
      </w:r>
    </w:p>
    <w:p w14:paraId="58684CD3" w14:textId="28DA22F9" w:rsidR="00D5707B"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73704F">
        <w:rPr>
          <w:rFonts w:cs="Arial"/>
          <w:i/>
          <w:color w:val="000000" w:themeColor="text1"/>
        </w:rPr>
        <w:t xml:space="preserve">Incluir en la plantilla orgánica todas las plazas de carácter estructural y reducir, mediante las oportunas convocatorias, el alto grado de temporalidad que se observa en el personal de las entidades </w:t>
      </w:r>
      <w:r w:rsidRPr="00FF30E6">
        <w:rPr>
          <w:rFonts w:cs="Arial"/>
          <w:i/>
          <w:color w:val="000000" w:themeColor="text1"/>
        </w:rPr>
        <w:t>locales</w:t>
      </w:r>
      <w:r w:rsidR="00593AAE">
        <w:rPr>
          <w:rFonts w:cs="Arial"/>
          <w:i/>
          <w:color w:val="000000" w:themeColor="text1"/>
        </w:rPr>
        <w:t xml:space="preserve">. A este respecto, </w:t>
      </w:r>
      <w:r w:rsidR="007F5879">
        <w:rPr>
          <w:rFonts w:cs="Arial"/>
          <w:i/>
          <w:color w:val="000000" w:themeColor="text1"/>
        </w:rPr>
        <w:t>debe darse cumplimiento a</w:t>
      </w:r>
      <w:r w:rsidR="00593AAE">
        <w:rPr>
          <w:rFonts w:cs="Arial"/>
          <w:i/>
          <w:color w:val="000000" w:themeColor="text1"/>
        </w:rPr>
        <w:t xml:space="preserve"> l</w:t>
      </w:r>
      <w:r w:rsidRPr="00FF30E6">
        <w:rPr>
          <w:rFonts w:cs="Arial"/>
          <w:i/>
          <w:color w:val="000000" w:themeColor="text1"/>
        </w:rPr>
        <w:t>a Ley 20/2021, de medidas urgentes</w:t>
      </w:r>
      <w:r w:rsidRPr="002E09C1">
        <w:rPr>
          <w:rFonts w:cs="Arial"/>
          <w:i/>
          <w:color w:val="000000" w:themeColor="text1"/>
        </w:rPr>
        <w:t xml:space="preserve"> para la reducción de la temporalidad en el empleo público, </w:t>
      </w:r>
      <w:r w:rsidR="009F0B89" w:rsidRPr="002E09C1">
        <w:rPr>
          <w:rFonts w:cs="Arial"/>
          <w:i/>
          <w:color w:val="000000" w:themeColor="text1"/>
        </w:rPr>
        <w:t>y</w:t>
      </w:r>
      <w:r w:rsidR="007F5879">
        <w:rPr>
          <w:rFonts w:cs="Arial"/>
          <w:i/>
          <w:color w:val="000000" w:themeColor="text1"/>
        </w:rPr>
        <w:t xml:space="preserve"> a</w:t>
      </w:r>
      <w:r w:rsidR="00E34F65" w:rsidRPr="002E09C1">
        <w:rPr>
          <w:rFonts w:cs="Arial"/>
          <w:i/>
          <w:color w:val="000000" w:themeColor="text1"/>
        </w:rPr>
        <w:t xml:space="preserve"> </w:t>
      </w:r>
      <w:r w:rsidRPr="002E09C1">
        <w:rPr>
          <w:rFonts w:cs="Arial"/>
          <w:i/>
          <w:color w:val="000000" w:themeColor="text1"/>
        </w:rPr>
        <w:t>la Ley Foral 19/2022, de 1 de julio, para la realización de los procesos de estabilización derivados de la Ley 20/2021, de medidas urgentes para la reducción de la temporalidad en el empleo público, en las Administraciones Públicas de Navarra.</w:t>
      </w:r>
    </w:p>
    <w:p w14:paraId="6C3E05EA" w14:textId="543DDDAA" w:rsidR="002A2B5E" w:rsidRPr="002E09C1" w:rsidRDefault="002A2B5E" w:rsidP="002A2B5E">
      <w:pPr>
        <w:pStyle w:val="texto"/>
        <w:numPr>
          <w:ilvl w:val="0"/>
          <w:numId w:val="2"/>
        </w:numPr>
        <w:tabs>
          <w:tab w:val="clear" w:pos="2835"/>
          <w:tab w:val="clear" w:pos="3969"/>
          <w:tab w:val="clear" w:pos="5103"/>
          <w:tab w:val="clear" w:pos="6237"/>
          <w:tab w:val="clear" w:pos="7371"/>
          <w:tab w:val="left" w:pos="480"/>
          <w:tab w:val="num" w:pos="644"/>
          <w:tab w:val="num" w:pos="720"/>
          <w:tab w:val="num" w:pos="1320"/>
          <w:tab w:val="num" w:pos="5606"/>
        </w:tabs>
        <w:ind w:left="114"/>
        <w:rPr>
          <w:rFonts w:cs="Arial"/>
          <w:i/>
          <w:color w:val="000000" w:themeColor="text1"/>
        </w:rPr>
      </w:pPr>
      <w:r w:rsidRPr="002E09C1">
        <w:rPr>
          <w:rFonts w:cs="Arial"/>
          <w:i/>
          <w:color w:val="000000" w:themeColor="text1"/>
        </w:rPr>
        <w:t>Establecer una adecuada planificación temporal de los procedimientos de contratación</w:t>
      </w:r>
      <w:r w:rsidR="002E09C1" w:rsidRPr="002E09C1">
        <w:rPr>
          <w:rFonts w:cs="Arial"/>
          <w:i/>
          <w:color w:val="000000" w:themeColor="text1"/>
        </w:rPr>
        <w:t xml:space="preserve"> administrativa</w:t>
      </w:r>
      <w:r w:rsidRPr="002E09C1">
        <w:rPr>
          <w:rFonts w:cs="Arial"/>
          <w:i/>
          <w:color w:val="000000" w:themeColor="text1"/>
        </w:rPr>
        <w:t xml:space="preserve"> a fin de evitar la superación del plazo máximo de vigencia de los contratos. </w:t>
      </w:r>
    </w:p>
    <w:p w14:paraId="34582DD1" w14:textId="4BCF56B4" w:rsidR="00D5707B" w:rsidRPr="0073704F"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73704F">
        <w:rPr>
          <w:rFonts w:cs="Arial"/>
          <w:i/>
          <w:color w:val="000000" w:themeColor="text1"/>
        </w:rPr>
        <w:t xml:space="preserve">Completar el proceso de implantación del inventario valorado y actualizado, de los bienes y derechos municipales, y su conexión con las cuentas de inmovilizado. </w:t>
      </w:r>
    </w:p>
    <w:p w14:paraId="35E28BBC" w14:textId="77777777"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D84569">
        <w:rPr>
          <w:rFonts w:cs="Arial"/>
          <w:i/>
          <w:color w:val="000000" w:themeColor="text1"/>
        </w:rPr>
        <w:t>Crear el registro e inventario del patrimonio municipal del suelo y el registro de convenios urbanísticos.</w:t>
      </w:r>
    </w:p>
    <w:p w14:paraId="4F1778D9" w14:textId="04B8F7C0" w:rsidR="00D5707B" w:rsidRPr="002E09C1"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2E09C1">
        <w:rPr>
          <w:rFonts w:cs="Arial"/>
          <w:i/>
          <w:color w:val="000000" w:themeColor="text1"/>
        </w:rPr>
        <w:t>Ejercer el control interno municipal, con la extensión establecida en la legislación aplicable en su triple acepción de función interventora, función de control financiero y control de eficacia.</w:t>
      </w:r>
    </w:p>
    <w:p w14:paraId="5283F698" w14:textId="3760888B"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D84569">
        <w:rPr>
          <w:rFonts w:cs="Arial"/>
          <w:i/>
          <w:color w:val="000000" w:themeColor="text1"/>
        </w:rPr>
        <w:t xml:space="preserve">Diseñar, dentro de la potestad de autoorganización de </w:t>
      </w:r>
      <w:r w:rsidR="00E34F65">
        <w:rPr>
          <w:rFonts w:cs="Arial"/>
          <w:i/>
          <w:color w:val="000000" w:themeColor="text1"/>
        </w:rPr>
        <w:t>las entidades</w:t>
      </w:r>
      <w:r w:rsidRPr="00D84569">
        <w:rPr>
          <w:rFonts w:cs="Arial"/>
          <w:i/>
          <w:color w:val="000000" w:themeColor="text1"/>
        </w:rPr>
        <w:t xml:space="preserve"> locales, la estructura organizativa más racional para la gestión de los servicios públicos locales con eficacia, economía y eficiencia.</w:t>
      </w:r>
    </w:p>
    <w:p w14:paraId="2B98164A" w14:textId="77777777"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D84569">
        <w:rPr>
          <w:rFonts w:cs="Arial"/>
          <w:i/>
          <w:color w:val="000000" w:themeColor="text1"/>
        </w:rPr>
        <w:lastRenderedPageBreak/>
        <w:t>Continuar con la implantación de la metodología de costes de los servicios públicos y definir indicadores de gestión útiles para la toma de decisiones.</w:t>
      </w:r>
    </w:p>
    <w:p w14:paraId="049BCC09" w14:textId="77777777"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D84569">
        <w:rPr>
          <w:rFonts w:cs="Arial"/>
          <w:i/>
          <w:color w:val="000000" w:themeColor="text1"/>
        </w:rPr>
        <w:t xml:space="preserve">Aprobar el presupuesto, la liquidación presupuestaria y la cuenta general en los plazos establecidos y realizar la rendición de todos ellos en el plazo de 15 días desde la aprobación de </w:t>
      </w:r>
      <w:proofErr w:type="gramStart"/>
      <w:r w:rsidRPr="00D84569">
        <w:rPr>
          <w:rFonts w:cs="Arial"/>
          <w:i/>
          <w:color w:val="000000" w:themeColor="text1"/>
        </w:rPr>
        <w:t>los mismos</w:t>
      </w:r>
      <w:proofErr w:type="gramEnd"/>
      <w:r w:rsidRPr="00D84569">
        <w:rPr>
          <w:rFonts w:cs="Arial"/>
          <w:i/>
          <w:color w:val="000000" w:themeColor="text1"/>
        </w:rPr>
        <w:t>.</w:t>
      </w:r>
    </w:p>
    <w:p w14:paraId="67EF1CC1" w14:textId="77777777" w:rsidR="00D5707B"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D84569">
        <w:rPr>
          <w:rFonts w:cs="Arial"/>
          <w:i/>
          <w:color w:val="000000" w:themeColor="text1"/>
        </w:rPr>
        <w:t>Actualizar en plazo las ponencias de valoración.</w:t>
      </w:r>
    </w:p>
    <w:p w14:paraId="5B2F0DC0" w14:textId="4743414A" w:rsidR="00D5707B" w:rsidRPr="00C70DD5" w:rsidRDefault="00C70DD5"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C70DD5">
        <w:rPr>
          <w:rFonts w:cs="Arial"/>
          <w:i/>
          <w:color w:val="000000" w:themeColor="text1"/>
        </w:rPr>
        <w:t xml:space="preserve">Publicar el periodo medio de pago a proveedores de acuerdo con lo </w:t>
      </w:r>
      <w:r w:rsidR="0032128C">
        <w:rPr>
          <w:rFonts w:cs="Arial"/>
          <w:i/>
          <w:color w:val="000000" w:themeColor="text1"/>
        </w:rPr>
        <w:t xml:space="preserve">dispuesto en la </w:t>
      </w:r>
      <w:proofErr w:type="spellStart"/>
      <w:r w:rsidR="006202F5">
        <w:rPr>
          <w:rFonts w:cs="Arial"/>
          <w:i/>
          <w:color w:val="000000" w:themeColor="text1"/>
        </w:rPr>
        <w:t>LO</w:t>
      </w:r>
      <w:r w:rsidRPr="00C70DD5">
        <w:rPr>
          <w:rFonts w:cs="Arial"/>
          <w:i/>
          <w:color w:val="000000" w:themeColor="text1"/>
        </w:rPr>
        <w:t>EPySF</w:t>
      </w:r>
      <w:proofErr w:type="spellEnd"/>
      <w:r w:rsidRPr="00C70DD5">
        <w:rPr>
          <w:rFonts w:cs="Arial"/>
          <w:i/>
          <w:color w:val="000000" w:themeColor="text1"/>
        </w:rPr>
        <w:t>.</w:t>
      </w:r>
    </w:p>
    <w:p w14:paraId="372F5F55" w14:textId="77777777" w:rsidR="00D5707B" w:rsidRPr="00D84569" w:rsidRDefault="00D5707B" w:rsidP="00A81996">
      <w:pPr>
        <w:pStyle w:val="texto"/>
        <w:tabs>
          <w:tab w:val="clear" w:pos="2835"/>
          <w:tab w:val="clear" w:pos="3969"/>
          <w:tab w:val="clear" w:pos="5103"/>
          <w:tab w:val="clear" w:pos="6237"/>
          <w:tab w:val="clear" w:pos="7371"/>
          <w:tab w:val="left" w:pos="480"/>
          <w:tab w:val="num" w:pos="644"/>
          <w:tab w:val="num" w:pos="720"/>
          <w:tab w:val="num" w:pos="1320"/>
          <w:tab w:val="num" w:pos="5606"/>
        </w:tabs>
        <w:spacing w:after="0"/>
        <w:ind w:left="289" w:firstLine="0"/>
        <w:rPr>
          <w:rFonts w:cs="Arial"/>
          <w:i/>
          <w:color w:val="000000" w:themeColor="text1"/>
        </w:rPr>
      </w:pPr>
    </w:p>
    <w:p w14:paraId="2F691EE4" w14:textId="77777777" w:rsidR="00D5707B" w:rsidRDefault="00D5707B" w:rsidP="00D5707B">
      <w:pPr>
        <w:pStyle w:val="texto"/>
        <w:tabs>
          <w:tab w:val="left" w:pos="480"/>
          <w:tab w:val="num" w:pos="600"/>
          <w:tab w:val="num" w:pos="644"/>
          <w:tab w:val="num" w:pos="720"/>
          <w:tab w:val="num" w:pos="1320"/>
          <w:tab w:val="num" w:pos="5606"/>
        </w:tabs>
        <w:rPr>
          <w:rFonts w:cs="Arial"/>
          <w:color w:val="000000" w:themeColor="text1"/>
          <w:spacing w:val="4"/>
        </w:rPr>
      </w:pPr>
      <w:r w:rsidRPr="00B21A2B">
        <w:rPr>
          <w:rFonts w:cs="Arial"/>
          <w:color w:val="000000" w:themeColor="text1"/>
          <w:spacing w:val="4"/>
        </w:rPr>
        <w:t xml:space="preserve">Se han </w:t>
      </w:r>
      <w:r w:rsidRPr="00133182">
        <w:rPr>
          <w:rFonts w:cs="Arial"/>
          <w:color w:val="000000" w:themeColor="text1"/>
          <w:spacing w:val="4"/>
        </w:rPr>
        <w:t>atendido total o parcialmente</w:t>
      </w:r>
      <w:r>
        <w:rPr>
          <w:rFonts w:cs="Arial"/>
          <w:color w:val="000000" w:themeColor="text1"/>
          <w:spacing w:val="4"/>
        </w:rPr>
        <w:t xml:space="preserve"> las siguientes recomendaciones incluidas en informes anteriores:</w:t>
      </w:r>
    </w:p>
    <w:p w14:paraId="6ED2D097" w14:textId="77777777" w:rsidR="00D5707B" w:rsidRPr="002563B1"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2563B1">
        <w:rPr>
          <w:rFonts w:cs="Arial"/>
          <w:i/>
          <w:color w:val="000000" w:themeColor="text1"/>
        </w:rPr>
        <w:t>Aprobar un nuevo marco de las haciendas locales que contemple la aplicación a las entidades locales de Navarra de las actuales exigencias y demandas de la normativa de estabilidad presupuestaria.</w:t>
      </w:r>
    </w:p>
    <w:p w14:paraId="289920CD" w14:textId="77777777" w:rsidR="00D5707B" w:rsidRPr="008E43F9" w:rsidRDefault="00D5707B" w:rsidP="00D5707B">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color w:val="000000" w:themeColor="text1"/>
        </w:rPr>
      </w:pPr>
      <w:r>
        <w:rPr>
          <w:color w:val="000000" w:themeColor="text1"/>
        </w:rPr>
        <w:t>Atendida</w:t>
      </w:r>
      <w:r w:rsidRPr="008E43F9">
        <w:rPr>
          <w:color w:val="000000" w:themeColor="text1"/>
        </w:rPr>
        <w:t xml:space="preserve"> mediante la aprobación de la Ley Foral 22/2020, de 29 de diciembre, de modificación de la Ley Foral de Haciendas</w:t>
      </w:r>
      <w:r>
        <w:rPr>
          <w:color w:val="000000" w:themeColor="text1"/>
        </w:rPr>
        <w:t xml:space="preserve"> Locales de Navarra.</w:t>
      </w:r>
      <w:r w:rsidRPr="008E43F9">
        <w:rPr>
          <w:color w:val="000000" w:themeColor="text1"/>
        </w:rPr>
        <w:tab/>
      </w:r>
    </w:p>
    <w:p w14:paraId="158C1A56" w14:textId="77777777" w:rsidR="00D5707B" w:rsidRPr="0073704F" w:rsidRDefault="00D5707B" w:rsidP="00D5707B">
      <w:pPr>
        <w:pStyle w:val="texto"/>
        <w:numPr>
          <w:ilvl w:val="0"/>
          <w:numId w:val="2"/>
        </w:numPr>
        <w:tabs>
          <w:tab w:val="num" w:pos="530"/>
        </w:tabs>
        <w:ind w:left="0"/>
        <w:rPr>
          <w:color w:val="000000" w:themeColor="text1"/>
          <w:spacing w:val="-2"/>
        </w:rPr>
      </w:pPr>
      <w:r w:rsidRPr="0073704F">
        <w:rPr>
          <w:i/>
          <w:color w:val="000000" w:themeColor="text1"/>
          <w:spacing w:val="-2"/>
        </w:rPr>
        <w:t>Reforzar los mecanismos para garantizar el cumplimiento en plazo de la obligación legal de rendición de cuentas de las entidades locales</w:t>
      </w:r>
      <w:r w:rsidRPr="0073704F">
        <w:rPr>
          <w:color w:val="000000" w:themeColor="text1"/>
          <w:spacing w:val="-2"/>
        </w:rPr>
        <w:t>.</w:t>
      </w:r>
    </w:p>
    <w:p w14:paraId="3ADB221F" w14:textId="77777777" w:rsidR="00D5707B" w:rsidRPr="008E43F9" w:rsidRDefault="00D5707B" w:rsidP="00D5707B">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color w:val="000000" w:themeColor="text1"/>
        </w:rPr>
      </w:pPr>
      <w:r w:rsidRPr="0073704F">
        <w:rPr>
          <w:color w:val="000000" w:themeColor="text1"/>
        </w:rPr>
        <w:t>Atendida parcialmente con la aprobación de la Ley Foral 7/2022, de 22 de marzo, por la que se establece la distribución y reparto del fondo de participación de las entidades locales en los tributos de Navarra por transferencias corrientes, que establece una retención de pagos a las entidades que presenten retrasos muy notables en la rendición de cuentas.</w:t>
      </w:r>
    </w:p>
    <w:p w14:paraId="03B8C0AE" w14:textId="01164A63" w:rsidR="00D5707B"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sidRPr="002F3254">
        <w:rPr>
          <w:rFonts w:cs="Arial"/>
          <w:i/>
          <w:color w:val="000000" w:themeColor="text1"/>
        </w:rPr>
        <w:t xml:space="preserve">Completar el informe sobre la situación financiera del sector público local elaborado por </w:t>
      </w:r>
      <w:r>
        <w:rPr>
          <w:rFonts w:cs="Arial"/>
          <w:i/>
          <w:color w:val="000000" w:themeColor="text1"/>
        </w:rPr>
        <w:t>la DGALD</w:t>
      </w:r>
      <w:r w:rsidRPr="002F3254">
        <w:rPr>
          <w:rFonts w:cs="Arial"/>
          <w:i/>
          <w:color w:val="000000" w:themeColor="text1"/>
        </w:rPr>
        <w:t xml:space="preserve"> con toda la información relativa a sociedades públicas, fundaciones y consorcios públicos.</w:t>
      </w:r>
    </w:p>
    <w:p w14:paraId="61C47647" w14:textId="37E792CD" w:rsidR="00D5707B" w:rsidRDefault="00D5707B" w:rsidP="00D5707B">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 xml:space="preserve">Atendida </w:t>
      </w:r>
      <w:r w:rsidRPr="008E43F9">
        <w:rPr>
          <w:rFonts w:cs="Arial"/>
          <w:color w:val="000000" w:themeColor="text1"/>
        </w:rPr>
        <w:t>parcialmente mediante la incorporación de información consolidada con da</w:t>
      </w:r>
      <w:r>
        <w:rPr>
          <w:rFonts w:cs="Arial"/>
          <w:color w:val="000000" w:themeColor="text1"/>
        </w:rPr>
        <w:t>tos de tres sociedades públicas dependientes de mancomunidades.</w:t>
      </w:r>
    </w:p>
    <w:p w14:paraId="49F79BB6" w14:textId="398107E4" w:rsidR="00FF30E6" w:rsidRPr="00C15256" w:rsidRDefault="00FF30E6" w:rsidP="00D5707B">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sidRPr="007F5879">
        <w:rPr>
          <w:rFonts w:cs="Arial"/>
          <w:color w:val="000000" w:themeColor="text1"/>
        </w:rPr>
        <w:t>En relación con las conclusiones y recomendaciones de los trabajos de fiscalización operativa,</w:t>
      </w:r>
      <w:r w:rsidR="007F5879" w:rsidRPr="007F5879">
        <w:rPr>
          <w:rFonts w:cs="Arial"/>
          <w:color w:val="000000" w:themeColor="text1"/>
        </w:rPr>
        <w:t xml:space="preserve"> dada su especificidad,</w:t>
      </w:r>
      <w:r w:rsidRPr="007F5879">
        <w:rPr>
          <w:rFonts w:cs="Arial"/>
          <w:color w:val="000000" w:themeColor="text1"/>
        </w:rPr>
        <w:t xml:space="preserve"> nos remitimos a los informes correspondientes, publicados por esta Cámara.</w:t>
      </w:r>
      <w:r>
        <w:rPr>
          <w:rFonts w:cs="Arial"/>
          <w:color w:val="000000" w:themeColor="text1"/>
        </w:rPr>
        <w:t xml:space="preserve"> </w:t>
      </w:r>
    </w:p>
    <w:p w14:paraId="175233B2" w14:textId="77777777" w:rsidR="00A81996" w:rsidRDefault="00A81996">
      <w:pPr>
        <w:spacing w:after="0"/>
        <w:ind w:firstLine="0"/>
        <w:jc w:val="left"/>
        <w:rPr>
          <w:rFonts w:ascii="Arial" w:hAnsi="Arial" w:cs="Arial"/>
          <w:b/>
          <w:bCs/>
          <w:kern w:val="32"/>
          <w:sz w:val="25"/>
          <w:szCs w:val="25"/>
        </w:rPr>
      </w:pPr>
      <w:bookmarkStart w:id="37" w:name="_Toc123724194"/>
      <w:r>
        <w:rPr>
          <w:szCs w:val="25"/>
        </w:rPr>
        <w:br w:type="page"/>
      </w:r>
    </w:p>
    <w:p w14:paraId="5666E631" w14:textId="69811010" w:rsidR="00345C6C" w:rsidRPr="004248BF" w:rsidRDefault="00683931" w:rsidP="004248BF">
      <w:pPr>
        <w:pStyle w:val="Ttulo1"/>
        <w:ind w:firstLine="0"/>
        <w:rPr>
          <w:szCs w:val="25"/>
        </w:rPr>
      </w:pPr>
      <w:r w:rsidRPr="004248BF">
        <w:rPr>
          <w:szCs w:val="25"/>
        </w:rPr>
        <w:lastRenderedPageBreak/>
        <w:t>IV</w:t>
      </w:r>
      <w:r w:rsidR="00345C6C" w:rsidRPr="004248BF">
        <w:rPr>
          <w:szCs w:val="25"/>
        </w:rPr>
        <w:t>. Estructura organizativa y normativa del sector público local</w:t>
      </w:r>
      <w:bookmarkEnd w:id="29"/>
      <w:bookmarkEnd w:id="30"/>
      <w:bookmarkEnd w:id="31"/>
      <w:bookmarkEnd w:id="32"/>
      <w:bookmarkEnd w:id="33"/>
      <w:bookmarkEnd w:id="34"/>
      <w:bookmarkEnd w:id="35"/>
      <w:bookmarkEnd w:id="36"/>
      <w:bookmarkEnd w:id="37"/>
    </w:p>
    <w:p w14:paraId="4499D2D2" w14:textId="77777777" w:rsidR="00345C6C" w:rsidRPr="00EF0883" w:rsidRDefault="00345C6C" w:rsidP="00DA0A2D">
      <w:pPr>
        <w:pStyle w:val="Ttulo2"/>
        <w:rPr>
          <w:szCs w:val="25"/>
        </w:rPr>
      </w:pPr>
      <w:bookmarkStart w:id="38" w:name="_Toc291067877"/>
      <w:bookmarkStart w:id="39" w:name="_Toc399916260"/>
      <w:bookmarkStart w:id="40" w:name="_Toc465686683"/>
      <w:bookmarkStart w:id="41" w:name="_Toc529773877"/>
      <w:bookmarkStart w:id="42" w:name="_Toc531088343"/>
      <w:bookmarkStart w:id="43" w:name="_Toc24100137"/>
      <w:bookmarkStart w:id="44" w:name="_Toc52348285"/>
      <w:bookmarkStart w:id="45" w:name="_Toc88727710"/>
      <w:bookmarkStart w:id="46" w:name="_Toc123724195"/>
      <w:r w:rsidRPr="00EF0883">
        <w:rPr>
          <w:szCs w:val="25"/>
        </w:rPr>
        <w:t>I</w:t>
      </w:r>
      <w:r w:rsidR="00683931" w:rsidRPr="00EF0883">
        <w:rPr>
          <w:szCs w:val="25"/>
        </w:rPr>
        <w:t>V</w:t>
      </w:r>
      <w:r w:rsidRPr="00EF0883">
        <w:rPr>
          <w:szCs w:val="25"/>
        </w:rPr>
        <w:t>.1. Estructura organizativa</w:t>
      </w:r>
      <w:bookmarkEnd w:id="38"/>
      <w:bookmarkEnd w:id="39"/>
      <w:bookmarkEnd w:id="40"/>
      <w:bookmarkEnd w:id="41"/>
      <w:bookmarkEnd w:id="42"/>
      <w:bookmarkEnd w:id="43"/>
      <w:bookmarkEnd w:id="44"/>
      <w:bookmarkEnd w:id="45"/>
      <w:bookmarkEnd w:id="46"/>
    </w:p>
    <w:p w14:paraId="5C39A724" w14:textId="7640D62F" w:rsidR="00345C6C" w:rsidRPr="00B81E61" w:rsidRDefault="00345C6C" w:rsidP="00345C6C">
      <w:pPr>
        <w:pStyle w:val="texto"/>
        <w:rPr>
          <w:color w:val="000000" w:themeColor="text1"/>
        </w:rPr>
      </w:pPr>
      <w:r w:rsidRPr="00B81E61">
        <w:rPr>
          <w:color w:val="000000" w:themeColor="text1"/>
        </w:rPr>
        <w:t xml:space="preserve">El sector público local se organiza conforme a lo establecido en la </w:t>
      </w:r>
      <w:r w:rsidR="000259CF">
        <w:rPr>
          <w:color w:val="000000" w:themeColor="text1"/>
        </w:rPr>
        <w:t>LFAL</w:t>
      </w:r>
      <w:r w:rsidRPr="00B81E61">
        <w:rPr>
          <w:color w:val="000000" w:themeColor="text1"/>
        </w:rPr>
        <w:t>.</w:t>
      </w:r>
      <w:r w:rsidR="007F06ED">
        <w:rPr>
          <w:color w:val="000000" w:themeColor="text1"/>
        </w:rPr>
        <w:t xml:space="preserve"> Así, tienen la condición de entidades locales:</w:t>
      </w:r>
    </w:p>
    <w:p w14:paraId="2ACDFCA7" w14:textId="7C9F2257" w:rsidR="00345C6C" w:rsidRPr="007F06ED" w:rsidRDefault="00345C6C" w:rsidP="00376B43">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7F06ED">
        <w:rPr>
          <w:rFonts w:cs="Arial"/>
          <w:color w:val="000000" w:themeColor="text1"/>
        </w:rPr>
        <w:t>Los municipios</w:t>
      </w:r>
      <w:r w:rsidR="007F06ED">
        <w:rPr>
          <w:rFonts w:cs="Arial"/>
          <w:color w:val="000000" w:themeColor="text1"/>
        </w:rPr>
        <w:t>:</w:t>
      </w:r>
      <w:r w:rsidRPr="007F06ED">
        <w:rPr>
          <w:rFonts w:cs="Arial"/>
          <w:color w:val="000000" w:themeColor="text1"/>
        </w:rPr>
        <w:t xml:space="preserve"> entidades locales básicas de organización territorial. </w:t>
      </w:r>
    </w:p>
    <w:p w14:paraId="3B624DB6" w14:textId="7BED1FC4" w:rsidR="00345C6C" w:rsidRPr="00B81E61"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B81E61">
        <w:rPr>
          <w:rFonts w:cs="Arial"/>
          <w:color w:val="000000" w:themeColor="text1"/>
        </w:rPr>
        <w:t xml:space="preserve">Los concejos: entidades locales </w:t>
      </w:r>
      <w:r w:rsidR="007F06ED">
        <w:rPr>
          <w:rFonts w:cs="Arial"/>
          <w:color w:val="000000" w:themeColor="text1"/>
        </w:rPr>
        <w:t>integradas</w:t>
      </w:r>
      <w:r w:rsidR="007F06ED" w:rsidRPr="00B81E61">
        <w:rPr>
          <w:rFonts w:cs="Arial"/>
          <w:color w:val="000000" w:themeColor="text1"/>
        </w:rPr>
        <w:t xml:space="preserve"> </w:t>
      </w:r>
      <w:r w:rsidRPr="00B81E61">
        <w:rPr>
          <w:rFonts w:cs="Arial"/>
          <w:color w:val="000000" w:themeColor="text1"/>
        </w:rPr>
        <w:t xml:space="preserve">en el término de un municipio, con población y ámbito territorial inferiores al de </w:t>
      </w:r>
      <w:r>
        <w:rPr>
          <w:rFonts w:cs="Arial"/>
          <w:color w:val="000000" w:themeColor="text1"/>
        </w:rPr>
        <w:t>e</w:t>
      </w:r>
      <w:r w:rsidRPr="00B81E61">
        <w:rPr>
          <w:rFonts w:cs="Arial"/>
          <w:color w:val="000000" w:themeColor="text1"/>
        </w:rPr>
        <w:t>ste.</w:t>
      </w:r>
    </w:p>
    <w:p w14:paraId="454C1E0D" w14:textId="75D1B969" w:rsidR="00345C6C" w:rsidRPr="00B81E61"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B81E61">
        <w:rPr>
          <w:rFonts w:cs="Arial"/>
          <w:color w:val="000000" w:themeColor="text1"/>
        </w:rPr>
        <w:t xml:space="preserve">Las </w:t>
      </w:r>
      <w:r w:rsidR="007221C6">
        <w:rPr>
          <w:rFonts w:cs="Arial"/>
          <w:color w:val="000000" w:themeColor="text1"/>
        </w:rPr>
        <w:t>agrupaciones tradicionales</w:t>
      </w:r>
      <w:r w:rsidRPr="00B81E61">
        <w:rPr>
          <w:rFonts w:cs="Arial"/>
          <w:color w:val="000000" w:themeColor="text1"/>
        </w:rPr>
        <w:t xml:space="preserve">: Comunidad de </w:t>
      </w:r>
      <w:proofErr w:type="spellStart"/>
      <w:r w:rsidRPr="00B81E61">
        <w:rPr>
          <w:rFonts w:cs="Arial"/>
          <w:color w:val="000000" w:themeColor="text1"/>
        </w:rPr>
        <w:t>Bardenas</w:t>
      </w:r>
      <w:proofErr w:type="spellEnd"/>
      <w:r w:rsidRPr="00B81E61">
        <w:rPr>
          <w:rFonts w:cs="Arial"/>
          <w:color w:val="000000" w:themeColor="text1"/>
        </w:rPr>
        <w:t xml:space="preserve"> Reales, Comunidad del Valle de </w:t>
      </w:r>
      <w:proofErr w:type="spellStart"/>
      <w:r w:rsidRPr="00B81E61">
        <w:rPr>
          <w:rFonts w:cs="Arial"/>
          <w:color w:val="000000" w:themeColor="text1"/>
        </w:rPr>
        <w:t>Aezkoa</w:t>
      </w:r>
      <w:proofErr w:type="spellEnd"/>
      <w:r w:rsidRPr="00B81E61">
        <w:rPr>
          <w:rFonts w:cs="Arial"/>
          <w:color w:val="000000" w:themeColor="text1"/>
        </w:rPr>
        <w:t>, Mancomunidad del Valle de Roncal, Universidad del Valle de Salazar</w:t>
      </w:r>
      <w:r w:rsidR="001B093A">
        <w:rPr>
          <w:rFonts w:cs="Arial"/>
          <w:color w:val="000000" w:themeColor="text1"/>
        </w:rPr>
        <w:t xml:space="preserve">, Unión de </w:t>
      </w:r>
      <w:proofErr w:type="spellStart"/>
      <w:r w:rsidR="001B093A">
        <w:rPr>
          <w:rFonts w:cs="Arial"/>
          <w:color w:val="000000" w:themeColor="text1"/>
        </w:rPr>
        <w:t>Aralar</w:t>
      </w:r>
      <w:proofErr w:type="spellEnd"/>
      <w:r w:rsidRPr="00B81E61">
        <w:rPr>
          <w:rFonts w:cs="Arial"/>
          <w:color w:val="000000" w:themeColor="text1"/>
        </w:rPr>
        <w:t xml:space="preserve"> y </w:t>
      </w:r>
      <w:r w:rsidR="00E112F3">
        <w:rPr>
          <w:rFonts w:cs="Arial"/>
          <w:color w:val="000000" w:themeColor="text1"/>
        </w:rPr>
        <w:t>resto de corporaciones de carácter tradicional titulares o administradoras de bienes comunales existentes a la entrada en vigor de la LFAL.</w:t>
      </w:r>
    </w:p>
    <w:p w14:paraId="1429B7E2" w14:textId="77777777" w:rsidR="00AE354A" w:rsidRPr="00B81E61" w:rsidRDefault="00AE354A" w:rsidP="00AE35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B81E61">
        <w:rPr>
          <w:rFonts w:cs="Arial"/>
          <w:color w:val="000000" w:themeColor="text1"/>
        </w:rPr>
        <w:t>Las mancomunidades</w:t>
      </w:r>
      <w:r>
        <w:rPr>
          <w:rFonts w:cs="Arial"/>
          <w:color w:val="000000" w:themeColor="text1"/>
        </w:rPr>
        <w:t xml:space="preserve"> de ayuntamientos</w:t>
      </w:r>
      <w:r w:rsidRPr="00B81E61">
        <w:rPr>
          <w:rFonts w:cs="Arial"/>
          <w:color w:val="000000" w:themeColor="text1"/>
        </w:rPr>
        <w:t xml:space="preserve"> o asociaciones de varios municipios para la ejecución en común de obras y para la prest</w:t>
      </w:r>
      <w:r>
        <w:rPr>
          <w:rFonts w:cs="Arial"/>
          <w:color w:val="000000" w:themeColor="text1"/>
        </w:rPr>
        <w:t>ación de servicios determinados de su competencia.</w:t>
      </w:r>
    </w:p>
    <w:p w14:paraId="1F8026CE" w14:textId="7069CA3F" w:rsidR="00AE354A" w:rsidRDefault="00AE354A" w:rsidP="00AE35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 xml:space="preserve">Las comarcas que se constituyan conforme a lo previsto en la </w:t>
      </w:r>
      <w:r w:rsidR="000259CF">
        <w:rPr>
          <w:rFonts w:cs="Arial"/>
          <w:color w:val="000000" w:themeColor="text1"/>
        </w:rPr>
        <w:t>LFAL</w:t>
      </w:r>
      <w:r w:rsidR="00C26CF1">
        <w:rPr>
          <w:rFonts w:cs="Arial"/>
          <w:color w:val="000000" w:themeColor="text1"/>
        </w:rPr>
        <w:t>, como</w:t>
      </w:r>
      <w:r>
        <w:rPr>
          <w:rFonts w:cs="Arial"/>
          <w:color w:val="000000" w:themeColor="text1"/>
        </w:rPr>
        <w:t xml:space="preserve"> entidades locales territoria</w:t>
      </w:r>
      <w:r w:rsidR="00C26CF1">
        <w:rPr>
          <w:rFonts w:cs="Arial"/>
          <w:color w:val="000000" w:themeColor="text1"/>
        </w:rPr>
        <w:t>les de carácter supramunicipal.</w:t>
      </w:r>
      <w:r>
        <w:rPr>
          <w:rFonts w:cs="Arial"/>
          <w:color w:val="000000" w:themeColor="text1"/>
        </w:rPr>
        <w:t xml:space="preserve"> </w:t>
      </w:r>
    </w:p>
    <w:p w14:paraId="125D6E2D" w14:textId="77777777" w:rsidR="001B093A" w:rsidRDefault="001B093A"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Las mancomun</w:t>
      </w:r>
      <w:r w:rsidR="007221C6">
        <w:rPr>
          <w:rFonts w:cs="Arial"/>
          <w:color w:val="000000" w:themeColor="text1"/>
        </w:rPr>
        <w:t>idades de planificación general que pueden constituir las entidades locales navarras y la Administración de la Comunidad Foral</w:t>
      </w:r>
      <w:r w:rsidR="00B77FE7">
        <w:rPr>
          <w:rFonts w:cs="Arial"/>
          <w:color w:val="000000" w:themeColor="text1"/>
        </w:rPr>
        <w:t xml:space="preserve"> (ACFN)</w:t>
      </w:r>
      <w:r w:rsidR="007221C6">
        <w:rPr>
          <w:rFonts w:cs="Arial"/>
          <w:color w:val="000000" w:themeColor="text1"/>
        </w:rPr>
        <w:t xml:space="preserve"> para coordinar la prestación de determinados servicios de competencia local.</w:t>
      </w:r>
    </w:p>
    <w:p w14:paraId="255876D0" w14:textId="28266395" w:rsidR="00AE354A" w:rsidRDefault="00AE354A"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Las agrupaciones de servicios administrativos existentes a fecha de entrada en vigor de la L</w:t>
      </w:r>
      <w:r w:rsidR="0084582D">
        <w:rPr>
          <w:rFonts w:cs="Arial"/>
          <w:color w:val="000000" w:themeColor="text1"/>
        </w:rPr>
        <w:t>ey Foral</w:t>
      </w:r>
      <w:r>
        <w:rPr>
          <w:rFonts w:cs="Arial"/>
          <w:color w:val="000000" w:themeColor="text1"/>
        </w:rPr>
        <w:t xml:space="preserve"> 20/2019, de 4 de abril, por la que se modifica la L</w:t>
      </w:r>
      <w:r w:rsidR="0084582D">
        <w:rPr>
          <w:rFonts w:cs="Arial"/>
          <w:color w:val="000000" w:themeColor="text1"/>
        </w:rPr>
        <w:t xml:space="preserve">ey </w:t>
      </w:r>
      <w:r>
        <w:rPr>
          <w:rFonts w:cs="Arial"/>
          <w:color w:val="000000" w:themeColor="text1"/>
        </w:rPr>
        <w:t>F</w:t>
      </w:r>
      <w:r w:rsidR="0084582D">
        <w:rPr>
          <w:rFonts w:cs="Arial"/>
          <w:color w:val="000000" w:themeColor="text1"/>
        </w:rPr>
        <w:t>oral</w:t>
      </w:r>
      <w:r>
        <w:rPr>
          <w:rFonts w:cs="Arial"/>
          <w:color w:val="000000" w:themeColor="text1"/>
        </w:rPr>
        <w:t xml:space="preserve"> 6/1990, de 2 de julio, de la Administración Local de Navarra, y la L</w:t>
      </w:r>
      <w:r w:rsidR="0084582D">
        <w:rPr>
          <w:rFonts w:cs="Arial"/>
          <w:color w:val="000000" w:themeColor="text1"/>
        </w:rPr>
        <w:t xml:space="preserve">ey </w:t>
      </w:r>
      <w:r>
        <w:rPr>
          <w:rFonts w:cs="Arial"/>
          <w:color w:val="000000" w:themeColor="text1"/>
        </w:rPr>
        <w:t>F</w:t>
      </w:r>
      <w:r w:rsidR="0084582D">
        <w:rPr>
          <w:rFonts w:cs="Arial"/>
          <w:color w:val="000000" w:themeColor="text1"/>
        </w:rPr>
        <w:t>oral</w:t>
      </w:r>
      <w:r>
        <w:rPr>
          <w:rFonts w:cs="Arial"/>
          <w:color w:val="000000" w:themeColor="text1"/>
        </w:rPr>
        <w:t xml:space="preserve"> 4/2019, de 4 de febrero, de Reforma de la Administración Local de Navarra.</w:t>
      </w:r>
    </w:p>
    <w:p w14:paraId="4DD2C175" w14:textId="2663D444" w:rsidR="00AE354A" w:rsidRDefault="00AE354A" w:rsidP="007221C6">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r>
        <w:rPr>
          <w:rFonts w:cs="Arial"/>
          <w:color w:val="000000" w:themeColor="text1"/>
        </w:rPr>
        <w:t>L</w:t>
      </w:r>
      <w:r w:rsidR="007221C6">
        <w:rPr>
          <w:rFonts w:cs="Arial"/>
          <w:color w:val="000000" w:themeColor="text1"/>
        </w:rPr>
        <w:t xml:space="preserve">as figuras de las agrupaciones de municipios y distritos administrativos fueron suprimidas por la </w:t>
      </w:r>
      <w:r w:rsidR="000259CF">
        <w:rPr>
          <w:rFonts w:cs="Arial"/>
          <w:color w:val="000000" w:themeColor="text1"/>
        </w:rPr>
        <w:t>LFRAL</w:t>
      </w:r>
      <w:r>
        <w:rPr>
          <w:rFonts w:cs="Arial"/>
          <w:color w:val="000000" w:themeColor="text1"/>
        </w:rPr>
        <w:t>, si bien una disposición transitoria de la misma establece el mantenimiento de las anteriormente mencionadas hasta que se constituyan las comarcas</w:t>
      </w:r>
      <w:r w:rsidR="00B772FA">
        <w:rPr>
          <w:rFonts w:cs="Arial"/>
          <w:color w:val="000000" w:themeColor="text1"/>
        </w:rPr>
        <w:t xml:space="preserve">, </w:t>
      </w:r>
      <w:r>
        <w:rPr>
          <w:rFonts w:cs="Arial"/>
          <w:color w:val="000000" w:themeColor="text1"/>
        </w:rPr>
        <w:t xml:space="preserve">estas asuman sus competencias y personal y se encuentren en disposición de prestar los servicios que les correspondan. </w:t>
      </w:r>
      <w:r w:rsidR="00B763E1">
        <w:rPr>
          <w:rFonts w:cs="Arial"/>
          <w:color w:val="000000" w:themeColor="text1"/>
        </w:rPr>
        <w:t>Hasta el momento no se ha constituido ninguna comarca ni mancomunidad de planificación general.</w:t>
      </w:r>
    </w:p>
    <w:p w14:paraId="295492AD" w14:textId="35DD91BC" w:rsidR="007221C6" w:rsidRDefault="007221C6" w:rsidP="007221C6">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r>
        <w:rPr>
          <w:rFonts w:cs="Arial"/>
          <w:color w:val="000000" w:themeColor="text1"/>
        </w:rPr>
        <w:t xml:space="preserve">Por otra parte, </w:t>
      </w:r>
      <w:r w:rsidR="00AE354A">
        <w:rPr>
          <w:rFonts w:cs="Arial"/>
          <w:color w:val="000000" w:themeColor="text1"/>
        </w:rPr>
        <w:t>dicha</w:t>
      </w:r>
      <w:r>
        <w:rPr>
          <w:rFonts w:cs="Arial"/>
          <w:color w:val="000000" w:themeColor="text1"/>
        </w:rPr>
        <w:t xml:space="preserve"> ley foral suprimió la </w:t>
      </w:r>
      <w:r w:rsidR="00AE354A">
        <w:rPr>
          <w:rFonts w:cs="Arial"/>
          <w:color w:val="000000" w:themeColor="text1"/>
        </w:rPr>
        <w:t>caracterización</w:t>
      </w:r>
      <w:r>
        <w:rPr>
          <w:rFonts w:cs="Arial"/>
          <w:color w:val="000000" w:themeColor="text1"/>
        </w:rPr>
        <w:t xml:space="preserve"> de los consorcios locales como entidades locales</w:t>
      </w:r>
      <w:r w:rsidR="006202F5">
        <w:rPr>
          <w:rFonts w:cs="Arial"/>
          <w:color w:val="000000" w:themeColor="text1"/>
        </w:rPr>
        <w:t xml:space="preserve"> y pasó </w:t>
      </w:r>
      <w:r>
        <w:rPr>
          <w:rFonts w:cs="Arial"/>
          <w:color w:val="000000" w:themeColor="text1"/>
        </w:rPr>
        <w:t>a considerarlos</w:t>
      </w:r>
      <w:r w:rsidR="00AE354A">
        <w:rPr>
          <w:rFonts w:cs="Arial"/>
          <w:color w:val="000000" w:themeColor="text1"/>
        </w:rPr>
        <w:t xml:space="preserve"> como entidades con personalidad jurídica propia y potestad plena para el cumplimiento de sus fines que quedarán adscritos a una Administración Pública de acuerdo con lo establecido en la </w:t>
      </w:r>
      <w:r w:rsidR="000259CF">
        <w:rPr>
          <w:rFonts w:cs="Arial"/>
          <w:color w:val="000000" w:themeColor="text1"/>
        </w:rPr>
        <w:t>LFAL</w:t>
      </w:r>
      <w:r w:rsidR="00AE354A">
        <w:rPr>
          <w:rFonts w:cs="Arial"/>
          <w:color w:val="000000" w:themeColor="text1"/>
        </w:rPr>
        <w:t>.</w:t>
      </w:r>
    </w:p>
    <w:p w14:paraId="6B9B9684" w14:textId="77777777" w:rsidR="000259CF" w:rsidRDefault="000259CF" w:rsidP="007221C6">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p>
    <w:p w14:paraId="2C8BC347" w14:textId="527912BB" w:rsidR="00345C6C" w:rsidRDefault="00345C6C" w:rsidP="002563B1">
      <w:pPr>
        <w:pStyle w:val="texto"/>
        <w:spacing w:after="240"/>
        <w:rPr>
          <w:color w:val="000000" w:themeColor="text1"/>
        </w:rPr>
      </w:pPr>
      <w:r w:rsidRPr="00B81E61">
        <w:rPr>
          <w:color w:val="000000" w:themeColor="text1"/>
        </w:rPr>
        <w:lastRenderedPageBreak/>
        <w:t>El número de entidades locales a 31 de diciembre de 20</w:t>
      </w:r>
      <w:r w:rsidR="00E112F3">
        <w:rPr>
          <w:color w:val="000000" w:themeColor="text1"/>
        </w:rPr>
        <w:t>20</w:t>
      </w:r>
      <w:r w:rsidRPr="00B81E61">
        <w:rPr>
          <w:color w:val="000000" w:themeColor="text1"/>
        </w:rPr>
        <w:t xml:space="preserve"> y su comparación con las existentes en años anteriores es el siguiente:</w:t>
      </w:r>
    </w:p>
    <w:tbl>
      <w:tblPr>
        <w:tblW w:w="4997" w:type="pct"/>
        <w:tblCellMar>
          <w:left w:w="70" w:type="dxa"/>
          <w:right w:w="70" w:type="dxa"/>
        </w:tblCellMar>
        <w:tblLook w:val="04A0" w:firstRow="1" w:lastRow="0" w:firstColumn="1" w:lastColumn="0" w:noHBand="0" w:noVBand="1"/>
      </w:tblPr>
      <w:tblGrid>
        <w:gridCol w:w="2413"/>
        <w:gridCol w:w="1276"/>
        <w:gridCol w:w="1276"/>
        <w:gridCol w:w="1275"/>
        <w:gridCol w:w="1272"/>
        <w:gridCol w:w="1272"/>
      </w:tblGrid>
      <w:tr w:rsidR="00AE354A" w:rsidRPr="00023DC6" w14:paraId="32D8B29C" w14:textId="77777777" w:rsidTr="005C70E8">
        <w:trPr>
          <w:trHeight w:val="255"/>
        </w:trPr>
        <w:tc>
          <w:tcPr>
            <w:tcW w:w="1373" w:type="pct"/>
            <w:tcBorders>
              <w:top w:val="single" w:sz="4" w:space="0" w:color="auto"/>
              <w:left w:val="nil"/>
              <w:bottom w:val="single" w:sz="4" w:space="0" w:color="auto"/>
              <w:right w:val="nil"/>
            </w:tcBorders>
            <w:shd w:val="clear" w:color="auto" w:fill="FABF8F" w:themeFill="accent6" w:themeFillTint="99"/>
            <w:vAlign w:val="center"/>
            <w:hideMark/>
          </w:tcPr>
          <w:p w14:paraId="08CF38C3" w14:textId="77777777" w:rsidR="00AE354A" w:rsidRPr="00023DC6" w:rsidRDefault="00AE354A" w:rsidP="002563B1">
            <w:pPr>
              <w:pStyle w:val="cuadroCabe"/>
              <w:spacing w:line="240" w:lineRule="auto"/>
              <w:rPr>
                <w:lang w:val="es-ES" w:eastAsia="es-ES"/>
              </w:rPr>
            </w:pPr>
            <w:r w:rsidRPr="00023DC6">
              <w:rPr>
                <w:lang w:eastAsia="es-ES"/>
              </w:rPr>
              <w:t>Entidad Local</w:t>
            </w:r>
          </w:p>
        </w:tc>
        <w:tc>
          <w:tcPr>
            <w:tcW w:w="726" w:type="pct"/>
            <w:tcBorders>
              <w:top w:val="single" w:sz="4" w:space="0" w:color="auto"/>
              <w:left w:val="nil"/>
              <w:bottom w:val="single" w:sz="4" w:space="0" w:color="auto"/>
              <w:right w:val="nil"/>
            </w:tcBorders>
            <w:shd w:val="clear" w:color="auto" w:fill="FABF8F" w:themeFill="accent6" w:themeFillTint="99"/>
            <w:vAlign w:val="center"/>
            <w:hideMark/>
          </w:tcPr>
          <w:p w14:paraId="10C14CA3" w14:textId="77777777" w:rsidR="00AE354A" w:rsidRPr="00023DC6" w:rsidRDefault="00AE354A" w:rsidP="002563B1">
            <w:pPr>
              <w:pStyle w:val="cuadroCabe"/>
              <w:spacing w:line="240" w:lineRule="auto"/>
              <w:jc w:val="right"/>
              <w:rPr>
                <w:lang w:val="es-ES" w:eastAsia="es-ES"/>
              </w:rPr>
            </w:pPr>
            <w:r w:rsidRPr="00023DC6">
              <w:rPr>
                <w:lang w:eastAsia="es-ES"/>
              </w:rPr>
              <w:t>2016</w:t>
            </w:r>
          </w:p>
        </w:tc>
        <w:tc>
          <w:tcPr>
            <w:tcW w:w="726" w:type="pct"/>
            <w:tcBorders>
              <w:top w:val="single" w:sz="4" w:space="0" w:color="auto"/>
              <w:left w:val="nil"/>
              <w:bottom w:val="single" w:sz="4" w:space="0" w:color="auto"/>
              <w:right w:val="nil"/>
            </w:tcBorders>
            <w:shd w:val="clear" w:color="auto" w:fill="FABF8F" w:themeFill="accent6" w:themeFillTint="99"/>
            <w:vAlign w:val="center"/>
            <w:hideMark/>
          </w:tcPr>
          <w:p w14:paraId="62A5BABE" w14:textId="77777777" w:rsidR="00AE354A" w:rsidRPr="00023DC6" w:rsidRDefault="00AE354A" w:rsidP="002563B1">
            <w:pPr>
              <w:pStyle w:val="cuadroCabe"/>
              <w:spacing w:line="240" w:lineRule="auto"/>
              <w:jc w:val="right"/>
              <w:rPr>
                <w:lang w:val="es-ES" w:eastAsia="es-ES"/>
              </w:rPr>
            </w:pPr>
            <w:r w:rsidRPr="00023DC6">
              <w:rPr>
                <w:lang w:eastAsia="es-ES"/>
              </w:rPr>
              <w:t>2017</w:t>
            </w:r>
          </w:p>
        </w:tc>
        <w:tc>
          <w:tcPr>
            <w:tcW w:w="726" w:type="pct"/>
            <w:tcBorders>
              <w:top w:val="single" w:sz="4" w:space="0" w:color="auto"/>
              <w:left w:val="nil"/>
              <w:bottom w:val="single" w:sz="4" w:space="0" w:color="auto"/>
              <w:right w:val="nil"/>
            </w:tcBorders>
            <w:shd w:val="clear" w:color="auto" w:fill="FABF8F" w:themeFill="accent6" w:themeFillTint="99"/>
            <w:vAlign w:val="center"/>
            <w:hideMark/>
          </w:tcPr>
          <w:p w14:paraId="0AF9E757" w14:textId="77777777" w:rsidR="00AE354A" w:rsidRPr="00023DC6" w:rsidRDefault="00AE354A" w:rsidP="002563B1">
            <w:pPr>
              <w:pStyle w:val="cuadroCabe"/>
              <w:spacing w:line="240" w:lineRule="auto"/>
              <w:jc w:val="right"/>
              <w:rPr>
                <w:lang w:val="es-ES" w:eastAsia="es-ES"/>
              </w:rPr>
            </w:pPr>
            <w:r w:rsidRPr="00023DC6">
              <w:rPr>
                <w:lang w:eastAsia="es-ES"/>
              </w:rPr>
              <w:t>2018</w:t>
            </w:r>
          </w:p>
        </w:tc>
        <w:tc>
          <w:tcPr>
            <w:tcW w:w="724" w:type="pct"/>
            <w:tcBorders>
              <w:top w:val="single" w:sz="4" w:space="0" w:color="auto"/>
              <w:left w:val="nil"/>
              <w:bottom w:val="single" w:sz="4" w:space="0" w:color="auto"/>
              <w:right w:val="nil"/>
            </w:tcBorders>
            <w:shd w:val="clear" w:color="auto" w:fill="FABF8F" w:themeFill="accent6" w:themeFillTint="99"/>
            <w:vAlign w:val="center"/>
          </w:tcPr>
          <w:p w14:paraId="302C9FB1" w14:textId="77777777" w:rsidR="00AE354A" w:rsidRPr="00023DC6" w:rsidRDefault="00AE354A" w:rsidP="002563B1">
            <w:pPr>
              <w:pStyle w:val="cuadroCabe"/>
              <w:spacing w:line="240" w:lineRule="auto"/>
              <w:jc w:val="right"/>
              <w:rPr>
                <w:lang w:val="es-ES" w:eastAsia="es-ES"/>
              </w:rPr>
            </w:pPr>
            <w:r w:rsidRPr="00023DC6">
              <w:rPr>
                <w:lang w:eastAsia="es-ES"/>
              </w:rPr>
              <w:t>2019</w:t>
            </w:r>
          </w:p>
        </w:tc>
        <w:tc>
          <w:tcPr>
            <w:tcW w:w="724" w:type="pct"/>
            <w:tcBorders>
              <w:top w:val="single" w:sz="4" w:space="0" w:color="auto"/>
              <w:left w:val="nil"/>
              <w:bottom w:val="single" w:sz="4" w:space="0" w:color="auto"/>
              <w:right w:val="nil"/>
            </w:tcBorders>
            <w:shd w:val="clear" w:color="auto" w:fill="FABF8F" w:themeFill="accent6" w:themeFillTint="99"/>
            <w:vAlign w:val="center"/>
          </w:tcPr>
          <w:p w14:paraId="3AF70DC9" w14:textId="77777777" w:rsidR="00AE354A" w:rsidRPr="00023DC6" w:rsidRDefault="00AE354A" w:rsidP="002563B1">
            <w:pPr>
              <w:pStyle w:val="cuadroCabe"/>
              <w:spacing w:line="240" w:lineRule="auto"/>
              <w:jc w:val="right"/>
              <w:rPr>
                <w:lang w:eastAsia="es-ES"/>
              </w:rPr>
            </w:pPr>
            <w:r w:rsidRPr="00023DC6">
              <w:rPr>
                <w:lang w:eastAsia="es-ES"/>
              </w:rPr>
              <w:t>2020</w:t>
            </w:r>
          </w:p>
        </w:tc>
      </w:tr>
      <w:tr w:rsidR="00AE354A" w:rsidRPr="00552FA9" w14:paraId="7D3669AE" w14:textId="77777777" w:rsidTr="00CE2ACA">
        <w:trPr>
          <w:trHeight w:val="255"/>
        </w:trPr>
        <w:tc>
          <w:tcPr>
            <w:tcW w:w="1373" w:type="pct"/>
            <w:tcBorders>
              <w:top w:val="nil"/>
              <w:left w:val="nil"/>
              <w:bottom w:val="single" w:sz="2" w:space="0" w:color="auto"/>
              <w:right w:val="nil"/>
            </w:tcBorders>
            <w:shd w:val="clear" w:color="auto" w:fill="auto"/>
            <w:vAlign w:val="center"/>
            <w:hideMark/>
          </w:tcPr>
          <w:p w14:paraId="3E48D54D" w14:textId="77777777" w:rsidR="00AE354A" w:rsidRPr="00552FA9" w:rsidRDefault="00AE354A" w:rsidP="002563B1">
            <w:pPr>
              <w:spacing w:after="0"/>
              <w:ind w:firstLine="0"/>
              <w:rPr>
                <w:rFonts w:ascii="Arial Narrow" w:hAnsi="Arial Narrow" w:cs="Calibri"/>
                <w:color w:val="000000"/>
                <w:lang w:val="es-ES" w:eastAsia="es-ES"/>
              </w:rPr>
            </w:pPr>
            <w:r w:rsidRPr="00552FA9">
              <w:rPr>
                <w:rFonts w:ascii="Arial Narrow" w:hAnsi="Arial Narrow" w:cs="Arial"/>
                <w:iCs/>
                <w:color w:val="000000"/>
                <w:lang w:eastAsia="es-ES"/>
              </w:rPr>
              <w:t>Municipios</w:t>
            </w:r>
            <w:r w:rsidRPr="00552FA9">
              <w:rPr>
                <w:rFonts w:ascii="Arial Narrow" w:hAnsi="Arial Narrow" w:cs="Arial"/>
                <w:iCs/>
                <w:color w:val="000000"/>
                <w:sz w:val="22"/>
                <w:vertAlign w:val="subscript"/>
                <w:lang w:eastAsia="es-ES"/>
              </w:rPr>
              <w:t xml:space="preserve"> </w:t>
            </w:r>
            <w:r w:rsidRPr="002563B1">
              <w:rPr>
                <w:rFonts w:ascii="Arial Narrow" w:hAnsi="Arial Narrow" w:cs="Arial"/>
                <w:iCs/>
                <w:color w:val="000000"/>
                <w:sz w:val="22"/>
                <w:vertAlign w:val="superscript"/>
                <w:lang w:eastAsia="es-ES"/>
              </w:rPr>
              <w:t>(1)</w:t>
            </w:r>
          </w:p>
        </w:tc>
        <w:tc>
          <w:tcPr>
            <w:tcW w:w="726" w:type="pct"/>
            <w:tcBorders>
              <w:top w:val="nil"/>
              <w:left w:val="nil"/>
              <w:bottom w:val="single" w:sz="2" w:space="0" w:color="auto"/>
              <w:right w:val="nil"/>
            </w:tcBorders>
            <w:shd w:val="clear" w:color="auto" w:fill="auto"/>
            <w:vAlign w:val="center"/>
            <w:hideMark/>
          </w:tcPr>
          <w:p w14:paraId="0B2BC185" w14:textId="77777777" w:rsidR="00AE354A" w:rsidRPr="00552FA9" w:rsidRDefault="00AE354A" w:rsidP="002563B1">
            <w:pPr>
              <w:spacing w:after="0"/>
              <w:ind w:firstLine="0"/>
              <w:jc w:val="right"/>
              <w:rPr>
                <w:rFonts w:ascii="Arial Narrow" w:hAnsi="Arial Narrow" w:cs="Calibri"/>
                <w:color w:val="000000"/>
                <w:lang w:val="es-ES" w:eastAsia="es-ES"/>
              </w:rPr>
            </w:pPr>
            <w:r w:rsidRPr="00552FA9">
              <w:rPr>
                <w:rFonts w:ascii="Arial Narrow" w:hAnsi="Arial Narrow" w:cs="Arial"/>
                <w:iCs/>
                <w:color w:val="000000"/>
                <w:lang w:eastAsia="es-ES"/>
              </w:rPr>
              <w:t>272</w:t>
            </w:r>
          </w:p>
        </w:tc>
        <w:tc>
          <w:tcPr>
            <w:tcW w:w="726" w:type="pct"/>
            <w:tcBorders>
              <w:top w:val="nil"/>
              <w:left w:val="nil"/>
              <w:bottom w:val="single" w:sz="2" w:space="0" w:color="auto"/>
              <w:right w:val="nil"/>
            </w:tcBorders>
            <w:shd w:val="clear" w:color="auto" w:fill="auto"/>
            <w:vAlign w:val="center"/>
            <w:hideMark/>
          </w:tcPr>
          <w:p w14:paraId="28ABB6ED" w14:textId="77777777" w:rsidR="00AE354A" w:rsidRPr="00552FA9" w:rsidRDefault="00AE354A" w:rsidP="002563B1">
            <w:pPr>
              <w:spacing w:after="0"/>
              <w:ind w:firstLine="0"/>
              <w:jc w:val="right"/>
              <w:rPr>
                <w:rFonts w:ascii="Arial Narrow" w:hAnsi="Arial Narrow" w:cs="Calibri"/>
                <w:color w:val="000000"/>
                <w:lang w:val="es-ES" w:eastAsia="es-ES"/>
              </w:rPr>
            </w:pPr>
            <w:r w:rsidRPr="00552FA9">
              <w:rPr>
                <w:rFonts w:ascii="Arial Narrow" w:hAnsi="Arial Narrow" w:cs="Arial"/>
                <w:iCs/>
                <w:color w:val="000000"/>
                <w:lang w:eastAsia="es-ES"/>
              </w:rPr>
              <w:t>272</w:t>
            </w:r>
          </w:p>
        </w:tc>
        <w:tc>
          <w:tcPr>
            <w:tcW w:w="726" w:type="pct"/>
            <w:tcBorders>
              <w:top w:val="nil"/>
              <w:left w:val="nil"/>
              <w:bottom w:val="single" w:sz="2" w:space="0" w:color="auto"/>
              <w:right w:val="nil"/>
            </w:tcBorders>
            <w:shd w:val="clear" w:color="auto" w:fill="auto"/>
            <w:vAlign w:val="center"/>
            <w:hideMark/>
          </w:tcPr>
          <w:p w14:paraId="5E9570FF" w14:textId="77777777" w:rsidR="00AE354A" w:rsidRPr="00552FA9" w:rsidRDefault="00AE354A" w:rsidP="002563B1">
            <w:pPr>
              <w:spacing w:after="0"/>
              <w:ind w:firstLine="0"/>
              <w:jc w:val="right"/>
              <w:rPr>
                <w:rFonts w:ascii="Arial Narrow" w:hAnsi="Arial Narrow" w:cs="Calibri"/>
                <w:color w:val="000000"/>
                <w:lang w:val="es-ES" w:eastAsia="es-ES"/>
              </w:rPr>
            </w:pPr>
            <w:r w:rsidRPr="00552FA9">
              <w:rPr>
                <w:rFonts w:ascii="Arial Narrow" w:hAnsi="Arial Narrow" w:cs="Arial"/>
                <w:iCs/>
                <w:color w:val="000000"/>
                <w:lang w:eastAsia="es-ES"/>
              </w:rPr>
              <w:t>272</w:t>
            </w:r>
          </w:p>
        </w:tc>
        <w:tc>
          <w:tcPr>
            <w:tcW w:w="724" w:type="pct"/>
            <w:tcBorders>
              <w:top w:val="nil"/>
              <w:left w:val="nil"/>
              <w:bottom w:val="single" w:sz="2" w:space="0" w:color="auto"/>
              <w:right w:val="nil"/>
            </w:tcBorders>
            <w:vAlign w:val="center"/>
          </w:tcPr>
          <w:p w14:paraId="261CCABE" w14:textId="77777777" w:rsidR="00AE354A" w:rsidRPr="00552FA9" w:rsidRDefault="00AE354A" w:rsidP="002563B1">
            <w:pPr>
              <w:spacing w:after="0"/>
              <w:ind w:firstLine="0"/>
              <w:jc w:val="right"/>
              <w:rPr>
                <w:rFonts w:ascii="Arial Narrow" w:hAnsi="Arial Narrow" w:cs="Calibri"/>
                <w:color w:val="000000"/>
                <w:lang w:val="es-ES" w:eastAsia="es-ES"/>
              </w:rPr>
            </w:pPr>
            <w:r w:rsidRPr="00552FA9">
              <w:rPr>
                <w:rFonts w:ascii="Arial Narrow" w:hAnsi="Arial Narrow" w:cs="Arial"/>
                <w:iCs/>
                <w:color w:val="000000"/>
                <w:lang w:eastAsia="es-ES"/>
              </w:rPr>
              <w:t>272</w:t>
            </w:r>
          </w:p>
        </w:tc>
        <w:tc>
          <w:tcPr>
            <w:tcW w:w="724" w:type="pct"/>
            <w:tcBorders>
              <w:top w:val="nil"/>
              <w:left w:val="nil"/>
              <w:bottom w:val="single" w:sz="2" w:space="0" w:color="auto"/>
              <w:right w:val="nil"/>
            </w:tcBorders>
            <w:vAlign w:val="center"/>
          </w:tcPr>
          <w:p w14:paraId="399AA846" w14:textId="77777777" w:rsidR="00AE354A" w:rsidRPr="00552FA9" w:rsidRDefault="00AE354A" w:rsidP="002563B1">
            <w:pPr>
              <w:spacing w:after="0"/>
              <w:ind w:firstLine="0"/>
              <w:jc w:val="right"/>
              <w:rPr>
                <w:rFonts w:ascii="Arial Narrow" w:hAnsi="Arial Narrow" w:cs="Arial"/>
                <w:iCs/>
                <w:color w:val="000000"/>
                <w:lang w:eastAsia="es-ES"/>
              </w:rPr>
            </w:pPr>
            <w:r>
              <w:rPr>
                <w:rFonts w:ascii="Arial Narrow" w:hAnsi="Arial Narrow" w:cs="Arial"/>
                <w:iCs/>
                <w:color w:val="000000"/>
                <w:lang w:eastAsia="es-ES"/>
              </w:rPr>
              <w:t>272</w:t>
            </w:r>
          </w:p>
        </w:tc>
      </w:tr>
      <w:tr w:rsidR="00AE354A" w:rsidRPr="00552FA9" w14:paraId="20357049" w14:textId="77777777" w:rsidTr="002563B1">
        <w:trPr>
          <w:trHeight w:val="255"/>
        </w:trPr>
        <w:tc>
          <w:tcPr>
            <w:tcW w:w="1373" w:type="pct"/>
            <w:tcBorders>
              <w:top w:val="single" w:sz="2" w:space="0" w:color="auto"/>
              <w:left w:val="nil"/>
              <w:bottom w:val="single" w:sz="2" w:space="0" w:color="auto"/>
              <w:right w:val="nil"/>
            </w:tcBorders>
            <w:shd w:val="clear" w:color="auto" w:fill="auto"/>
            <w:vAlign w:val="center"/>
            <w:hideMark/>
          </w:tcPr>
          <w:p w14:paraId="2B8139C3" w14:textId="77777777" w:rsidR="00AE354A" w:rsidRPr="00552FA9" w:rsidRDefault="00AE354A" w:rsidP="002563B1">
            <w:pPr>
              <w:spacing w:after="0"/>
              <w:ind w:firstLine="0"/>
              <w:rPr>
                <w:rFonts w:ascii="Arial Narrow" w:hAnsi="Arial Narrow" w:cs="Calibri"/>
                <w:color w:val="000000"/>
                <w:lang w:val="es-ES" w:eastAsia="es-ES"/>
              </w:rPr>
            </w:pPr>
            <w:r w:rsidRPr="00552FA9">
              <w:rPr>
                <w:rFonts w:ascii="Arial Narrow" w:hAnsi="Arial Narrow" w:cs="Arial"/>
                <w:iCs/>
                <w:color w:val="000000"/>
                <w:lang w:eastAsia="es-ES"/>
              </w:rPr>
              <w:t>Concejos</w:t>
            </w:r>
          </w:p>
        </w:tc>
        <w:tc>
          <w:tcPr>
            <w:tcW w:w="726" w:type="pct"/>
            <w:tcBorders>
              <w:top w:val="single" w:sz="2" w:space="0" w:color="auto"/>
              <w:left w:val="nil"/>
              <w:bottom w:val="single" w:sz="2" w:space="0" w:color="auto"/>
              <w:right w:val="nil"/>
            </w:tcBorders>
            <w:shd w:val="clear" w:color="auto" w:fill="auto"/>
            <w:vAlign w:val="center"/>
            <w:hideMark/>
          </w:tcPr>
          <w:p w14:paraId="1791C9EE" w14:textId="77777777" w:rsidR="00AE354A" w:rsidRPr="00552FA9" w:rsidRDefault="00AE354A" w:rsidP="002563B1">
            <w:pPr>
              <w:spacing w:after="0"/>
              <w:ind w:firstLine="0"/>
              <w:jc w:val="right"/>
              <w:rPr>
                <w:rFonts w:ascii="Arial Narrow" w:hAnsi="Arial Narrow" w:cs="Calibri"/>
                <w:color w:val="000000"/>
                <w:lang w:val="es-ES" w:eastAsia="es-ES"/>
              </w:rPr>
            </w:pPr>
            <w:r w:rsidRPr="00552FA9">
              <w:rPr>
                <w:rFonts w:ascii="Arial Narrow" w:hAnsi="Arial Narrow" w:cs="Arial"/>
                <w:iCs/>
                <w:color w:val="000000"/>
                <w:lang w:eastAsia="es-ES"/>
              </w:rPr>
              <w:t>346</w:t>
            </w:r>
          </w:p>
        </w:tc>
        <w:tc>
          <w:tcPr>
            <w:tcW w:w="726" w:type="pct"/>
            <w:tcBorders>
              <w:top w:val="single" w:sz="2" w:space="0" w:color="auto"/>
              <w:left w:val="nil"/>
              <w:bottom w:val="single" w:sz="2" w:space="0" w:color="auto"/>
              <w:right w:val="nil"/>
            </w:tcBorders>
            <w:shd w:val="clear" w:color="auto" w:fill="auto"/>
            <w:vAlign w:val="center"/>
            <w:hideMark/>
          </w:tcPr>
          <w:p w14:paraId="4EFC6C01" w14:textId="77777777" w:rsidR="00AE354A" w:rsidRPr="00552FA9" w:rsidRDefault="00AE354A" w:rsidP="002563B1">
            <w:pPr>
              <w:spacing w:after="0"/>
              <w:ind w:firstLine="0"/>
              <w:jc w:val="right"/>
              <w:rPr>
                <w:rFonts w:ascii="Arial Narrow" w:hAnsi="Arial Narrow" w:cs="Calibri"/>
                <w:color w:val="000000"/>
                <w:lang w:val="es-ES" w:eastAsia="es-ES"/>
              </w:rPr>
            </w:pPr>
            <w:r w:rsidRPr="00552FA9">
              <w:rPr>
                <w:rFonts w:ascii="Arial Narrow" w:hAnsi="Arial Narrow" w:cs="Arial"/>
                <w:iCs/>
                <w:color w:val="000000"/>
                <w:lang w:eastAsia="es-ES"/>
              </w:rPr>
              <w:t>346</w:t>
            </w:r>
          </w:p>
        </w:tc>
        <w:tc>
          <w:tcPr>
            <w:tcW w:w="726" w:type="pct"/>
            <w:tcBorders>
              <w:top w:val="single" w:sz="2" w:space="0" w:color="auto"/>
              <w:left w:val="nil"/>
              <w:bottom w:val="single" w:sz="2" w:space="0" w:color="auto"/>
              <w:right w:val="nil"/>
            </w:tcBorders>
            <w:shd w:val="clear" w:color="auto" w:fill="auto"/>
            <w:vAlign w:val="center"/>
            <w:hideMark/>
          </w:tcPr>
          <w:p w14:paraId="44C83336" w14:textId="77777777" w:rsidR="00AE354A" w:rsidRPr="00552FA9" w:rsidRDefault="00AE354A" w:rsidP="002563B1">
            <w:pPr>
              <w:spacing w:after="0"/>
              <w:ind w:firstLine="0"/>
              <w:jc w:val="right"/>
              <w:rPr>
                <w:rFonts w:ascii="Arial Narrow" w:hAnsi="Arial Narrow" w:cs="Calibri"/>
                <w:color w:val="000000"/>
                <w:lang w:val="es-ES" w:eastAsia="es-ES"/>
              </w:rPr>
            </w:pPr>
            <w:r w:rsidRPr="00552FA9">
              <w:rPr>
                <w:rFonts w:ascii="Arial Narrow" w:hAnsi="Arial Narrow" w:cs="Arial"/>
                <w:iCs/>
                <w:color w:val="000000"/>
                <w:lang w:eastAsia="es-ES"/>
              </w:rPr>
              <w:t>346</w:t>
            </w:r>
          </w:p>
        </w:tc>
        <w:tc>
          <w:tcPr>
            <w:tcW w:w="724" w:type="pct"/>
            <w:tcBorders>
              <w:top w:val="single" w:sz="2" w:space="0" w:color="auto"/>
              <w:left w:val="nil"/>
              <w:bottom w:val="single" w:sz="2" w:space="0" w:color="auto"/>
              <w:right w:val="nil"/>
            </w:tcBorders>
            <w:vAlign w:val="center"/>
          </w:tcPr>
          <w:p w14:paraId="4F617815" w14:textId="77777777" w:rsidR="00AE354A" w:rsidRPr="00552FA9" w:rsidRDefault="00AE354A" w:rsidP="002563B1">
            <w:pPr>
              <w:spacing w:after="0"/>
              <w:ind w:firstLine="0"/>
              <w:jc w:val="right"/>
              <w:rPr>
                <w:rFonts w:ascii="Arial Narrow" w:hAnsi="Arial Narrow" w:cs="Calibri"/>
                <w:color w:val="000000"/>
                <w:lang w:val="es-ES" w:eastAsia="es-ES"/>
              </w:rPr>
            </w:pPr>
            <w:r w:rsidRPr="00552FA9">
              <w:rPr>
                <w:rFonts w:ascii="Arial Narrow" w:hAnsi="Arial Narrow" w:cs="Arial"/>
                <w:iCs/>
                <w:color w:val="000000"/>
                <w:lang w:eastAsia="es-ES"/>
              </w:rPr>
              <w:t>346</w:t>
            </w:r>
          </w:p>
        </w:tc>
        <w:tc>
          <w:tcPr>
            <w:tcW w:w="724" w:type="pct"/>
            <w:tcBorders>
              <w:top w:val="single" w:sz="2" w:space="0" w:color="auto"/>
              <w:left w:val="nil"/>
              <w:bottom w:val="single" w:sz="2" w:space="0" w:color="auto"/>
              <w:right w:val="nil"/>
            </w:tcBorders>
            <w:vAlign w:val="center"/>
          </w:tcPr>
          <w:p w14:paraId="694892D2" w14:textId="77777777" w:rsidR="00AE354A" w:rsidRPr="00552FA9" w:rsidRDefault="00AE354A" w:rsidP="002563B1">
            <w:pPr>
              <w:spacing w:after="0"/>
              <w:ind w:firstLine="0"/>
              <w:jc w:val="right"/>
              <w:rPr>
                <w:rFonts w:ascii="Arial Narrow" w:hAnsi="Arial Narrow" w:cs="Arial"/>
                <w:iCs/>
                <w:color w:val="000000"/>
                <w:lang w:eastAsia="es-ES"/>
              </w:rPr>
            </w:pPr>
            <w:r>
              <w:rPr>
                <w:rFonts w:ascii="Arial Narrow" w:hAnsi="Arial Narrow" w:cs="Arial"/>
                <w:iCs/>
                <w:color w:val="000000"/>
                <w:lang w:eastAsia="es-ES"/>
              </w:rPr>
              <w:t>346</w:t>
            </w:r>
          </w:p>
        </w:tc>
      </w:tr>
      <w:tr w:rsidR="00AE354A" w:rsidRPr="00442CCA" w14:paraId="2EB79F94" w14:textId="77777777" w:rsidTr="002563B1">
        <w:trPr>
          <w:trHeight w:val="255"/>
        </w:trPr>
        <w:tc>
          <w:tcPr>
            <w:tcW w:w="1373" w:type="pct"/>
            <w:tcBorders>
              <w:top w:val="single" w:sz="2" w:space="0" w:color="auto"/>
              <w:left w:val="nil"/>
              <w:bottom w:val="single" w:sz="2" w:space="0" w:color="auto"/>
              <w:right w:val="nil"/>
            </w:tcBorders>
            <w:shd w:val="clear" w:color="auto" w:fill="auto"/>
            <w:vAlign w:val="center"/>
            <w:hideMark/>
          </w:tcPr>
          <w:p w14:paraId="3D216CDF" w14:textId="69D9ED09" w:rsidR="00AE354A" w:rsidRPr="00442CCA" w:rsidRDefault="00AE354A" w:rsidP="002E192B">
            <w:pPr>
              <w:spacing w:after="0"/>
              <w:ind w:firstLine="0"/>
              <w:rPr>
                <w:rFonts w:ascii="Arial Narrow" w:hAnsi="Arial Narrow" w:cs="Calibri"/>
                <w:color w:val="000000"/>
                <w:lang w:val="es-ES" w:eastAsia="es-ES"/>
              </w:rPr>
            </w:pPr>
            <w:r w:rsidRPr="00442CCA">
              <w:rPr>
                <w:rFonts w:ascii="Arial Narrow" w:hAnsi="Arial Narrow" w:cs="Arial"/>
                <w:iCs/>
                <w:color w:val="000000"/>
                <w:lang w:eastAsia="es-ES"/>
              </w:rPr>
              <w:t xml:space="preserve">Mancomunidades </w:t>
            </w:r>
            <w:r w:rsidRPr="002563B1">
              <w:rPr>
                <w:rFonts w:ascii="Arial Narrow" w:hAnsi="Arial Narrow" w:cs="Arial"/>
                <w:iCs/>
                <w:color w:val="000000"/>
                <w:sz w:val="22"/>
                <w:vertAlign w:val="superscript"/>
                <w:lang w:eastAsia="es-ES"/>
              </w:rPr>
              <w:t xml:space="preserve">(2) </w:t>
            </w:r>
          </w:p>
        </w:tc>
        <w:tc>
          <w:tcPr>
            <w:tcW w:w="726" w:type="pct"/>
            <w:tcBorders>
              <w:top w:val="single" w:sz="2" w:space="0" w:color="auto"/>
              <w:left w:val="nil"/>
              <w:bottom w:val="single" w:sz="2" w:space="0" w:color="auto"/>
              <w:right w:val="nil"/>
            </w:tcBorders>
            <w:shd w:val="clear" w:color="auto" w:fill="auto"/>
            <w:vAlign w:val="center"/>
            <w:hideMark/>
          </w:tcPr>
          <w:p w14:paraId="465A845F" w14:textId="77777777" w:rsidR="00AE354A" w:rsidRPr="00442CCA" w:rsidRDefault="00AE354A" w:rsidP="002563B1">
            <w:pPr>
              <w:spacing w:after="0"/>
              <w:ind w:firstLine="0"/>
              <w:jc w:val="right"/>
              <w:rPr>
                <w:rFonts w:ascii="Arial Narrow" w:hAnsi="Arial Narrow" w:cs="Calibri"/>
                <w:color w:val="000000"/>
                <w:lang w:val="es-ES" w:eastAsia="es-ES"/>
              </w:rPr>
            </w:pPr>
            <w:r w:rsidRPr="00442CCA">
              <w:rPr>
                <w:rFonts w:ascii="Arial Narrow" w:hAnsi="Arial Narrow" w:cs="Arial"/>
                <w:iCs/>
                <w:color w:val="000000"/>
                <w:lang w:eastAsia="es-ES"/>
              </w:rPr>
              <w:t>62</w:t>
            </w:r>
          </w:p>
        </w:tc>
        <w:tc>
          <w:tcPr>
            <w:tcW w:w="726" w:type="pct"/>
            <w:tcBorders>
              <w:top w:val="single" w:sz="2" w:space="0" w:color="auto"/>
              <w:left w:val="nil"/>
              <w:bottom w:val="single" w:sz="2" w:space="0" w:color="auto"/>
              <w:right w:val="nil"/>
            </w:tcBorders>
            <w:shd w:val="clear" w:color="auto" w:fill="auto"/>
            <w:vAlign w:val="center"/>
            <w:hideMark/>
          </w:tcPr>
          <w:p w14:paraId="199516CB" w14:textId="77777777" w:rsidR="00AE354A" w:rsidRPr="00442CCA" w:rsidRDefault="00AE354A" w:rsidP="002563B1">
            <w:pPr>
              <w:spacing w:after="0"/>
              <w:ind w:firstLine="0"/>
              <w:jc w:val="right"/>
              <w:rPr>
                <w:rFonts w:ascii="Arial Narrow" w:hAnsi="Arial Narrow" w:cs="Calibri"/>
                <w:color w:val="000000"/>
                <w:lang w:val="es-ES" w:eastAsia="es-ES"/>
              </w:rPr>
            </w:pPr>
            <w:r w:rsidRPr="00442CCA">
              <w:rPr>
                <w:rFonts w:ascii="Arial Narrow" w:hAnsi="Arial Narrow" w:cs="Arial"/>
                <w:iCs/>
                <w:color w:val="000000"/>
                <w:lang w:eastAsia="es-ES"/>
              </w:rPr>
              <w:t>61</w:t>
            </w:r>
          </w:p>
        </w:tc>
        <w:tc>
          <w:tcPr>
            <w:tcW w:w="726" w:type="pct"/>
            <w:tcBorders>
              <w:top w:val="single" w:sz="2" w:space="0" w:color="auto"/>
              <w:left w:val="nil"/>
              <w:bottom w:val="single" w:sz="2" w:space="0" w:color="auto"/>
              <w:right w:val="nil"/>
            </w:tcBorders>
            <w:shd w:val="clear" w:color="auto" w:fill="auto"/>
            <w:vAlign w:val="center"/>
            <w:hideMark/>
          </w:tcPr>
          <w:p w14:paraId="07981AE7" w14:textId="77777777" w:rsidR="00AE354A" w:rsidRPr="00442CCA" w:rsidRDefault="00AE354A" w:rsidP="002563B1">
            <w:pPr>
              <w:spacing w:after="0"/>
              <w:ind w:firstLine="0"/>
              <w:jc w:val="right"/>
              <w:rPr>
                <w:rFonts w:ascii="Arial Narrow" w:hAnsi="Arial Narrow" w:cs="Calibri"/>
                <w:color w:val="000000"/>
                <w:lang w:val="es-ES" w:eastAsia="es-ES"/>
              </w:rPr>
            </w:pPr>
            <w:r w:rsidRPr="00442CCA">
              <w:rPr>
                <w:rFonts w:ascii="Arial Narrow" w:hAnsi="Arial Narrow" w:cs="Arial"/>
                <w:iCs/>
                <w:color w:val="000000"/>
                <w:lang w:eastAsia="es-ES"/>
              </w:rPr>
              <w:t>61</w:t>
            </w:r>
          </w:p>
        </w:tc>
        <w:tc>
          <w:tcPr>
            <w:tcW w:w="724" w:type="pct"/>
            <w:tcBorders>
              <w:top w:val="single" w:sz="2" w:space="0" w:color="auto"/>
              <w:left w:val="nil"/>
              <w:bottom w:val="single" w:sz="2" w:space="0" w:color="auto"/>
              <w:right w:val="nil"/>
            </w:tcBorders>
            <w:vAlign w:val="center"/>
          </w:tcPr>
          <w:p w14:paraId="714CC963" w14:textId="77777777" w:rsidR="00AE354A" w:rsidRPr="00442CCA" w:rsidRDefault="00AE354A" w:rsidP="002563B1">
            <w:pPr>
              <w:spacing w:after="0"/>
              <w:ind w:firstLine="0"/>
              <w:jc w:val="right"/>
              <w:rPr>
                <w:rFonts w:ascii="Arial Narrow" w:hAnsi="Arial Narrow" w:cs="Calibri"/>
                <w:color w:val="000000"/>
                <w:lang w:val="es-ES" w:eastAsia="es-ES"/>
              </w:rPr>
            </w:pPr>
            <w:r w:rsidRPr="00442CCA">
              <w:rPr>
                <w:rFonts w:ascii="Arial Narrow" w:hAnsi="Arial Narrow" w:cs="Arial"/>
                <w:iCs/>
                <w:color w:val="000000"/>
                <w:lang w:eastAsia="es-ES"/>
              </w:rPr>
              <w:t>61</w:t>
            </w:r>
          </w:p>
        </w:tc>
        <w:tc>
          <w:tcPr>
            <w:tcW w:w="724" w:type="pct"/>
            <w:tcBorders>
              <w:top w:val="single" w:sz="2" w:space="0" w:color="auto"/>
              <w:left w:val="nil"/>
              <w:bottom w:val="single" w:sz="2" w:space="0" w:color="auto"/>
              <w:right w:val="nil"/>
            </w:tcBorders>
            <w:vAlign w:val="center"/>
          </w:tcPr>
          <w:p w14:paraId="29D6C105" w14:textId="77777777" w:rsidR="00AE354A" w:rsidRPr="00442CCA" w:rsidRDefault="00AE354A" w:rsidP="002563B1">
            <w:pPr>
              <w:spacing w:after="0"/>
              <w:ind w:firstLine="0"/>
              <w:jc w:val="right"/>
              <w:rPr>
                <w:rFonts w:ascii="Arial Narrow" w:hAnsi="Arial Narrow" w:cs="Arial"/>
                <w:iCs/>
                <w:color w:val="000000"/>
                <w:lang w:eastAsia="es-ES"/>
              </w:rPr>
            </w:pPr>
            <w:r w:rsidRPr="00442CCA">
              <w:rPr>
                <w:rFonts w:ascii="Arial Narrow" w:hAnsi="Arial Narrow" w:cs="Arial"/>
                <w:iCs/>
                <w:color w:val="000000"/>
                <w:lang w:eastAsia="es-ES"/>
              </w:rPr>
              <w:t>61</w:t>
            </w:r>
          </w:p>
        </w:tc>
      </w:tr>
      <w:tr w:rsidR="00AE354A" w:rsidRPr="00442CCA" w14:paraId="4D83F4DF" w14:textId="77777777" w:rsidTr="002563B1">
        <w:trPr>
          <w:trHeight w:val="255"/>
        </w:trPr>
        <w:tc>
          <w:tcPr>
            <w:tcW w:w="1373" w:type="pct"/>
            <w:tcBorders>
              <w:top w:val="single" w:sz="2" w:space="0" w:color="auto"/>
              <w:left w:val="nil"/>
              <w:bottom w:val="single" w:sz="4" w:space="0" w:color="auto"/>
              <w:right w:val="nil"/>
            </w:tcBorders>
            <w:shd w:val="clear" w:color="auto" w:fill="auto"/>
            <w:vAlign w:val="center"/>
            <w:hideMark/>
          </w:tcPr>
          <w:p w14:paraId="5571C489" w14:textId="77777777" w:rsidR="00AE354A" w:rsidRPr="00442CCA" w:rsidRDefault="00AE354A" w:rsidP="002563B1">
            <w:pPr>
              <w:spacing w:after="0"/>
              <w:ind w:firstLine="0"/>
              <w:rPr>
                <w:rFonts w:ascii="Arial Narrow" w:hAnsi="Arial Narrow" w:cs="Calibri"/>
                <w:color w:val="000000"/>
                <w:lang w:val="es-ES" w:eastAsia="es-ES"/>
              </w:rPr>
            </w:pPr>
            <w:r w:rsidRPr="00442CCA">
              <w:rPr>
                <w:rFonts w:ascii="Arial Narrow" w:hAnsi="Arial Narrow" w:cs="Arial"/>
                <w:iCs/>
                <w:color w:val="000000"/>
                <w:lang w:eastAsia="es-ES"/>
              </w:rPr>
              <w:t>Agrupaciones Municipales</w:t>
            </w:r>
          </w:p>
        </w:tc>
        <w:tc>
          <w:tcPr>
            <w:tcW w:w="726" w:type="pct"/>
            <w:tcBorders>
              <w:top w:val="single" w:sz="2" w:space="0" w:color="auto"/>
              <w:left w:val="nil"/>
              <w:bottom w:val="single" w:sz="4" w:space="0" w:color="auto"/>
              <w:right w:val="nil"/>
            </w:tcBorders>
            <w:shd w:val="clear" w:color="auto" w:fill="auto"/>
            <w:vAlign w:val="center"/>
            <w:hideMark/>
          </w:tcPr>
          <w:p w14:paraId="088D9876" w14:textId="77777777" w:rsidR="00AE354A" w:rsidRPr="00442CCA" w:rsidRDefault="00AE354A" w:rsidP="002563B1">
            <w:pPr>
              <w:spacing w:after="0"/>
              <w:ind w:firstLine="0"/>
              <w:jc w:val="right"/>
              <w:rPr>
                <w:rFonts w:ascii="Arial Narrow" w:hAnsi="Arial Narrow" w:cs="Calibri"/>
                <w:color w:val="000000"/>
                <w:lang w:val="es-ES" w:eastAsia="es-ES"/>
              </w:rPr>
            </w:pPr>
            <w:r w:rsidRPr="00442CCA">
              <w:rPr>
                <w:rFonts w:ascii="Arial Narrow" w:hAnsi="Arial Narrow" w:cs="Arial"/>
                <w:iCs/>
                <w:color w:val="000000"/>
                <w:lang w:eastAsia="es-ES"/>
              </w:rPr>
              <w:t>20</w:t>
            </w:r>
          </w:p>
        </w:tc>
        <w:tc>
          <w:tcPr>
            <w:tcW w:w="726" w:type="pct"/>
            <w:tcBorders>
              <w:top w:val="single" w:sz="2" w:space="0" w:color="auto"/>
              <w:left w:val="nil"/>
              <w:bottom w:val="single" w:sz="4" w:space="0" w:color="auto"/>
              <w:right w:val="nil"/>
            </w:tcBorders>
            <w:shd w:val="clear" w:color="auto" w:fill="auto"/>
            <w:vAlign w:val="center"/>
            <w:hideMark/>
          </w:tcPr>
          <w:p w14:paraId="3B1E8E6E" w14:textId="77777777" w:rsidR="00AE354A" w:rsidRPr="00442CCA" w:rsidRDefault="00AE354A" w:rsidP="002563B1">
            <w:pPr>
              <w:spacing w:after="0"/>
              <w:ind w:firstLine="0"/>
              <w:jc w:val="right"/>
              <w:rPr>
                <w:rFonts w:ascii="Arial Narrow" w:hAnsi="Arial Narrow" w:cs="Calibri"/>
                <w:color w:val="000000"/>
                <w:lang w:val="es-ES" w:eastAsia="es-ES"/>
              </w:rPr>
            </w:pPr>
            <w:r w:rsidRPr="00442CCA">
              <w:rPr>
                <w:rFonts w:ascii="Arial Narrow" w:hAnsi="Arial Narrow" w:cs="Arial"/>
                <w:iCs/>
                <w:color w:val="000000"/>
                <w:lang w:eastAsia="es-ES"/>
              </w:rPr>
              <w:t>23</w:t>
            </w:r>
          </w:p>
        </w:tc>
        <w:tc>
          <w:tcPr>
            <w:tcW w:w="726" w:type="pct"/>
            <w:tcBorders>
              <w:top w:val="single" w:sz="2" w:space="0" w:color="auto"/>
              <w:left w:val="nil"/>
              <w:bottom w:val="single" w:sz="4" w:space="0" w:color="auto"/>
              <w:right w:val="nil"/>
            </w:tcBorders>
            <w:shd w:val="clear" w:color="auto" w:fill="auto"/>
            <w:vAlign w:val="center"/>
            <w:hideMark/>
          </w:tcPr>
          <w:p w14:paraId="1E4AE835" w14:textId="77777777" w:rsidR="00AE354A" w:rsidRPr="00442CCA" w:rsidRDefault="00AE354A" w:rsidP="002563B1">
            <w:pPr>
              <w:spacing w:after="0"/>
              <w:ind w:firstLine="0"/>
              <w:jc w:val="right"/>
              <w:rPr>
                <w:rFonts w:ascii="Arial Narrow" w:hAnsi="Arial Narrow" w:cs="Calibri"/>
                <w:color w:val="000000"/>
                <w:lang w:val="es-ES" w:eastAsia="es-ES"/>
              </w:rPr>
            </w:pPr>
            <w:r w:rsidRPr="00442CCA">
              <w:rPr>
                <w:rFonts w:ascii="Arial Narrow" w:hAnsi="Arial Narrow" w:cs="Arial"/>
                <w:iCs/>
                <w:color w:val="000000"/>
                <w:lang w:eastAsia="es-ES"/>
              </w:rPr>
              <w:t>22</w:t>
            </w:r>
          </w:p>
        </w:tc>
        <w:tc>
          <w:tcPr>
            <w:tcW w:w="724" w:type="pct"/>
            <w:tcBorders>
              <w:top w:val="single" w:sz="2" w:space="0" w:color="auto"/>
              <w:left w:val="nil"/>
              <w:bottom w:val="single" w:sz="4" w:space="0" w:color="auto"/>
              <w:right w:val="nil"/>
            </w:tcBorders>
            <w:vAlign w:val="center"/>
          </w:tcPr>
          <w:p w14:paraId="3ABAEF5A" w14:textId="77777777" w:rsidR="00AE354A" w:rsidRPr="00442CCA" w:rsidRDefault="00AE354A" w:rsidP="002563B1">
            <w:pPr>
              <w:spacing w:after="0"/>
              <w:ind w:firstLine="0"/>
              <w:jc w:val="right"/>
              <w:rPr>
                <w:rFonts w:ascii="Arial Narrow" w:hAnsi="Arial Narrow" w:cs="Calibri"/>
                <w:color w:val="000000"/>
                <w:lang w:val="es-ES" w:eastAsia="es-ES"/>
              </w:rPr>
            </w:pPr>
            <w:r w:rsidRPr="00442CCA">
              <w:rPr>
                <w:rFonts w:ascii="Arial Narrow" w:hAnsi="Arial Narrow" w:cs="Arial"/>
                <w:iCs/>
                <w:color w:val="000000"/>
                <w:lang w:eastAsia="es-ES"/>
              </w:rPr>
              <w:t>22</w:t>
            </w:r>
          </w:p>
        </w:tc>
        <w:tc>
          <w:tcPr>
            <w:tcW w:w="724" w:type="pct"/>
            <w:tcBorders>
              <w:top w:val="single" w:sz="2" w:space="0" w:color="auto"/>
              <w:left w:val="nil"/>
              <w:bottom w:val="single" w:sz="4" w:space="0" w:color="auto"/>
              <w:right w:val="nil"/>
            </w:tcBorders>
            <w:vAlign w:val="center"/>
          </w:tcPr>
          <w:p w14:paraId="307D2F15" w14:textId="77777777" w:rsidR="00AE354A" w:rsidRPr="00442CCA" w:rsidRDefault="00AE354A" w:rsidP="002563B1">
            <w:pPr>
              <w:spacing w:after="0"/>
              <w:ind w:firstLine="0"/>
              <w:jc w:val="right"/>
              <w:rPr>
                <w:rFonts w:ascii="Arial Narrow" w:hAnsi="Arial Narrow" w:cs="Arial"/>
                <w:iCs/>
                <w:color w:val="000000"/>
                <w:lang w:eastAsia="es-ES"/>
              </w:rPr>
            </w:pPr>
            <w:r w:rsidRPr="00442CCA">
              <w:rPr>
                <w:rFonts w:ascii="Arial Narrow" w:hAnsi="Arial Narrow" w:cs="Arial"/>
                <w:iCs/>
                <w:color w:val="000000"/>
                <w:lang w:eastAsia="es-ES"/>
              </w:rPr>
              <w:t>22</w:t>
            </w:r>
          </w:p>
        </w:tc>
      </w:tr>
      <w:tr w:rsidR="00AE354A" w:rsidRPr="00023DC6" w14:paraId="1A48E8C7" w14:textId="77777777" w:rsidTr="005C70E8">
        <w:trPr>
          <w:trHeight w:val="255"/>
        </w:trPr>
        <w:tc>
          <w:tcPr>
            <w:tcW w:w="1373" w:type="pct"/>
            <w:tcBorders>
              <w:top w:val="nil"/>
              <w:left w:val="nil"/>
              <w:bottom w:val="single" w:sz="4" w:space="0" w:color="auto"/>
              <w:right w:val="nil"/>
            </w:tcBorders>
            <w:shd w:val="clear" w:color="auto" w:fill="FABF8F" w:themeFill="accent6" w:themeFillTint="99"/>
            <w:vAlign w:val="center"/>
            <w:hideMark/>
          </w:tcPr>
          <w:p w14:paraId="5A55EA59" w14:textId="77777777" w:rsidR="00AE354A" w:rsidRPr="00023DC6" w:rsidRDefault="00AE354A" w:rsidP="002563B1">
            <w:pPr>
              <w:pStyle w:val="cuadroCabe"/>
              <w:spacing w:line="240" w:lineRule="auto"/>
              <w:rPr>
                <w:lang w:val="es-ES" w:eastAsia="es-ES"/>
              </w:rPr>
            </w:pPr>
            <w:r w:rsidRPr="00023DC6">
              <w:rPr>
                <w:lang w:eastAsia="es-ES"/>
              </w:rPr>
              <w:t>Total</w:t>
            </w:r>
          </w:p>
        </w:tc>
        <w:tc>
          <w:tcPr>
            <w:tcW w:w="726" w:type="pct"/>
            <w:tcBorders>
              <w:top w:val="nil"/>
              <w:left w:val="nil"/>
              <w:bottom w:val="single" w:sz="4" w:space="0" w:color="auto"/>
              <w:right w:val="nil"/>
            </w:tcBorders>
            <w:shd w:val="clear" w:color="auto" w:fill="FABF8F" w:themeFill="accent6" w:themeFillTint="99"/>
            <w:vAlign w:val="center"/>
            <w:hideMark/>
          </w:tcPr>
          <w:p w14:paraId="2D0C4248" w14:textId="77777777" w:rsidR="00AE354A" w:rsidRPr="00023DC6" w:rsidRDefault="00AE354A" w:rsidP="002563B1">
            <w:pPr>
              <w:pStyle w:val="cuadroCabe"/>
              <w:spacing w:line="240" w:lineRule="auto"/>
              <w:jc w:val="right"/>
              <w:rPr>
                <w:lang w:val="es-ES" w:eastAsia="es-ES"/>
              </w:rPr>
            </w:pPr>
            <w:r w:rsidRPr="00023DC6">
              <w:rPr>
                <w:lang w:eastAsia="es-ES"/>
              </w:rPr>
              <w:t>700</w:t>
            </w:r>
          </w:p>
        </w:tc>
        <w:tc>
          <w:tcPr>
            <w:tcW w:w="726" w:type="pct"/>
            <w:tcBorders>
              <w:top w:val="nil"/>
              <w:left w:val="nil"/>
              <w:bottom w:val="single" w:sz="4" w:space="0" w:color="auto"/>
              <w:right w:val="nil"/>
            </w:tcBorders>
            <w:shd w:val="clear" w:color="auto" w:fill="FABF8F" w:themeFill="accent6" w:themeFillTint="99"/>
            <w:vAlign w:val="center"/>
            <w:hideMark/>
          </w:tcPr>
          <w:p w14:paraId="4A5797DA" w14:textId="77777777" w:rsidR="00AE354A" w:rsidRPr="00023DC6" w:rsidRDefault="00AE354A" w:rsidP="002563B1">
            <w:pPr>
              <w:pStyle w:val="cuadroCabe"/>
              <w:spacing w:line="240" w:lineRule="auto"/>
              <w:jc w:val="right"/>
              <w:rPr>
                <w:lang w:val="es-ES" w:eastAsia="es-ES"/>
              </w:rPr>
            </w:pPr>
            <w:r w:rsidRPr="00023DC6">
              <w:rPr>
                <w:lang w:eastAsia="es-ES"/>
              </w:rPr>
              <w:t>702</w:t>
            </w:r>
          </w:p>
        </w:tc>
        <w:tc>
          <w:tcPr>
            <w:tcW w:w="726" w:type="pct"/>
            <w:tcBorders>
              <w:top w:val="nil"/>
              <w:left w:val="nil"/>
              <w:bottom w:val="single" w:sz="4" w:space="0" w:color="auto"/>
              <w:right w:val="nil"/>
            </w:tcBorders>
            <w:shd w:val="clear" w:color="auto" w:fill="FABF8F" w:themeFill="accent6" w:themeFillTint="99"/>
            <w:vAlign w:val="center"/>
            <w:hideMark/>
          </w:tcPr>
          <w:p w14:paraId="1D695BEA" w14:textId="77777777" w:rsidR="00AE354A" w:rsidRPr="00023DC6" w:rsidRDefault="00AE354A" w:rsidP="002563B1">
            <w:pPr>
              <w:pStyle w:val="cuadroCabe"/>
              <w:spacing w:line="240" w:lineRule="auto"/>
              <w:jc w:val="right"/>
              <w:rPr>
                <w:lang w:val="es-ES" w:eastAsia="es-ES"/>
              </w:rPr>
            </w:pPr>
            <w:r w:rsidRPr="00023DC6">
              <w:rPr>
                <w:lang w:val="es-ES" w:eastAsia="es-ES"/>
              </w:rPr>
              <w:t>701</w:t>
            </w:r>
          </w:p>
        </w:tc>
        <w:tc>
          <w:tcPr>
            <w:tcW w:w="724" w:type="pct"/>
            <w:tcBorders>
              <w:top w:val="nil"/>
              <w:left w:val="nil"/>
              <w:bottom w:val="single" w:sz="4" w:space="0" w:color="auto"/>
              <w:right w:val="nil"/>
            </w:tcBorders>
            <w:shd w:val="clear" w:color="auto" w:fill="FABF8F" w:themeFill="accent6" w:themeFillTint="99"/>
            <w:vAlign w:val="center"/>
          </w:tcPr>
          <w:p w14:paraId="6DF7F20D" w14:textId="77777777" w:rsidR="00AE354A" w:rsidRPr="00023DC6" w:rsidRDefault="00AE354A" w:rsidP="002563B1">
            <w:pPr>
              <w:pStyle w:val="cuadroCabe"/>
              <w:spacing w:line="240" w:lineRule="auto"/>
              <w:jc w:val="right"/>
              <w:rPr>
                <w:lang w:val="es-ES" w:eastAsia="es-ES"/>
              </w:rPr>
            </w:pPr>
            <w:r w:rsidRPr="00023DC6">
              <w:rPr>
                <w:lang w:val="es-ES" w:eastAsia="es-ES"/>
              </w:rPr>
              <w:t>701</w:t>
            </w:r>
          </w:p>
        </w:tc>
        <w:tc>
          <w:tcPr>
            <w:tcW w:w="724" w:type="pct"/>
            <w:tcBorders>
              <w:top w:val="nil"/>
              <w:left w:val="nil"/>
              <w:bottom w:val="single" w:sz="4" w:space="0" w:color="auto"/>
              <w:right w:val="nil"/>
            </w:tcBorders>
            <w:shd w:val="clear" w:color="auto" w:fill="FABF8F" w:themeFill="accent6" w:themeFillTint="99"/>
            <w:vAlign w:val="center"/>
          </w:tcPr>
          <w:p w14:paraId="5C0DD8F4" w14:textId="77777777" w:rsidR="00AE354A" w:rsidRPr="00023DC6" w:rsidRDefault="00AE354A" w:rsidP="002563B1">
            <w:pPr>
              <w:pStyle w:val="cuadroCabe"/>
              <w:spacing w:line="240" w:lineRule="auto"/>
              <w:jc w:val="right"/>
              <w:rPr>
                <w:lang w:val="es-ES" w:eastAsia="es-ES"/>
              </w:rPr>
            </w:pPr>
            <w:r w:rsidRPr="00023DC6">
              <w:rPr>
                <w:lang w:val="es-ES" w:eastAsia="es-ES"/>
              </w:rPr>
              <w:t>701</w:t>
            </w:r>
          </w:p>
        </w:tc>
      </w:tr>
    </w:tbl>
    <w:p w14:paraId="7A16CF7D" w14:textId="7D9CA022" w:rsidR="00AE354A" w:rsidRPr="002563B1" w:rsidRDefault="00AE354A" w:rsidP="002563B1">
      <w:pPr>
        <w:pStyle w:val="recomen"/>
        <w:numPr>
          <w:ilvl w:val="0"/>
          <w:numId w:val="9"/>
        </w:numPr>
        <w:tabs>
          <w:tab w:val="clear" w:pos="885"/>
        </w:tabs>
        <w:spacing w:before="60" w:after="0"/>
        <w:ind w:left="284" w:hanging="284"/>
        <w:rPr>
          <w:rFonts w:ascii="Arial" w:hAnsi="Arial" w:cs="Arial"/>
          <w:i w:val="0"/>
          <w:color w:val="000000" w:themeColor="text1"/>
          <w:sz w:val="14"/>
          <w:szCs w:val="14"/>
          <w:lang w:val="es-ES_tradnl"/>
        </w:rPr>
      </w:pPr>
      <w:r w:rsidRPr="002563B1">
        <w:rPr>
          <w:rFonts w:ascii="Arial" w:hAnsi="Arial" w:cs="Arial"/>
          <w:i w:val="0"/>
          <w:color w:val="000000" w:themeColor="text1"/>
          <w:sz w:val="14"/>
          <w:szCs w:val="14"/>
          <w:lang w:val="es-ES_tradnl"/>
        </w:rPr>
        <w:t>60 son municipios compuestos</w:t>
      </w:r>
      <w:r w:rsidR="00A81996">
        <w:rPr>
          <w:rFonts w:ascii="Arial" w:hAnsi="Arial" w:cs="Arial"/>
          <w:i w:val="0"/>
          <w:color w:val="000000" w:themeColor="text1"/>
          <w:sz w:val="14"/>
          <w:szCs w:val="14"/>
          <w:lang w:val="es-ES_tradnl"/>
        </w:rPr>
        <w:t>.</w:t>
      </w:r>
    </w:p>
    <w:p w14:paraId="5822ED43" w14:textId="77777777" w:rsidR="00AE354A" w:rsidRPr="002563B1" w:rsidRDefault="00AE354A" w:rsidP="002563B1">
      <w:pPr>
        <w:pStyle w:val="recomen"/>
        <w:numPr>
          <w:ilvl w:val="0"/>
          <w:numId w:val="9"/>
        </w:numPr>
        <w:tabs>
          <w:tab w:val="clear" w:pos="885"/>
        </w:tabs>
        <w:spacing w:before="60" w:after="0"/>
        <w:ind w:left="284" w:hanging="284"/>
        <w:rPr>
          <w:rFonts w:ascii="Arial" w:hAnsi="Arial" w:cs="Arial"/>
          <w:i w:val="0"/>
          <w:color w:val="000000" w:themeColor="text1"/>
          <w:sz w:val="14"/>
          <w:szCs w:val="14"/>
          <w:lang w:val="es-ES_tradnl"/>
        </w:rPr>
      </w:pPr>
      <w:r w:rsidRPr="002563B1">
        <w:rPr>
          <w:rFonts w:ascii="Arial" w:hAnsi="Arial" w:cs="Arial"/>
          <w:i w:val="0"/>
          <w:color w:val="000000" w:themeColor="text1"/>
          <w:sz w:val="14"/>
          <w:szCs w:val="14"/>
          <w:lang w:val="es-ES_tradnl"/>
        </w:rPr>
        <w:t xml:space="preserve">La Mancomunidad de Personal de </w:t>
      </w:r>
      <w:proofErr w:type="spellStart"/>
      <w:r w:rsidRPr="002563B1">
        <w:rPr>
          <w:rFonts w:ascii="Arial" w:hAnsi="Arial" w:cs="Arial"/>
          <w:i w:val="0"/>
          <w:color w:val="000000" w:themeColor="text1"/>
          <w:sz w:val="14"/>
          <w:szCs w:val="14"/>
          <w:lang w:val="es-ES_tradnl"/>
        </w:rPr>
        <w:t>Ezcabarte-Oláibar</w:t>
      </w:r>
      <w:proofErr w:type="spellEnd"/>
      <w:r w:rsidRPr="002563B1">
        <w:rPr>
          <w:rFonts w:ascii="Arial" w:hAnsi="Arial" w:cs="Arial"/>
          <w:i w:val="0"/>
          <w:color w:val="000000" w:themeColor="text1"/>
          <w:sz w:val="14"/>
          <w:szCs w:val="14"/>
          <w:lang w:val="es-ES_tradnl"/>
        </w:rPr>
        <w:t xml:space="preserve"> se ha dado de baja en el Registro de Entidades Locales en 2021 de manera retroactiva, considerando que nunca debió incorporarse al mismo, por lo que </w:t>
      </w:r>
      <w:r w:rsidR="00442CCA" w:rsidRPr="002563B1">
        <w:rPr>
          <w:rFonts w:ascii="Arial" w:hAnsi="Arial" w:cs="Arial"/>
          <w:i w:val="0"/>
          <w:color w:val="000000" w:themeColor="text1"/>
          <w:sz w:val="14"/>
          <w:szCs w:val="14"/>
          <w:lang w:val="es-ES_tradnl"/>
        </w:rPr>
        <w:t>modificamos</w:t>
      </w:r>
      <w:r w:rsidRPr="002563B1">
        <w:rPr>
          <w:rFonts w:ascii="Arial" w:hAnsi="Arial" w:cs="Arial"/>
          <w:i w:val="0"/>
          <w:color w:val="000000" w:themeColor="text1"/>
          <w:sz w:val="14"/>
          <w:szCs w:val="14"/>
          <w:lang w:val="es-ES_tradnl"/>
        </w:rPr>
        <w:t xml:space="preserve"> también los datos de ejercicios anteriores.</w:t>
      </w:r>
    </w:p>
    <w:p w14:paraId="2A9E3CFC" w14:textId="77777777" w:rsidR="00AE354A" w:rsidRPr="002563B1" w:rsidRDefault="00AE354A" w:rsidP="00AE354A">
      <w:pPr>
        <w:pStyle w:val="texto"/>
        <w:spacing w:after="0"/>
        <w:rPr>
          <w:rFonts w:ascii="Arial" w:hAnsi="Arial" w:cs="Arial"/>
          <w:color w:val="000000" w:themeColor="text1"/>
          <w:sz w:val="16"/>
          <w:szCs w:val="16"/>
        </w:rPr>
      </w:pPr>
    </w:p>
    <w:p w14:paraId="139652E9" w14:textId="74103BDB" w:rsidR="00345C6C" w:rsidRPr="00A02FED" w:rsidRDefault="00AE354A" w:rsidP="00A02FED">
      <w:pPr>
        <w:pStyle w:val="texto"/>
        <w:spacing w:before="240"/>
        <w:rPr>
          <w:color w:val="000000" w:themeColor="text1"/>
          <w:spacing w:val="2"/>
        </w:rPr>
      </w:pPr>
      <w:r w:rsidRPr="00A02FED">
        <w:rPr>
          <w:color w:val="000000" w:themeColor="text1"/>
          <w:spacing w:val="2"/>
          <w:szCs w:val="26"/>
        </w:rPr>
        <w:t>En 2020</w:t>
      </w:r>
      <w:r w:rsidR="005636E0" w:rsidRPr="00A02FED">
        <w:rPr>
          <w:color w:val="000000" w:themeColor="text1"/>
          <w:spacing w:val="2"/>
          <w:szCs w:val="26"/>
        </w:rPr>
        <w:t xml:space="preserve"> no</w:t>
      </w:r>
      <w:r w:rsidRPr="00A02FED">
        <w:rPr>
          <w:color w:val="000000" w:themeColor="text1"/>
          <w:spacing w:val="2"/>
          <w:szCs w:val="26"/>
        </w:rPr>
        <w:t xml:space="preserve"> se ha producido ninguna variación con respecto al ejercicio anterior. </w:t>
      </w:r>
    </w:p>
    <w:p w14:paraId="08F77370" w14:textId="43A72BC6" w:rsidR="00345C6C" w:rsidRDefault="00345C6C" w:rsidP="00345C6C">
      <w:pPr>
        <w:pStyle w:val="texto"/>
        <w:spacing w:before="240" w:after="240"/>
        <w:rPr>
          <w:color w:val="000000" w:themeColor="text1"/>
        </w:rPr>
      </w:pPr>
      <w:r w:rsidRPr="00B81E61">
        <w:rPr>
          <w:color w:val="000000" w:themeColor="text1"/>
        </w:rPr>
        <w:t xml:space="preserve">El número de organismos autónomos, </w:t>
      </w:r>
      <w:r w:rsidR="005636E0">
        <w:rPr>
          <w:color w:val="000000" w:themeColor="text1"/>
        </w:rPr>
        <w:t>sociedades mercantiles de propiedad íntegra de las entidades locales</w:t>
      </w:r>
      <w:r w:rsidRPr="00B81E61">
        <w:rPr>
          <w:color w:val="000000" w:themeColor="text1"/>
        </w:rPr>
        <w:t xml:space="preserve">, fundaciones públicas locales y </w:t>
      </w:r>
      <w:r>
        <w:rPr>
          <w:color w:val="000000" w:themeColor="text1"/>
        </w:rPr>
        <w:t>consorcios en el periodo de 201</w:t>
      </w:r>
      <w:r w:rsidR="00AE354A">
        <w:rPr>
          <w:color w:val="000000" w:themeColor="text1"/>
        </w:rPr>
        <w:t>6</w:t>
      </w:r>
      <w:r w:rsidRPr="00B81E61">
        <w:rPr>
          <w:color w:val="000000" w:themeColor="text1"/>
        </w:rPr>
        <w:t xml:space="preserve"> a 20</w:t>
      </w:r>
      <w:r w:rsidR="00AE354A">
        <w:rPr>
          <w:color w:val="000000" w:themeColor="text1"/>
        </w:rPr>
        <w:t>20</w:t>
      </w:r>
      <w:r w:rsidRPr="00B81E61">
        <w:rPr>
          <w:color w:val="000000" w:themeColor="text1"/>
        </w:rPr>
        <w:t xml:space="preserve"> es:</w:t>
      </w:r>
    </w:p>
    <w:tbl>
      <w:tblPr>
        <w:tblW w:w="4997" w:type="pct"/>
        <w:tblCellMar>
          <w:left w:w="70" w:type="dxa"/>
          <w:right w:w="70" w:type="dxa"/>
        </w:tblCellMar>
        <w:tblLook w:val="04A0" w:firstRow="1" w:lastRow="0" w:firstColumn="1" w:lastColumn="0" w:noHBand="0" w:noVBand="1"/>
      </w:tblPr>
      <w:tblGrid>
        <w:gridCol w:w="2283"/>
        <w:gridCol w:w="1086"/>
        <w:gridCol w:w="1084"/>
        <w:gridCol w:w="1084"/>
        <w:gridCol w:w="1087"/>
        <w:gridCol w:w="1080"/>
        <w:gridCol w:w="1080"/>
      </w:tblGrid>
      <w:tr w:rsidR="00AE354A" w:rsidRPr="00023DC6" w14:paraId="240FF378" w14:textId="77777777" w:rsidTr="005C70E8">
        <w:trPr>
          <w:trHeight w:val="255"/>
        </w:trPr>
        <w:tc>
          <w:tcPr>
            <w:tcW w:w="1299" w:type="pct"/>
            <w:tcBorders>
              <w:top w:val="single" w:sz="4" w:space="0" w:color="auto"/>
              <w:left w:val="nil"/>
              <w:bottom w:val="single" w:sz="4" w:space="0" w:color="auto"/>
              <w:right w:val="nil"/>
            </w:tcBorders>
            <w:shd w:val="clear" w:color="auto" w:fill="FABF8F" w:themeFill="accent6" w:themeFillTint="99"/>
            <w:vAlign w:val="center"/>
            <w:hideMark/>
          </w:tcPr>
          <w:p w14:paraId="18144B68" w14:textId="77777777" w:rsidR="00AE354A" w:rsidRPr="00023DC6" w:rsidRDefault="00AE354A" w:rsidP="004E2CFD">
            <w:pPr>
              <w:pStyle w:val="cuadroCabe"/>
              <w:spacing w:line="240" w:lineRule="auto"/>
              <w:rPr>
                <w:lang w:val="es-ES" w:eastAsia="es-ES"/>
              </w:rPr>
            </w:pPr>
            <w:r w:rsidRPr="00023DC6">
              <w:rPr>
                <w:lang w:val="es-ES" w:eastAsia="es-ES"/>
              </w:rPr>
              <w:t>Entidad</w:t>
            </w:r>
          </w:p>
        </w:tc>
        <w:tc>
          <w:tcPr>
            <w:tcW w:w="618" w:type="pct"/>
            <w:tcBorders>
              <w:top w:val="single" w:sz="4" w:space="0" w:color="auto"/>
              <w:left w:val="nil"/>
              <w:bottom w:val="single" w:sz="4" w:space="0" w:color="auto"/>
              <w:right w:val="nil"/>
            </w:tcBorders>
            <w:shd w:val="clear" w:color="auto" w:fill="FABF8F" w:themeFill="accent6" w:themeFillTint="99"/>
            <w:vAlign w:val="center"/>
          </w:tcPr>
          <w:p w14:paraId="5D9DA5B4" w14:textId="77777777" w:rsidR="00AE354A" w:rsidRPr="00023DC6" w:rsidRDefault="00AE354A" w:rsidP="004E2CFD">
            <w:pPr>
              <w:pStyle w:val="cuadroCabe"/>
              <w:spacing w:line="240" w:lineRule="auto"/>
              <w:rPr>
                <w:lang w:val="es-ES" w:eastAsia="es-ES"/>
              </w:rPr>
            </w:pPr>
          </w:p>
        </w:tc>
        <w:tc>
          <w:tcPr>
            <w:tcW w:w="617" w:type="pct"/>
            <w:tcBorders>
              <w:top w:val="single" w:sz="4" w:space="0" w:color="auto"/>
              <w:left w:val="nil"/>
              <w:bottom w:val="single" w:sz="4" w:space="0" w:color="auto"/>
              <w:right w:val="nil"/>
            </w:tcBorders>
            <w:shd w:val="clear" w:color="auto" w:fill="FABF8F" w:themeFill="accent6" w:themeFillTint="99"/>
            <w:vAlign w:val="center"/>
            <w:hideMark/>
          </w:tcPr>
          <w:p w14:paraId="03EACAD4" w14:textId="77777777" w:rsidR="00AE354A" w:rsidRPr="00023DC6" w:rsidRDefault="00AE354A" w:rsidP="004E2CFD">
            <w:pPr>
              <w:pStyle w:val="cuadroCabe"/>
              <w:spacing w:line="240" w:lineRule="auto"/>
              <w:jc w:val="right"/>
              <w:rPr>
                <w:lang w:val="es-ES" w:eastAsia="es-ES"/>
              </w:rPr>
            </w:pPr>
            <w:r w:rsidRPr="00023DC6">
              <w:rPr>
                <w:lang w:val="es-ES" w:eastAsia="es-ES"/>
              </w:rPr>
              <w:t>2016</w:t>
            </w:r>
          </w:p>
        </w:tc>
        <w:tc>
          <w:tcPr>
            <w:tcW w:w="617" w:type="pct"/>
            <w:tcBorders>
              <w:top w:val="single" w:sz="4" w:space="0" w:color="auto"/>
              <w:left w:val="nil"/>
              <w:bottom w:val="single" w:sz="4" w:space="0" w:color="auto"/>
              <w:right w:val="nil"/>
            </w:tcBorders>
            <w:shd w:val="clear" w:color="auto" w:fill="FABF8F" w:themeFill="accent6" w:themeFillTint="99"/>
            <w:vAlign w:val="center"/>
            <w:hideMark/>
          </w:tcPr>
          <w:p w14:paraId="6173D1B9" w14:textId="77777777" w:rsidR="00AE354A" w:rsidRPr="00023DC6" w:rsidRDefault="00AE354A" w:rsidP="004E2CFD">
            <w:pPr>
              <w:pStyle w:val="cuadroCabe"/>
              <w:spacing w:line="240" w:lineRule="auto"/>
              <w:jc w:val="right"/>
              <w:rPr>
                <w:lang w:val="es-ES" w:eastAsia="es-ES"/>
              </w:rPr>
            </w:pPr>
            <w:r w:rsidRPr="00023DC6">
              <w:rPr>
                <w:lang w:val="es-ES" w:eastAsia="es-ES"/>
              </w:rPr>
              <w:t>2017</w:t>
            </w:r>
          </w:p>
        </w:tc>
        <w:tc>
          <w:tcPr>
            <w:tcW w:w="619" w:type="pct"/>
            <w:tcBorders>
              <w:top w:val="single" w:sz="4" w:space="0" w:color="auto"/>
              <w:left w:val="nil"/>
              <w:bottom w:val="single" w:sz="4" w:space="0" w:color="auto"/>
              <w:right w:val="nil"/>
            </w:tcBorders>
            <w:shd w:val="clear" w:color="auto" w:fill="FABF8F" w:themeFill="accent6" w:themeFillTint="99"/>
            <w:vAlign w:val="center"/>
            <w:hideMark/>
          </w:tcPr>
          <w:p w14:paraId="33419494" w14:textId="77777777" w:rsidR="00AE354A" w:rsidRPr="00023DC6" w:rsidRDefault="00AE354A" w:rsidP="004E2CFD">
            <w:pPr>
              <w:pStyle w:val="cuadroCabe"/>
              <w:spacing w:line="240" w:lineRule="auto"/>
              <w:jc w:val="right"/>
              <w:rPr>
                <w:lang w:val="es-ES" w:eastAsia="es-ES"/>
              </w:rPr>
            </w:pPr>
            <w:r w:rsidRPr="00023DC6">
              <w:rPr>
                <w:lang w:val="es-ES" w:eastAsia="es-ES"/>
              </w:rPr>
              <w:t>2018</w:t>
            </w:r>
          </w:p>
        </w:tc>
        <w:tc>
          <w:tcPr>
            <w:tcW w:w="615" w:type="pct"/>
            <w:tcBorders>
              <w:top w:val="single" w:sz="4" w:space="0" w:color="auto"/>
              <w:left w:val="nil"/>
              <w:bottom w:val="single" w:sz="4" w:space="0" w:color="auto"/>
              <w:right w:val="nil"/>
            </w:tcBorders>
            <w:shd w:val="clear" w:color="auto" w:fill="FABF8F" w:themeFill="accent6" w:themeFillTint="99"/>
            <w:vAlign w:val="center"/>
          </w:tcPr>
          <w:p w14:paraId="75EDBA98" w14:textId="77777777" w:rsidR="00AE354A" w:rsidRPr="00023DC6" w:rsidRDefault="00AE354A" w:rsidP="004E2CFD">
            <w:pPr>
              <w:pStyle w:val="cuadroCabe"/>
              <w:spacing w:line="240" w:lineRule="auto"/>
              <w:jc w:val="right"/>
              <w:rPr>
                <w:lang w:val="es-ES" w:eastAsia="es-ES"/>
              </w:rPr>
            </w:pPr>
            <w:r w:rsidRPr="00023DC6">
              <w:rPr>
                <w:lang w:val="es-ES" w:eastAsia="es-ES"/>
              </w:rPr>
              <w:t>2019</w:t>
            </w:r>
          </w:p>
        </w:tc>
        <w:tc>
          <w:tcPr>
            <w:tcW w:w="615" w:type="pct"/>
            <w:tcBorders>
              <w:top w:val="single" w:sz="4" w:space="0" w:color="auto"/>
              <w:left w:val="nil"/>
              <w:bottom w:val="single" w:sz="4" w:space="0" w:color="auto"/>
              <w:right w:val="nil"/>
            </w:tcBorders>
            <w:shd w:val="clear" w:color="auto" w:fill="FABF8F" w:themeFill="accent6" w:themeFillTint="99"/>
            <w:vAlign w:val="center"/>
          </w:tcPr>
          <w:p w14:paraId="3C1C4857" w14:textId="77777777" w:rsidR="00AE354A" w:rsidRPr="00023DC6" w:rsidRDefault="00AE354A" w:rsidP="004E2CFD">
            <w:pPr>
              <w:pStyle w:val="cuadroCabe"/>
              <w:spacing w:line="240" w:lineRule="auto"/>
              <w:jc w:val="right"/>
              <w:rPr>
                <w:lang w:val="es-ES" w:eastAsia="es-ES"/>
              </w:rPr>
            </w:pPr>
            <w:r w:rsidRPr="00023DC6">
              <w:rPr>
                <w:lang w:val="es-ES" w:eastAsia="es-ES"/>
              </w:rPr>
              <w:t>2020</w:t>
            </w:r>
          </w:p>
        </w:tc>
      </w:tr>
      <w:tr w:rsidR="00AE354A" w:rsidRPr="006E66F8" w14:paraId="7A4CE7D0" w14:textId="77777777" w:rsidTr="00A02FED">
        <w:trPr>
          <w:trHeight w:val="255"/>
        </w:trPr>
        <w:tc>
          <w:tcPr>
            <w:tcW w:w="1299" w:type="pct"/>
            <w:tcBorders>
              <w:top w:val="nil"/>
              <w:left w:val="nil"/>
              <w:bottom w:val="single" w:sz="2" w:space="0" w:color="auto"/>
              <w:right w:val="nil"/>
            </w:tcBorders>
            <w:shd w:val="clear" w:color="auto" w:fill="auto"/>
            <w:vAlign w:val="center"/>
            <w:hideMark/>
          </w:tcPr>
          <w:p w14:paraId="12FC0F79" w14:textId="77777777" w:rsidR="00AE354A" w:rsidRPr="006E66F8" w:rsidRDefault="00AE354A" w:rsidP="004E2CFD">
            <w:pPr>
              <w:spacing w:after="0"/>
              <w:ind w:firstLine="0"/>
              <w:rPr>
                <w:rFonts w:ascii="Arial Narrow" w:hAnsi="Arial Narrow" w:cs="Calibri"/>
                <w:color w:val="000000"/>
                <w:lang w:val="es-ES" w:eastAsia="es-ES"/>
              </w:rPr>
            </w:pPr>
            <w:r w:rsidRPr="006E66F8">
              <w:rPr>
                <w:rFonts w:ascii="Arial Narrow" w:hAnsi="Arial Narrow" w:cs="Calibri"/>
                <w:color w:val="000000"/>
                <w:lang w:val="es-ES" w:eastAsia="es-ES"/>
              </w:rPr>
              <w:t>Organismos Autónomos</w:t>
            </w:r>
          </w:p>
        </w:tc>
        <w:tc>
          <w:tcPr>
            <w:tcW w:w="618" w:type="pct"/>
            <w:tcBorders>
              <w:top w:val="nil"/>
              <w:left w:val="nil"/>
              <w:bottom w:val="single" w:sz="2" w:space="0" w:color="auto"/>
              <w:right w:val="nil"/>
            </w:tcBorders>
            <w:shd w:val="clear" w:color="auto" w:fill="auto"/>
            <w:vAlign w:val="center"/>
          </w:tcPr>
          <w:p w14:paraId="6AEA565E" w14:textId="77777777" w:rsidR="00AE354A" w:rsidRPr="006E66F8" w:rsidRDefault="00AE354A" w:rsidP="004E2CFD">
            <w:pPr>
              <w:spacing w:after="0"/>
              <w:ind w:left="125" w:hanging="125"/>
              <w:jc w:val="right"/>
              <w:rPr>
                <w:rFonts w:ascii="Arial Narrow" w:hAnsi="Arial Narrow" w:cs="Calibri"/>
                <w:color w:val="000000"/>
                <w:lang w:val="es-ES" w:eastAsia="es-ES"/>
              </w:rPr>
            </w:pPr>
          </w:p>
        </w:tc>
        <w:tc>
          <w:tcPr>
            <w:tcW w:w="617" w:type="pct"/>
            <w:tcBorders>
              <w:top w:val="nil"/>
              <w:left w:val="nil"/>
              <w:bottom w:val="single" w:sz="2" w:space="0" w:color="auto"/>
              <w:right w:val="nil"/>
            </w:tcBorders>
            <w:shd w:val="clear" w:color="auto" w:fill="auto"/>
            <w:vAlign w:val="center"/>
            <w:hideMark/>
          </w:tcPr>
          <w:p w14:paraId="3B0043F1" w14:textId="77777777" w:rsidR="00AE354A" w:rsidRPr="006E66F8" w:rsidRDefault="00AE354A" w:rsidP="004E2CFD">
            <w:pPr>
              <w:spacing w:after="0"/>
              <w:ind w:firstLine="0"/>
              <w:jc w:val="right"/>
              <w:rPr>
                <w:rFonts w:ascii="Arial Narrow" w:hAnsi="Arial Narrow" w:cs="Calibri"/>
                <w:color w:val="000000"/>
                <w:lang w:val="es-ES" w:eastAsia="es-ES"/>
              </w:rPr>
            </w:pPr>
            <w:r w:rsidRPr="006E66F8">
              <w:rPr>
                <w:rFonts w:ascii="Arial Narrow" w:hAnsi="Arial Narrow" w:cs="Calibri"/>
                <w:color w:val="000000"/>
                <w:lang w:val="es-ES" w:eastAsia="es-ES"/>
              </w:rPr>
              <w:t>64</w:t>
            </w:r>
          </w:p>
        </w:tc>
        <w:tc>
          <w:tcPr>
            <w:tcW w:w="617" w:type="pct"/>
            <w:tcBorders>
              <w:top w:val="nil"/>
              <w:left w:val="nil"/>
              <w:bottom w:val="single" w:sz="2" w:space="0" w:color="auto"/>
              <w:right w:val="nil"/>
            </w:tcBorders>
            <w:shd w:val="clear" w:color="auto" w:fill="auto"/>
            <w:vAlign w:val="center"/>
            <w:hideMark/>
          </w:tcPr>
          <w:p w14:paraId="143B4EB1" w14:textId="77777777" w:rsidR="00AE354A" w:rsidRPr="006E66F8" w:rsidRDefault="00AE354A" w:rsidP="004E2CFD">
            <w:pPr>
              <w:spacing w:after="0"/>
              <w:ind w:firstLine="0"/>
              <w:jc w:val="right"/>
              <w:rPr>
                <w:rFonts w:ascii="Arial Narrow" w:hAnsi="Arial Narrow" w:cs="Calibri"/>
                <w:color w:val="000000"/>
                <w:lang w:val="es-ES" w:eastAsia="es-ES"/>
              </w:rPr>
            </w:pPr>
            <w:r w:rsidRPr="006E66F8">
              <w:rPr>
                <w:rFonts w:ascii="Arial Narrow" w:hAnsi="Arial Narrow" w:cs="Calibri"/>
                <w:color w:val="000000"/>
                <w:lang w:val="es-ES" w:eastAsia="es-ES"/>
              </w:rPr>
              <w:t>63</w:t>
            </w:r>
          </w:p>
        </w:tc>
        <w:tc>
          <w:tcPr>
            <w:tcW w:w="619" w:type="pct"/>
            <w:tcBorders>
              <w:top w:val="nil"/>
              <w:left w:val="nil"/>
              <w:bottom w:val="single" w:sz="2" w:space="0" w:color="auto"/>
              <w:right w:val="nil"/>
            </w:tcBorders>
            <w:shd w:val="clear" w:color="auto" w:fill="auto"/>
            <w:vAlign w:val="center"/>
            <w:hideMark/>
          </w:tcPr>
          <w:p w14:paraId="4246A37C" w14:textId="77777777" w:rsidR="00AE354A" w:rsidRPr="006E66F8" w:rsidRDefault="00AE354A" w:rsidP="004E2CFD">
            <w:pPr>
              <w:spacing w:after="0"/>
              <w:ind w:firstLine="0"/>
              <w:jc w:val="right"/>
              <w:rPr>
                <w:rFonts w:ascii="Arial Narrow" w:hAnsi="Arial Narrow" w:cs="Calibri"/>
                <w:color w:val="000000"/>
                <w:lang w:val="es-ES" w:eastAsia="es-ES"/>
              </w:rPr>
            </w:pPr>
            <w:r w:rsidRPr="006E66F8">
              <w:rPr>
                <w:rFonts w:ascii="Arial Narrow" w:hAnsi="Arial Narrow" w:cs="Calibri"/>
                <w:color w:val="000000"/>
                <w:lang w:val="es-ES" w:eastAsia="es-ES"/>
              </w:rPr>
              <w:t>60</w:t>
            </w:r>
          </w:p>
        </w:tc>
        <w:tc>
          <w:tcPr>
            <w:tcW w:w="615" w:type="pct"/>
            <w:tcBorders>
              <w:top w:val="nil"/>
              <w:left w:val="nil"/>
              <w:bottom w:val="single" w:sz="2" w:space="0" w:color="auto"/>
              <w:right w:val="nil"/>
            </w:tcBorders>
            <w:vAlign w:val="center"/>
          </w:tcPr>
          <w:p w14:paraId="2AFA94F4" w14:textId="77777777" w:rsidR="00AE354A" w:rsidRPr="006E66F8" w:rsidRDefault="00AE354A" w:rsidP="004E2CF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58</w:t>
            </w:r>
          </w:p>
        </w:tc>
        <w:tc>
          <w:tcPr>
            <w:tcW w:w="615" w:type="pct"/>
            <w:tcBorders>
              <w:top w:val="nil"/>
              <w:left w:val="nil"/>
              <w:bottom w:val="single" w:sz="2" w:space="0" w:color="auto"/>
              <w:right w:val="nil"/>
            </w:tcBorders>
            <w:vAlign w:val="center"/>
          </w:tcPr>
          <w:p w14:paraId="6A31245D" w14:textId="77777777" w:rsidR="00AE354A" w:rsidRDefault="00AE354A" w:rsidP="004E2CF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56</w:t>
            </w:r>
          </w:p>
        </w:tc>
      </w:tr>
      <w:tr w:rsidR="00AE354A" w:rsidRPr="006E66F8" w14:paraId="4FEAFDC5" w14:textId="77777777" w:rsidTr="00A02FED">
        <w:trPr>
          <w:trHeight w:val="255"/>
        </w:trPr>
        <w:tc>
          <w:tcPr>
            <w:tcW w:w="1299" w:type="pct"/>
            <w:tcBorders>
              <w:top w:val="single" w:sz="2" w:space="0" w:color="auto"/>
              <w:left w:val="nil"/>
              <w:bottom w:val="single" w:sz="2" w:space="0" w:color="auto"/>
              <w:right w:val="nil"/>
            </w:tcBorders>
            <w:shd w:val="clear" w:color="auto" w:fill="auto"/>
            <w:vAlign w:val="center"/>
            <w:hideMark/>
          </w:tcPr>
          <w:p w14:paraId="73660335" w14:textId="0A7808A8" w:rsidR="00AE354A" w:rsidRPr="006E66F8" w:rsidRDefault="005636E0" w:rsidP="004E2CFD">
            <w:pPr>
              <w:spacing w:after="0"/>
              <w:ind w:firstLine="0"/>
              <w:rPr>
                <w:rFonts w:ascii="Arial Narrow" w:hAnsi="Arial Narrow" w:cs="Calibri"/>
                <w:color w:val="000000"/>
                <w:lang w:val="es-ES" w:eastAsia="es-ES"/>
              </w:rPr>
            </w:pPr>
            <w:r>
              <w:rPr>
                <w:rFonts w:ascii="Arial Narrow" w:hAnsi="Arial Narrow" w:cs="Calibri"/>
                <w:color w:val="000000"/>
                <w:lang w:val="es-ES" w:eastAsia="es-ES"/>
              </w:rPr>
              <w:t>Sociedades mercantiles</w:t>
            </w:r>
          </w:p>
        </w:tc>
        <w:tc>
          <w:tcPr>
            <w:tcW w:w="618" w:type="pct"/>
            <w:tcBorders>
              <w:top w:val="single" w:sz="2" w:space="0" w:color="auto"/>
              <w:left w:val="nil"/>
              <w:bottom w:val="single" w:sz="2" w:space="0" w:color="auto"/>
              <w:right w:val="nil"/>
            </w:tcBorders>
            <w:shd w:val="clear" w:color="auto" w:fill="auto"/>
            <w:vAlign w:val="center"/>
          </w:tcPr>
          <w:p w14:paraId="2B95F0C8" w14:textId="77777777" w:rsidR="00AE354A" w:rsidRPr="006E66F8" w:rsidRDefault="00AE354A" w:rsidP="004E2CFD">
            <w:pPr>
              <w:spacing w:after="0"/>
              <w:ind w:firstLine="0"/>
              <w:jc w:val="right"/>
              <w:rPr>
                <w:rFonts w:ascii="Arial Narrow" w:hAnsi="Arial Narrow" w:cs="Calibri"/>
                <w:color w:val="000000"/>
                <w:lang w:val="es-ES" w:eastAsia="es-ES"/>
              </w:rPr>
            </w:pPr>
          </w:p>
        </w:tc>
        <w:tc>
          <w:tcPr>
            <w:tcW w:w="617" w:type="pct"/>
            <w:tcBorders>
              <w:top w:val="single" w:sz="2" w:space="0" w:color="auto"/>
              <w:left w:val="nil"/>
              <w:bottom w:val="single" w:sz="2" w:space="0" w:color="auto"/>
              <w:right w:val="nil"/>
            </w:tcBorders>
            <w:shd w:val="clear" w:color="auto" w:fill="auto"/>
            <w:vAlign w:val="center"/>
            <w:hideMark/>
          </w:tcPr>
          <w:p w14:paraId="3242EB1E" w14:textId="77777777" w:rsidR="00AE354A" w:rsidRPr="006E66F8" w:rsidRDefault="00AE354A" w:rsidP="004E2CFD">
            <w:pPr>
              <w:spacing w:after="0"/>
              <w:ind w:firstLine="0"/>
              <w:jc w:val="right"/>
              <w:rPr>
                <w:rFonts w:ascii="Arial Narrow" w:hAnsi="Arial Narrow" w:cs="Calibri"/>
                <w:color w:val="000000"/>
                <w:lang w:val="es-ES" w:eastAsia="es-ES"/>
              </w:rPr>
            </w:pPr>
            <w:r w:rsidRPr="006E66F8">
              <w:rPr>
                <w:rFonts w:ascii="Arial Narrow" w:hAnsi="Arial Narrow" w:cs="Calibri"/>
                <w:color w:val="000000"/>
                <w:lang w:val="es-ES" w:eastAsia="es-ES"/>
              </w:rPr>
              <w:t>54</w:t>
            </w:r>
          </w:p>
        </w:tc>
        <w:tc>
          <w:tcPr>
            <w:tcW w:w="617" w:type="pct"/>
            <w:tcBorders>
              <w:top w:val="single" w:sz="2" w:space="0" w:color="auto"/>
              <w:left w:val="nil"/>
              <w:bottom w:val="single" w:sz="2" w:space="0" w:color="auto"/>
              <w:right w:val="nil"/>
            </w:tcBorders>
            <w:shd w:val="clear" w:color="auto" w:fill="auto"/>
            <w:vAlign w:val="center"/>
            <w:hideMark/>
          </w:tcPr>
          <w:p w14:paraId="4C42BC28" w14:textId="77777777" w:rsidR="00AE354A" w:rsidRPr="006E66F8" w:rsidRDefault="00AE354A" w:rsidP="004E2CFD">
            <w:pPr>
              <w:spacing w:after="0"/>
              <w:ind w:firstLine="0"/>
              <w:jc w:val="right"/>
              <w:rPr>
                <w:rFonts w:ascii="Arial Narrow" w:hAnsi="Arial Narrow" w:cs="Calibri"/>
                <w:color w:val="000000"/>
                <w:lang w:val="es-ES" w:eastAsia="es-ES"/>
              </w:rPr>
            </w:pPr>
            <w:r w:rsidRPr="006E66F8">
              <w:rPr>
                <w:rFonts w:ascii="Arial Narrow" w:hAnsi="Arial Narrow" w:cs="Calibri"/>
                <w:color w:val="000000"/>
                <w:lang w:val="es-ES" w:eastAsia="es-ES"/>
              </w:rPr>
              <w:t>53</w:t>
            </w:r>
          </w:p>
        </w:tc>
        <w:tc>
          <w:tcPr>
            <w:tcW w:w="619" w:type="pct"/>
            <w:tcBorders>
              <w:top w:val="single" w:sz="2" w:space="0" w:color="auto"/>
              <w:left w:val="nil"/>
              <w:bottom w:val="single" w:sz="2" w:space="0" w:color="auto"/>
              <w:right w:val="nil"/>
            </w:tcBorders>
            <w:shd w:val="clear" w:color="auto" w:fill="auto"/>
            <w:vAlign w:val="center"/>
            <w:hideMark/>
          </w:tcPr>
          <w:p w14:paraId="373937B4" w14:textId="77777777" w:rsidR="00AE354A" w:rsidRPr="006E66F8" w:rsidRDefault="00AE354A" w:rsidP="004E2CF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57</w:t>
            </w:r>
          </w:p>
        </w:tc>
        <w:tc>
          <w:tcPr>
            <w:tcW w:w="615" w:type="pct"/>
            <w:tcBorders>
              <w:top w:val="single" w:sz="2" w:space="0" w:color="auto"/>
              <w:left w:val="nil"/>
              <w:bottom w:val="single" w:sz="2" w:space="0" w:color="auto"/>
              <w:right w:val="nil"/>
            </w:tcBorders>
            <w:vAlign w:val="center"/>
          </w:tcPr>
          <w:p w14:paraId="291AC0D2" w14:textId="77777777" w:rsidR="00AE354A" w:rsidRPr="006E66F8" w:rsidRDefault="00AE354A" w:rsidP="004E2CF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56</w:t>
            </w:r>
          </w:p>
        </w:tc>
        <w:tc>
          <w:tcPr>
            <w:tcW w:w="615" w:type="pct"/>
            <w:tcBorders>
              <w:top w:val="single" w:sz="2" w:space="0" w:color="auto"/>
              <w:left w:val="nil"/>
              <w:bottom w:val="single" w:sz="2" w:space="0" w:color="auto"/>
              <w:right w:val="nil"/>
            </w:tcBorders>
            <w:shd w:val="clear" w:color="auto" w:fill="auto"/>
            <w:vAlign w:val="center"/>
          </w:tcPr>
          <w:p w14:paraId="0263F642" w14:textId="77777777" w:rsidR="00AE354A" w:rsidRDefault="00AE354A" w:rsidP="004E2CFD">
            <w:pPr>
              <w:spacing w:after="0"/>
              <w:ind w:firstLine="0"/>
              <w:jc w:val="right"/>
              <w:rPr>
                <w:rFonts w:ascii="Arial Narrow" w:hAnsi="Arial Narrow" w:cs="Calibri"/>
                <w:color w:val="000000"/>
                <w:lang w:val="es-ES" w:eastAsia="es-ES"/>
              </w:rPr>
            </w:pPr>
            <w:r w:rsidRPr="00D23225">
              <w:rPr>
                <w:rFonts w:ascii="Arial Narrow" w:hAnsi="Arial Narrow" w:cs="Calibri"/>
                <w:color w:val="000000"/>
                <w:lang w:val="es-ES" w:eastAsia="es-ES"/>
              </w:rPr>
              <w:t>54</w:t>
            </w:r>
          </w:p>
        </w:tc>
      </w:tr>
      <w:tr w:rsidR="00AE354A" w:rsidRPr="006E66F8" w14:paraId="7B67155A" w14:textId="77777777" w:rsidTr="00A02FED">
        <w:trPr>
          <w:trHeight w:val="255"/>
        </w:trPr>
        <w:tc>
          <w:tcPr>
            <w:tcW w:w="1299" w:type="pct"/>
            <w:tcBorders>
              <w:top w:val="single" w:sz="2" w:space="0" w:color="auto"/>
              <w:left w:val="nil"/>
              <w:bottom w:val="single" w:sz="2" w:space="0" w:color="auto"/>
              <w:right w:val="nil"/>
            </w:tcBorders>
            <w:shd w:val="clear" w:color="auto" w:fill="auto"/>
            <w:vAlign w:val="center"/>
            <w:hideMark/>
          </w:tcPr>
          <w:p w14:paraId="05164677" w14:textId="77777777" w:rsidR="00AE354A" w:rsidRPr="006E66F8" w:rsidRDefault="00AE354A" w:rsidP="004E2CFD">
            <w:pPr>
              <w:spacing w:after="0"/>
              <w:ind w:firstLine="0"/>
              <w:rPr>
                <w:rFonts w:ascii="Arial Narrow" w:hAnsi="Arial Narrow" w:cs="Calibri"/>
                <w:color w:val="000000"/>
                <w:lang w:val="es-ES" w:eastAsia="es-ES"/>
              </w:rPr>
            </w:pPr>
            <w:r w:rsidRPr="006E66F8">
              <w:rPr>
                <w:rFonts w:ascii="Arial Narrow" w:hAnsi="Arial Narrow" w:cs="Calibri"/>
                <w:color w:val="000000"/>
                <w:lang w:val="es-ES" w:eastAsia="es-ES"/>
              </w:rPr>
              <w:t>Fundaciones públicas</w:t>
            </w:r>
          </w:p>
        </w:tc>
        <w:tc>
          <w:tcPr>
            <w:tcW w:w="618" w:type="pct"/>
            <w:tcBorders>
              <w:top w:val="single" w:sz="2" w:space="0" w:color="auto"/>
              <w:left w:val="nil"/>
              <w:bottom w:val="single" w:sz="2" w:space="0" w:color="auto"/>
              <w:right w:val="nil"/>
            </w:tcBorders>
            <w:shd w:val="clear" w:color="auto" w:fill="auto"/>
            <w:vAlign w:val="center"/>
          </w:tcPr>
          <w:p w14:paraId="4299E9D2" w14:textId="77777777" w:rsidR="00AE354A" w:rsidRPr="006E66F8" w:rsidRDefault="00AE354A" w:rsidP="004E2CFD">
            <w:pPr>
              <w:spacing w:after="0"/>
              <w:ind w:firstLine="0"/>
              <w:jc w:val="right"/>
              <w:rPr>
                <w:rFonts w:ascii="Arial Narrow" w:hAnsi="Arial Narrow" w:cs="Calibri"/>
                <w:color w:val="000000"/>
                <w:lang w:val="es-ES" w:eastAsia="es-ES"/>
              </w:rPr>
            </w:pPr>
          </w:p>
        </w:tc>
        <w:tc>
          <w:tcPr>
            <w:tcW w:w="617" w:type="pct"/>
            <w:tcBorders>
              <w:top w:val="single" w:sz="2" w:space="0" w:color="auto"/>
              <w:left w:val="nil"/>
              <w:bottom w:val="single" w:sz="2" w:space="0" w:color="auto"/>
              <w:right w:val="nil"/>
            </w:tcBorders>
            <w:shd w:val="clear" w:color="auto" w:fill="auto"/>
            <w:vAlign w:val="center"/>
            <w:hideMark/>
          </w:tcPr>
          <w:p w14:paraId="25ABE5AC" w14:textId="77777777" w:rsidR="00AE354A" w:rsidRPr="006E66F8" w:rsidRDefault="00AE354A" w:rsidP="004E2CFD">
            <w:pPr>
              <w:spacing w:after="0"/>
              <w:ind w:firstLine="0"/>
              <w:jc w:val="right"/>
              <w:rPr>
                <w:rFonts w:ascii="Arial Narrow" w:hAnsi="Arial Narrow" w:cs="Calibri"/>
                <w:color w:val="000000"/>
                <w:lang w:val="es-ES" w:eastAsia="es-ES"/>
              </w:rPr>
            </w:pPr>
            <w:r w:rsidRPr="006E66F8">
              <w:rPr>
                <w:rFonts w:ascii="Arial Narrow" w:hAnsi="Arial Narrow" w:cs="Calibri"/>
                <w:color w:val="000000"/>
                <w:lang w:val="es-ES" w:eastAsia="es-ES"/>
              </w:rPr>
              <w:t>9</w:t>
            </w:r>
          </w:p>
        </w:tc>
        <w:tc>
          <w:tcPr>
            <w:tcW w:w="617" w:type="pct"/>
            <w:tcBorders>
              <w:top w:val="single" w:sz="2" w:space="0" w:color="auto"/>
              <w:left w:val="nil"/>
              <w:bottom w:val="single" w:sz="2" w:space="0" w:color="auto"/>
              <w:right w:val="nil"/>
            </w:tcBorders>
            <w:shd w:val="clear" w:color="auto" w:fill="auto"/>
            <w:vAlign w:val="center"/>
            <w:hideMark/>
          </w:tcPr>
          <w:p w14:paraId="4E96BCCB" w14:textId="77777777" w:rsidR="00AE354A" w:rsidRPr="006E66F8" w:rsidRDefault="00AE354A" w:rsidP="004E2CFD">
            <w:pPr>
              <w:spacing w:after="0"/>
              <w:ind w:firstLine="0"/>
              <w:jc w:val="right"/>
              <w:rPr>
                <w:rFonts w:ascii="Arial Narrow" w:hAnsi="Arial Narrow" w:cs="Calibri"/>
                <w:color w:val="000000"/>
                <w:lang w:val="es-ES" w:eastAsia="es-ES"/>
              </w:rPr>
            </w:pPr>
            <w:r w:rsidRPr="006E66F8">
              <w:rPr>
                <w:rFonts w:ascii="Arial Narrow" w:hAnsi="Arial Narrow" w:cs="Calibri"/>
                <w:color w:val="000000"/>
                <w:lang w:val="es-ES" w:eastAsia="es-ES"/>
              </w:rPr>
              <w:t>8</w:t>
            </w:r>
          </w:p>
        </w:tc>
        <w:tc>
          <w:tcPr>
            <w:tcW w:w="619" w:type="pct"/>
            <w:tcBorders>
              <w:top w:val="single" w:sz="2" w:space="0" w:color="auto"/>
              <w:left w:val="nil"/>
              <w:bottom w:val="single" w:sz="2" w:space="0" w:color="auto"/>
              <w:right w:val="nil"/>
            </w:tcBorders>
            <w:shd w:val="clear" w:color="auto" w:fill="auto"/>
            <w:vAlign w:val="center"/>
            <w:hideMark/>
          </w:tcPr>
          <w:p w14:paraId="07D59243" w14:textId="77777777" w:rsidR="00AE354A" w:rsidRPr="006E66F8" w:rsidRDefault="00AE354A" w:rsidP="004E2CF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8</w:t>
            </w:r>
          </w:p>
        </w:tc>
        <w:tc>
          <w:tcPr>
            <w:tcW w:w="615" w:type="pct"/>
            <w:tcBorders>
              <w:top w:val="single" w:sz="2" w:space="0" w:color="auto"/>
              <w:left w:val="nil"/>
              <w:bottom w:val="single" w:sz="2" w:space="0" w:color="auto"/>
              <w:right w:val="nil"/>
            </w:tcBorders>
            <w:vAlign w:val="center"/>
          </w:tcPr>
          <w:p w14:paraId="2758D800" w14:textId="77777777" w:rsidR="00AE354A" w:rsidRPr="006E66F8" w:rsidRDefault="00AE354A" w:rsidP="004E2CF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8</w:t>
            </w:r>
          </w:p>
        </w:tc>
        <w:tc>
          <w:tcPr>
            <w:tcW w:w="615" w:type="pct"/>
            <w:tcBorders>
              <w:top w:val="single" w:sz="2" w:space="0" w:color="auto"/>
              <w:left w:val="nil"/>
              <w:bottom w:val="single" w:sz="2" w:space="0" w:color="auto"/>
              <w:right w:val="nil"/>
            </w:tcBorders>
            <w:vAlign w:val="center"/>
          </w:tcPr>
          <w:p w14:paraId="166352AB" w14:textId="77777777" w:rsidR="00AE354A" w:rsidRDefault="00AE354A" w:rsidP="004E2CF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8</w:t>
            </w:r>
          </w:p>
        </w:tc>
      </w:tr>
      <w:tr w:rsidR="00AE354A" w:rsidRPr="006E66F8" w14:paraId="67700C16" w14:textId="77777777" w:rsidTr="00A02FED">
        <w:trPr>
          <w:trHeight w:val="255"/>
        </w:trPr>
        <w:tc>
          <w:tcPr>
            <w:tcW w:w="1299" w:type="pct"/>
            <w:tcBorders>
              <w:top w:val="single" w:sz="2" w:space="0" w:color="auto"/>
              <w:left w:val="nil"/>
              <w:bottom w:val="single" w:sz="4" w:space="0" w:color="auto"/>
              <w:right w:val="nil"/>
            </w:tcBorders>
            <w:shd w:val="clear" w:color="auto" w:fill="auto"/>
            <w:vAlign w:val="center"/>
            <w:hideMark/>
          </w:tcPr>
          <w:p w14:paraId="3CAB167B" w14:textId="77777777" w:rsidR="00AE354A" w:rsidRPr="006E66F8" w:rsidRDefault="00AE354A" w:rsidP="004E2CFD">
            <w:pPr>
              <w:spacing w:after="0"/>
              <w:ind w:firstLine="0"/>
              <w:rPr>
                <w:rFonts w:ascii="Arial Narrow" w:hAnsi="Arial Narrow" w:cs="Calibri"/>
                <w:color w:val="000000"/>
                <w:lang w:val="es-ES" w:eastAsia="es-ES"/>
              </w:rPr>
            </w:pPr>
            <w:proofErr w:type="gramStart"/>
            <w:r w:rsidRPr="006E66F8">
              <w:rPr>
                <w:rFonts w:ascii="Arial Narrow" w:hAnsi="Arial Narrow" w:cs="Calibri"/>
                <w:color w:val="000000"/>
                <w:lang w:val="es-ES" w:eastAsia="es-ES"/>
              </w:rPr>
              <w:t>Consorcios</w:t>
            </w:r>
            <w:r w:rsidR="00D23225" w:rsidRPr="00A02FED">
              <w:rPr>
                <w:rFonts w:ascii="Arial Narrow" w:hAnsi="Arial Narrow" w:cs="Calibri"/>
                <w:color w:val="000000"/>
                <w:vertAlign w:val="superscript"/>
                <w:lang w:val="es-ES" w:eastAsia="es-ES"/>
              </w:rPr>
              <w:t>(</w:t>
            </w:r>
            <w:proofErr w:type="gramEnd"/>
            <w:r w:rsidR="00D23225" w:rsidRPr="00A02FED">
              <w:rPr>
                <w:rFonts w:ascii="Arial Narrow" w:hAnsi="Arial Narrow" w:cs="Calibri"/>
                <w:color w:val="000000"/>
                <w:vertAlign w:val="superscript"/>
                <w:lang w:val="es-ES" w:eastAsia="es-ES"/>
              </w:rPr>
              <w:t>1</w:t>
            </w:r>
            <w:r w:rsidRPr="00A02FED">
              <w:rPr>
                <w:rFonts w:ascii="Arial Narrow" w:hAnsi="Arial Narrow" w:cs="Calibri"/>
                <w:color w:val="000000"/>
                <w:vertAlign w:val="superscript"/>
                <w:lang w:val="es-ES" w:eastAsia="es-ES"/>
              </w:rPr>
              <w:t>)</w:t>
            </w:r>
          </w:p>
        </w:tc>
        <w:tc>
          <w:tcPr>
            <w:tcW w:w="618" w:type="pct"/>
            <w:tcBorders>
              <w:top w:val="single" w:sz="2" w:space="0" w:color="auto"/>
              <w:left w:val="nil"/>
              <w:bottom w:val="single" w:sz="4" w:space="0" w:color="auto"/>
              <w:right w:val="nil"/>
            </w:tcBorders>
            <w:shd w:val="clear" w:color="auto" w:fill="auto"/>
            <w:vAlign w:val="center"/>
          </w:tcPr>
          <w:p w14:paraId="0A8A3F09" w14:textId="77777777" w:rsidR="00AE354A" w:rsidRPr="006E66F8" w:rsidRDefault="00AE354A" w:rsidP="004E2CFD">
            <w:pPr>
              <w:spacing w:after="0"/>
              <w:ind w:firstLine="0"/>
              <w:jc w:val="right"/>
              <w:rPr>
                <w:rFonts w:ascii="Arial Narrow" w:hAnsi="Arial Narrow" w:cs="Calibri"/>
                <w:color w:val="000000"/>
                <w:lang w:val="es-ES" w:eastAsia="es-ES"/>
              </w:rPr>
            </w:pPr>
          </w:p>
        </w:tc>
        <w:tc>
          <w:tcPr>
            <w:tcW w:w="617" w:type="pct"/>
            <w:tcBorders>
              <w:top w:val="single" w:sz="2" w:space="0" w:color="auto"/>
              <w:left w:val="nil"/>
              <w:bottom w:val="single" w:sz="4" w:space="0" w:color="auto"/>
              <w:right w:val="nil"/>
            </w:tcBorders>
            <w:shd w:val="clear" w:color="auto" w:fill="auto"/>
            <w:vAlign w:val="center"/>
            <w:hideMark/>
          </w:tcPr>
          <w:p w14:paraId="74A0E148" w14:textId="77777777" w:rsidR="00AE354A" w:rsidRPr="006E66F8" w:rsidRDefault="00AE354A" w:rsidP="004E2CFD">
            <w:pPr>
              <w:spacing w:after="0"/>
              <w:ind w:firstLine="0"/>
              <w:jc w:val="right"/>
              <w:rPr>
                <w:rFonts w:ascii="Arial Narrow" w:hAnsi="Arial Narrow" w:cs="Calibri"/>
                <w:color w:val="000000"/>
                <w:lang w:val="es-ES" w:eastAsia="es-ES"/>
              </w:rPr>
            </w:pPr>
            <w:r w:rsidRPr="006E66F8">
              <w:rPr>
                <w:rFonts w:ascii="Arial Narrow" w:hAnsi="Arial Narrow" w:cs="Calibri"/>
                <w:color w:val="000000"/>
                <w:lang w:val="es-ES" w:eastAsia="es-ES"/>
              </w:rPr>
              <w:t>15</w:t>
            </w:r>
          </w:p>
        </w:tc>
        <w:tc>
          <w:tcPr>
            <w:tcW w:w="617" w:type="pct"/>
            <w:tcBorders>
              <w:top w:val="single" w:sz="2" w:space="0" w:color="auto"/>
              <w:left w:val="nil"/>
              <w:bottom w:val="single" w:sz="4" w:space="0" w:color="auto"/>
              <w:right w:val="nil"/>
            </w:tcBorders>
            <w:shd w:val="clear" w:color="auto" w:fill="auto"/>
            <w:vAlign w:val="center"/>
            <w:hideMark/>
          </w:tcPr>
          <w:p w14:paraId="5AEF7D04" w14:textId="77777777" w:rsidR="00AE354A" w:rsidRPr="006E66F8" w:rsidRDefault="00AE354A" w:rsidP="004E2CFD">
            <w:pPr>
              <w:spacing w:after="0"/>
              <w:ind w:firstLine="0"/>
              <w:jc w:val="right"/>
              <w:rPr>
                <w:rFonts w:ascii="Arial Narrow" w:hAnsi="Arial Narrow" w:cs="Calibri"/>
                <w:color w:val="000000"/>
                <w:lang w:val="es-ES" w:eastAsia="es-ES"/>
              </w:rPr>
            </w:pPr>
            <w:r w:rsidRPr="006E66F8">
              <w:rPr>
                <w:rFonts w:ascii="Arial Narrow" w:hAnsi="Arial Narrow" w:cs="Calibri"/>
                <w:color w:val="000000"/>
                <w:lang w:val="es-ES" w:eastAsia="es-ES"/>
              </w:rPr>
              <w:t>17</w:t>
            </w:r>
          </w:p>
        </w:tc>
        <w:tc>
          <w:tcPr>
            <w:tcW w:w="619" w:type="pct"/>
            <w:tcBorders>
              <w:top w:val="single" w:sz="2" w:space="0" w:color="auto"/>
              <w:left w:val="nil"/>
              <w:bottom w:val="single" w:sz="4" w:space="0" w:color="auto"/>
              <w:right w:val="nil"/>
            </w:tcBorders>
            <w:shd w:val="clear" w:color="auto" w:fill="auto"/>
            <w:vAlign w:val="center"/>
            <w:hideMark/>
          </w:tcPr>
          <w:p w14:paraId="309BF804" w14:textId="77777777" w:rsidR="00AE354A" w:rsidRPr="006E66F8" w:rsidRDefault="00AE354A" w:rsidP="004E2CF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17</w:t>
            </w:r>
          </w:p>
        </w:tc>
        <w:tc>
          <w:tcPr>
            <w:tcW w:w="615" w:type="pct"/>
            <w:tcBorders>
              <w:top w:val="single" w:sz="2" w:space="0" w:color="auto"/>
              <w:left w:val="nil"/>
              <w:bottom w:val="single" w:sz="4" w:space="0" w:color="auto"/>
              <w:right w:val="nil"/>
            </w:tcBorders>
            <w:vAlign w:val="center"/>
          </w:tcPr>
          <w:p w14:paraId="6A868B11" w14:textId="77777777" w:rsidR="00AE354A" w:rsidRPr="006E66F8" w:rsidRDefault="00AE354A" w:rsidP="004E2CF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17</w:t>
            </w:r>
          </w:p>
        </w:tc>
        <w:tc>
          <w:tcPr>
            <w:tcW w:w="615" w:type="pct"/>
            <w:tcBorders>
              <w:top w:val="single" w:sz="2" w:space="0" w:color="auto"/>
              <w:left w:val="nil"/>
              <w:bottom w:val="single" w:sz="4" w:space="0" w:color="auto"/>
              <w:right w:val="nil"/>
            </w:tcBorders>
            <w:vAlign w:val="center"/>
          </w:tcPr>
          <w:p w14:paraId="4691EE4E" w14:textId="77777777" w:rsidR="00AE354A" w:rsidRDefault="00AE354A" w:rsidP="004E2CFD">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17</w:t>
            </w:r>
          </w:p>
        </w:tc>
      </w:tr>
      <w:tr w:rsidR="00AE354A" w:rsidRPr="00A02FED" w14:paraId="1FF89295" w14:textId="77777777" w:rsidTr="005C70E8">
        <w:trPr>
          <w:trHeight w:val="255"/>
        </w:trPr>
        <w:tc>
          <w:tcPr>
            <w:tcW w:w="1299" w:type="pct"/>
            <w:tcBorders>
              <w:top w:val="nil"/>
              <w:left w:val="nil"/>
              <w:bottom w:val="single" w:sz="4" w:space="0" w:color="auto"/>
              <w:right w:val="nil"/>
            </w:tcBorders>
            <w:shd w:val="clear" w:color="auto" w:fill="FABF8F" w:themeFill="accent6" w:themeFillTint="99"/>
            <w:vAlign w:val="center"/>
            <w:hideMark/>
          </w:tcPr>
          <w:p w14:paraId="508C9B75" w14:textId="77777777" w:rsidR="00AE354A" w:rsidRPr="00A02FED" w:rsidRDefault="00AE354A" w:rsidP="004E2CFD">
            <w:pPr>
              <w:pStyle w:val="cuadroCabe"/>
              <w:spacing w:line="240" w:lineRule="auto"/>
            </w:pPr>
            <w:r w:rsidRPr="00A02FED">
              <w:t>Total</w:t>
            </w:r>
          </w:p>
        </w:tc>
        <w:tc>
          <w:tcPr>
            <w:tcW w:w="618" w:type="pct"/>
            <w:tcBorders>
              <w:top w:val="nil"/>
              <w:left w:val="nil"/>
              <w:bottom w:val="single" w:sz="4" w:space="0" w:color="auto"/>
              <w:right w:val="nil"/>
            </w:tcBorders>
            <w:shd w:val="clear" w:color="auto" w:fill="FABF8F" w:themeFill="accent6" w:themeFillTint="99"/>
            <w:vAlign w:val="center"/>
          </w:tcPr>
          <w:p w14:paraId="3D34ADD2" w14:textId="77777777" w:rsidR="00AE354A" w:rsidRPr="00A02FED" w:rsidRDefault="00AE354A" w:rsidP="004E2CFD">
            <w:pPr>
              <w:pStyle w:val="cuadroCabe"/>
              <w:spacing w:line="240" w:lineRule="auto"/>
            </w:pPr>
          </w:p>
        </w:tc>
        <w:tc>
          <w:tcPr>
            <w:tcW w:w="617" w:type="pct"/>
            <w:tcBorders>
              <w:top w:val="nil"/>
              <w:left w:val="nil"/>
              <w:bottom w:val="single" w:sz="4" w:space="0" w:color="auto"/>
              <w:right w:val="nil"/>
            </w:tcBorders>
            <w:shd w:val="clear" w:color="auto" w:fill="FABF8F" w:themeFill="accent6" w:themeFillTint="99"/>
            <w:vAlign w:val="center"/>
            <w:hideMark/>
          </w:tcPr>
          <w:p w14:paraId="28FD34B8" w14:textId="77777777" w:rsidR="00AE354A" w:rsidRPr="00A02FED" w:rsidRDefault="00AE354A" w:rsidP="004E2CFD">
            <w:pPr>
              <w:pStyle w:val="cuadroCabe"/>
              <w:spacing w:line="240" w:lineRule="auto"/>
              <w:jc w:val="right"/>
            </w:pPr>
            <w:r w:rsidRPr="00A02FED">
              <w:t>142</w:t>
            </w:r>
          </w:p>
        </w:tc>
        <w:tc>
          <w:tcPr>
            <w:tcW w:w="617" w:type="pct"/>
            <w:tcBorders>
              <w:top w:val="nil"/>
              <w:left w:val="nil"/>
              <w:bottom w:val="single" w:sz="4" w:space="0" w:color="auto"/>
              <w:right w:val="nil"/>
            </w:tcBorders>
            <w:shd w:val="clear" w:color="auto" w:fill="FABF8F" w:themeFill="accent6" w:themeFillTint="99"/>
            <w:vAlign w:val="center"/>
            <w:hideMark/>
          </w:tcPr>
          <w:p w14:paraId="14DC521C" w14:textId="77777777" w:rsidR="00AE354A" w:rsidRPr="00A02FED" w:rsidRDefault="00AE354A" w:rsidP="004E2CFD">
            <w:pPr>
              <w:pStyle w:val="cuadroCabe"/>
              <w:spacing w:line="240" w:lineRule="auto"/>
              <w:jc w:val="right"/>
            </w:pPr>
            <w:r w:rsidRPr="00A02FED">
              <w:t>141</w:t>
            </w:r>
          </w:p>
        </w:tc>
        <w:tc>
          <w:tcPr>
            <w:tcW w:w="619" w:type="pct"/>
            <w:tcBorders>
              <w:top w:val="nil"/>
              <w:left w:val="nil"/>
              <w:bottom w:val="single" w:sz="4" w:space="0" w:color="auto"/>
              <w:right w:val="nil"/>
            </w:tcBorders>
            <w:shd w:val="clear" w:color="auto" w:fill="FABF8F" w:themeFill="accent6" w:themeFillTint="99"/>
            <w:vAlign w:val="center"/>
            <w:hideMark/>
          </w:tcPr>
          <w:p w14:paraId="6346B8C9" w14:textId="77777777" w:rsidR="00AE354A" w:rsidRPr="00A02FED" w:rsidRDefault="00AE354A" w:rsidP="004E2CFD">
            <w:pPr>
              <w:pStyle w:val="cuadroCabe"/>
              <w:spacing w:line="240" w:lineRule="auto"/>
              <w:jc w:val="right"/>
            </w:pPr>
            <w:r w:rsidRPr="00A02FED">
              <w:t>142</w:t>
            </w:r>
          </w:p>
        </w:tc>
        <w:tc>
          <w:tcPr>
            <w:tcW w:w="615" w:type="pct"/>
            <w:tcBorders>
              <w:top w:val="nil"/>
              <w:left w:val="nil"/>
              <w:bottom w:val="single" w:sz="4" w:space="0" w:color="auto"/>
              <w:right w:val="nil"/>
            </w:tcBorders>
            <w:shd w:val="clear" w:color="auto" w:fill="FABF8F" w:themeFill="accent6" w:themeFillTint="99"/>
            <w:vAlign w:val="center"/>
          </w:tcPr>
          <w:p w14:paraId="2B2BF533" w14:textId="77777777" w:rsidR="00AE354A" w:rsidRPr="00A02FED" w:rsidRDefault="00AE354A" w:rsidP="004E2CFD">
            <w:pPr>
              <w:pStyle w:val="cuadroCabe"/>
              <w:spacing w:line="240" w:lineRule="auto"/>
              <w:jc w:val="right"/>
            </w:pPr>
            <w:r w:rsidRPr="00A02FED">
              <w:t>139</w:t>
            </w:r>
          </w:p>
        </w:tc>
        <w:tc>
          <w:tcPr>
            <w:tcW w:w="615" w:type="pct"/>
            <w:tcBorders>
              <w:top w:val="nil"/>
              <w:left w:val="nil"/>
              <w:bottom w:val="single" w:sz="4" w:space="0" w:color="auto"/>
              <w:right w:val="nil"/>
            </w:tcBorders>
            <w:shd w:val="clear" w:color="auto" w:fill="FABF8F" w:themeFill="accent6" w:themeFillTint="99"/>
            <w:vAlign w:val="center"/>
          </w:tcPr>
          <w:p w14:paraId="506A7ADF" w14:textId="77777777" w:rsidR="00AE354A" w:rsidRPr="00A02FED" w:rsidRDefault="00AE354A" w:rsidP="004E2CFD">
            <w:pPr>
              <w:pStyle w:val="cuadroCabe"/>
              <w:spacing w:line="240" w:lineRule="auto"/>
              <w:jc w:val="right"/>
            </w:pPr>
            <w:r w:rsidRPr="00A02FED">
              <w:t>13</w:t>
            </w:r>
            <w:r w:rsidR="00683931" w:rsidRPr="00A02FED">
              <w:t>5</w:t>
            </w:r>
          </w:p>
        </w:tc>
      </w:tr>
    </w:tbl>
    <w:p w14:paraId="1E1C223E" w14:textId="5AD6BEBA" w:rsidR="00AE354A" w:rsidRPr="00A02FED" w:rsidRDefault="00A02FED" w:rsidP="00A02FED">
      <w:pPr>
        <w:pStyle w:val="recomen"/>
        <w:numPr>
          <w:ilvl w:val="0"/>
          <w:numId w:val="0"/>
        </w:numPr>
        <w:spacing w:before="60" w:after="0"/>
        <w:rPr>
          <w:rFonts w:ascii="Arial" w:hAnsi="Arial" w:cs="Arial"/>
          <w:i w:val="0"/>
          <w:color w:val="000000" w:themeColor="text1"/>
          <w:sz w:val="14"/>
          <w:szCs w:val="14"/>
          <w:lang w:val="es-ES_tradnl"/>
        </w:rPr>
      </w:pPr>
      <w:r w:rsidRPr="00A02FED">
        <w:rPr>
          <w:rFonts w:ascii="Arial" w:hAnsi="Arial" w:cs="Arial"/>
          <w:i w:val="0"/>
          <w:color w:val="000000" w:themeColor="text1"/>
          <w:sz w:val="14"/>
          <w:szCs w:val="14"/>
          <w:vertAlign w:val="superscript"/>
          <w:lang w:val="es-ES_tradnl"/>
        </w:rPr>
        <w:t>(1)</w:t>
      </w:r>
      <w:r>
        <w:rPr>
          <w:rFonts w:ascii="Arial" w:hAnsi="Arial" w:cs="Arial"/>
          <w:i w:val="0"/>
          <w:color w:val="000000" w:themeColor="text1"/>
          <w:sz w:val="14"/>
          <w:szCs w:val="14"/>
          <w:lang w:val="es-ES_tradnl"/>
        </w:rPr>
        <w:t xml:space="preserve"> </w:t>
      </w:r>
      <w:r w:rsidR="00AE354A" w:rsidRPr="00A02FED">
        <w:rPr>
          <w:rFonts w:ascii="Arial" w:hAnsi="Arial" w:cs="Arial"/>
          <w:i w:val="0"/>
          <w:color w:val="000000" w:themeColor="text1"/>
          <w:sz w:val="14"/>
          <w:szCs w:val="14"/>
          <w:lang w:val="es-ES_tradnl"/>
        </w:rPr>
        <w:t xml:space="preserve">Se incluyen todos los consorcios existentes ya que ninguno se ha clasificado como local a fecha </w:t>
      </w:r>
      <w:r w:rsidR="00133182">
        <w:rPr>
          <w:rFonts w:ascii="Arial" w:hAnsi="Arial" w:cs="Arial"/>
          <w:i w:val="0"/>
          <w:color w:val="000000" w:themeColor="text1"/>
          <w:sz w:val="14"/>
          <w:szCs w:val="14"/>
          <w:lang w:val="es-ES_tradnl"/>
        </w:rPr>
        <w:t>elaboración de este informe</w:t>
      </w:r>
      <w:r w:rsidR="00AE354A" w:rsidRPr="00A02FED">
        <w:rPr>
          <w:rFonts w:ascii="Arial" w:hAnsi="Arial" w:cs="Arial"/>
          <w:i w:val="0"/>
          <w:color w:val="000000" w:themeColor="text1"/>
          <w:sz w:val="14"/>
          <w:szCs w:val="14"/>
          <w:lang w:val="es-ES_tradnl"/>
        </w:rPr>
        <w:t>.</w:t>
      </w:r>
    </w:p>
    <w:p w14:paraId="385A5C45" w14:textId="682A9095" w:rsidR="00893FBF" w:rsidRDefault="00AE354A" w:rsidP="00A02FED">
      <w:pPr>
        <w:pStyle w:val="texto"/>
        <w:spacing w:before="240"/>
        <w:rPr>
          <w:szCs w:val="26"/>
        </w:rPr>
      </w:pPr>
      <w:r w:rsidRPr="00D23225">
        <w:rPr>
          <w:szCs w:val="26"/>
        </w:rPr>
        <w:t>Las cifras incluyen</w:t>
      </w:r>
      <w:r w:rsidR="00683931" w:rsidRPr="00D23225">
        <w:rPr>
          <w:szCs w:val="26"/>
        </w:rPr>
        <w:t xml:space="preserve"> </w:t>
      </w:r>
      <w:r w:rsidR="00376B43">
        <w:rPr>
          <w:szCs w:val="26"/>
        </w:rPr>
        <w:t xml:space="preserve">un organismo autónomo </w:t>
      </w:r>
      <w:r w:rsidR="00683931" w:rsidRPr="00D23225">
        <w:rPr>
          <w:szCs w:val="26"/>
        </w:rPr>
        <w:t>y</w:t>
      </w:r>
      <w:r w:rsidR="00683931">
        <w:rPr>
          <w:szCs w:val="26"/>
        </w:rPr>
        <w:t xml:space="preserve"> varias</w:t>
      </w:r>
      <w:r>
        <w:rPr>
          <w:szCs w:val="26"/>
        </w:rPr>
        <w:t xml:space="preserve"> sociedades y fundaciones que no figuran en el Registro de Entidades Locales</w:t>
      </w:r>
      <w:r w:rsidR="00B772FA">
        <w:rPr>
          <w:szCs w:val="26"/>
        </w:rPr>
        <w:t xml:space="preserve"> a fecha de </w:t>
      </w:r>
      <w:r w:rsidR="00376B43">
        <w:rPr>
          <w:szCs w:val="26"/>
        </w:rPr>
        <w:t>elaboración</w:t>
      </w:r>
      <w:r w:rsidR="00B772FA">
        <w:rPr>
          <w:szCs w:val="26"/>
        </w:rPr>
        <w:t xml:space="preserve"> de este informe</w:t>
      </w:r>
      <w:r>
        <w:rPr>
          <w:szCs w:val="26"/>
        </w:rPr>
        <w:t xml:space="preserve">, pero han sido identificadas por esta Cámara en </w:t>
      </w:r>
      <w:r w:rsidRPr="00097599">
        <w:rPr>
          <w:szCs w:val="26"/>
        </w:rPr>
        <w:t>sus trabajos de fiscalización</w:t>
      </w:r>
      <w:r w:rsidR="00376B43">
        <w:rPr>
          <w:szCs w:val="26"/>
        </w:rPr>
        <w:t>.</w:t>
      </w:r>
    </w:p>
    <w:p w14:paraId="7D92A24C" w14:textId="07958FD9" w:rsidR="00AE354A" w:rsidRDefault="00683931" w:rsidP="00376B43">
      <w:pPr>
        <w:pStyle w:val="texto"/>
        <w:spacing w:before="240"/>
        <w:rPr>
          <w:szCs w:val="26"/>
        </w:rPr>
      </w:pPr>
      <w:r>
        <w:rPr>
          <w:szCs w:val="26"/>
        </w:rPr>
        <w:t>En 2020 no consta la creación d</w:t>
      </w:r>
      <w:r w:rsidR="005636E0">
        <w:rPr>
          <w:szCs w:val="26"/>
        </w:rPr>
        <w:t>e ningún organismo autónomo ni sociedad mercantil</w:t>
      </w:r>
      <w:r>
        <w:rPr>
          <w:szCs w:val="26"/>
        </w:rPr>
        <w:t>. C</w:t>
      </w:r>
      <w:r w:rsidR="00AE354A">
        <w:rPr>
          <w:szCs w:val="26"/>
        </w:rPr>
        <w:t>ausan baja</w:t>
      </w:r>
      <w:r>
        <w:rPr>
          <w:szCs w:val="26"/>
        </w:rPr>
        <w:t xml:space="preserve"> dos organismos autónomos</w:t>
      </w:r>
      <w:r w:rsidR="00AE354A">
        <w:rPr>
          <w:szCs w:val="26"/>
        </w:rPr>
        <w:t xml:space="preserve">: el Patronato de Deportes </w:t>
      </w:r>
      <w:proofErr w:type="spellStart"/>
      <w:r w:rsidR="00B82588">
        <w:rPr>
          <w:szCs w:val="26"/>
        </w:rPr>
        <w:t>Ardoi</w:t>
      </w:r>
      <w:proofErr w:type="spellEnd"/>
      <w:r w:rsidR="00B82588">
        <w:rPr>
          <w:szCs w:val="26"/>
        </w:rPr>
        <w:t xml:space="preserve"> </w:t>
      </w:r>
      <w:r w:rsidR="00AE354A">
        <w:rPr>
          <w:szCs w:val="26"/>
        </w:rPr>
        <w:t>y el Patronado Municipal de Cultura, ambos dependientes del Ayuntamiento de Zizur Mayor</w:t>
      </w:r>
      <w:r w:rsidR="00B772FA">
        <w:rPr>
          <w:szCs w:val="26"/>
        </w:rPr>
        <w:t>. Se</w:t>
      </w:r>
      <w:r>
        <w:rPr>
          <w:szCs w:val="26"/>
        </w:rPr>
        <w:t xml:space="preserve"> </w:t>
      </w:r>
      <w:r w:rsidR="00AE354A">
        <w:rPr>
          <w:szCs w:val="26"/>
        </w:rPr>
        <w:t xml:space="preserve">disolvieron </w:t>
      </w:r>
      <w:r>
        <w:rPr>
          <w:szCs w:val="26"/>
        </w:rPr>
        <w:t>dos sociedades públicas:</w:t>
      </w:r>
      <w:r w:rsidR="00AE354A">
        <w:rPr>
          <w:szCs w:val="26"/>
        </w:rPr>
        <w:t xml:space="preserve"> Operador Energético Municipal de Pamplona, S.L. y </w:t>
      </w:r>
      <w:proofErr w:type="spellStart"/>
      <w:r w:rsidR="00AE354A">
        <w:rPr>
          <w:szCs w:val="26"/>
        </w:rPr>
        <w:t>Gesterlar</w:t>
      </w:r>
      <w:proofErr w:type="spellEnd"/>
      <w:r w:rsidR="00AE354A">
        <w:rPr>
          <w:szCs w:val="26"/>
        </w:rPr>
        <w:t xml:space="preserve"> Siglo XXI, S.L.</w:t>
      </w:r>
    </w:p>
    <w:p w14:paraId="7D6938A3" w14:textId="77777777" w:rsidR="00683931" w:rsidRDefault="00683931" w:rsidP="00A02FED">
      <w:pPr>
        <w:pStyle w:val="texto"/>
        <w:rPr>
          <w:szCs w:val="26"/>
        </w:rPr>
      </w:pPr>
      <w:r>
        <w:rPr>
          <w:szCs w:val="26"/>
        </w:rPr>
        <w:t>No constan altas ni bajas de fundaciones públicas ni de consorcios.</w:t>
      </w:r>
    </w:p>
    <w:p w14:paraId="27CB91AE" w14:textId="77777777" w:rsidR="00A02FED" w:rsidRDefault="00A02FED">
      <w:pPr>
        <w:spacing w:after="0"/>
        <w:ind w:firstLine="0"/>
        <w:jc w:val="left"/>
        <w:rPr>
          <w:color w:val="000000" w:themeColor="text1"/>
          <w:spacing w:val="6"/>
          <w:sz w:val="26"/>
          <w:szCs w:val="24"/>
        </w:rPr>
      </w:pPr>
      <w:r>
        <w:rPr>
          <w:color w:val="000000" w:themeColor="text1"/>
        </w:rPr>
        <w:br w:type="page"/>
      </w:r>
    </w:p>
    <w:p w14:paraId="28A3737F" w14:textId="3854C9B9" w:rsidR="00345C6C" w:rsidRDefault="00345C6C" w:rsidP="00345C6C">
      <w:pPr>
        <w:pStyle w:val="texto"/>
        <w:spacing w:after="240"/>
        <w:rPr>
          <w:color w:val="000000" w:themeColor="text1"/>
        </w:rPr>
      </w:pPr>
      <w:r w:rsidRPr="00B81E61">
        <w:rPr>
          <w:color w:val="000000" w:themeColor="text1"/>
        </w:rPr>
        <w:lastRenderedPageBreak/>
        <w:t>Considerando los datos anteriores, la estructura del sector público local de Navarra a 31 de diciembre del 20</w:t>
      </w:r>
      <w:r w:rsidR="00683931">
        <w:rPr>
          <w:color w:val="000000" w:themeColor="text1"/>
        </w:rPr>
        <w:t>20</w:t>
      </w:r>
      <w:r w:rsidRPr="00B81E61">
        <w:rPr>
          <w:color w:val="000000" w:themeColor="text1"/>
        </w:rPr>
        <w:t xml:space="preserve"> era la siguiente:</w:t>
      </w:r>
    </w:p>
    <w:p w14:paraId="2192A4B5"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b/>
          <w:bCs/>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51584" behindDoc="0" locked="0" layoutInCell="1" allowOverlap="1" wp14:anchorId="2854621F" wp14:editId="484503F9">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14:paraId="5A50F14D" w14:textId="77777777" w:rsidR="004E2CFD" w:rsidRDefault="004E2CFD" w:rsidP="00345C6C">
                            <w:pPr>
                              <w:spacing w:after="0"/>
                              <w:ind w:firstLine="0"/>
                              <w:jc w:val="center"/>
                              <w:rPr>
                                <w:rFonts w:ascii="Arial" w:hAnsi="Arial" w:cs="Arial"/>
                                <w:sz w:val="16"/>
                                <w:szCs w:val="16"/>
                                <w:lang w:val="es-ES"/>
                              </w:rPr>
                            </w:pPr>
                          </w:p>
                          <w:p w14:paraId="6E460125"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Sector Público Local</w:t>
                            </w:r>
                          </w:p>
                          <w:p w14:paraId="0EA6D10B"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de 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4621F" id="Rectangle 15" o:spid="_x0000_s1027" style="position:absolute;left:0;text-align:left;margin-left:170.8pt;margin-top:4.65pt;width:130.4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" strokeweight=".25pt">
                <v:textbox inset="1pt,1pt,1pt,1pt">
                  <w:txbxContent>
                    <w:p w14:paraId="5A50F14D" w14:textId="77777777" w:rsidR="004E2CFD" w:rsidRDefault="004E2CFD" w:rsidP="00345C6C">
                      <w:pPr>
                        <w:spacing w:after="0"/>
                        <w:ind w:firstLine="0"/>
                        <w:jc w:val="center"/>
                        <w:rPr>
                          <w:rFonts w:ascii="Arial" w:hAnsi="Arial" w:cs="Arial"/>
                          <w:sz w:val="16"/>
                          <w:szCs w:val="16"/>
                          <w:lang w:val="es-ES"/>
                        </w:rPr>
                      </w:pPr>
                    </w:p>
                    <w:p w14:paraId="6E460125"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Sector Público Local</w:t>
                      </w:r>
                    </w:p>
                    <w:p w14:paraId="0EA6D10B"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de Navarra</w:t>
                      </w:r>
                    </w:p>
                  </w:txbxContent>
                </v:textbox>
              </v:rect>
            </w:pict>
          </mc:Fallback>
        </mc:AlternateContent>
      </w:r>
    </w:p>
    <w:p w14:paraId="11C577DE"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36224" behindDoc="0" locked="0" layoutInCell="1" allowOverlap="1" wp14:anchorId="1AB63097" wp14:editId="782BD64C">
                <wp:simplePos x="0" y="0"/>
                <wp:positionH relativeFrom="column">
                  <wp:posOffset>3067050</wp:posOffset>
                </wp:positionH>
                <wp:positionV relativeFrom="paragraph">
                  <wp:posOffset>97790</wp:posOffset>
                </wp:positionV>
                <wp:extent cx="0" cy="1188720"/>
                <wp:effectExtent l="0" t="0" r="19050" b="3048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86A32" id="Line 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7.7pt" to="241.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" strokeweight=".25pt">
                <v:stroke startarrowwidth="narrow" startarrowlength="short" endarrowwidth="narrow" endarrowlength="short"/>
              </v:line>
            </w:pict>
          </mc:Fallback>
        </mc:AlternateContent>
      </w:r>
    </w:p>
    <w:p w14:paraId="5F943765"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299" distR="114299" simplePos="0" relativeHeight="251642368" behindDoc="0" locked="0" layoutInCell="1" allowOverlap="1" wp14:anchorId="0180AFEF" wp14:editId="40EA04DE">
                <wp:simplePos x="0" y="0"/>
                <wp:positionH relativeFrom="column">
                  <wp:posOffset>768350</wp:posOffset>
                </wp:positionH>
                <wp:positionV relativeFrom="paragraph">
                  <wp:posOffset>242570</wp:posOffset>
                </wp:positionV>
                <wp:extent cx="3810" cy="1000760"/>
                <wp:effectExtent l="0" t="0" r="34290" b="2794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00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E0EE5" id="Line 10" o:spid="_x0000_s1026" style="position:absolute;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pt,19.1pt" to="60.8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" strokeweight=".25pt"/>
            </w:pict>
          </mc:Fallback>
        </mc:AlternateContent>
      </w:r>
      <w:r w:rsidRPr="00B81E61">
        <w:rPr>
          <w:noProof/>
          <w:color w:val="000000" w:themeColor="text1"/>
          <w:lang w:val="es-ES" w:eastAsia="es-ES"/>
        </w:rPr>
        <mc:AlternateContent>
          <mc:Choice Requires="wps">
            <w:drawing>
              <wp:anchor distT="0" distB="0" distL="114300" distR="114300" simplePos="0" relativeHeight="251645440" behindDoc="0" locked="0" layoutInCell="1" allowOverlap="1" wp14:anchorId="6CC99675" wp14:editId="0C9DFBB2">
                <wp:simplePos x="0" y="0"/>
                <wp:positionH relativeFrom="column">
                  <wp:posOffset>5198745</wp:posOffset>
                </wp:positionH>
                <wp:positionV relativeFrom="paragraph">
                  <wp:posOffset>240030</wp:posOffset>
                </wp:positionV>
                <wp:extent cx="6985" cy="388620"/>
                <wp:effectExtent l="0" t="0" r="31115" b="1143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86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D2447" id="Line 1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pt" to="40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" strokeweight=".25pt">
                <v:stroke startarrowwidth="narrow" startarrowlength="short" endarrowwidth="narrow" endarrowlength="short"/>
              </v:line>
            </w:pict>
          </mc:Fallback>
        </mc:AlternateContent>
      </w:r>
      <w:r w:rsidRPr="00B81E61">
        <w:rPr>
          <w:noProof/>
          <w:color w:val="000000" w:themeColor="text1"/>
          <w:lang w:val="es-ES" w:eastAsia="es-ES"/>
        </w:rPr>
        <mc:AlternateContent>
          <mc:Choice Requires="wps">
            <w:drawing>
              <wp:anchor distT="4294967295" distB="4294967295" distL="114300" distR="114300" simplePos="0" relativeHeight="251639296" behindDoc="0" locked="0" layoutInCell="1" allowOverlap="1" wp14:anchorId="23CD9270" wp14:editId="2077A410">
                <wp:simplePos x="0" y="0"/>
                <wp:positionH relativeFrom="column">
                  <wp:posOffset>772160</wp:posOffset>
                </wp:positionH>
                <wp:positionV relativeFrom="paragraph">
                  <wp:posOffset>244474</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B740" id="Line 9"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p>
    <w:p w14:paraId="541DFCED"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62848" behindDoc="0" locked="0" layoutInCell="1" allowOverlap="1" wp14:anchorId="28DDB755" wp14:editId="5CCEF039">
                <wp:simplePos x="0" y="0"/>
                <wp:positionH relativeFrom="column">
                  <wp:posOffset>342881</wp:posOffset>
                </wp:positionH>
                <wp:positionV relativeFrom="paragraph">
                  <wp:posOffset>273685</wp:posOffset>
                </wp:positionV>
                <wp:extent cx="841375" cy="370840"/>
                <wp:effectExtent l="0" t="0" r="1587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14:paraId="2C19BBDE" w14:textId="77777777" w:rsidR="004E2CFD" w:rsidRDefault="004E2CFD" w:rsidP="00345C6C">
                            <w:pPr>
                              <w:spacing w:after="0"/>
                              <w:ind w:firstLine="0"/>
                              <w:jc w:val="center"/>
                              <w:rPr>
                                <w:rFonts w:ascii="Arial" w:hAnsi="Arial" w:cs="Arial"/>
                                <w:sz w:val="16"/>
                                <w:szCs w:val="16"/>
                                <w:lang w:val="es-ES"/>
                              </w:rPr>
                            </w:pPr>
                          </w:p>
                          <w:p w14:paraId="7248FEF3"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Municipios: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DB755" id="Rectangle 18" o:spid="_x0000_s1028" style="position:absolute;left:0;text-align:left;margin-left:27pt;margin-top:21.55pt;width:66.25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" strokeweight=".25pt">
                <v:textbox inset="1pt,1pt,1pt,1pt">
                  <w:txbxContent>
                    <w:p w14:paraId="2C19BBDE" w14:textId="77777777" w:rsidR="004E2CFD" w:rsidRDefault="004E2CFD" w:rsidP="00345C6C">
                      <w:pPr>
                        <w:spacing w:after="0"/>
                        <w:ind w:firstLine="0"/>
                        <w:jc w:val="center"/>
                        <w:rPr>
                          <w:rFonts w:ascii="Arial" w:hAnsi="Arial" w:cs="Arial"/>
                          <w:sz w:val="16"/>
                          <w:szCs w:val="16"/>
                          <w:lang w:val="es-ES"/>
                        </w:rPr>
                      </w:pPr>
                    </w:p>
                    <w:p w14:paraId="7248FEF3"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Municipios: 272</w:t>
                      </w:r>
                    </w:p>
                  </w:txbxContent>
                </v:textbox>
              </v:rect>
            </w:pict>
          </mc:Fallback>
        </mc:AlternateContent>
      </w:r>
    </w:p>
    <w:p w14:paraId="1D7CE4C5"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10"/>
          <w:szCs w:val="10"/>
          <w:highlight w:val="yellow"/>
        </w:rPr>
      </w:pPr>
      <w:r w:rsidRPr="00B81E61">
        <w:rPr>
          <w:noProof/>
          <w:color w:val="000000" w:themeColor="text1"/>
          <w:lang w:val="es-ES" w:eastAsia="es-ES"/>
        </w:rPr>
        <mc:AlternateContent>
          <mc:Choice Requires="wps">
            <w:drawing>
              <wp:anchor distT="0" distB="0" distL="114300" distR="114300" simplePos="0" relativeHeight="251659776" behindDoc="0" locked="0" layoutInCell="1" allowOverlap="1" wp14:anchorId="09E2AB54" wp14:editId="57D36937">
                <wp:simplePos x="0" y="0"/>
                <wp:positionH relativeFrom="column">
                  <wp:posOffset>2566035</wp:posOffset>
                </wp:positionH>
                <wp:positionV relativeFrom="paragraph">
                  <wp:posOffset>12700</wp:posOffset>
                </wp:positionV>
                <wp:extent cx="1019175" cy="370205"/>
                <wp:effectExtent l="0" t="0" r="2857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14:paraId="700C2E3A"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 xml:space="preserve">Entidades </w:t>
                            </w:r>
                          </w:p>
                          <w:p w14:paraId="1E565FC8" w14:textId="77777777" w:rsidR="004E2CFD" w:rsidRPr="00D05EAF" w:rsidRDefault="004E2CFD" w:rsidP="00345C6C">
                            <w:pPr>
                              <w:spacing w:after="0"/>
                              <w:ind w:firstLine="0"/>
                              <w:jc w:val="center"/>
                              <w:rPr>
                                <w:rFonts w:ascii="Arial Narrow" w:hAnsi="Arial Narrow" w:cs="GillSans"/>
                                <w:sz w:val="18"/>
                                <w:szCs w:val="18"/>
                              </w:rPr>
                            </w:pPr>
                            <w:r w:rsidRPr="000035AC">
                              <w:rPr>
                                <w:rFonts w:ascii="Arial" w:hAnsi="Arial" w:cs="Arial"/>
                                <w:sz w:val="16"/>
                                <w:szCs w:val="16"/>
                                <w:lang w:val="es-ES"/>
                              </w:rPr>
                              <w:t xml:space="preserve"> </w:t>
                            </w:r>
                            <w:proofErr w:type="spellStart"/>
                            <w:r w:rsidRPr="000035AC">
                              <w:rPr>
                                <w:rFonts w:ascii="Arial" w:hAnsi="Arial" w:cs="Arial"/>
                                <w:sz w:val="16"/>
                                <w:szCs w:val="16"/>
                                <w:lang w:val="es-ES"/>
                              </w:rPr>
                              <w:t>supramunici</w:t>
                            </w:r>
                            <w:proofErr w:type="spellEnd"/>
                            <w:r w:rsidRPr="00D05EAF">
                              <w:rPr>
                                <w:rFonts w:ascii="Arial Narrow" w:hAnsi="Arial Narrow" w:cs="GillSans"/>
                                <w:sz w:val="18"/>
                                <w:szCs w:val="18"/>
                              </w:rPr>
                              <w:t xml:space="preserve">pales: </w:t>
                            </w:r>
                            <w:r w:rsidRPr="006B749F">
                              <w:rPr>
                                <w:rFonts w:ascii="Arial Narrow" w:hAnsi="Arial Narrow" w:cs="GillSans"/>
                                <w:sz w:val="16"/>
                                <w:szCs w:val="16"/>
                              </w:rPr>
                              <w:t>8</w:t>
                            </w:r>
                            <w:r>
                              <w:rPr>
                                <w:rFonts w:ascii="Arial Narrow" w:hAnsi="Arial Narrow" w:cs="GillSans"/>
                                <w:sz w:val="16"/>
                                <w:szCs w:val="16"/>
                              </w:rP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2AB54" id="Rectangle 17" o:spid="_x0000_s1029" style="position:absolute;left:0;text-align:left;margin-left:202.05pt;margin-top:1pt;width:80.25pt;height:2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" strokeweight=".25pt">
                <v:textbox inset="1pt,1pt,1pt,1pt">
                  <w:txbxContent>
                    <w:p w14:paraId="700C2E3A"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 xml:space="preserve">Entidades </w:t>
                      </w:r>
                    </w:p>
                    <w:p w14:paraId="1E565FC8" w14:textId="77777777" w:rsidR="004E2CFD" w:rsidRPr="00D05EAF" w:rsidRDefault="004E2CFD" w:rsidP="00345C6C">
                      <w:pPr>
                        <w:spacing w:after="0"/>
                        <w:ind w:firstLine="0"/>
                        <w:jc w:val="center"/>
                        <w:rPr>
                          <w:rFonts w:ascii="Arial Narrow" w:hAnsi="Arial Narrow" w:cs="GillSans"/>
                          <w:sz w:val="18"/>
                          <w:szCs w:val="18"/>
                        </w:rPr>
                      </w:pPr>
                      <w:r w:rsidRPr="000035AC">
                        <w:rPr>
                          <w:rFonts w:ascii="Arial" w:hAnsi="Arial" w:cs="Arial"/>
                          <w:sz w:val="16"/>
                          <w:szCs w:val="16"/>
                          <w:lang w:val="es-ES"/>
                        </w:rPr>
                        <w:t xml:space="preserve"> </w:t>
                      </w:r>
                      <w:proofErr w:type="spellStart"/>
                      <w:r w:rsidRPr="000035AC">
                        <w:rPr>
                          <w:rFonts w:ascii="Arial" w:hAnsi="Arial" w:cs="Arial"/>
                          <w:sz w:val="16"/>
                          <w:szCs w:val="16"/>
                          <w:lang w:val="es-ES"/>
                        </w:rPr>
                        <w:t>supramunici</w:t>
                      </w:r>
                      <w:proofErr w:type="spellEnd"/>
                      <w:r w:rsidRPr="00D05EAF">
                        <w:rPr>
                          <w:rFonts w:ascii="Arial Narrow" w:hAnsi="Arial Narrow" w:cs="GillSans"/>
                          <w:sz w:val="18"/>
                          <w:szCs w:val="18"/>
                        </w:rPr>
                        <w:t xml:space="preserve">pales: </w:t>
                      </w:r>
                      <w:r w:rsidRPr="006B749F">
                        <w:rPr>
                          <w:rFonts w:ascii="Arial Narrow" w:hAnsi="Arial Narrow" w:cs="GillSans"/>
                          <w:sz w:val="16"/>
                          <w:szCs w:val="16"/>
                        </w:rPr>
                        <w:t>8</w:t>
                      </w:r>
                      <w:r>
                        <w:rPr>
                          <w:rFonts w:ascii="Arial Narrow" w:hAnsi="Arial Narrow" w:cs="GillSans"/>
                          <w:sz w:val="16"/>
                          <w:szCs w:val="16"/>
                        </w:rPr>
                        <w:t>3</w:t>
                      </w:r>
                    </w:p>
                  </w:txbxContent>
                </v:textbox>
              </v:rect>
            </w:pict>
          </mc:Fallback>
        </mc:AlternateContent>
      </w:r>
      <w:r w:rsidRPr="00B81E61">
        <w:rPr>
          <w:noProof/>
          <w:color w:val="000000" w:themeColor="text1"/>
          <w:lang w:val="es-ES" w:eastAsia="es-ES"/>
        </w:rPr>
        <mc:AlternateContent>
          <mc:Choice Requires="wps">
            <w:drawing>
              <wp:anchor distT="0" distB="0" distL="114300" distR="114300" simplePos="0" relativeHeight="251654656" behindDoc="0" locked="0" layoutInCell="1" allowOverlap="1" wp14:anchorId="6478498E" wp14:editId="75AABFF9">
                <wp:simplePos x="0" y="0"/>
                <wp:positionH relativeFrom="column">
                  <wp:posOffset>4740910</wp:posOffset>
                </wp:positionH>
                <wp:positionV relativeFrom="paragraph">
                  <wp:posOffset>8890</wp:posOffset>
                </wp:positionV>
                <wp:extent cx="842010" cy="369570"/>
                <wp:effectExtent l="0" t="0" r="15240" b="1143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14:paraId="49A5D3A4" w14:textId="77777777" w:rsidR="004E2CFD" w:rsidRDefault="004E2CFD" w:rsidP="00345C6C">
                            <w:pPr>
                              <w:spacing w:after="0"/>
                              <w:ind w:firstLine="0"/>
                              <w:jc w:val="center"/>
                              <w:rPr>
                                <w:rFonts w:ascii="Arial" w:hAnsi="Arial" w:cs="Arial"/>
                                <w:sz w:val="16"/>
                                <w:szCs w:val="16"/>
                                <w:lang w:val="es-ES"/>
                              </w:rPr>
                            </w:pPr>
                          </w:p>
                          <w:p w14:paraId="79B505BA"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Concejos: 346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8498E" id="Rectangle 16" o:spid="_x0000_s1030" style="position:absolute;left:0;text-align:left;margin-left:373.3pt;margin-top:.7pt;width:66.3pt;height:2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" strokeweight=".25pt">
                <v:textbox inset="1pt,1pt,1pt,1pt">
                  <w:txbxContent>
                    <w:p w14:paraId="49A5D3A4" w14:textId="77777777" w:rsidR="004E2CFD" w:rsidRDefault="004E2CFD" w:rsidP="00345C6C">
                      <w:pPr>
                        <w:spacing w:after="0"/>
                        <w:ind w:firstLine="0"/>
                        <w:jc w:val="center"/>
                        <w:rPr>
                          <w:rFonts w:ascii="Arial" w:hAnsi="Arial" w:cs="Arial"/>
                          <w:sz w:val="16"/>
                          <w:szCs w:val="16"/>
                          <w:lang w:val="es-ES"/>
                        </w:rPr>
                      </w:pPr>
                    </w:p>
                    <w:p w14:paraId="79B505BA"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Concejos: 346</w:t>
                      </w:r>
                    </w:p>
                  </w:txbxContent>
                </v:textbox>
              </v:rect>
            </w:pict>
          </mc:Fallback>
        </mc:AlternateContent>
      </w:r>
    </w:p>
    <w:p w14:paraId="5B6116C8"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p>
    <w:p w14:paraId="36B3DFDB"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65920" behindDoc="0" locked="0" layoutInCell="1" allowOverlap="1" wp14:anchorId="3293A92C" wp14:editId="65CDBE3F">
                <wp:simplePos x="0" y="0"/>
                <wp:positionH relativeFrom="column">
                  <wp:posOffset>61595</wp:posOffset>
                </wp:positionH>
                <wp:positionV relativeFrom="paragraph">
                  <wp:posOffset>144780</wp:posOffset>
                </wp:positionV>
                <wp:extent cx="1433195" cy="623570"/>
                <wp:effectExtent l="0" t="0" r="14605" b="2413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23570"/>
                        </a:xfrm>
                        <a:prstGeom prst="rect">
                          <a:avLst/>
                        </a:prstGeom>
                        <a:solidFill>
                          <a:srgbClr val="FFFFFF"/>
                        </a:solidFill>
                        <a:ln w="3175">
                          <a:solidFill>
                            <a:srgbClr val="000000"/>
                          </a:solidFill>
                          <a:miter lim="800000"/>
                          <a:headEnd/>
                          <a:tailEnd/>
                        </a:ln>
                      </wps:spPr>
                      <wps:txbx>
                        <w:txbxContent>
                          <w:p w14:paraId="7A008176" w14:textId="77777777" w:rsidR="004E2CFD" w:rsidRPr="000035AC" w:rsidRDefault="004E2CFD" w:rsidP="00345C6C">
                            <w:pPr>
                              <w:spacing w:before="60" w:after="0"/>
                              <w:ind w:firstLine="0"/>
                              <w:jc w:val="center"/>
                              <w:rPr>
                                <w:rFonts w:ascii="Arial" w:hAnsi="Arial" w:cs="Arial"/>
                                <w:sz w:val="16"/>
                                <w:szCs w:val="16"/>
                                <w:lang w:val="es-ES"/>
                              </w:rPr>
                            </w:pPr>
                            <w:r w:rsidRPr="000035AC">
                              <w:rPr>
                                <w:rFonts w:ascii="Arial" w:hAnsi="Arial" w:cs="Arial"/>
                                <w:sz w:val="16"/>
                                <w:szCs w:val="16"/>
                                <w:lang w:val="es-ES"/>
                              </w:rPr>
                              <w:t>Organismos autónomos: 5</w:t>
                            </w:r>
                            <w:r>
                              <w:rPr>
                                <w:rFonts w:ascii="Arial" w:hAnsi="Arial" w:cs="Arial"/>
                                <w:sz w:val="16"/>
                                <w:szCs w:val="16"/>
                                <w:lang w:val="es-ES"/>
                              </w:rPr>
                              <w:t>3</w:t>
                            </w:r>
                          </w:p>
                          <w:p w14:paraId="007391B1"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 4</w:t>
                            </w:r>
                            <w:r>
                              <w:rPr>
                                <w:rFonts w:ascii="Arial" w:hAnsi="Arial" w:cs="Arial"/>
                                <w:sz w:val="16"/>
                                <w:szCs w:val="16"/>
                                <w:lang w:val="es-ES"/>
                              </w:rPr>
                              <w:t>5</w:t>
                            </w:r>
                          </w:p>
                          <w:p w14:paraId="6CA8F6A9" w14:textId="7F2EF94E"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Fundaciones</w:t>
                            </w:r>
                            <w:r>
                              <w:rPr>
                                <w:rFonts w:ascii="Arial" w:hAnsi="Arial" w:cs="Arial"/>
                                <w:sz w:val="16"/>
                                <w:szCs w:val="16"/>
                                <w:lang w:val="es-ES"/>
                              </w:rPr>
                              <w:t xml:space="preserve"> públicas</w:t>
                            </w:r>
                            <w:r w:rsidRPr="000035AC">
                              <w:rPr>
                                <w:rFonts w:ascii="Arial" w:hAnsi="Arial" w:cs="Arial"/>
                                <w:sz w:val="16"/>
                                <w:szCs w:val="16"/>
                                <w:lang w:val="es-ES"/>
                              </w:rPr>
                              <w:t>: 8</w:t>
                            </w:r>
                          </w:p>
                          <w:p w14:paraId="290B968D"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Consorcios: 17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3A92C" id="Rectangle 19" o:spid="_x0000_s1031" style="position:absolute;left:0;text-align:left;margin-left:4.85pt;margin-top:11.4pt;width:112.85pt;height:4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" strokeweight=".25pt">
                <v:textbox inset="1pt,1pt,1pt,1pt">
                  <w:txbxContent>
                    <w:p w14:paraId="7A008176" w14:textId="77777777" w:rsidR="004E2CFD" w:rsidRPr="000035AC" w:rsidRDefault="004E2CFD" w:rsidP="00345C6C">
                      <w:pPr>
                        <w:spacing w:before="60" w:after="0"/>
                        <w:ind w:firstLine="0"/>
                        <w:jc w:val="center"/>
                        <w:rPr>
                          <w:rFonts w:ascii="Arial" w:hAnsi="Arial" w:cs="Arial"/>
                          <w:sz w:val="16"/>
                          <w:szCs w:val="16"/>
                          <w:lang w:val="es-ES"/>
                        </w:rPr>
                      </w:pPr>
                      <w:r w:rsidRPr="000035AC">
                        <w:rPr>
                          <w:rFonts w:ascii="Arial" w:hAnsi="Arial" w:cs="Arial"/>
                          <w:sz w:val="16"/>
                          <w:szCs w:val="16"/>
                          <w:lang w:val="es-ES"/>
                        </w:rPr>
                        <w:t>Organismos autónomos: 5</w:t>
                      </w:r>
                      <w:r>
                        <w:rPr>
                          <w:rFonts w:ascii="Arial" w:hAnsi="Arial" w:cs="Arial"/>
                          <w:sz w:val="16"/>
                          <w:szCs w:val="16"/>
                          <w:lang w:val="es-ES"/>
                        </w:rPr>
                        <w:t>3</w:t>
                      </w:r>
                    </w:p>
                    <w:p w14:paraId="007391B1"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 4</w:t>
                      </w:r>
                      <w:r>
                        <w:rPr>
                          <w:rFonts w:ascii="Arial" w:hAnsi="Arial" w:cs="Arial"/>
                          <w:sz w:val="16"/>
                          <w:szCs w:val="16"/>
                          <w:lang w:val="es-ES"/>
                        </w:rPr>
                        <w:t>5</w:t>
                      </w:r>
                    </w:p>
                    <w:p w14:paraId="6CA8F6A9" w14:textId="7F2EF94E"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Fundaciones</w:t>
                      </w:r>
                      <w:r>
                        <w:rPr>
                          <w:rFonts w:ascii="Arial" w:hAnsi="Arial" w:cs="Arial"/>
                          <w:sz w:val="16"/>
                          <w:szCs w:val="16"/>
                          <w:lang w:val="es-ES"/>
                        </w:rPr>
                        <w:t xml:space="preserve"> públicas</w:t>
                      </w:r>
                      <w:r w:rsidRPr="000035AC">
                        <w:rPr>
                          <w:rFonts w:ascii="Arial" w:hAnsi="Arial" w:cs="Arial"/>
                          <w:sz w:val="16"/>
                          <w:szCs w:val="16"/>
                          <w:lang w:val="es-ES"/>
                        </w:rPr>
                        <w:t>: 8</w:t>
                      </w:r>
                    </w:p>
                    <w:p w14:paraId="290B968D"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Consorcios: 17</w:t>
                      </w:r>
                    </w:p>
                  </w:txbxContent>
                </v:textbox>
              </v:rect>
            </w:pict>
          </mc:Fallback>
        </mc:AlternateContent>
      </w:r>
      <w:r w:rsidRPr="00B81E61">
        <w:rPr>
          <w:noProof/>
          <w:color w:val="000000" w:themeColor="text1"/>
          <w:lang w:val="es-ES" w:eastAsia="es-ES"/>
        </w:rPr>
        <mc:AlternateContent>
          <mc:Choice Requires="wps">
            <w:drawing>
              <wp:anchor distT="4294967295" distB="4294967295" distL="114300" distR="114300" simplePos="0" relativeHeight="251648512" behindDoc="0" locked="0" layoutInCell="1" allowOverlap="1" wp14:anchorId="210858BF" wp14:editId="58415367">
                <wp:simplePos x="0" y="0"/>
                <wp:positionH relativeFrom="column">
                  <wp:posOffset>2292350</wp:posOffset>
                </wp:positionH>
                <wp:positionV relativeFrom="paragraph">
                  <wp:posOffset>2540</wp:posOffset>
                </wp:positionV>
                <wp:extent cx="1560830" cy="5080"/>
                <wp:effectExtent l="0" t="0" r="20320" b="3302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508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3195" id="Line 14" o:spid="_x0000_s1026" style="position:absolute;flip:y;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2pt" to="30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" strokeweight=".25pt">
                <v:stroke startarrowwidth="narrow" startarrowlength="short" endarrowwidth="narrow" endarrowlength="short"/>
              </v:line>
            </w:pict>
          </mc:Fallback>
        </mc:AlternateContent>
      </w:r>
      <w:r w:rsidRPr="00B81E61">
        <w:rPr>
          <w:noProof/>
          <w:color w:val="000000" w:themeColor="text1"/>
          <w:lang w:val="es-ES" w:eastAsia="es-ES"/>
        </w:rPr>
        <mc:AlternateContent>
          <mc:Choice Requires="wps">
            <w:drawing>
              <wp:anchor distT="0" distB="0" distL="114300" distR="114300" simplePos="0" relativeHeight="251633152" behindDoc="0" locked="0" layoutInCell="1" allowOverlap="1" wp14:anchorId="5D298336" wp14:editId="1C9BA4EE">
                <wp:simplePos x="0" y="0"/>
                <wp:positionH relativeFrom="column">
                  <wp:posOffset>2290445</wp:posOffset>
                </wp:positionH>
                <wp:positionV relativeFrom="paragraph">
                  <wp:posOffset>7620</wp:posOffset>
                </wp:positionV>
                <wp:extent cx="0" cy="859790"/>
                <wp:effectExtent l="0" t="0" r="19050" b="1651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979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2E04" id="Line 22"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6pt" to="180.3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" strokeweight=".25pt">
                <v:stroke startarrowwidth="narrow" startarrowlength="short" endarrowwidth="narrow" endarrowlength="short"/>
              </v:line>
            </w:pict>
          </mc:Fallback>
        </mc:AlternateContent>
      </w:r>
      <w:r w:rsidRPr="00B81E61">
        <w:rPr>
          <w:noProof/>
          <w:color w:val="000000" w:themeColor="text1"/>
          <w:lang w:val="es-ES" w:eastAsia="es-ES"/>
        </w:rPr>
        <mc:AlternateContent>
          <mc:Choice Requires="wps">
            <w:drawing>
              <wp:anchor distT="0" distB="0" distL="114300" distR="114300" simplePos="0" relativeHeight="251672064" behindDoc="0" locked="0" layoutInCell="1" allowOverlap="1" wp14:anchorId="1A131109" wp14:editId="68814030">
                <wp:simplePos x="0" y="0"/>
                <wp:positionH relativeFrom="column">
                  <wp:posOffset>3848735</wp:posOffset>
                </wp:positionH>
                <wp:positionV relativeFrom="paragraph">
                  <wp:posOffset>4445</wp:posOffset>
                </wp:positionV>
                <wp:extent cx="6350" cy="409575"/>
                <wp:effectExtent l="0" t="0" r="31750" b="2857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957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890B6" id="Line 2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35pt" to="303.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" strokeweight=".25pt">
                <v:stroke startarrowwidth="narrow" startarrowlength="short" endarrowwidth="narrow" endarrowlength="short"/>
              </v:line>
            </w:pict>
          </mc:Fallback>
        </mc:AlternateContent>
      </w:r>
      <w:r w:rsidRPr="00B81E61">
        <w:rPr>
          <w:noProof/>
          <w:color w:val="000000" w:themeColor="text1"/>
          <w:lang w:val="es-ES" w:eastAsia="es-ES"/>
        </w:rPr>
        <mc:AlternateContent>
          <mc:Choice Requires="wps">
            <w:drawing>
              <wp:anchor distT="0" distB="0" distL="114300" distR="114300" simplePos="0" relativeHeight="251678208" behindDoc="0" locked="0" layoutInCell="1" allowOverlap="1" wp14:anchorId="41885AF0" wp14:editId="27157970">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14:paraId="30B74C8F" w14:textId="77777777" w:rsidR="004E2CFD" w:rsidRDefault="004E2CFD" w:rsidP="00345C6C">
                            <w:pPr>
                              <w:spacing w:after="0"/>
                              <w:ind w:firstLine="0"/>
                              <w:jc w:val="center"/>
                              <w:rPr>
                                <w:rFonts w:ascii="Arial" w:hAnsi="Arial" w:cs="Arial"/>
                                <w:sz w:val="16"/>
                                <w:szCs w:val="16"/>
                                <w:lang w:val="es-ES"/>
                              </w:rPr>
                            </w:pPr>
                          </w:p>
                          <w:p w14:paraId="0300D58E" w14:textId="77777777" w:rsidR="004E2CFD" w:rsidRPr="000035AC" w:rsidRDefault="004E2CFD" w:rsidP="00345C6C">
                            <w:pPr>
                              <w:spacing w:after="0"/>
                              <w:ind w:firstLine="0"/>
                              <w:jc w:val="center"/>
                              <w:rPr>
                                <w:rFonts w:ascii="Arial" w:hAnsi="Arial" w:cs="Arial"/>
                                <w:sz w:val="14"/>
                                <w:szCs w:val="14"/>
                                <w:lang w:val="es-ES"/>
                              </w:rPr>
                            </w:pPr>
                            <w:r w:rsidRPr="000035AC">
                              <w:rPr>
                                <w:rFonts w:ascii="Arial" w:hAnsi="Arial" w:cs="Arial"/>
                                <w:sz w:val="14"/>
                                <w:szCs w:val="14"/>
                                <w:lang w:val="es-ES"/>
                              </w:rPr>
                              <w:t>Agrupaciones municipios: 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85AF0" id="Rectangle 24" o:spid="_x0000_s1032" style="position:absolute;left:0;text-align:left;margin-left:257.2pt;margin-top:13.15pt;width:96.85pt;height:29.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" strokeweight=".25pt">
                <v:textbox inset="1pt,1pt,1pt,1pt">
                  <w:txbxContent>
                    <w:p w14:paraId="30B74C8F" w14:textId="77777777" w:rsidR="004E2CFD" w:rsidRDefault="004E2CFD" w:rsidP="00345C6C">
                      <w:pPr>
                        <w:spacing w:after="0"/>
                        <w:ind w:firstLine="0"/>
                        <w:jc w:val="center"/>
                        <w:rPr>
                          <w:rFonts w:ascii="Arial" w:hAnsi="Arial" w:cs="Arial"/>
                          <w:sz w:val="16"/>
                          <w:szCs w:val="16"/>
                          <w:lang w:val="es-ES"/>
                        </w:rPr>
                      </w:pPr>
                    </w:p>
                    <w:p w14:paraId="0300D58E" w14:textId="77777777" w:rsidR="004E2CFD" w:rsidRPr="000035AC" w:rsidRDefault="004E2CFD" w:rsidP="00345C6C">
                      <w:pPr>
                        <w:spacing w:after="0"/>
                        <w:ind w:firstLine="0"/>
                        <w:jc w:val="center"/>
                        <w:rPr>
                          <w:rFonts w:ascii="Arial" w:hAnsi="Arial" w:cs="Arial"/>
                          <w:sz w:val="14"/>
                          <w:szCs w:val="14"/>
                          <w:lang w:val="es-ES"/>
                        </w:rPr>
                      </w:pPr>
                      <w:r w:rsidRPr="000035AC">
                        <w:rPr>
                          <w:rFonts w:ascii="Arial" w:hAnsi="Arial" w:cs="Arial"/>
                          <w:sz w:val="14"/>
                          <w:szCs w:val="14"/>
                          <w:lang w:val="es-ES"/>
                        </w:rPr>
                        <w:t>Agrupaciones municipios: 22</w:t>
                      </w:r>
                    </w:p>
                  </w:txbxContent>
                </v:textbox>
              </v:rect>
            </w:pict>
          </mc:Fallback>
        </mc:AlternateContent>
      </w:r>
      <w:r w:rsidRPr="00B81E61">
        <w:rPr>
          <w:noProof/>
          <w:color w:val="000000" w:themeColor="text1"/>
          <w:lang w:val="es-ES" w:eastAsia="es-ES"/>
        </w:rPr>
        <mc:AlternateContent>
          <mc:Choice Requires="wps">
            <w:drawing>
              <wp:anchor distT="0" distB="0" distL="114300" distR="114300" simplePos="0" relativeHeight="251675136" behindDoc="0" locked="0" layoutInCell="1" allowOverlap="1" wp14:anchorId="7DE085C4" wp14:editId="2978A65E">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14:paraId="6726F140" w14:textId="77777777" w:rsidR="004E2CFD" w:rsidRDefault="004E2CFD" w:rsidP="00345C6C">
                            <w:pPr>
                              <w:spacing w:after="0"/>
                              <w:ind w:firstLine="0"/>
                              <w:jc w:val="center"/>
                              <w:rPr>
                                <w:rFonts w:ascii="Arial" w:hAnsi="Arial" w:cs="Arial"/>
                                <w:sz w:val="16"/>
                                <w:szCs w:val="16"/>
                                <w:lang w:val="es-ES"/>
                              </w:rPr>
                            </w:pPr>
                          </w:p>
                          <w:p w14:paraId="5C020F05"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Mancomunidades: 6</w:t>
                            </w:r>
                            <w:r>
                              <w:rPr>
                                <w:rFonts w:ascii="Arial" w:hAnsi="Arial" w:cs="Arial"/>
                                <w:sz w:val="16"/>
                                <w:szCs w:val="16"/>
                                <w:lang w:val="es-ES"/>
                              </w:rP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085C4" id="Rectangle 23" o:spid="_x0000_s1033" style="position:absolute;left:0;text-align:left;margin-left:140.5pt;margin-top:13pt;width:93.9pt;height:29.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" strokeweight=".25pt">
                <v:textbox inset="1pt,1pt,1pt,1pt">
                  <w:txbxContent>
                    <w:p w14:paraId="6726F140" w14:textId="77777777" w:rsidR="004E2CFD" w:rsidRDefault="004E2CFD" w:rsidP="00345C6C">
                      <w:pPr>
                        <w:spacing w:after="0"/>
                        <w:ind w:firstLine="0"/>
                        <w:jc w:val="center"/>
                        <w:rPr>
                          <w:rFonts w:ascii="Arial" w:hAnsi="Arial" w:cs="Arial"/>
                          <w:sz w:val="16"/>
                          <w:szCs w:val="16"/>
                          <w:lang w:val="es-ES"/>
                        </w:rPr>
                      </w:pPr>
                    </w:p>
                    <w:p w14:paraId="5C020F05"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Mancomunidades: 6</w:t>
                      </w:r>
                      <w:r>
                        <w:rPr>
                          <w:rFonts w:ascii="Arial" w:hAnsi="Arial" w:cs="Arial"/>
                          <w:sz w:val="16"/>
                          <w:szCs w:val="16"/>
                          <w:lang w:val="es-ES"/>
                        </w:rPr>
                        <w:t>1</w:t>
                      </w:r>
                    </w:p>
                  </w:txbxContent>
                </v:textbox>
              </v:rect>
            </w:pict>
          </mc:Fallback>
        </mc:AlternateContent>
      </w:r>
    </w:p>
    <w:p w14:paraId="2D9FAF4C"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84352" behindDoc="1" locked="0" layoutInCell="1" allowOverlap="1" wp14:anchorId="149328DC" wp14:editId="6C93490D">
                <wp:simplePos x="0" y="0"/>
                <wp:positionH relativeFrom="column">
                  <wp:posOffset>3829685</wp:posOffset>
                </wp:positionH>
                <wp:positionV relativeFrom="paragraph">
                  <wp:posOffset>254635</wp:posOffset>
                </wp:positionV>
                <wp:extent cx="0" cy="334800"/>
                <wp:effectExtent l="0" t="0" r="19050" b="2730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480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4652" id="Line 22" o:spid="_x0000_s1026" style="position:absolute;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5pt,20.05pt" to="301.5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" strokeweight=".25pt">
                <v:stroke startarrowwidth="narrow" startarrowlength="short" endarrowwidth="narrow" endarrowlength="short"/>
              </v:line>
            </w:pict>
          </mc:Fallback>
        </mc:AlternateContent>
      </w:r>
    </w:p>
    <w:p w14:paraId="6214CF2C"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81280" behindDoc="0" locked="0" layoutInCell="1" allowOverlap="1" wp14:anchorId="69665C59" wp14:editId="16F1C070">
                <wp:simplePos x="0" y="0"/>
                <wp:positionH relativeFrom="column">
                  <wp:posOffset>3267710</wp:posOffset>
                </wp:positionH>
                <wp:positionV relativeFrom="paragraph">
                  <wp:posOffset>250190</wp:posOffset>
                </wp:positionV>
                <wp:extent cx="1409700" cy="345440"/>
                <wp:effectExtent l="0" t="0" r="19050" b="1651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45440"/>
                        </a:xfrm>
                        <a:prstGeom prst="rect">
                          <a:avLst/>
                        </a:prstGeom>
                        <a:solidFill>
                          <a:srgbClr val="FFFFFF"/>
                        </a:solidFill>
                        <a:ln w="3175">
                          <a:solidFill>
                            <a:srgbClr val="000000"/>
                          </a:solidFill>
                          <a:miter lim="800000"/>
                          <a:headEnd/>
                          <a:tailEnd/>
                        </a:ln>
                      </wps:spPr>
                      <wps:txbx>
                        <w:txbxContent>
                          <w:p w14:paraId="6C4E8338" w14:textId="77777777" w:rsidR="004E2CFD" w:rsidRDefault="004E2CFD" w:rsidP="00345C6C">
                            <w:pPr>
                              <w:spacing w:after="0"/>
                              <w:ind w:firstLine="0"/>
                              <w:jc w:val="center"/>
                              <w:rPr>
                                <w:rFonts w:ascii="Arial" w:hAnsi="Arial" w:cs="Arial"/>
                                <w:sz w:val="16"/>
                                <w:szCs w:val="16"/>
                                <w:lang w:val="es-ES"/>
                              </w:rPr>
                            </w:pPr>
                          </w:p>
                          <w:p w14:paraId="1B0CF7E1"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w:t>
                            </w:r>
                            <w:r>
                              <w:rPr>
                                <w:rFonts w:ascii="Arial Narrow" w:hAnsi="Arial Narrow" w:cs="GillSans Light"/>
                                <w:sz w:val="18"/>
                                <w:szCs w:val="18"/>
                              </w:rPr>
                              <w:t xml:space="preserve"> </w:t>
                            </w:r>
                            <w:r>
                              <w:rPr>
                                <w:rFonts w:ascii="Arial" w:hAnsi="Arial" w:cs="Arial"/>
                                <w:sz w:val="16"/>
                                <w:szCs w:val="16"/>
                                <w:lang w:val="es-ES"/>
                              </w:rPr>
                              <w:t>2</w:t>
                            </w:r>
                          </w:p>
                          <w:p w14:paraId="5B8E2204" w14:textId="77777777" w:rsidR="004E2CFD" w:rsidRPr="000035AC" w:rsidRDefault="004E2CFD" w:rsidP="00345C6C">
                            <w:pPr>
                              <w:spacing w:after="0"/>
                              <w:ind w:firstLine="0"/>
                              <w:jc w:val="center"/>
                              <w:rPr>
                                <w:rFonts w:ascii="Arial" w:hAnsi="Arial" w:cs="Arial"/>
                                <w:sz w:val="16"/>
                                <w:szCs w:val="16"/>
                                <w:lang w:val="es-E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65C59" id="_x0000_s1034" style="position:absolute;left:0;text-align:left;margin-left:257.3pt;margin-top:19.7pt;width:111pt;height:27.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" strokeweight=".25pt">
                <v:textbox inset="1pt,1pt,1pt,1pt">
                  <w:txbxContent>
                    <w:p w14:paraId="6C4E8338" w14:textId="77777777" w:rsidR="004E2CFD" w:rsidRDefault="004E2CFD" w:rsidP="00345C6C">
                      <w:pPr>
                        <w:spacing w:after="0"/>
                        <w:ind w:firstLine="0"/>
                        <w:jc w:val="center"/>
                        <w:rPr>
                          <w:rFonts w:ascii="Arial" w:hAnsi="Arial" w:cs="Arial"/>
                          <w:sz w:val="16"/>
                          <w:szCs w:val="16"/>
                          <w:lang w:val="es-ES"/>
                        </w:rPr>
                      </w:pPr>
                    </w:p>
                    <w:p w14:paraId="1B0CF7E1"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w:t>
                      </w:r>
                      <w:r>
                        <w:rPr>
                          <w:rFonts w:ascii="Arial Narrow" w:hAnsi="Arial Narrow" w:cs="GillSans Light"/>
                          <w:sz w:val="18"/>
                          <w:szCs w:val="18"/>
                        </w:rPr>
                        <w:t xml:space="preserve"> </w:t>
                      </w:r>
                      <w:r>
                        <w:rPr>
                          <w:rFonts w:ascii="Arial" w:hAnsi="Arial" w:cs="Arial"/>
                          <w:sz w:val="16"/>
                          <w:szCs w:val="16"/>
                          <w:lang w:val="es-ES"/>
                        </w:rPr>
                        <w:t>2</w:t>
                      </w:r>
                    </w:p>
                    <w:p w14:paraId="5B8E2204" w14:textId="77777777" w:rsidR="004E2CFD" w:rsidRPr="000035AC" w:rsidRDefault="004E2CFD" w:rsidP="00345C6C">
                      <w:pPr>
                        <w:spacing w:after="0"/>
                        <w:ind w:firstLine="0"/>
                        <w:jc w:val="center"/>
                        <w:rPr>
                          <w:rFonts w:ascii="Arial" w:hAnsi="Arial" w:cs="Arial"/>
                          <w:sz w:val="16"/>
                          <w:szCs w:val="16"/>
                          <w:lang w:val="es-ES"/>
                        </w:rPr>
                      </w:pPr>
                    </w:p>
                  </w:txbxContent>
                </v:textbox>
              </v:rect>
            </w:pict>
          </mc:Fallback>
        </mc:AlternateContent>
      </w:r>
      <w:r w:rsidRPr="00B81E61">
        <w:rPr>
          <w:noProof/>
          <w:color w:val="000000" w:themeColor="text1"/>
          <w:lang w:val="es-ES" w:eastAsia="es-ES"/>
        </w:rPr>
        <mc:AlternateContent>
          <mc:Choice Requires="wps">
            <w:drawing>
              <wp:anchor distT="0" distB="0" distL="114300" distR="114300" simplePos="0" relativeHeight="251668992" behindDoc="0" locked="0" layoutInCell="1" allowOverlap="1" wp14:anchorId="53705710" wp14:editId="17C8DA81">
                <wp:simplePos x="0" y="0"/>
                <wp:positionH relativeFrom="column">
                  <wp:posOffset>1657702</wp:posOffset>
                </wp:positionH>
                <wp:positionV relativeFrom="paragraph">
                  <wp:posOffset>247242</wp:posOffset>
                </wp:positionV>
                <wp:extent cx="1413974" cy="345440"/>
                <wp:effectExtent l="0" t="0" r="15240" b="1651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974" cy="345440"/>
                        </a:xfrm>
                        <a:prstGeom prst="rect">
                          <a:avLst/>
                        </a:prstGeom>
                        <a:solidFill>
                          <a:srgbClr val="FFFFFF"/>
                        </a:solidFill>
                        <a:ln w="3175">
                          <a:solidFill>
                            <a:srgbClr val="000000"/>
                          </a:solidFill>
                          <a:miter lim="800000"/>
                          <a:headEnd/>
                          <a:tailEnd/>
                        </a:ln>
                      </wps:spPr>
                      <wps:txbx>
                        <w:txbxContent>
                          <w:p w14:paraId="2148FF2F" w14:textId="77777777" w:rsidR="004E2CFD" w:rsidRPr="000035AC" w:rsidRDefault="004E2CFD" w:rsidP="00345C6C">
                            <w:pPr>
                              <w:spacing w:before="60" w:after="0"/>
                              <w:ind w:firstLine="0"/>
                              <w:jc w:val="center"/>
                              <w:rPr>
                                <w:rFonts w:ascii="Arial" w:hAnsi="Arial" w:cs="Arial"/>
                                <w:sz w:val="16"/>
                                <w:szCs w:val="16"/>
                                <w:lang w:val="es-ES"/>
                              </w:rPr>
                            </w:pPr>
                            <w:r w:rsidRPr="000035AC">
                              <w:rPr>
                                <w:rFonts w:ascii="Arial" w:hAnsi="Arial" w:cs="Arial"/>
                                <w:sz w:val="16"/>
                                <w:szCs w:val="16"/>
                                <w:lang w:val="es-ES"/>
                              </w:rPr>
                              <w:t>Organismos autónomos: 3</w:t>
                            </w:r>
                          </w:p>
                          <w:p w14:paraId="08726766"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w:t>
                            </w:r>
                            <w:r>
                              <w:rPr>
                                <w:rFonts w:ascii="Arial Narrow" w:hAnsi="Arial Narrow" w:cs="GillSans Light"/>
                                <w:sz w:val="18"/>
                                <w:szCs w:val="18"/>
                              </w:rPr>
                              <w:t xml:space="preserve"> </w:t>
                            </w:r>
                            <w:r>
                              <w:rPr>
                                <w:rFonts w:ascii="Arial" w:hAnsi="Arial" w:cs="Arial"/>
                                <w:sz w:val="16"/>
                                <w:szCs w:val="16"/>
                                <w:lang w:val="es-ES"/>
                              </w:rPr>
                              <w:t>7</w:t>
                            </w:r>
                          </w:p>
                          <w:p w14:paraId="27F565CF" w14:textId="77777777" w:rsidR="004E2CFD" w:rsidRPr="00D05EAF" w:rsidRDefault="004E2CFD" w:rsidP="00345C6C">
                            <w:pPr>
                              <w:spacing w:before="140" w:after="100"/>
                              <w:jc w:val="center"/>
                              <w:rPr>
                                <w:rFonts w:ascii="Gill Sans MT" w:hAnsi="Gill Sans MT" w:cs="GillSans"/>
                                <w:sz w:val="18"/>
                                <w:szCs w:val="18"/>
                              </w:rPr>
                            </w:pPr>
                          </w:p>
                          <w:p w14:paraId="0C4F810E" w14:textId="77777777" w:rsidR="004E2CFD" w:rsidRPr="00725B83" w:rsidRDefault="004E2CFD" w:rsidP="00345C6C">
                            <w:pPr>
                              <w:spacing w:before="140" w:after="100"/>
                              <w:jc w:val="center"/>
                              <w:rPr>
                                <w:rFonts w:ascii="Gill Sans MT" w:hAnsi="Gill Sans MT" w:cs="GillSans"/>
                                <w:sz w:val="16"/>
                                <w:szCs w:val="16"/>
                              </w:rPr>
                            </w:pPr>
                            <w:proofErr w:type="spellStart"/>
                            <w:r w:rsidRPr="00725B83">
                              <w:rPr>
                                <w:rFonts w:ascii="Gill Sans MT" w:hAnsi="Gill Sans MT" w:cs="GillSans"/>
                                <w:sz w:val="14"/>
                                <w:szCs w:val="14"/>
                              </w:rPr>
                              <w:t>Socied</w:t>
                            </w:r>
                            <w:proofErr w:type="spellEnd"/>
                            <w:r w:rsidRPr="00725B83">
                              <w:rPr>
                                <w:rFonts w:ascii="Gill Sans MT" w:hAnsi="Gill Sans MT" w:cs="GillSans"/>
                                <w:sz w:val="14"/>
                                <w:szCs w:val="14"/>
                              </w:rPr>
                              <w:t>. mercantiles: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05710" id="Rectangle 20" o:spid="_x0000_s1035" style="position:absolute;left:0;text-align:left;margin-left:130.55pt;margin-top:19.45pt;width:111.35pt;height:2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" strokeweight=".25pt">
                <v:textbox inset="1pt,1pt,1pt,1pt">
                  <w:txbxContent>
                    <w:p w14:paraId="2148FF2F" w14:textId="77777777" w:rsidR="004E2CFD" w:rsidRPr="000035AC" w:rsidRDefault="004E2CFD" w:rsidP="00345C6C">
                      <w:pPr>
                        <w:spacing w:before="60" w:after="0"/>
                        <w:ind w:firstLine="0"/>
                        <w:jc w:val="center"/>
                        <w:rPr>
                          <w:rFonts w:ascii="Arial" w:hAnsi="Arial" w:cs="Arial"/>
                          <w:sz w:val="16"/>
                          <w:szCs w:val="16"/>
                          <w:lang w:val="es-ES"/>
                        </w:rPr>
                      </w:pPr>
                      <w:r w:rsidRPr="000035AC">
                        <w:rPr>
                          <w:rFonts w:ascii="Arial" w:hAnsi="Arial" w:cs="Arial"/>
                          <w:sz w:val="16"/>
                          <w:szCs w:val="16"/>
                          <w:lang w:val="es-ES"/>
                        </w:rPr>
                        <w:t>Organismos autónomos: 3</w:t>
                      </w:r>
                    </w:p>
                    <w:p w14:paraId="08726766" w14:textId="77777777" w:rsidR="004E2CFD" w:rsidRPr="000035AC" w:rsidRDefault="004E2CFD" w:rsidP="00345C6C">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w:t>
                      </w:r>
                      <w:r>
                        <w:rPr>
                          <w:rFonts w:ascii="Arial Narrow" w:hAnsi="Arial Narrow" w:cs="GillSans Light"/>
                          <w:sz w:val="18"/>
                          <w:szCs w:val="18"/>
                        </w:rPr>
                        <w:t xml:space="preserve"> </w:t>
                      </w:r>
                      <w:r>
                        <w:rPr>
                          <w:rFonts w:ascii="Arial" w:hAnsi="Arial" w:cs="Arial"/>
                          <w:sz w:val="16"/>
                          <w:szCs w:val="16"/>
                          <w:lang w:val="es-ES"/>
                        </w:rPr>
                        <w:t>7</w:t>
                      </w:r>
                    </w:p>
                    <w:p w14:paraId="27F565CF" w14:textId="77777777" w:rsidR="004E2CFD" w:rsidRPr="00D05EAF" w:rsidRDefault="004E2CFD" w:rsidP="00345C6C">
                      <w:pPr>
                        <w:spacing w:before="140" w:after="100"/>
                        <w:jc w:val="center"/>
                        <w:rPr>
                          <w:rFonts w:ascii="Gill Sans MT" w:hAnsi="Gill Sans MT" w:cs="GillSans"/>
                          <w:sz w:val="18"/>
                          <w:szCs w:val="18"/>
                        </w:rPr>
                      </w:pPr>
                    </w:p>
                    <w:p w14:paraId="0C4F810E" w14:textId="77777777" w:rsidR="004E2CFD" w:rsidRPr="00725B83" w:rsidRDefault="004E2CFD" w:rsidP="00345C6C">
                      <w:pPr>
                        <w:spacing w:before="140" w:after="100"/>
                        <w:jc w:val="center"/>
                        <w:rPr>
                          <w:rFonts w:ascii="Gill Sans MT" w:hAnsi="Gill Sans MT" w:cs="GillSans"/>
                          <w:sz w:val="16"/>
                          <w:szCs w:val="16"/>
                        </w:rPr>
                      </w:pPr>
                      <w:proofErr w:type="spellStart"/>
                      <w:r w:rsidRPr="00725B83">
                        <w:rPr>
                          <w:rFonts w:ascii="Gill Sans MT" w:hAnsi="Gill Sans MT" w:cs="GillSans"/>
                          <w:sz w:val="14"/>
                          <w:szCs w:val="14"/>
                        </w:rPr>
                        <w:t>Socied</w:t>
                      </w:r>
                      <w:proofErr w:type="spellEnd"/>
                      <w:r w:rsidRPr="00725B83">
                        <w:rPr>
                          <w:rFonts w:ascii="Gill Sans MT" w:hAnsi="Gill Sans MT" w:cs="GillSans"/>
                          <w:sz w:val="14"/>
                          <w:szCs w:val="14"/>
                        </w:rPr>
                        <w:t>. mercantiles: 5</w:t>
                      </w:r>
                    </w:p>
                  </w:txbxContent>
                </v:textbox>
              </v:rect>
            </w:pict>
          </mc:Fallback>
        </mc:AlternateContent>
      </w:r>
    </w:p>
    <w:p w14:paraId="535CBFA6"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p>
    <w:p w14:paraId="28311607" w14:textId="77777777" w:rsidR="00345C6C" w:rsidRPr="00B81E61" w:rsidRDefault="00345C6C" w:rsidP="00345C6C">
      <w:pPr>
        <w:tabs>
          <w:tab w:val="center" w:pos="2835"/>
          <w:tab w:val="center" w:pos="3969"/>
          <w:tab w:val="center" w:pos="5103"/>
          <w:tab w:val="center" w:pos="6237"/>
          <w:tab w:val="center" w:pos="7371"/>
        </w:tabs>
        <w:suppressAutoHyphens/>
        <w:spacing w:after="100"/>
        <w:ind w:left="-378" w:firstLine="284"/>
        <w:rPr>
          <w:rFonts w:ascii="Gill Sans MT" w:hAnsi="Gill Sans MT"/>
          <w:color w:val="000000" w:themeColor="text1"/>
          <w:spacing w:val="6"/>
          <w:sz w:val="16"/>
          <w:szCs w:val="16"/>
          <w:highlight w:val="yellow"/>
        </w:rPr>
      </w:pPr>
    </w:p>
    <w:p w14:paraId="32627450" w14:textId="0E5D0872" w:rsidR="00345C6C" w:rsidRPr="00B81E61" w:rsidRDefault="00345C6C" w:rsidP="00A02FED">
      <w:pPr>
        <w:pStyle w:val="texto"/>
        <w:spacing w:after="240"/>
        <w:rPr>
          <w:color w:val="000000" w:themeColor="text1"/>
        </w:rPr>
      </w:pPr>
      <w:r w:rsidRPr="00B81E61">
        <w:rPr>
          <w:color w:val="000000" w:themeColor="text1"/>
        </w:rPr>
        <w:t>La población a 1 de enero de 20</w:t>
      </w:r>
      <w:r w:rsidR="00683931">
        <w:rPr>
          <w:color w:val="000000" w:themeColor="text1"/>
        </w:rPr>
        <w:t>20</w:t>
      </w:r>
      <w:r w:rsidRPr="00B81E61">
        <w:rPr>
          <w:color w:val="000000" w:themeColor="text1"/>
        </w:rPr>
        <w:t xml:space="preserve"> de los 272 municipios de Navarra, </w:t>
      </w:r>
      <w:r w:rsidR="00E112F3">
        <w:rPr>
          <w:color w:val="000000" w:themeColor="text1"/>
        </w:rPr>
        <w:t>661.197</w:t>
      </w:r>
      <w:r w:rsidRPr="00B81E61">
        <w:rPr>
          <w:color w:val="000000" w:themeColor="text1"/>
        </w:rPr>
        <w:t xml:space="preserve"> habitantes según datos del censo oficial</w:t>
      </w:r>
      <w:r w:rsidR="008E43F9">
        <w:rPr>
          <w:color w:val="000000" w:themeColor="text1"/>
        </w:rPr>
        <w:t>,</w:t>
      </w:r>
      <w:r w:rsidRPr="00B81E61">
        <w:rPr>
          <w:color w:val="000000" w:themeColor="text1"/>
        </w:rPr>
        <w:t xml:space="preserve"> presentaba la siguiente distribución:</w:t>
      </w:r>
    </w:p>
    <w:tbl>
      <w:tblPr>
        <w:tblW w:w="5000" w:type="pct"/>
        <w:jc w:val="center"/>
        <w:tblCellMar>
          <w:left w:w="70" w:type="dxa"/>
          <w:right w:w="70" w:type="dxa"/>
        </w:tblCellMar>
        <w:tblLook w:val="04A0" w:firstRow="1" w:lastRow="0" w:firstColumn="1" w:lastColumn="0" w:noHBand="0" w:noVBand="1"/>
      </w:tblPr>
      <w:tblGrid>
        <w:gridCol w:w="2835"/>
        <w:gridCol w:w="1255"/>
        <w:gridCol w:w="1865"/>
        <w:gridCol w:w="1415"/>
        <w:gridCol w:w="1419"/>
      </w:tblGrid>
      <w:tr w:rsidR="008E43F9" w:rsidRPr="00A02FED" w14:paraId="3E51286C" w14:textId="77777777" w:rsidTr="00C77DCA">
        <w:trPr>
          <w:trHeight w:val="227"/>
          <w:jc w:val="center"/>
        </w:trPr>
        <w:tc>
          <w:tcPr>
            <w:tcW w:w="1613" w:type="pct"/>
            <w:tcBorders>
              <w:top w:val="single" w:sz="4" w:space="0" w:color="auto"/>
              <w:left w:val="nil"/>
              <w:bottom w:val="single" w:sz="4" w:space="0" w:color="auto"/>
              <w:right w:val="nil"/>
            </w:tcBorders>
            <w:shd w:val="clear" w:color="auto" w:fill="FABF8F" w:themeFill="accent6" w:themeFillTint="99"/>
            <w:vAlign w:val="center"/>
            <w:hideMark/>
          </w:tcPr>
          <w:p w14:paraId="4C091E9A" w14:textId="77777777" w:rsidR="008E43F9" w:rsidRPr="00A02FED" w:rsidRDefault="008E43F9" w:rsidP="00C77DCA">
            <w:pPr>
              <w:pStyle w:val="cuadroCabe"/>
              <w:spacing w:line="240" w:lineRule="auto"/>
            </w:pPr>
            <w:r w:rsidRPr="00A02FED">
              <w:t xml:space="preserve">Tramo </w:t>
            </w:r>
          </w:p>
          <w:p w14:paraId="0614F237" w14:textId="33407D06" w:rsidR="008E43F9" w:rsidRPr="00A02FED" w:rsidRDefault="008E43F9" w:rsidP="00C77DCA">
            <w:pPr>
              <w:pStyle w:val="cuadroCabe"/>
              <w:spacing w:line="240" w:lineRule="auto"/>
            </w:pPr>
            <w:r w:rsidRPr="00A02FED">
              <w:t>de población</w:t>
            </w:r>
          </w:p>
        </w:tc>
        <w:tc>
          <w:tcPr>
            <w:tcW w:w="714" w:type="pct"/>
            <w:tcBorders>
              <w:top w:val="single" w:sz="4" w:space="0" w:color="auto"/>
              <w:left w:val="nil"/>
              <w:bottom w:val="single" w:sz="4" w:space="0" w:color="auto"/>
              <w:right w:val="nil"/>
            </w:tcBorders>
            <w:shd w:val="clear" w:color="auto" w:fill="FABF8F" w:themeFill="accent6" w:themeFillTint="99"/>
            <w:vAlign w:val="center"/>
            <w:hideMark/>
          </w:tcPr>
          <w:p w14:paraId="6C9CD097" w14:textId="77777777" w:rsidR="008E43F9" w:rsidRPr="00A02FED" w:rsidRDefault="008E43F9" w:rsidP="00C77DCA">
            <w:pPr>
              <w:pStyle w:val="cuadroCabe"/>
              <w:spacing w:line="240" w:lineRule="auto"/>
              <w:jc w:val="right"/>
            </w:pPr>
            <w:r w:rsidRPr="00A02FED">
              <w:t>Número de municipios</w:t>
            </w:r>
          </w:p>
        </w:tc>
        <w:tc>
          <w:tcPr>
            <w:tcW w:w="1061" w:type="pct"/>
            <w:tcBorders>
              <w:top w:val="single" w:sz="4" w:space="0" w:color="auto"/>
              <w:left w:val="nil"/>
              <w:bottom w:val="single" w:sz="4" w:space="0" w:color="auto"/>
              <w:right w:val="nil"/>
            </w:tcBorders>
            <w:shd w:val="clear" w:color="auto" w:fill="FABF8F" w:themeFill="accent6" w:themeFillTint="99"/>
            <w:vAlign w:val="center"/>
            <w:hideMark/>
          </w:tcPr>
          <w:p w14:paraId="2F5B87D2" w14:textId="77777777" w:rsidR="00A02FED" w:rsidRDefault="008E43F9" w:rsidP="00C77DCA">
            <w:pPr>
              <w:pStyle w:val="cuadroCabe"/>
              <w:spacing w:line="240" w:lineRule="auto"/>
              <w:jc w:val="right"/>
            </w:pPr>
            <w:r w:rsidRPr="00A02FED">
              <w:t xml:space="preserve">% municipios </w:t>
            </w:r>
          </w:p>
          <w:p w14:paraId="56FB1BED" w14:textId="24BE309C" w:rsidR="008E43F9" w:rsidRPr="00A02FED" w:rsidRDefault="008E43F9" w:rsidP="00C77DCA">
            <w:pPr>
              <w:pStyle w:val="cuadroCabe"/>
              <w:spacing w:line="240" w:lineRule="auto"/>
              <w:jc w:val="right"/>
            </w:pPr>
            <w:r w:rsidRPr="00A02FED">
              <w:t>sobre total</w:t>
            </w:r>
          </w:p>
        </w:tc>
        <w:tc>
          <w:tcPr>
            <w:tcW w:w="805" w:type="pct"/>
            <w:tcBorders>
              <w:top w:val="single" w:sz="4" w:space="0" w:color="auto"/>
              <w:left w:val="nil"/>
              <w:bottom w:val="single" w:sz="4" w:space="0" w:color="auto"/>
              <w:right w:val="nil"/>
            </w:tcBorders>
            <w:shd w:val="clear" w:color="auto" w:fill="FABF8F" w:themeFill="accent6" w:themeFillTint="99"/>
            <w:vAlign w:val="center"/>
          </w:tcPr>
          <w:p w14:paraId="7A6B42AA" w14:textId="77777777" w:rsidR="008E43F9" w:rsidRPr="00A02FED" w:rsidRDefault="008E43F9" w:rsidP="00C77DCA">
            <w:pPr>
              <w:pStyle w:val="cuadroCabe"/>
              <w:spacing w:line="240" w:lineRule="auto"/>
              <w:jc w:val="right"/>
            </w:pPr>
            <w:r w:rsidRPr="00A02FED">
              <w:t xml:space="preserve">Población </w:t>
            </w:r>
          </w:p>
          <w:p w14:paraId="7FE95F5A" w14:textId="77777777" w:rsidR="008E43F9" w:rsidRPr="00A02FED" w:rsidRDefault="008E43F9" w:rsidP="00C77DCA">
            <w:pPr>
              <w:pStyle w:val="cuadroCabe"/>
              <w:spacing w:line="240" w:lineRule="auto"/>
              <w:jc w:val="right"/>
            </w:pPr>
            <w:r w:rsidRPr="00A02FED">
              <w:t>1-1-2020</w:t>
            </w:r>
          </w:p>
        </w:tc>
        <w:tc>
          <w:tcPr>
            <w:tcW w:w="807" w:type="pct"/>
            <w:tcBorders>
              <w:top w:val="single" w:sz="4" w:space="0" w:color="auto"/>
              <w:left w:val="nil"/>
              <w:bottom w:val="single" w:sz="4" w:space="0" w:color="auto"/>
              <w:right w:val="nil"/>
            </w:tcBorders>
            <w:shd w:val="clear" w:color="auto" w:fill="FABF8F" w:themeFill="accent6" w:themeFillTint="99"/>
            <w:vAlign w:val="center"/>
          </w:tcPr>
          <w:p w14:paraId="36FBF99B" w14:textId="77777777" w:rsidR="008E43F9" w:rsidRPr="00A02FED" w:rsidRDefault="008E43F9" w:rsidP="00C77DCA">
            <w:pPr>
              <w:pStyle w:val="cuadroCabe"/>
              <w:spacing w:line="240" w:lineRule="auto"/>
              <w:jc w:val="right"/>
            </w:pPr>
            <w:r w:rsidRPr="00A02FED">
              <w:t>% población sobre total</w:t>
            </w:r>
          </w:p>
        </w:tc>
      </w:tr>
      <w:tr w:rsidR="008E43F9" w:rsidRPr="00B81E61" w14:paraId="07C54C06" w14:textId="77777777" w:rsidTr="00C77DCA">
        <w:trPr>
          <w:trHeight w:val="227"/>
          <w:jc w:val="center"/>
        </w:trPr>
        <w:tc>
          <w:tcPr>
            <w:tcW w:w="1613" w:type="pct"/>
            <w:tcBorders>
              <w:top w:val="nil"/>
              <w:left w:val="nil"/>
              <w:bottom w:val="single" w:sz="2" w:space="0" w:color="auto"/>
              <w:right w:val="nil"/>
            </w:tcBorders>
            <w:shd w:val="clear" w:color="000000" w:fill="FFFFFF"/>
            <w:vAlign w:val="center"/>
            <w:hideMark/>
          </w:tcPr>
          <w:p w14:paraId="4A887BF1" w14:textId="77777777" w:rsidR="008E43F9" w:rsidRPr="00B81E61" w:rsidRDefault="008E43F9" w:rsidP="00C77DCA">
            <w:pPr>
              <w:pStyle w:val="cuatexto"/>
              <w:spacing w:line="240" w:lineRule="auto"/>
              <w:rPr>
                <w:lang w:val="es-ES" w:eastAsia="es-ES"/>
              </w:rPr>
            </w:pPr>
            <w:r w:rsidRPr="00B81E61">
              <w:rPr>
                <w:lang w:val="es-ES" w:eastAsia="es-ES"/>
              </w:rPr>
              <w:t>&lt;101</w:t>
            </w:r>
          </w:p>
        </w:tc>
        <w:tc>
          <w:tcPr>
            <w:tcW w:w="714" w:type="pct"/>
            <w:tcBorders>
              <w:top w:val="nil"/>
              <w:left w:val="nil"/>
              <w:bottom w:val="single" w:sz="2" w:space="0" w:color="auto"/>
              <w:right w:val="nil"/>
            </w:tcBorders>
            <w:shd w:val="clear" w:color="000000" w:fill="FFFFFF"/>
            <w:vAlign w:val="center"/>
            <w:hideMark/>
          </w:tcPr>
          <w:p w14:paraId="7107BC0B" w14:textId="441B083D"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48</w:t>
            </w:r>
          </w:p>
        </w:tc>
        <w:tc>
          <w:tcPr>
            <w:tcW w:w="1061" w:type="pct"/>
            <w:tcBorders>
              <w:top w:val="nil"/>
              <w:left w:val="nil"/>
              <w:bottom w:val="single" w:sz="2" w:space="0" w:color="auto"/>
              <w:right w:val="nil"/>
            </w:tcBorders>
            <w:shd w:val="clear" w:color="000000" w:fill="FFFFFF"/>
            <w:vAlign w:val="center"/>
            <w:hideMark/>
          </w:tcPr>
          <w:p w14:paraId="50C5D6A0" w14:textId="1ACE4BF6"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17,6</w:t>
            </w:r>
          </w:p>
        </w:tc>
        <w:tc>
          <w:tcPr>
            <w:tcW w:w="805" w:type="pct"/>
            <w:tcBorders>
              <w:top w:val="nil"/>
              <w:left w:val="nil"/>
              <w:bottom w:val="single" w:sz="2" w:space="0" w:color="auto"/>
              <w:right w:val="nil"/>
            </w:tcBorders>
            <w:shd w:val="clear" w:color="000000" w:fill="FFFFFF"/>
            <w:vAlign w:val="center"/>
          </w:tcPr>
          <w:p w14:paraId="50C78FDE"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2.921</w:t>
            </w:r>
          </w:p>
        </w:tc>
        <w:tc>
          <w:tcPr>
            <w:tcW w:w="807" w:type="pct"/>
            <w:tcBorders>
              <w:top w:val="nil"/>
              <w:left w:val="nil"/>
              <w:bottom w:val="single" w:sz="2" w:space="0" w:color="auto"/>
              <w:right w:val="nil"/>
            </w:tcBorders>
            <w:shd w:val="clear" w:color="000000" w:fill="FFFFFF"/>
            <w:vAlign w:val="center"/>
          </w:tcPr>
          <w:p w14:paraId="12E70607"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0,4</w:t>
            </w:r>
          </w:p>
        </w:tc>
      </w:tr>
      <w:tr w:rsidR="008E43F9" w:rsidRPr="00B81E61" w14:paraId="6695D7BE"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3702294B" w14:textId="77777777" w:rsidR="008E43F9" w:rsidRPr="00B81E61" w:rsidRDefault="008E43F9" w:rsidP="00C77DCA">
            <w:pPr>
              <w:pStyle w:val="cuatexto"/>
              <w:spacing w:line="240" w:lineRule="auto"/>
              <w:rPr>
                <w:lang w:val="es-ES" w:eastAsia="es-ES"/>
              </w:rPr>
            </w:pPr>
            <w:r w:rsidRPr="00B81E61">
              <w:rPr>
                <w:lang w:val="es-ES" w:eastAsia="es-ES"/>
              </w:rPr>
              <w:t>101-200</w:t>
            </w:r>
          </w:p>
        </w:tc>
        <w:tc>
          <w:tcPr>
            <w:tcW w:w="714" w:type="pct"/>
            <w:tcBorders>
              <w:top w:val="single" w:sz="2" w:space="0" w:color="auto"/>
              <w:left w:val="nil"/>
              <w:bottom w:val="single" w:sz="2" w:space="0" w:color="auto"/>
              <w:right w:val="nil"/>
            </w:tcBorders>
            <w:shd w:val="clear" w:color="000000" w:fill="FFFFFF"/>
            <w:vAlign w:val="center"/>
            <w:hideMark/>
          </w:tcPr>
          <w:p w14:paraId="68F6F50A" w14:textId="2702F657"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47</w:t>
            </w:r>
          </w:p>
        </w:tc>
        <w:tc>
          <w:tcPr>
            <w:tcW w:w="1061" w:type="pct"/>
            <w:tcBorders>
              <w:top w:val="single" w:sz="2" w:space="0" w:color="auto"/>
              <w:left w:val="nil"/>
              <w:bottom w:val="single" w:sz="2" w:space="0" w:color="auto"/>
              <w:right w:val="nil"/>
            </w:tcBorders>
            <w:shd w:val="clear" w:color="000000" w:fill="FFFFFF"/>
            <w:vAlign w:val="center"/>
            <w:hideMark/>
          </w:tcPr>
          <w:p w14:paraId="652375D2" w14:textId="2273EEC4"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17,3</w:t>
            </w:r>
          </w:p>
        </w:tc>
        <w:tc>
          <w:tcPr>
            <w:tcW w:w="805" w:type="pct"/>
            <w:tcBorders>
              <w:top w:val="single" w:sz="2" w:space="0" w:color="auto"/>
              <w:left w:val="nil"/>
              <w:bottom w:val="single" w:sz="2" w:space="0" w:color="auto"/>
              <w:right w:val="nil"/>
            </w:tcBorders>
            <w:shd w:val="clear" w:color="000000" w:fill="FFFFFF"/>
            <w:vAlign w:val="center"/>
          </w:tcPr>
          <w:p w14:paraId="1C6BD66D"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6.723</w:t>
            </w:r>
          </w:p>
        </w:tc>
        <w:tc>
          <w:tcPr>
            <w:tcW w:w="807" w:type="pct"/>
            <w:tcBorders>
              <w:top w:val="single" w:sz="2" w:space="0" w:color="auto"/>
              <w:left w:val="nil"/>
              <w:bottom w:val="single" w:sz="2" w:space="0" w:color="auto"/>
              <w:right w:val="nil"/>
            </w:tcBorders>
            <w:shd w:val="clear" w:color="000000" w:fill="FFFFFF"/>
            <w:vAlign w:val="center"/>
          </w:tcPr>
          <w:p w14:paraId="700DE4F8"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1,0</w:t>
            </w:r>
          </w:p>
        </w:tc>
      </w:tr>
      <w:tr w:rsidR="008E43F9" w:rsidRPr="00B81E61" w14:paraId="393ADBE8"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1D829055" w14:textId="77777777" w:rsidR="008E43F9" w:rsidRPr="00B81E61" w:rsidRDefault="008E43F9" w:rsidP="00C77DCA">
            <w:pPr>
              <w:pStyle w:val="cuatexto"/>
              <w:spacing w:line="240" w:lineRule="auto"/>
              <w:rPr>
                <w:lang w:val="es-ES" w:eastAsia="es-ES"/>
              </w:rPr>
            </w:pPr>
            <w:r w:rsidRPr="00B81E61">
              <w:rPr>
                <w:lang w:val="es-ES" w:eastAsia="es-ES"/>
              </w:rPr>
              <w:t>201-500</w:t>
            </w:r>
          </w:p>
        </w:tc>
        <w:tc>
          <w:tcPr>
            <w:tcW w:w="714" w:type="pct"/>
            <w:tcBorders>
              <w:top w:val="single" w:sz="2" w:space="0" w:color="auto"/>
              <w:left w:val="nil"/>
              <w:bottom w:val="single" w:sz="2" w:space="0" w:color="auto"/>
              <w:right w:val="nil"/>
            </w:tcBorders>
            <w:shd w:val="clear" w:color="000000" w:fill="FFFFFF"/>
            <w:vAlign w:val="center"/>
            <w:hideMark/>
          </w:tcPr>
          <w:p w14:paraId="34E7CD78" w14:textId="705B2FE9"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57</w:t>
            </w:r>
          </w:p>
        </w:tc>
        <w:tc>
          <w:tcPr>
            <w:tcW w:w="1061" w:type="pct"/>
            <w:tcBorders>
              <w:top w:val="single" w:sz="2" w:space="0" w:color="auto"/>
              <w:left w:val="nil"/>
              <w:bottom w:val="single" w:sz="2" w:space="0" w:color="auto"/>
              <w:right w:val="nil"/>
            </w:tcBorders>
            <w:shd w:val="clear" w:color="000000" w:fill="FFFFFF"/>
            <w:vAlign w:val="center"/>
            <w:hideMark/>
          </w:tcPr>
          <w:p w14:paraId="3BC23E19" w14:textId="322F047F"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21,0</w:t>
            </w:r>
          </w:p>
        </w:tc>
        <w:tc>
          <w:tcPr>
            <w:tcW w:w="805" w:type="pct"/>
            <w:tcBorders>
              <w:top w:val="single" w:sz="2" w:space="0" w:color="auto"/>
              <w:left w:val="nil"/>
              <w:bottom w:val="single" w:sz="2" w:space="0" w:color="auto"/>
              <w:right w:val="nil"/>
            </w:tcBorders>
            <w:shd w:val="clear" w:color="000000" w:fill="FFFFFF"/>
            <w:vAlign w:val="center"/>
          </w:tcPr>
          <w:p w14:paraId="25D52631"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18.198</w:t>
            </w:r>
          </w:p>
        </w:tc>
        <w:tc>
          <w:tcPr>
            <w:tcW w:w="807" w:type="pct"/>
            <w:tcBorders>
              <w:top w:val="single" w:sz="2" w:space="0" w:color="auto"/>
              <w:left w:val="nil"/>
              <w:bottom w:val="single" w:sz="2" w:space="0" w:color="auto"/>
              <w:right w:val="nil"/>
            </w:tcBorders>
            <w:shd w:val="clear" w:color="000000" w:fill="FFFFFF"/>
            <w:vAlign w:val="center"/>
          </w:tcPr>
          <w:p w14:paraId="7D26E8DC"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2,8</w:t>
            </w:r>
          </w:p>
        </w:tc>
      </w:tr>
      <w:tr w:rsidR="008E43F9" w:rsidRPr="00B81E61" w14:paraId="2A585AF6"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22131332" w14:textId="77777777" w:rsidR="008E43F9" w:rsidRPr="00B81E61" w:rsidRDefault="008E43F9" w:rsidP="00C77DCA">
            <w:pPr>
              <w:pStyle w:val="cuatexto"/>
              <w:spacing w:line="240" w:lineRule="auto"/>
              <w:rPr>
                <w:lang w:val="es-ES" w:eastAsia="es-ES"/>
              </w:rPr>
            </w:pPr>
            <w:r w:rsidRPr="00B81E61">
              <w:rPr>
                <w:lang w:val="es-ES" w:eastAsia="es-ES"/>
              </w:rPr>
              <w:t>501-1.000</w:t>
            </w:r>
          </w:p>
        </w:tc>
        <w:tc>
          <w:tcPr>
            <w:tcW w:w="714" w:type="pct"/>
            <w:tcBorders>
              <w:top w:val="single" w:sz="2" w:space="0" w:color="auto"/>
              <w:left w:val="nil"/>
              <w:bottom w:val="single" w:sz="2" w:space="0" w:color="auto"/>
              <w:right w:val="nil"/>
            </w:tcBorders>
            <w:shd w:val="clear" w:color="000000" w:fill="FFFFFF"/>
            <w:vAlign w:val="center"/>
            <w:hideMark/>
          </w:tcPr>
          <w:p w14:paraId="50D43CAE" w14:textId="45C11AE5"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37</w:t>
            </w:r>
          </w:p>
        </w:tc>
        <w:tc>
          <w:tcPr>
            <w:tcW w:w="1061" w:type="pct"/>
            <w:tcBorders>
              <w:top w:val="single" w:sz="2" w:space="0" w:color="auto"/>
              <w:left w:val="nil"/>
              <w:bottom w:val="single" w:sz="2" w:space="0" w:color="auto"/>
              <w:right w:val="nil"/>
            </w:tcBorders>
            <w:shd w:val="clear" w:color="000000" w:fill="FFFFFF"/>
            <w:vAlign w:val="center"/>
            <w:hideMark/>
          </w:tcPr>
          <w:p w14:paraId="7928BF0B" w14:textId="36848C07"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13,6</w:t>
            </w:r>
          </w:p>
        </w:tc>
        <w:tc>
          <w:tcPr>
            <w:tcW w:w="805" w:type="pct"/>
            <w:tcBorders>
              <w:top w:val="single" w:sz="2" w:space="0" w:color="auto"/>
              <w:left w:val="nil"/>
              <w:bottom w:val="single" w:sz="2" w:space="0" w:color="auto"/>
              <w:right w:val="nil"/>
            </w:tcBorders>
            <w:shd w:val="clear" w:color="000000" w:fill="FFFFFF"/>
            <w:vAlign w:val="center"/>
          </w:tcPr>
          <w:p w14:paraId="2B35EF0D"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26.831</w:t>
            </w:r>
          </w:p>
        </w:tc>
        <w:tc>
          <w:tcPr>
            <w:tcW w:w="807" w:type="pct"/>
            <w:tcBorders>
              <w:top w:val="single" w:sz="2" w:space="0" w:color="auto"/>
              <w:left w:val="nil"/>
              <w:bottom w:val="single" w:sz="2" w:space="0" w:color="auto"/>
              <w:right w:val="nil"/>
            </w:tcBorders>
            <w:shd w:val="clear" w:color="000000" w:fill="FFFFFF"/>
            <w:vAlign w:val="center"/>
          </w:tcPr>
          <w:p w14:paraId="4F20887C"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4,1</w:t>
            </w:r>
          </w:p>
        </w:tc>
      </w:tr>
      <w:tr w:rsidR="008E43F9" w:rsidRPr="00B81E61" w14:paraId="60D14EE8"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1AA6659D" w14:textId="77777777" w:rsidR="008E43F9" w:rsidRPr="00B81E61" w:rsidRDefault="008E43F9" w:rsidP="00C77DCA">
            <w:pPr>
              <w:pStyle w:val="cuatexto"/>
              <w:spacing w:line="240" w:lineRule="auto"/>
              <w:rPr>
                <w:lang w:val="es-ES" w:eastAsia="es-ES"/>
              </w:rPr>
            </w:pPr>
            <w:r w:rsidRPr="00B81E61">
              <w:rPr>
                <w:lang w:val="es-ES" w:eastAsia="es-ES"/>
              </w:rPr>
              <w:t>1.001-2.000</w:t>
            </w:r>
          </w:p>
        </w:tc>
        <w:tc>
          <w:tcPr>
            <w:tcW w:w="714" w:type="pct"/>
            <w:tcBorders>
              <w:top w:val="single" w:sz="2" w:space="0" w:color="auto"/>
              <w:left w:val="nil"/>
              <w:bottom w:val="single" w:sz="2" w:space="0" w:color="auto"/>
              <w:right w:val="nil"/>
            </w:tcBorders>
            <w:shd w:val="clear" w:color="000000" w:fill="FFFFFF"/>
            <w:vAlign w:val="center"/>
            <w:hideMark/>
          </w:tcPr>
          <w:p w14:paraId="7C94EE21" w14:textId="1AFF4F31"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22</w:t>
            </w:r>
          </w:p>
        </w:tc>
        <w:tc>
          <w:tcPr>
            <w:tcW w:w="1061" w:type="pct"/>
            <w:tcBorders>
              <w:top w:val="single" w:sz="2" w:space="0" w:color="auto"/>
              <w:left w:val="nil"/>
              <w:bottom w:val="single" w:sz="2" w:space="0" w:color="auto"/>
              <w:right w:val="nil"/>
            </w:tcBorders>
            <w:shd w:val="clear" w:color="000000" w:fill="FFFFFF"/>
            <w:vAlign w:val="center"/>
            <w:hideMark/>
          </w:tcPr>
          <w:p w14:paraId="78806DBB" w14:textId="0ED7584B"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8,1</w:t>
            </w:r>
          </w:p>
        </w:tc>
        <w:tc>
          <w:tcPr>
            <w:tcW w:w="805" w:type="pct"/>
            <w:tcBorders>
              <w:top w:val="single" w:sz="2" w:space="0" w:color="auto"/>
              <w:left w:val="nil"/>
              <w:bottom w:val="single" w:sz="2" w:space="0" w:color="auto"/>
              <w:right w:val="nil"/>
            </w:tcBorders>
            <w:shd w:val="clear" w:color="000000" w:fill="FFFFFF"/>
            <w:vAlign w:val="center"/>
          </w:tcPr>
          <w:p w14:paraId="71FEA7FA"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30.566</w:t>
            </w:r>
          </w:p>
        </w:tc>
        <w:tc>
          <w:tcPr>
            <w:tcW w:w="807" w:type="pct"/>
            <w:tcBorders>
              <w:top w:val="single" w:sz="2" w:space="0" w:color="auto"/>
              <w:left w:val="nil"/>
              <w:bottom w:val="single" w:sz="2" w:space="0" w:color="auto"/>
              <w:right w:val="nil"/>
            </w:tcBorders>
            <w:shd w:val="clear" w:color="000000" w:fill="FFFFFF"/>
            <w:vAlign w:val="center"/>
          </w:tcPr>
          <w:p w14:paraId="517F0433"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4,6</w:t>
            </w:r>
          </w:p>
        </w:tc>
      </w:tr>
      <w:tr w:rsidR="008E43F9" w:rsidRPr="00B81E61" w14:paraId="172B1CD3"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58CCFAF0" w14:textId="77777777" w:rsidR="008E43F9" w:rsidRPr="00B81E61" w:rsidRDefault="008E43F9" w:rsidP="00C77DCA">
            <w:pPr>
              <w:pStyle w:val="cuatexto"/>
              <w:spacing w:line="240" w:lineRule="auto"/>
              <w:rPr>
                <w:lang w:val="es-ES" w:eastAsia="es-ES"/>
              </w:rPr>
            </w:pPr>
            <w:r w:rsidRPr="00B81E61">
              <w:rPr>
                <w:lang w:val="es-ES" w:eastAsia="es-ES"/>
              </w:rPr>
              <w:t>2.001-3.000</w:t>
            </w:r>
          </w:p>
        </w:tc>
        <w:tc>
          <w:tcPr>
            <w:tcW w:w="714" w:type="pct"/>
            <w:tcBorders>
              <w:top w:val="single" w:sz="2" w:space="0" w:color="auto"/>
              <w:left w:val="nil"/>
              <w:bottom w:val="single" w:sz="2" w:space="0" w:color="auto"/>
              <w:right w:val="nil"/>
            </w:tcBorders>
            <w:shd w:val="clear" w:color="000000" w:fill="FFFFFF"/>
            <w:vAlign w:val="center"/>
            <w:hideMark/>
          </w:tcPr>
          <w:p w14:paraId="4AC3AF2A" w14:textId="4A33A224"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24</w:t>
            </w:r>
          </w:p>
        </w:tc>
        <w:tc>
          <w:tcPr>
            <w:tcW w:w="1061" w:type="pct"/>
            <w:tcBorders>
              <w:top w:val="single" w:sz="2" w:space="0" w:color="auto"/>
              <w:left w:val="nil"/>
              <w:bottom w:val="single" w:sz="2" w:space="0" w:color="auto"/>
              <w:right w:val="nil"/>
            </w:tcBorders>
            <w:shd w:val="clear" w:color="000000" w:fill="FFFFFF"/>
            <w:vAlign w:val="center"/>
            <w:hideMark/>
          </w:tcPr>
          <w:p w14:paraId="5023C043" w14:textId="633A5749"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8,8</w:t>
            </w:r>
          </w:p>
        </w:tc>
        <w:tc>
          <w:tcPr>
            <w:tcW w:w="805" w:type="pct"/>
            <w:tcBorders>
              <w:top w:val="single" w:sz="2" w:space="0" w:color="auto"/>
              <w:left w:val="nil"/>
              <w:bottom w:val="single" w:sz="2" w:space="0" w:color="auto"/>
              <w:right w:val="nil"/>
            </w:tcBorders>
            <w:shd w:val="clear" w:color="000000" w:fill="FFFFFF"/>
            <w:vAlign w:val="center"/>
          </w:tcPr>
          <w:p w14:paraId="0693BAA9"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60.271</w:t>
            </w:r>
          </w:p>
        </w:tc>
        <w:tc>
          <w:tcPr>
            <w:tcW w:w="807" w:type="pct"/>
            <w:tcBorders>
              <w:top w:val="single" w:sz="2" w:space="0" w:color="auto"/>
              <w:left w:val="nil"/>
              <w:bottom w:val="single" w:sz="2" w:space="0" w:color="auto"/>
              <w:right w:val="nil"/>
            </w:tcBorders>
            <w:shd w:val="clear" w:color="000000" w:fill="FFFFFF"/>
            <w:vAlign w:val="center"/>
          </w:tcPr>
          <w:p w14:paraId="6C6CA395"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9,1</w:t>
            </w:r>
          </w:p>
        </w:tc>
      </w:tr>
      <w:tr w:rsidR="008E43F9" w:rsidRPr="00B81E61" w14:paraId="3112DE9C"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6BFD8D69" w14:textId="77777777" w:rsidR="008E43F9" w:rsidRPr="00B81E61" w:rsidRDefault="008E43F9" w:rsidP="00C77DCA">
            <w:pPr>
              <w:pStyle w:val="cuatexto"/>
              <w:spacing w:line="240" w:lineRule="auto"/>
              <w:rPr>
                <w:lang w:val="es-ES" w:eastAsia="es-ES"/>
              </w:rPr>
            </w:pPr>
            <w:r w:rsidRPr="00B81E61">
              <w:rPr>
                <w:lang w:val="es-ES" w:eastAsia="es-ES"/>
              </w:rPr>
              <w:t>3.001-5.000</w:t>
            </w:r>
          </w:p>
        </w:tc>
        <w:tc>
          <w:tcPr>
            <w:tcW w:w="714" w:type="pct"/>
            <w:tcBorders>
              <w:top w:val="single" w:sz="2" w:space="0" w:color="auto"/>
              <w:left w:val="nil"/>
              <w:bottom w:val="single" w:sz="2" w:space="0" w:color="auto"/>
              <w:right w:val="nil"/>
            </w:tcBorders>
            <w:shd w:val="clear" w:color="000000" w:fill="FFFFFF"/>
            <w:vAlign w:val="center"/>
            <w:hideMark/>
          </w:tcPr>
          <w:p w14:paraId="7926EF46" w14:textId="61706D50"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16</w:t>
            </w:r>
          </w:p>
        </w:tc>
        <w:tc>
          <w:tcPr>
            <w:tcW w:w="1061" w:type="pct"/>
            <w:tcBorders>
              <w:top w:val="single" w:sz="2" w:space="0" w:color="auto"/>
              <w:left w:val="nil"/>
              <w:bottom w:val="single" w:sz="2" w:space="0" w:color="auto"/>
              <w:right w:val="nil"/>
            </w:tcBorders>
            <w:shd w:val="clear" w:color="000000" w:fill="FFFFFF"/>
            <w:vAlign w:val="center"/>
            <w:hideMark/>
          </w:tcPr>
          <w:p w14:paraId="65B653A1" w14:textId="7A24A6A7"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5,9</w:t>
            </w:r>
          </w:p>
        </w:tc>
        <w:tc>
          <w:tcPr>
            <w:tcW w:w="805" w:type="pct"/>
            <w:tcBorders>
              <w:top w:val="single" w:sz="2" w:space="0" w:color="auto"/>
              <w:left w:val="nil"/>
              <w:bottom w:val="single" w:sz="2" w:space="0" w:color="auto"/>
              <w:right w:val="nil"/>
            </w:tcBorders>
            <w:shd w:val="clear" w:color="000000" w:fill="FFFFFF"/>
            <w:vAlign w:val="center"/>
          </w:tcPr>
          <w:p w14:paraId="1EB3236D"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64.012</w:t>
            </w:r>
          </w:p>
        </w:tc>
        <w:tc>
          <w:tcPr>
            <w:tcW w:w="807" w:type="pct"/>
            <w:tcBorders>
              <w:top w:val="single" w:sz="2" w:space="0" w:color="auto"/>
              <w:left w:val="nil"/>
              <w:bottom w:val="single" w:sz="2" w:space="0" w:color="auto"/>
              <w:right w:val="nil"/>
            </w:tcBorders>
            <w:shd w:val="clear" w:color="000000" w:fill="FFFFFF"/>
            <w:vAlign w:val="center"/>
          </w:tcPr>
          <w:p w14:paraId="5962E191"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9,7</w:t>
            </w:r>
          </w:p>
        </w:tc>
      </w:tr>
      <w:tr w:rsidR="008E43F9" w:rsidRPr="00B81E61" w14:paraId="5C63DC1E"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3BF2D127" w14:textId="77777777" w:rsidR="008E43F9" w:rsidRPr="00B81E61" w:rsidRDefault="008E43F9" w:rsidP="00C77DCA">
            <w:pPr>
              <w:pStyle w:val="cuatexto"/>
              <w:spacing w:line="240" w:lineRule="auto"/>
              <w:rPr>
                <w:lang w:val="es-ES" w:eastAsia="es-ES"/>
              </w:rPr>
            </w:pPr>
            <w:r w:rsidRPr="00B81E61">
              <w:rPr>
                <w:lang w:val="es-ES" w:eastAsia="es-ES"/>
              </w:rPr>
              <w:t>5.001-10.000</w:t>
            </w:r>
          </w:p>
        </w:tc>
        <w:tc>
          <w:tcPr>
            <w:tcW w:w="714" w:type="pct"/>
            <w:tcBorders>
              <w:top w:val="single" w:sz="2" w:space="0" w:color="auto"/>
              <w:left w:val="nil"/>
              <w:bottom w:val="single" w:sz="2" w:space="0" w:color="auto"/>
              <w:right w:val="nil"/>
            </w:tcBorders>
            <w:shd w:val="clear" w:color="000000" w:fill="FFFFFF"/>
            <w:vAlign w:val="center"/>
            <w:hideMark/>
          </w:tcPr>
          <w:p w14:paraId="6D4E8DC5" w14:textId="6AFA8EFB"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9</w:t>
            </w:r>
          </w:p>
        </w:tc>
        <w:tc>
          <w:tcPr>
            <w:tcW w:w="1061" w:type="pct"/>
            <w:tcBorders>
              <w:top w:val="single" w:sz="2" w:space="0" w:color="auto"/>
              <w:left w:val="nil"/>
              <w:bottom w:val="single" w:sz="2" w:space="0" w:color="auto"/>
              <w:right w:val="nil"/>
            </w:tcBorders>
            <w:shd w:val="clear" w:color="000000" w:fill="FFFFFF"/>
            <w:vAlign w:val="center"/>
            <w:hideMark/>
          </w:tcPr>
          <w:p w14:paraId="79A1BF24" w14:textId="6B4AEF7C"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3,3</w:t>
            </w:r>
          </w:p>
        </w:tc>
        <w:tc>
          <w:tcPr>
            <w:tcW w:w="805" w:type="pct"/>
            <w:tcBorders>
              <w:top w:val="single" w:sz="2" w:space="0" w:color="auto"/>
              <w:left w:val="nil"/>
              <w:bottom w:val="single" w:sz="2" w:space="0" w:color="auto"/>
              <w:right w:val="nil"/>
            </w:tcBorders>
            <w:shd w:val="clear" w:color="000000" w:fill="FFFFFF"/>
            <w:vAlign w:val="center"/>
          </w:tcPr>
          <w:p w14:paraId="4D2EBC97"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66.825</w:t>
            </w:r>
          </w:p>
        </w:tc>
        <w:tc>
          <w:tcPr>
            <w:tcW w:w="807" w:type="pct"/>
            <w:tcBorders>
              <w:top w:val="single" w:sz="2" w:space="0" w:color="auto"/>
              <w:left w:val="nil"/>
              <w:bottom w:val="single" w:sz="2" w:space="0" w:color="auto"/>
              <w:right w:val="nil"/>
            </w:tcBorders>
            <w:shd w:val="clear" w:color="000000" w:fill="FFFFFF"/>
            <w:vAlign w:val="center"/>
          </w:tcPr>
          <w:p w14:paraId="1505D815"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10,1</w:t>
            </w:r>
          </w:p>
        </w:tc>
      </w:tr>
      <w:tr w:rsidR="008E43F9" w:rsidRPr="00B81E61" w14:paraId="6EA1AFDD"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7E00519F" w14:textId="77777777" w:rsidR="008E43F9" w:rsidRPr="00B81E61" w:rsidRDefault="008E43F9" w:rsidP="00C77DCA">
            <w:pPr>
              <w:pStyle w:val="cuatexto"/>
              <w:spacing w:line="240" w:lineRule="auto"/>
              <w:rPr>
                <w:lang w:val="es-ES" w:eastAsia="es-ES"/>
              </w:rPr>
            </w:pPr>
            <w:r w:rsidRPr="00B81E61">
              <w:rPr>
                <w:lang w:val="es-ES" w:eastAsia="es-ES"/>
              </w:rPr>
              <w:t>10.001-20.000</w:t>
            </w:r>
          </w:p>
        </w:tc>
        <w:tc>
          <w:tcPr>
            <w:tcW w:w="714" w:type="pct"/>
            <w:tcBorders>
              <w:top w:val="single" w:sz="2" w:space="0" w:color="auto"/>
              <w:left w:val="nil"/>
              <w:bottom w:val="single" w:sz="2" w:space="0" w:color="auto"/>
              <w:right w:val="nil"/>
            </w:tcBorders>
            <w:shd w:val="clear" w:color="000000" w:fill="FFFFFF"/>
            <w:vAlign w:val="center"/>
            <w:hideMark/>
          </w:tcPr>
          <w:p w14:paraId="6D484216" w14:textId="05E51D36"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8</w:t>
            </w:r>
          </w:p>
        </w:tc>
        <w:tc>
          <w:tcPr>
            <w:tcW w:w="1061" w:type="pct"/>
            <w:tcBorders>
              <w:top w:val="single" w:sz="2" w:space="0" w:color="auto"/>
              <w:left w:val="nil"/>
              <w:bottom w:val="single" w:sz="2" w:space="0" w:color="auto"/>
              <w:right w:val="nil"/>
            </w:tcBorders>
            <w:shd w:val="clear" w:color="000000" w:fill="FFFFFF"/>
            <w:vAlign w:val="center"/>
            <w:hideMark/>
          </w:tcPr>
          <w:p w14:paraId="081C339E" w14:textId="73298196"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2,9</w:t>
            </w:r>
          </w:p>
        </w:tc>
        <w:tc>
          <w:tcPr>
            <w:tcW w:w="805" w:type="pct"/>
            <w:tcBorders>
              <w:top w:val="single" w:sz="2" w:space="0" w:color="auto"/>
              <w:left w:val="nil"/>
              <w:bottom w:val="single" w:sz="2" w:space="0" w:color="auto"/>
              <w:right w:val="nil"/>
            </w:tcBorders>
            <w:shd w:val="clear" w:color="000000" w:fill="FFFFFF"/>
            <w:vAlign w:val="center"/>
          </w:tcPr>
          <w:p w14:paraId="3CF4DDFC"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102.279</w:t>
            </w:r>
          </w:p>
        </w:tc>
        <w:tc>
          <w:tcPr>
            <w:tcW w:w="807" w:type="pct"/>
            <w:tcBorders>
              <w:top w:val="single" w:sz="2" w:space="0" w:color="auto"/>
              <w:left w:val="nil"/>
              <w:bottom w:val="single" w:sz="2" w:space="0" w:color="auto"/>
              <w:right w:val="nil"/>
            </w:tcBorders>
            <w:shd w:val="clear" w:color="000000" w:fill="FFFFFF"/>
            <w:vAlign w:val="center"/>
          </w:tcPr>
          <w:p w14:paraId="18F4DF1F"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15,5</w:t>
            </w:r>
          </w:p>
        </w:tc>
      </w:tr>
      <w:tr w:rsidR="008E43F9" w:rsidRPr="00B81E61" w14:paraId="629EB957"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4BE49FBB" w14:textId="77777777" w:rsidR="008E43F9" w:rsidRPr="00B81E61" w:rsidRDefault="008E43F9" w:rsidP="00C77DCA">
            <w:pPr>
              <w:pStyle w:val="cuatexto"/>
              <w:spacing w:line="240" w:lineRule="auto"/>
              <w:rPr>
                <w:lang w:val="es-ES" w:eastAsia="es-ES"/>
              </w:rPr>
            </w:pPr>
            <w:r w:rsidRPr="00B81E61">
              <w:rPr>
                <w:lang w:val="es-ES" w:eastAsia="es-ES"/>
              </w:rPr>
              <w:t>20.001-30.000</w:t>
            </w:r>
          </w:p>
        </w:tc>
        <w:tc>
          <w:tcPr>
            <w:tcW w:w="714" w:type="pct"/>
            <w:tcBorders>
              <w:top w:val="single" w:sz="2" w:space="0" w:color="auto"/>
              <w:left w:val="nil"/>
              <w:bottom w:val="single" w:sz="2" w:space="0" w:color="auto"/>
              <w:right w:val="nil"/>
            </w:tcBorders>
            <w:shd w:val="clear" w:color="000000" w:fill="FFFFFF"/>
            <w:vAlign w:val="center"/>
            <w:hideMark/>
          </w:tcPr>
          <w:p w14:paraId="1CD098E2" w14:textId="0642A426"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2</w:t>
            </w:r>
          </w:p>
        </w:tc>
        <w:tc>
          <w:tcPr>
            <w:tcW w:w="1061" w:type="pct"/>
            <w:tcBorders>
              <w:top w:val="single" w:sz="2" w:space="0" w:color="auto"/>
              <w:left w:val="nil"/>
              <w:bottom w:val="single" w:sz="2" w:space="0" w:color="auto"/>
              <w:right w:val="nil"/>
            </w:tcBorders>
            <w:shd w:val="clear" w:color="000000" w:fill="FFFFFF"/>
            <w:vAlign w:val="center"/>
            <w:hideMark/>
          </w:tcPr>
          <w:p w14:paraId="0985E8AD" w14:textId="228D4EF7"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0,7</w:t>
            </w:r>
          </w:p>
        </w:tc>
        <w:tc>
          <w:tcPr>
            <w:tcW w:w="805" w:type="pct"/>
            <w:tcBorders>
              <w:top w:val="single" w:sz="2" w:space="0" w:color="auto"/>
              <w:left w:val="nil"/>
              <w:bottom w:val="single" w:sz="2" w:space="0" w:color="auto"/>
              <w:right w:val="nil"/>
            </w:tcBorders>
            <w:shd w:val="clear" w:color="000000" w:fill="FFFFFF"/>
            <w:vAlign w:val="center"/>
          </w:tcPr>
          <w:p w14:paraId="713BEEC4"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41.585</w:t>
            </w:r>
          </w:p>
        </w:tc>
        <w:tc>
          <w:tcPr>
            <w:tcW w:w="807" w:type="pct"/>
            <w:tcBorders>
              <w:top w:val="single" w:sz="2" w:space="0" w:color="auto"/>
              <w:left w:val="nil"/>
              <w:bottom w:val="single" w:sz="2" w:space="0" w:color="auto"/>
              <w:right w:val="nil"/>
            </w:tcBorders>
            <w:shd w:val="clear" w:color="000000" w:fill="FFFFFF"/>
            <w:vAlign w:val="center"/>
          </w:tcPr>
          <w:p w14:paraId="2343BEB4"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6,3</w:t>
            </w:r>
          </w:p>
        </w:tc>
      </w:tr>
      <w:tr w:rsidR="008E43F9" w:rsidRPr="00B81E61" w14:paraId="4B9ACA1F"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7E393789" w14:textId="77777777" w:rsidR="008E43F9" w:rsidRPr="00B81E61" w:rsidRDefault="008E43F9" w:rsidP="00C77DCA">
            <w:pPr>
              <w:pStyle w:val="cuatexto"/>
              <w:spacing w:line="240" w:lineRule="auto"/>
              <w:rPr>
                <w:lang w:val="es-ES" w:eastAsia="es-ES"/>
              </w:rPr>
            </w:pPr>
            <w:r w:rsidRPr="00B81E61">
              <w:rPr>
                <w:lang w:val="es-ES" w:eastAsia="es-ES"/>
              </w:rPr>
              <w:t>30.001-50.000</w:t>
            </w:r>
          </w:p>
        </w:tc>
        <w:tc>
          <w:tcPr>
            <w:tcW w:w="714" w:type="pct"/>
            <w:tcBorders>
              <w:top w:val="single" w:sz="2" w:space="0" w:color="auto"/>
              <w:left w:val="nil"/>
              <w:bottom w:val="single" w:sz="2" w:space="0" w:color="auto"/>
              <w:right w:val="nil"/>
            </w:tcBorders>
            <w:shd w:val="clear" w:color="000000" w:fill="FFFFFF"/>
            <w:vAlign w:val="center"/>
            <w:hideMark/>
          </w:tcPr>
          <w:p w14:paraId="7414896A" w14:textId="02F05AC4"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1</w:t>
            </w:r>
          </w:p>
        </w:tc>
        <w:tc>
          <w:tcPr>
            <w:tcW w:w="1061" w:type="pct"/>
            <w:tcBorders>
              <w:top w:val="single" w:sz="2" w:space="0" w:color="auto"/>
              <w:left w:val="nil"/>
              <w:bottom w:val="single" w:sz="2" w:space="0" w:color="auto"/>
              <w:right w:val="nil"/>
            </w:tcBorders>
            <w:shd w:val="clear" w:color="000000" w:fill="FFFFFF"/>
            <w:vAlign w:val="center"/>
            <w:hideMark/>
          </w:tcPr>
          <w:p w14:paraId="52E89115" w14:textId="1F63B777"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0,4</w:t>
            </w:r>
          </w:p>
        </w:tc>
        <w:tc>
          <w:tcPr>
            <w:tcW w:w="805" w:type="pct"/>
            <w:tcBorders>
              <w:top w:val="single" w:sz="2" w:space="0" w:color="auto"/>
              <w:left w:val="nil"/>
              <w:bottom w:val="single" w:sz="2" w:space="0" w:color="auto"/>
              <w:right w:val="nil"/>
            </w:tcBorders>
            <w:shd w:val="clear" w:color="000000" w:fill="FFFFFF"/>
            <w:vAlign w:val="center"/>
          </w:tcPr>
          <w:p w14:paraId="3F12A9EC"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37.042</w:t>
            </w:r>
          </w:p>
        </w:tc>
        <w:tc>
          <w:tcPr>
            <w:tcW w:w="807" w:type="pct"/>
            <w:tcBorders>
              <w:top w:val="single" w:sz="2" w:space="0" w:color="auto"/>
              <w:left w:val="nil"/>
              <w:bottom w:val="single" w:sz="2" w:space="0" w:color="auto"/>
              <w:right w:val="nil"/>
            </w:tcBorders>
            <w:shd w:val="clear" w:color="000000" w:fill="FFFFFF"/>
            <w:vAlign w:val="center"/>
          </w:tcPr>
          <w:p w14:paraId="4A0D8DAA"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5,6</w:t>
            </w:r>
          </w:p>
        </w:tc>
      </w:tr>
      <w:tr w:rsidR="008E43F9" w:rsidRPr="00B81E61" w14:paraId="6751E462" w14:textId="77777777" w:rsidTr="00C77DCA">
        <w:trPr>
          <w:trHeight w:val="227"/>
          <w:jc w:val="center"/>
        </w:trPr>
        <w:tc>
          <w:tcPr>
            <w:tcW w:w="1613" w:type="pct"/>
            <w:tcBorders>
              <w:top w:val="single" w:sz="2" w:space="0" w:color="auto"/>
              <w:left w:val="nil"/>
              <w:bottom w:val="single" w:sz="4" w:space="0" w:color="auto"/>
              <w:right w:val="nil"/>
            </w:tcBorders>
            <w:shd w:val="clear" w:color="000000" w:fill="FFFFFF"/>
            <w:vAlign w:val="center"/>
            <w:hideMark/>
          </w:tcPr>
          <w:p w14:paraId="0C48DD5C" w14:textId="77777777" w:rsidR="008E43F9" w:rsidRPr="00B81E61" w:rsidRDefault="008E43F9" w:rsidP="00C77DCA">
            <w:pPr>
              <w:pStyle w:val="cuatexto"/>
              <w:spacing w:line="240" w:lineRule="auto"/>
              <w:rPr>
                <w:lang w:val="es-ES" w:eastAsia="es-ES"/>
              </w:rPr>
            </w:pPr>
            <w:r w:rsidRPr="00B81E61">
              <w:rPr>
                <w:lang w:val="es-ES" w:eastAsia="es-ES"/>
              </w:rPr>
              <w:t>Más de 50.000</w:t>
            </w:r>
          </w:p>
        </w:tc>
        <w:tc>
          <w:tcPr>
            <w:tcW w:w="714" w:type="pct"/>
            <w:tcBorders>
              <w:top w:val="single" w:sz="2" w:space="0" w:color="auto"/>
              <w:left w:val="nil"/>
              <w:bottom w:val="single" w:sz="4" w:space="0" w:color="auto"/>
              <w:right w:val="nil"/>
            </w:tcBorders>
            <w:shd w:val="clear" w:color="000000" w:fill="FFFFFF"/>
            <w:vAlign w:val="center"/>
            <w:hideMark/>
          </w:tcPr>
          <w:p w14:paraId="6260BA95" w14:textId="4C2AED87"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1</w:t>
            </w:r>
          </w:p>
        </w:tc>
        <w:tc>
          <w:tcPr>
            <w:tcW w:w="1061" w:type="pct"/>
            <w:tcBorders>
              <w:top w:val="single" w:sz="2" w:space="0" w:color="auto"/>
              <w:left w:val="nil"/>
              <w:bottom w:val="single" w:sz="4" w:space="0" w:color="auto"/>
              <w:right w:val="nil"/>
            </w:tcBorders>
            <w:shd w:val="clear" w:color="000000" w:fill="FFFFFF"/>
            <w:vAlign w:val="center"/>
            <w:hideMark/>
          </w:tcPr>
          <w:p w14:paraId="33E2CDC1" w14:textId="2ECCE050" w:rsidR="008E43F9" w:rsidRPr="00B81E61" w:rsidRDefault="008E43F9" w:rsidP="00C77DCA">
            <w:pPr>
              <w:pStyle w:val="cuatexto"/>
              <w:spacing w:line="240" w:lineRule="auto"/>
              <w:jc w:val="right"/>
              <w:rPr>
                <w:lang w:val="es-ES" w:eastAsia="es-ES"/>
              </w:rPr>
            </w:pPr>
            <w:r w:rsidRPr="000468DA">
              <w:rPr>
                <w:rFonts w:cs="Arial"/>
                <w:color w:val="000000"/>
                <w:szCs w:val="20"/>
                <w:lang w:eastAsia="zh-CN"/>
              </w:rPr>
              <w:t>0,4</w:t>
            </w:r>
          </w:p>
        </w:tc>
        <w:tc>
          <w:tcPr>
            <w:tcW w:w="805" w:type="pct"/>
            <w:tcBorders>
              <w:top w:val="single" w:sz="2" w:space="0" w:color="auto"/>
              <w:left w:val="nil"/>
              <w:bottom w:val="single" w:sz="4" w:space="0" w:color="auto"/>
              <w:right w:val="nil"/>
            </w:tcBorders>
            <w:shd w:val="clear" w:color="000000" w:fill="FFFFFF"/>
            <w:vAlign w:val="center"/>
          </w:tcPr>
          <w:p w14:paraId="1EFC46F9"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203.944</w:t>
            </w:r>
          </w:p>
        </w:tc>
        <w:tc>
          <w:tcPr>
            <w:tcW w:w="807" w:type="pct"/>
            <w:tcBorders>
              <w:top w:val="single" w:sz="2" w:space="0" w:color="auto"/>
              <w:left w:val="nil"/>
              <w:bottom w:val="single" w:sz="4" w:space="0" w:color="auto"/>
              <w:right w:val="nil"/>
            </w:tcBorders>
            <w:shd w:val="clear" w:color="000000" w:fill="FFFFFF"/>
            <w:vAlign w:val="center"/>
          </w:tcPr>
          <w:p w14:paraId="4F3B7A79" w14:textId="77777777" w:rsidR="008E43F9" w:rsidRPr="000468DA" w:rsidRDefault="008E43F9" w:rsidP="00C77DCA">
            <w:pPr>
              <w:pStyle w:val="cuatexto"/>
              <w:spacing w:line="240" w:lineRule="auto"/>
              <w:jc w:val="right"/>
              <w:rPr>
                <w:rFonts w:cs="Arial"/>
                <w:color w:val="000000"/>
                <w:lang w:eastAsia="zh-CN"/>
              </w:rPr>
            </w:pPr>
            <w:r w:rsidRPr="000468DA">
              <w:rPr>
                <w:rFonts w:cs="Arial"/>
                <w:color w:val="000000"/>
                <w:lang w:eastAsia="zh-CN"/>
              </w:rPr>
              <w:t>30,8</w:t>
            </w:r>
          </w:p>
        </w:tc>
      </w:tr>
      <w:tr w:rsidR="008E43F9" w:rsidRPr="00A02FED" w14:paraId="7240CE0F" w14:textId="77777777" w:rsidTr="00C77DCA">
        <w:trPr>
          <w:trHeight w:val="227"/>
          <w:jc w:val="center"/>
        </w:trPr>
        <w:tc>
          <w:tcPr>
            <w:tcW w:w="1613" w:type="pct"/>
            <w:tcBorders>
              <w:top w:val="single" w:sz="4" w:space="0" w:color="auto"/>
              <w:left w:val="nil"/>
              <w:bottom w:val="single" w:sz="4" w:space="0" w:color="auto"/>
              <w:right w:val="nil"/>
            </w:tcBorders>
            <w:shd w:val="clear" w:color="auto" w:fill="FABF8F" w:themeFill="accent6" w:themeFillTint="99"/>
            <w:vAlign w:val="center"/>
            <w:hideMark/>
          </w:tcPr>
          <w:p w14:paraId="4BB363E2" w14:textId="77777777" w:rsidR="008E43F9" w:rsidRPr="00A02FED" w:rsidRDefault="008E43F9" w:rsidP="00C77DCA">
            <w:pPr>
              <w:pStyle w:val="cuadroCabe"/>
              <w:spacing w:line="240" w:lineRule="auto"/>
            </w:pPr>
            <w:r w:rsidRPr="00A02FED">
              <w:t>Total</w:t>
            </w:r>
          </w:p>
        </w:tc>
        <w:tc>
          <w:tcPr>
            <w:tcW w:w="714" w:type="pct"/>
            <w:tcBorders>
              <w:top w:val="single" w:sz="4" w:space="0" w:color="auto"/>
              <w:left w:val="nil"/>
              <w:bottom w:val="single" w:sz="4" w:space="0" w:color="auto"/>
              <w:right w:val="nil"/>
            </w:tcBorders>
            <w:shd w:val="clear" w:color="auto" w:fill="FABF8F" w:themeFill="accent6" w:themeFillTint="99"/>
            <w:vAlign w:val="center"/>
            <w:hideMark/>
          </w:tcPr>
          <w:p w14:paraId="3C0BBE9A" w14:textId="77777777" w:rsidR="008E43F9" w:rsidRPr="00A02FED" w:rsidRDefault="008E43F9" w:rsidP="00C77DCA">
            <w:pPr>
              <w:pStyle w:val="cuadroCabe"/>
              <w:spacing w:line="240" w:lineRule="auto"/>
              <w:jc w:val="right"/>
            </w:pPr>
            <w:r w:rsidRPr="00A02FED">
              <w:t>272</w:t>
            </w:r>
          </w:p>
        </w:tc>
        <w:tc>
          <w:tcPr>
            <w:tcW w:w="1061" w:type="pct"/>
            <w:tcBorders>
              <w:top w:val="single" w:sz="4" w:space="0" w:color="auto"/>
              <w:left w:val="nil"/>
              <w:bottom w:val="single" w:sz="4" w:space="0" w:color="auto"/>
              <w:right w:val="nil"/>
            </w:tcBorders>
            <w:shd w:val="clear" w:color="auto" w:fill="FABF8F" w:themeFill="accent6" w:themeFillTint="99"/>
            <w:vAlign w:val="center"/>
            <w:hideMark/>
          </w:tcPr>
          <w:p w14:paraId="299BEA32" w14:textId="77777777" w:rsidR="008E43F9" w:rsidRPr="00A02FED" w:rsidRDefault="008E43F9" w:rsidP="00C77DCA">
            <w:pPr>
              <w:pStyle w:val="cuadroCabe"/>
              <w:spacing w:line="240" w:lineRule="auto"/>
              <w:jc w:val="right"/>
            </w:pPr>
            <w:r w:rsidRPr="00A02FED">
              <w:t>100</w:t>
            </w:r>
          </w:p>
        </w:tc>
        <w:tc>
          <w:tcPr>
            <w:tcW w:w="805" w:type="pct"/>
            <w:tcBorders>
              <w:top w:val="single" w:sz="4" w:space="0" w:color="auto"/>
              <w:left w:val="nil"/>
              <w:bottom w:val="single" w:sz="4" w:space="0" w:color="auto"/>
              <w:right w:val="nil"/>
            </w:tcBorders>
            <w:shd w:val="clear" w:color="auto" w:fill="FABF8F" w:themeFill="accent6" w:themeFillTint="99"/>
            <w:vAlign w:val="center"/>
          </w:tcPr>
          <w:p w14:paraId="5D74483E" w14:textId="77777777" w:rsidR="008E43F9" w:rsidRPr="00A02FED" w:rsidRDefault="008E43F9" w:rsidP="00C77DCA">
            <w:pPr>
              <w:pStyle w:val="cuadroCabe"/>
              <w:spacing w:line="240" w:lineRule="auto"/>
              <w:jc w:val="right"/>
            </w:pPr>
            <w:r w:rsidRPr="00A02FED">
              <w:t>661.197</w:t>
            </w:r>
          </w:p>
        </w:tc>
        <w:tc>
          <w:tcPr>
            <w:tcW w:w="807" w:type="pct"/>
            <w:tcBorders>
              <w:top w:val="single" w:sz="4" w:space="0" w:color="auto"/>
              <w:left w:val="nil"/>
              <w:bottom w:val="single" w:sz="4" w:space="0" w:color="auto"/>
              <w:right w:val="nil"/>
            </w:tcBorders>
            <w:shd w:val="clear" w:color="auto" w:fill="FABF8F" w:themeFill="accent6" w:themeFillTint="99"/>
            <w:vAlign w:val="center"/>
          </w:tcPr>
          <w:p w14:paraId="510468AF" w14:textId="77777777" w:rsidR="008E43F9" w:rsidRPr="00A02FED" w:rsidRDefault="008E43F9" w:rsidP="00C77DCA">
            <w:pPr>
              <w:pStyle w:val="cuadroCabe"/>
              <w:spacing w:line="240" w:lineRule="auto"/>
              <w:jc w:val="right"/>
            </w:pPr>
            <w:r w:rsidRPr="00A02FED">
              <w:t>100</w:t>
            </w:r>
          </w:p>
        </w:tc>
      </w:tr>
    </w:tbl>
    <w:p w14:paraId="3B2E131B" w14:textId="05668191" w:rsidR="00345C6C" w:rsidRPr="00A54C63" w:rsidRDefault="00683931" w:rsidP="00A02FED">
      <w:pPr>
        <w:pStyle w:val="texto"/>
        <w:spacing w:before="240"/>
        <w:rPr>
          <w:color w:val="000000" w:themeColor="text1"/>
          <w:spacing w:val="4"/>
        </w:rPr>
      </w:pPr>
      <w:r w:rsidRPr="00A54C63">
        <w:rPr>
          <w:color w:val="000000" w:themeColor="text1"/>
          <w:spacing w:val="4"/>
        </w:rPr>
        <w:t>Cabe destacar que</w:t>
      </w:r>
      <w:r w:rsidR="00345C6C" w:rsidRPr="00A54C63">
        <w:rPr>
          <w:color w:val="000000" w:themeColor="text1"/>
          <w:spacing w:val="4"/>
        </w:rPr>
        <w:t xml:space="preserve"> el </w:t>
      </w:r>
      <w:r w:rsidR="008E43F9" w:rsidRPr="00A54C63">
        <w:rPr>
          <w:color w:val="000000" w:themeColor="text1"/>
          <w:spacing w:val="4"/>
        </w:rPr>
        <w:t>70</w:t>
      </w:r>
      <w:r w:rsidR="00345C6C" w:rsidRPr="00A54C63">
        <w:rPr>
          <w:color w:val="000000" w:themeColor="text1"/>
          <w:spacing w:val="4"/>
        </w:rPr>
        <w:t xml:space="preserve"> por ciento de los municipios de Navarra (189 municipios) tiene menos de 1.000 habitantes y representan en conjunto el ocho por ciento de la población. </w:t>
      </w:r>
      <w:r w:rsidRPr="00A54C63">
        <w:rPr>
          <w:color w:val="000000" w:themeColor="text1"/>
          <w:spacing w:val="4"/>
        </w:rPr>
        <w:t>Por su parte</w:t>
      </w:r>
      <w:r w:rsidR="006556FD" w:rsidRPr="00A54C63">
        <w:rPr>
          <w:color w:val="000000" w:themeColor="text1"/>
          <w:spacing w:val="4"/>
        </w:rPr>
        <w:t xml:space="preserve">, Pamplona y los otros </w:t>
      </w:r>
      <w:r w:rsidR="00B772FA">
        <w:rPr>
          <w:color w:val="000000" w:themeColor="text1"/>
          <w:spacing w:val="4"/>
        </w:rPr>
        <w:t>11</w:t>
      </w:r>
      <w:r w:rsidR="00B772FA" w:rsidRPr="00A54C63">
        <w:rPr>
          <w:color w:val="000000" w:themeColor="text1"/>
          <w:spacing w:val="4"/>
        </w:rPr>
        <w:t xml:space="preserve"> </w:t>
      </w:r>
      <w:r w:rsidRPr="00A54C63">
        <w:rPr>
          <w:color w:val="000000" w:themeColor="text1"/>
          <w:spacing w:val="4"/>
        </w:rPr>
        <w:t xml:space="preserve">municipios con población superior </w:t>
      </w:r>
      <w:r w:rsidR="00345C6C" w:rsidRPr="00A54C63">
        <w:rPr>
          <w:color w:val="000000" w:themeColor="text1"/>
          <w:spacing w:val="4"/>
        </w:rPr>
        <w:t xml:space="preserve">a 10.000 habitantes, </w:t>
      </w:r>
      <w:r w:rsidRPr="00A54C63">
        <w:rPr>
          <w:color w:val="000000" w:themeColor="text1"/>
          <w:spacing w:val="4"/>
        </w:rPr>
        <w:t>concentran el 58</w:t>
      </w:r>
      <w:r w:rsidR="00345C6C" w:rsidRPr="00A54C63">
        <w:rPr>
          <w:color w:val="000000" w:themeColor="text1"/>
          <w:spacing w:val="4"/>
        </w:rPr>
        <w:t xml:space="preserve"> por</w:t>
      </w:r>
      <w:r w:rsidR="00D23225" w:rsidRPr="00A54C63">
        <w:rPr>
          <w:color w:val="000000" w:themeColor="text1"/>
          <w:spacing w:val="4"/>
        </w:rPr>
        <w:t xml:space="preserve"> ciento de la población.</w:t>
      </w:r>
    </w:p>
    <w:p w14:paraId="719FBDCF" w14:textId="4CEEA94F" w:rsidR="00345C6C" w:rsidRDefault="00345C6C" w:rsidP="00A02FED">
      <w:pPr>
        <w:pStyle w:val="texto"/>
        <w:spacing w:after="200"/>
        <w:rPr>
          <w:color w:val="000000" w:themeColor="text1"/>
        </w:rPr>
      </w:pPr>
      <w:r w:rsidRPr="00B81E61">
        <w:rPr>
          <w:color w:val="000000" w:themeColor="text1"/>
        </w:rPr>
        <w:t xml:space="preserve">Tal y como viene reiterando esta Cámara en sus informes, la reducida dimensión poblacional suele conllevar unos recursos </w:t>
      </w:r>
      <w:r w:rsidR="00683931">
        <w:rPr>
          <w:color w:val="000000" w:themeColor="text1"/>
        </w:rPr>
        <w:t xml:space="preserve">humanos y financieros limitados </w:t>
      </w:r>
      <w:r w:rsidRPr="00B81E61">
        <w:rPr>
          <w:color w:val="000000" w:themeColor="text1"/>
        </w:rPr>
        <w:t xml:space="preserve">y la ausencia de una estructura administrativa adecuada y </w:t>
      </w:r>
      <w:r w:rsidR="00683931">
        <w:rPr>
          <w:color w:val="000000" w:themeColor="text1"/>
        </w:rPr>
        <w:t>suficiente para el ejercicio de las competencias, lo que</w:t>
      </w:r>
      <w:r w:rsidRPr="00B81E61">
        <w:rPr>
          <w:color w:val="000000" w:themeColor="text1"/>
        </w:rPr>
        <w:t xml:space="preserve"> dificulta la prestación de servicios con </w:t>
      </w:r>
      <w:r w:rsidR="00683931">
        <w:rPr>
          <w:color w:val="000000" w:themeColor="text1"/>
        </w:rPr>
        <w:t xml:space="preserve">eficacia, eficiencia, economía </w:t>
      </w:r>
      <w:r w:rsidRPr="00B81E61">
        <w:rPr>
          <w:color w:val="000000" w:themeColor="text1"/>
        </w:rPr>
        <w:t>y calidad.</w:t>
      </w:r>
    </w:p>
    <w:p w14:paraId="29C6E2DC" w14:textId="77777777" w:rsidR="00345C6C" w:rsidRPr="00EF0883" w:rsidRDefault="00345C6C" w:rsidP="00DA0A2D">
      <w:pPr>
        <w:pStyle w:val="Ttulo2"/>
        <w:rPr>
          <w:szCs w:val="25"/>
        </w:rPr>
      </w:pPr>
      <w:bookmarkStart w:id="47" w:name="_Toc399916261"/>
      <w:bookmarkStart w:id="48" w:name="_Toc465686684"/>
      <w:bookmarkStart w:id="49" w:name="_Toc529773878"/>
      <w:bookmarkStart w:id="50" w:name="_Toc24100138"/>
      <w:bookmarkStart w:id="51" w:name="_Toc52348286"/>
      <w:bookmarkStart w:id="52" w:name="_Toc88727711"/>
      <w:bookmarkStart w:id="53" w:name="_Toc123724196"/>
      <w:r w:rsidRPr="00EF0883">
        <w:rPr>
          <w:szCs w:val="25"/>
        </w:rPr>
        <w:lastRenderedPageBreak/>
        <w:t>I</w:t>
      </w:r>
      <w:r w:rsidR="00683931" w:rsidRPr="00EF0883">
        <w:rPr>
          <w:szCs w:val="25"/>
        </w:rPr>
        <w:t>V</w:t>
      </w:r>
      <w:r w:rsidRPr="00EF0883">
        <w:rPr>
          <w:szCs w:val="25"/>
        </w:rPr>
        <w:t>.2. Medidas legislativas planteadas para la racionalización del sector público local</w:t>
      </w:r>
      <w:bookmarkEnd w:id="47"/>
      <w:bookmarkEnd w:id="48"/>
      <w:bookmarkEnd w:id="49"/>
      <w:bookmarkEnd w:id="50"/>
      <w:bookmarkEnd w:id="51"/>
      <w:bookmarkEnd w:id="52"/>
      <w:bookmarkEnd w:id="53"/>
      <w:r w:rsidRPr="00EF0883">
        <w:rPr>
          <w:szCs w:val="25"/>
        </w:rPr>
        <w:t xml:space="preserve"> </w:t>
      </w:r>
    </w:p>
    <w:p w14:paraId="08E41637" w14:textId="189ACD17" w:rsidR="00376B43" w:rsidRPr="00DD4FBB" w:rsidRDefault="00376B43" w:rsidP="00376B43">
      <w:pPr>
        <w:pStyle w:val="texto"/>
        <w:rPr>
          <w:color w:val="000000" w:themeColor="text1"/>
          <w:szCs w:val="26"/>
        </w:rPr>
      </w:pPr>
      <w:bookmarkStart w:id="54" w:name="_Toc24100139"/>
      <w:bookmarkStart w:id="55" w:name="_Toc52348287"/>
      <w:bookmarkStart w:id="56" w:name="_Toc88727712"/>
      <w:r w:rsidRPr="00DD4FBB">
        <w:rPr>
          <w:color w:val="000000" w:themeColor="text1"/>
          <w:szCs w:val="26"/>
        </w:rPr>
        <w:t>En 2019 se aprobó la L</w:t>
      </w:r>
      <w:r>
        <w:rPr>
          <w:color w:val="000000" w:themeColor="text1"/>
          <w:szCs w:val="26"/>
        </w:rPr>
        <w:t xml:space="preserve">ey Foral 4/2019, de 4 de febrero, de </w:t>
      </w:r>
      <w:r w:rsidR="00460B29">
        <w:rPr>
          <w:color w:val="000000" w:themeColor="text1"/>
          <w:szCs w:val="26"/>
        </w:rPr>
        <w:t>reforma de la Administración</w:t>
      </w:r>
      <w:r>
        <w:rPr>
          <w:color w:val="000000" w:themeColor="text1"/>
          <w:szCs w:val="26"/>
        </w:rPr>
        <w:t xml:space="preserve"> Local de Navarra</w:t>
      </w:r>
      <w:r w:rsidRPr="00DD4FBB">
        <w:rPr>
          <w:color w:val="000000" w:themeColor="text1"/>
          <w:szCs w:val="26"/>
        </w:rPr>
        <w:t>, que diseña una nueva planta local cuyo desarrollo y configuración definitiva debe realizarse mediante la aprobación de las normas correspondientes.</w:t>
      </w:r>
    </w:p>
    <w:p w14:paraId="3134F514" w14:textId="77777777" w:rsidR="00376B43" w:rsidRPr="00DD4FBB" w:rsidRDefault="00376B43" w:rsidP="00376B43">
      <w:pPr>
        <w:pStyle w:val="texto"/>
        <w:rPr>
          <w:color w:val="000000" w:themeColor="text1"/>
          <w:szCs w:val="26"/>
        </w:rPr>
      </w:pPr>
      <w:r w:rsidRPr="00DD4FBB">
        <w:rPr>
          <w:color w:val="000000" w:themeColor="text1"/>
          <w:szCs w:val="26"/>
        </w:rPr>
        <w:t>Entre otras cuestiones, se preveía un nuevo sistema de financiación local en el que la dotación del Fondo de Haciendas Locales se establecería como un porcentaje fijo de la recaudación tributaria de la Comunidad Foral y su distribución mediante un sistema de módulos que sustituiría al de subvenciones finalistas. A este respecto, la Ley Foral 6/2022, de 22 de marzo, de modificación de la Ley Foral 2/1995, de 10 de marzo de Haciendas Locales de Navarra, ha establecido un nuevo sistema de financiación, que establece la dotación del Fondo de Haciendas Locales como una cantidad fija actualizada anualmente, regulándose su distribución mediante las leyes forales 7/2022 y 8/2022, referidas respectivamente a las transferencias corrientes y al Plan de Inversiones Locales.</w:t>
      </w:r>
    </w:p>
    <w:p w14:paraId="57AAC37A" w14:textId="5F65A49C" w:rsidR="00376B43" w:rsidRPr="00DD4FBB" w:rsidRDefault="00376B43" w:rsidP="00D73492">
      <w:pPr>
        <w:pStyle w:val="texto"/>
        <w:spacing w:after="240"/>
        <w:rPr>
          <w:color w:val="000000" w:themeColor="text1"/>
          <w:szCs w:val="26"/>
        </w:rPr>
      </w:pPr>
      <w:r w:rsidRPr="00DD4FBB">
        <w:rPr>
          <w:color w:val="000000" w:themeColor="text1"/>
          <w:szCs w:val="26"/>
        </w:rPr>
        <w:t xml:space="preserve">Por otra parte, la </w:t>
      </w:r>
      <w:r w:rsidR="00460B29">
        <w:rPr>
          <w:color w:val="000000" w:themeColor="text1"/>
          <w:szCs w:val="26"/>
        </w:rPr>
        <w:t>mencionada Ley Foral 4/2019, de 4 de febrero, de reforma de la Administración Local de Navarra</w:t>
      </w:r>
      <w:r w:rsidR="00460B29" w:rsidRPr="00DD4FBB">
        <w:rPr>
          <w:color w:val="000000" w:themeColor="text1"/>
          <w:szCs w:val="26"/>
        </w:rPr>
        <w:t xml:space="preserve"> </w:t>
      </w:r>
      <w:r w:rsidRPr="00DD4FBB">
        <w:rPr>
          <w:color w:val="000000" w:themeColor="text1"/>
          <w:szCs w:val="26"/>
        </w:rPr>
        <w:t>suprime ciertos tipos de entidades locales y crea otros, introduciéndose la figura de las comarcas, cada una de las cuales ha de crearse a través de un procedimiento en el que la iniciativa corresponde a los ayuntamientos o al Gobierno de Navarra, estableciéndose para ello un plazo de 18 meses que expiró en agosto de 2020. Hasta el momento no se ha constituido ninguna comarca.</w:t>
      </w:r>
    </w:p>
    <w:p w14:paraId="04BB6E02" w14:textId="59B9FDDA" w:rsidR="00345C6C" w:rsidRPr="00EF0883" w:rsidRDefault="00683931" w:rsidP="00DA0A2D">
      <w:pPr>
        <w:pStyle w:val="Ttulo2"/>
        <w:rPr>
          <w:szCs w:val="25"/>
        </w:rPr>
      </w:pPr>
      <w:bookmarkStart w:id="57" w:name="_Toc123724197"/>
      <w:r w:rsidRPr="00EF0883">
        <w:rPr>
          <w:szCs w:val="25"/>
        </w:rPr>
        <w:t>IV</w:t>
      </w:r>
      <w:r w:rsidR="00345C6C" w:rsidRPr="00EF0883">
        <w:rPr>
          <w:szCs w:val="25"/>
        </w:rPr>
        <w:t>.3. Normativa aprobada en 20</w:t>
      </w:r>
      <w:bookmarkEnd w:id="54"/>
      <w:bookmarkEnd w:id="55"/>
      <w:bookmarkEnd w:id="56"/>
      <w:r w:rsidR="00B95F8E" w:rsidRPr="00EF0883">
        <w:rPr>
          <w:szCs w:val="25"/>
        </w:rPr>
        <w:t>20</w:t>
      </w:r>
      <w:bookmarkEnd w:id="57"/>
    </w:p>
    <w:p w14:paraId="2577F0F6" w14:textId="4F313CD7" w:rsidR="00B95F8E" w:rsidRDefault="008E43F9" w:rsidP="00B95F8E">
      <w:pPr>
        <w:pStyle w:val="texto"/>
        <w:tabs>
          <w:tab w:val="clear" w:pos="2835"/>
          <w:tab w:val="clear" w:pos="3969"/>
          <w:tab w:val="clear" w:pos="5103"/>
          <w:tab w:val="clear" w:pos="6237"/>
          <w:tab w:val="clear" w:pos="7371"/>
          <w:tab w:val="left" w:pos="480"/>
          <w:tab w:val="num" w:pos="786"/>
          <w:tab w:val="num" w:pos="1948"/>
          <w:tab w:val="num" w:pos="5606"/>
        </w:tabs>
        <w:rPr>
          <w:color w:val="000000" w:themeColor="text1"/>
          <w:szCs w:val="26"/>
        </w:rPr>
      </w:pPr>
      <w:r>
        <w:rPr>
          <w:color w:val="000000" w:themeColor="text1"/>
          <w:szCs w:val="26"/>
        </w:rPr>
        <w:t xml:space="preserve">El número de normas aplicables al sector público local de Navarra que se aprobaron en 2020 fue muy elevado, en buena medida debido a las medidas adoptadas con motivo de la pandemia de </w:t>
      </w:r>
      <w:proofErr w:type="spellStart"/>
      <w:r>
        <w:rPr>
          <w:color w:val="000000" w:themeColor="text1"/>
          <w:szCs w:val="26"/>
        </w:rPr>
        <w:t>Covid-19</w:t>
      </w:r>
      <w:proofErr w:type="spellEnd"/>
      <w:r>
        <w:rPr>
          <w:color w:val="000000" w:themeColor="text1"/>
          <w:szCs w:val="26"/>
        </w:rPr>
        <w:t>.</w:t>
      </w:r>
      <w:r w:rsidR="001A3BA2">
        <w:rPr>
          <w:color w:val="000000" w:themeColor="text1"/>
          <w:szCs w:val="26"/>
        </w:rPr>
        <w:t xml:space="preserve"> </w:t>
      </w:r>
      <w:r>
        <w:rPr>
          <w:color w:val="000000" w:themeColor="text1"/>
          <w:szCs w:val="26"/>
        </w:rPr>
        <w:t>Entre las normas aprobadas, d</w:t>
      </w:r>
      <w:r w:rsidR="00B95F8E">
        <w:rPr>
          <w:color w:val="000000" w:themeColor="text1"/>
          <w:szCs w:val="26"/>
        </w:rPr>
        <w:t xml:space="preserve">estacan por su </w:t>
      </w:r>
      <w:r w:rsidR="007D68B8">
        <w:rPr>
          <w:color w:val="000000" w:themeColor="text1"/>
          <w:szCs w:val="26"/>
        </w:rPr>
        <w:t>importancia</w:t>
      </w:r>
      <w:r w:rsidR="00B95F8E">
        <w:rPr>
          <w:color w:val="000000" w:themeColor="text1"/>
          <w:szCs w:val="26"/>
        </w:rPr>
        <w:t xml:space="preserve"> las siguientes:</w:t>
      </w:r>
    </w:p>
    <w:p w14:paraId="0563C39F" w14:textId="77777777" w:rsidR="00B95F8E" w:rsidRPr="00AF43A9" w:rsidRDefault="00B95F8E" w:rsidP="00A02FE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2/2020, de 23 de enero, por la que se prolonga la vigencia y se modifica la Ley Foral 18/2016, de 13 de diciembre, reguladora del Plan de Inversiones Locales 2017-2019.</w:t>
      </w:r>
    </w:p>
    <w:p w14:paraId="5F544B5B" w14:textId="77777777" w:rsidR="00B95F8E" w:rsidRPr="00AF43A9" w:rsidRDefault="00B95F8E" w:rsidP="00A02FE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3/2020, de 27 de febrero, por la que se establece la cuantía y reparto del Fondo de participación de las Haciendas Locales en los tributos de Navarra por transferencias corrientes y otras ayudas para el año 2020.</w:t>
      </w:r>
    </w:p>
    <w:p w14:paraId="3FDBBC6C" w14:textId="77777777" w:rsidR="00B95F8E" w:rsidRPr="00DA0F30" w:rsidRDefault="00B95F8E" w:rsidP="00A02FE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DA0F30">
        <w:rPr>
          <w:color w:val="000000" w:themeColor="text1"/>
          <w:szCs w:val="26"/>
        </w:rPr>
        <w:t>Ley Foral 22/2020, de 29 de diciembre, de modificación de la Ley Foral 2/1995, d</w:t>
      </w:r>
      <w:r w:rsidR="00DA0F30">
        <w:rPr>
          <w:color w:val="000000" w:themeColor="text1"/>
          <w:szCs w:val="26"/>
        </w:rPr>
        <w:t>e Haciendas Locales de Navarra.</w:t>
      </w:r>
    </w:p>
    <w:p w14:paraId="659AC7B1" w14:textId="77777777" w:rsidR="00D23225" w:rsidRDefault="00D23225" w:rsidP="00751965">
      <w:pPr>
        <w:pStyle w:val="texto"/>
        <w:tabs>
          <w:tab w:val="clear" w:pos="2835"/>
          <w:tab w:val="clear" w:pos="3969"/>
          <w:tab w:val="clear" w:pos="5103"/>
          <w:tab w:val="clear" w:pos="6237"/>
          <w:tab w:val="clear" w:pos="7371"/>
          <w:tab w:val="left" w:pos="480"/>
          <w:tab w:val="num" w:pos="1948"/>
          <w:tab w:val="num" w:pos="5606"/>
        </w:tabs>
        <w:rPr>
          <w:color w:val="000000" w:themeColor="text1"/>
          <w:szCs w:val="26"/>
        </w:rPr>
      </w:pPr>
      <w:r>
        <w:rPr>
          <w:color w:val="000000" w:themeColor="text1"/>
          <w:szCs w:val="26"/>
        </w:rPr>
        <w:t xml:space="preserve">Las leyes forales 2/2020 y 3/2020 implicaron la prolongación, con algunos ajustes, de la vigencia del sistema de financiación de las entidades locales vigente </w:t>
      </w:r>
      <w:r>
        <w:rPr>
          <w:color w:val="000000" w:themeColor="text1"/>
          <w:szCs w:val="26"/>
        </w:rPr>
        <w:lastRenderedPageBreak/>
        <w:t>con anterioridad, que se ha aplicado hasta la entrada en vigor de las leyes forales 6/2022, 7/2022 y 8/2022, a las que hacíamos referencia en el apartado anterior.</w:t>
      </w:r>
    </w:p>
    <w:p w14:paraId="7DEBC882" w14:textId="6EF0E3E7" w:rsidR="00D23225" w:rsidRDefault="00D23225" w:rsidP="00751965">
      <w:pPr>
        <w:pStyle w:val="texto"/>
        <w:tabs>
          <w:tab w:val="clear" w:pos="2835"/>
          <w:tab w:val="clear" w:pos="3969"/>
          <w:tab w:val="clear" w:pos="5103"/>
          <w:tab w:val="clear" w:pos="6237"/>
          <w:tab w:val="clear" w:pos="7371"/>
          <w:tab w:val="left" w:pos="480"/>
          <w:tab w:val="num" w:pos="786"/>
          <w:tab w:val="num" w:pos="1948"/>
          <w:tab w:val="num" w:pos="5606"/>
        </w:tabs>
        <w:rPr>
          <w:color w:val="000000" w:themeColor="text1"/>
          <w:szCs w:val="26"/>
        </w:rPr>
      </w:pPr>
      <w:r>
        <w:rPr>
          <w:color w:val="000000" w:themeColor="text1"/>
          <w:szCs w:val="26"/>
        </w:rPr>
        <w:t>Por su parte, la L</w:t>
      </w:r>
      <w:r w:rsidR="0084582D">
        <w:rPr>
          <w:color w:val="000000" w:themeColor="text1"/>
          <w:szCs w:val="26"/>
        </w:rPr>
        <w:t xml:space="preserve">ey </w:t>
      </w:r>
      <w:r>
        <w:rPr>
          <w:color w:val="000000" w:themeColor="text1"/>
          <w:szCs w:val="26"/>
        </w:rPr>
        <w:t>F</w:t>
      </w:r>
      <w:r w:rsidR="0084582D">
        <w:rPr>
          <w:color w:val="000000" w:themeColor="text1"/>
          <w:szCs w:val="26"/>
        </w:rPr>
        <w:t>oral</w:t>
      </w:r>
      <w:r>
        <w:rPr>
          <w:color w:val="000000" w:themeColor="text1"/>
          <w:szCs w:val="26"/>
        </w:rPr>
        <w:t xml:space="preserve"> 22/2020 ha sido de aplicación ya a partir del ejercicio 2021 y ha introducido </w:t>
      </w:r>
      <w:r w:rsidR="00751965">
        <w:rPr>
          <w:color w:val="000000" w:themeColor="text1"/>
          <w:szCs w:val="26"/>
        </w:rPr>
        <w:t>varias</w:t>
      </w:r>
      <w:r>
        <w:rPr>
          <w:color w:val="000000" w:themeColor="text1"/>
          <w:szCs w:val="26"/>
        </w:rPr>
        <w:t xml:space="preserve"> modificaciones en la </w:t>
      </w:r>
      <w:r w:rsidR="005A0D09">
        <w:rPr>
          <w:color w:val="000000" w:themeColor="text1"/>
          <w:szCs w:val="26"/>
        </w:rPr>
        <w:t>LFHL</w:t>
      </w:r>
      <w:r w:rsidR="00461FE8">
        <w:rPr>
          <w:color w:val="000000" w:themeColor="text1"/>
          <w:szCs w:val="26"/>
        </w:rPr>
        <w:t>,</w:t>
      </w:r>
      <w:r w:rsidR="00B77FE7">
        <w:rPr>
          <w:color w:val="000000" w:themeColor="text1"/>
          <w:szCs w:val="26"/>
        </w:rPr>
        <w:t xml:space="preserve"> </w:t>
      </w:r>
      <w:r w:rsidR="00CF1E06">
        <w:rPr>
          <w:color w:val="000000" w:themeColor="text1"/>
          <w:szCs w:val="26"/>
        </w:rPr>
        <w:t>flexibilizando</w:t>
      </w:r>
      <w:r w:rsidR="00751965">
        <w:rPr>
          <w:color w:val="000000" w:themeColor="text1"/>
          <w:szCs w:val="26"/>
        </w:rPr>
        <w:t xml:space="preserve"> procedimientos para agilizar la gestión económica y presupuestaria de las entidades locales y </w:t>
      </w:r>
      <w:r w:rsidR="00CF1E06">
        <w:rPr>
          <w:color w:val="000000" w:themeColor="text1"/>
          <w:szCs w:val="26"/>
        </w:rPr>
        <w:t>desarrollando</w:t>
      </w:r>
      <w:r w:rsidR="00751965">
        <w:rPr>
          <w:color w:val="000000" w:themeColor="text1"/>
          <w:szCs w:val="26"/>
        </w:rPr>
        <w:t xml:space="preserve"> aspectos relativos a la estabilidad presupuestaria y sostenibilidad financiera en coherencia con el marco normativo actual en la materia. También introduce algunas modificaciones tributarias ampliando las potestades municipales sobre ciertos tributos y estableciendo la exención del Impuesto de Actividades Económicas cuando la cifra de negocios es inferior a un millón, lo que da lugar al establecimiento de una compensación para las entidades locales.</w:t>
      </w:r>
    </w:p>
    <w:p w14:paraId="5978230E" w14:textId="77777777" w:rsidR="006556FD" w:rsidRDefault="006556FD" w:rsidP="00751965">
      <w:pPr>
        <w:pStyle w:val="texto"/>
        <w:tabs>
          <w:tab w:val="clear" w:pos="2835"/>
          <w:tab w:val="clear" w:pos="3969"/>
          <w:tab w:val="clear" w:pos="5103"/>
          <w:tab w:val="clear" w:pos="6237"/>
          <w:tab w:val="clear" w:pos="7371"/>
          <w:tab w:val="left" w:pos="480"/>
          <w:tab w:val="num" w:pos="786"/>
          <w:tab w:val="num" w:pos="1948"/>
          <w:tab w:val="num" w:pos="5606"/>
        </w:tabs>
        <w:rPr>
          <w:color w:val="000000" w:themeColor="text1"/>
          <w:szCs w:val="26"/>
        </w:rPr>
      </w:pPr>
      <w:r>
        <w:rPr>
          <w:color w:val="000000" w:themeColor="text1"/>
          <w:szCs w:val="26"/>
        </w:rPr>
        <w:t>En relación directa con la pandemia, destacamos:</w:t>
      </w:r>
    </w:p>
    <w:p w14:paraId="70E5A56D" w14:textId="77777777" w:rsidR="006556FD" w:rsidRPr="00D23225" w:rsidRDefault="006556FD" w:rsidP="006556F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Acuerdo del Congreso de los Diputados, de 20 de octubre de 2020, por el que aprecia la existencia de una situación de emergencia extraordinaria que justifica la suspensión temporal de las reglas fiscales en 2020 y 2021. </w:t>
      </w:r>
    </w:p>
    <w:p w14:paraId="35084288" w14:textId="77777777" w:rsidR="006556FD" w:rsidRPr="00AF43A9" w:rsidRDefault="006556FD" w:rsidP="006556F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Ley Foral 13/2020, de 1 de julio, de concesión, regulación y distribución de un crédito extraordinario de 25 millones de euros, con cargo al Fondo de Participación en las Haciendas Locales de Navarra, para cubrir las necesidades de las entidades locales derivadas de la adopción de medidas de carácter extraordinario y urgente por motivos de salud pública motivadas por el </w:t>
      </w:r>
      <w:proofErr w:type="spellStart"/>
      <w:r w:rsidRPr="00AF43A9">
        <w:rPr>
          <w:color w:val="000000" w:themeColor="text1"/>
          <w:szCs w:val="26"/>
        </w:rPr>
        <w:t>Covid-19</w:t>
      </w:r>
      <w:proofErr w:type="spellEnd"/>
      <w:r w:rsidRPr="00AF43A9">
        <w:rPr>
          <w:color w:val="000000" w:themeColor="text1"/>
          <w:szCs w:val="26"/>
        </w:rPr>
        <w:t>.</w:t>
      </w:r>
    </w:p>
    <w:p w14:paraId="6E2CBDD3" w14:textId="4D8CC06D" w:rsidR="00E35D6B" w:rsidRDefault="00DA0F30" w:rsidP="00A02FED">
      <w:pPr>
        <w:pStyle w:val="texto"/>
        <w:tabs>
          <w:tab w:val="clear" w:pos="2835"/>
          <w:tab w:val="clear" w:pos="3969"/>
          <w:tab w:val="clear" w:pos="5103"/>
          <w:tab w:val="clear" w:pos="6237"/>
          <w:tab w:val="clear" w:pos="7371"/>
          <w:tab w:val="left" w:pos="480"/>
          <w:tab w:val="num" w:pos="1948"/>
          <w:tab w:val="num" w:pos="5606"/>
        </w:tabs>
        <w:rPr>
          <w:rFonts w:ascii="Arial" w:hAnsi="Arial"/>
          <w:b/>
          <w:color w:val="000000" w:themeColor="text1"/>
          <w:kern w:val="28"/>
          <w:sz w:val="25"/>
          <w:szCs w:val="26"/>
        </w:rPr>
      </w:pPr>
      <w:r>
        <w:rPr>
          <w:color w:val="000000" w:themeColor="text1"/>
          <w:szCs w:val="26"/>
        </w:rPr>
        <w:t>Otras normas aprobadas en 2020 que afectan a la actividad del sector público local de Navarra se relacionan en el Anexo I.</w:t>
      </w:r>
      <w:bookmarkStart w:id="58" w:name="_Toc399916263"/>
      <w:bookmarkStart w:id="59" w:name="_Toc465686686"/>
      <w:bookmarkStart w:id="60" w:name="_Toc529773880"/>
      <w:bookmarkStart w:id="61" w:name="_Toc24100141"/>
      <w:bookmarkStart w:id="62" w:name="_Toc52348289"/>
      <w:bookmarkStart w:id="63" w:name="_Toc88727714"/>
      <w:r w:rsidR="00E35D6B">
        <w:rPr>
          <w:rFonts w:ascii="Arial" w:hAnsi="Arial"/>
          <w:b/>
          <w:color w:val="000000" w:themeColor="text1"/>
          <w:kern w:val="28"/>
          <w:sz w:val="25"/>
          <w:szCs w:val="26"/>
        </w:rPr>
        <w:br w:type="page"/>
      </w:r>
    </w:p>
    <w:p w14:paraId="457B436F" w14:textId="34CAAFC0" w:rsidR="00345C6C" w:rsidRPr="004248BF" w:rsidRDefault="00345C6C" w:rsidP="004248BF">
      <w:pPr>
        <w:pStyle w:val="Ttulo1"/>
        <w:ind w:firstLine="0"/>
        <w:rPr>
          <w:kern w:val="0"/>
          <w:szCs w:val="25"/>
        </w:rPr>
      </w:pPr>
      <w:bookmarkStart w:id="64" w:name="_Toc123724198"/>
      <w:r w:rsidRPr="004248BF">
        <w:rPr>
          <w:szCs w:val="25"/>
        </w:rPr>
        <w:lastRenderedPageBreak/>
        <w:t xml:space="preserve">V. Memoria-resumen de las actuaciones de fiscalización </w:t>
      </w:r>
      <w:bookmarkEnd w:id="58"/>
      <w:bookmarkEnd w:id="59"/>
      <w:bookmarkEnd w:id="60"/>
      <w:bookmarkEnd w:id="61"/>
      <w:bookmarkEnd w:id="62"/>
      <w:bookmarkEnd w:id="63"/>
      <w:r w:rsidR="00CC40EE" w:rsidRPr="004248BF">
        <w:rPr>
          <w:kern w:val="0"/>
          <w:szCs w:val="25"/>
        </w:rPr>
        <w:t>referidas al ejercicio 2020</w:t>
      </w:r>
      <w:bookmarkEnd w:id="64"/>
    </w:p>
    <w:p w14:paraId="24D6D5DD" w14:textId="0C782C2A" w:rsidR="00DA5225" w:rsidRDefault="00EF0883" w:rsidP="00CC40EE">
      <w:pPr>
        <w:pStyle w:val="texto"/>
        <w:rPr>
          <w:color w:val="000000" w:themeColor="text1"/>
        </w:rPr>
      </w:pPr>
      <w:r>
        <w:rPr>
          <w:color w:val="000000" w:themeColor="text1"/>
        </w:rPr>
        <w:t>En el ámbito local, e</w:t>
      </w:r>
      <w:r w:rsidR="00DA5225">
        <w:rPr>
          <w:color w:val="000000" w:themeColor="text1"/>
        </w:rPr>
        <w:t xml:space="preserve">sta Cámara </w:t>
      </w:r>
      <w:r w:rsidR="00F404B8">
        <w:rPr>
          <w:color w:val="000000" w:themeColor="text1"/>
        </w:rPr>
        <w:t>realizó una fiscalización financiera y de legalidad de</w:t>
      </w:r>
      <w:r w:rsidR="00DA5225">
        <w:rPr>
          <w:color w:val="000000" w:themeColor="text1"/>
        </w:rPr>
        <w:t xml:space="preserve"> la actividad económico-financiera de 2020 del Ayuntamiento de</w:t>
      </w:r>
      <w:r w:rsidR="00F404B8">
        <w:rPr>
          <w:color w:val="000000" w:themeColor="text1"/>
        </w:rPr>
        <w:t xml:space="preserve"> Pamplona, cuya </w:t>
      </w:r>
      <w:r w:rsidR="00DA5225">
        <w:rPr>
          <w:color w:val="000000" w:themeColor="text1"/>
        </w:rPr>
        <w:t>liquidación del pr</w:t>
      </w:r>
      <w:r w:rsidR="004C5885">
        <w:rPr>
          <w:color w:val="000000" w:themeColor="text1"/>
        </w:rPr>
        <w:t xml:space="preserve">esupuesto presenta obligaciones </w:t>
      </w:r>
      <w:r w:rsidR="00DA5225">
        <w:rPr>
          <w:color w:val="000000" w:themeColor="text1"/>
        </w:rPr>
        <w:t>y derechos reconocidos por impor</w:t>
      </w:r>
      <w:r w:rsidR="00F404B8">
        <w:rPr>
          <w:color w:val="000000" w:themeColor="text1"/>
        </w:rPr>
        <w:t>te de 210,38 y 226,77 millones</w:t>
      </w:r>
      <w:r w:rsidR="00C31E0B">
        <w:rPr>
          <w:color w:val="000000" w:themeColor="text1"/>
        </w:rPr>
        <w:t>, respectivamente</w:t>
      </w:r>
      <w:r w:rsidR="00D73492">
        <w:rPr>
          <w:color w:val="000000" w:themeColor="text1"/>
        </w:rPr>
        <w:t>.</w:t>
      </w:r>
    </w:p>
    <w:p w14:paraId="60D73F46" w14:textId="61839F5D" w:rsidR="00657BCD" w:rsidRDefault="00F404B8" w:rsidP="00657BCD">
      <w:pPr>
        <w:pStyle w:val="texto"/>
        <w:rPr>
          <w:color w:val="000000" w:themeColor="text1"/>
        </w:rPr>
      </w:pPr>
      <w:r>
        <w:rPr>
          <w:color w:val="000000" w:themeColor="text1"/>
        </w:rPr>
        <w:t xml:space="preserve">Además, ha elaborado </w:t>
      </w:r>
      <w:r w:rsidR="00F671E0">
        <w:rPr>
          <w:color w:val="000000" w:themeColor="text1"/>
        </w:rPr>
        <w:t>un informe de fiscalización horizontal sobre el cumplimiento de la legalidad en las remuneraciones y contratación de personal de la Ma</w:t>
      </w:r>
      <w:r>
        <w:rPr>
          <w:color w:val="000000" w:themeColor="text1"/>
        </w:rPr>
        <w:t xml:space="preserve">ncomunidad de Montejurra y los ayuntamientos de </w:t>
      </w:r>
      <w:proofErr w:type="spellStart"/>
      <w:r>
        <w:rPr>
          <w:color w:val="000000" w:themeColor="text1"/>
        </w:rPr>
        <w:t>Lekunberri</w:t>
      </w:r>
      <w:proofErr w:type="spellEnd"/>
      <w:r>
        <w:rPr>
          <w:color w:val="000000" w:themeColor="text1"/>
        </w:rPr>
        <w:t xml:space="preserve">, Lodosa, </w:t>
      </w:r>
      <w:proofErr w:type="spellStart"/>
      <w:r>
        <w:rPr>
          <w:color w:val="000000" w:themeColor="text1"/>
        </w:rPr>
        <w:t>Ribaforada</w:t>
      </w:r>
      <w:proofErr w:type="spellEnd"/>
      <w:r>
        <w:rPr>
          <w:color w:val="000000" w:themeColor="text1"/>
        </w:rPr>
        <w:t xml:space="preserve"> y Sang</w:t>
      </w:r>
      <w:r w:rsidR="00F671E0">
        <w:rPr>
          <w:color w:val="000000" w:themeColor="text1"/>
        </w:rPr>
        <w:t>üesa (2015-2020)</w:t>
      </w:r>
      <w:r w:rsidR="004C5885">
        <w:rPr>
          <w:color w:val="000000" w:themeColor="text1"/>
        </w:rPr>
        <w:t xml:space="preserve"> y </w:t>
      </w:r>
      <w:r w:rsidR="00657BCD">
        <w:rPr>
          <w:color w:val="000000" w:themeColor="text1"/>
        </w:rPr>
        <w:t xml:space="preserve">un informe sobre seguimiento de recomendaciones del Ayuntamiento de </w:t>
      </w:r>
      <w:proofErr w:type="spellStart"/>
      <w:r w:rsidR="00657BCD">
        <w:rPr>
          <w:color w:val="000000" w:themeColor="text1"/>
        </w:rPr>
        <w:t>Urdazubi</w:t>
      </w:r>
      <w:proofErr w:type="spellEnd"/>
      <w:r w:rsidR="00657BCD">
        <w:rPr>
          <w:color w:val="000000" w:themeColor="text1"/>
        </w:rPr>
        <w:t>-Urdax referido al ejercicio 2020.</w:t>
      </w:r>
    </w:p>
    <w:p w14:paraId="3CA33EEA" w14:textId="3F6E4C8E" w:rsidR="00657BCD" w:rsidRDefault="00657BCD" w:rsidP="00657BCD">
      <w:pPr>
        <w:pStyle w:val="texto"/>
        <w:rPr>
          <w:color w:val="000000" w:themeColor="text1"/>
        </w:rPr>
      </w:pPr>
      <w:r>
        <w:rPr>
          <w:color w:val="000000" w:themeColor="text1"/>
        </w:rPr>
        <w:t xml:space="preserve">En el ámbito de la fiscalización operativa se han emitido los siguientes informes cuyo alcance temporal incluye </w:t>
      </w:r>
      <w:r w:rsidR="009F0B89">
        <w:rPr>
          <w:color w:val="000000" w:themeColor="text1"/>
        </w:rPr>
        <w:t xml:space="preserve">el ejercicio </w:t>
      </w:r>
      <w:r>
        <w:rPr>
          <w:color w:val="000000" w:themeColor="text1"/>
        </w:rPr>
        <w:t xml:space="preserve">2020: “Servicio de abastecimiento y saneamiento del agua del Ayuntamiento de </w:t>
      </w:r>
      <w:proofErr w:type="spellStart"/>
      <w:r>
        <w:rPr>
          <w:color w:val="000000" w:themeColor="text1"/>
        </w:rPr>
        <w:t>Lekunberri</w:t>
      </w:r>
      <w:proofErr w:type="spellEnd"/>
      <w:r>
        <w:rPr>
          <w:color w:val="000000" w:themeColor="text1"/>
        </w:rPr>
        <w:t>” (2017-2020),</w:t>
      </w:r>
      <w:r w:rsidRPr="00F671E0">
        <w:rPr>
          <w:color w:val="000000" w:themeColor="text1"/>
        </w:rPr>
        <w:t xml:space="preserve"> </w:t>
      </w:r>
      <w:r>
        <w:rPr>
          <w:color w:val="000000" w:themeColor="text1"/>
        </w:rPr>
        <w:t xml:space="preserve">“Residuos domésticos y comerciales, cómo mejorar la coordinación entre las administraciones para una gestión más eficaz y eficiente” (2020) e “Implantación de la </w:t>
      </w:r>
      <w:r w:rsidR="008E43F9">
        <w:rPr>
          <w:color w:val="000000" w:themeColor="text1"/>
        </w:rPr>
        <w:t>a</w:t>
      </w:r>
      <w:r>
        <w:rPr>
          <w:color w:val="000000" w:themeColor="text1"/>
        </w:rPr>
        <w:t>dministración Electrónica en los ayuntamientos de Navarra de 8.000 a 20.000 habitantes” (2020-2021).</w:t>
      </w:r>
    </w:p>
    <w:p w14:paraId="5DB172B8" w14:textId="77777777" w:rsidR="00345C6C" w:rsidRDefault="00345C6C" w:rsidP="00CC40EE">
      <w:pPr>
        <w:pStyle w:val="texto"/>
        <w:rPr>
          <w:color w:val="000000" w:themeColor="text1"/>
        </w:rPr>
      </w:pPr>
      <w:r w:rsidRPr="00B81E61">
        <w:rPr>
          <w:color w:val="000000" w:themeColor="text1"/>
        </w:rPr>
        <w:t>Los resultados de las fiscalizaciones se recogieron en los correspondientes informes que se publicaron en el Boletín Oficial del Parlamento de Navarra y en la página web de esta Cámara.</w:t>
      </w:r>
    </w:p>
    <w:p w14:paraId="7B8AE344" w14:textId="3E87BF7B" w:rsidR="00345C6C" w:rsidRPr="00133182" w:rsidRDefault="00133182" w:rsidP="00CC40EE">
      <w:pPr>
        <w:pStyle w:val="texto"/>
        <w:rPr>
          <w:color w:val="000000" w:themeColor="text1"/>
        </w:rPr>
      </w:pPr>
      <w:r>
        <w:rPr>
          <w:color w:val="000000" w:themeColor="text1"/>
        </w:rPr>
        <w:t>Los principales resultados de la fiscalización financiera y de legalidad se resumen a</w:t>
      </w:r>
      <w:r w:rsidR="004C5885" w:rsidRPr="00133182">
        <w:rPr>
          <w:color w:val="000000" w:themeColor="text1"/>
        </w:rPr>
        <w:t xml:space="preserve"> continuación</w:t>
      </w:r>
      <w:r w:rsidR="00345C6C" w:rsidRPr="00133182">
        <w:rPr>
          <w:color w:val="000000" w:themeColor="text1"/>
        </w:rPr>
        <w:t>:</w:t>
      </w:r>
    </w:p>
    <w:p w14:paraId="1A3DB386" w14:textId="201F9F0D" w:rsidR="00345C6C" w:rsidRPr="00DA6EB1" w:rsidRDefault="00CC40EE" w:rsidP="00DA6EB1">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DA6EB1">
        <w:rPr>
          <w:color w:val="000000" w:themeColor="text1"/>
          <w:szCs w:val="26"/>
        </w:rPr>
        <w:t>En el Ayuntamiento de Pamplona la opinión de aud</w:t>
      </w:r>
      <w:r w:rsidR="006556FD" w:rsidRPr="00DA6EB1">
        <w:rPr>
          <w:color w:val="000000" w:themeColor="text1"/>
          <w:szCs w:val="26"/>
        </w:rPr>
        <w:t>itoría financiera fue favorable</w:t>
      </w:r>
      <w:r w:rsidRPr="00DA6EB1">
        <w:rPr>
          <w:color w:val="000000" w:themeColor="text1"/>
          <w:szCs w:val="26"/>
        </w:rPr>
        <w:t xml:space="preserve">, mientras que la de auditoría de cumplimiento fue favorable con dos salvedades: una relativa al abono de gastos por prestación de servicios una vez superado el plazo máximo de vigencia de los contratos correspondientes y otra a que el ejercicio de la intervención previa limitada no cumple </w:t>
      </w:r>
      <w:r w:rsidR="008E43F9" w:rsidRPr="00DA6EB1">
        <w:rPr>
          <w:color w:val="000000" w:themeColor="text1"/>
          <w:szCs w:val="26"/>
        </w:rPr>
        <w:t>las previsiones de</w:t>
      </w:r>
      <w:r w:rsidRPr="00DA6EB1">
        <w:rPr>
          <w:color w:val="000000" w:themeColor="text1"/>
          <w:szCs w:val="26"/>
        </w:rPr>
        <w:t xml:space="preserve"> la LFHL.</w:t>
      </w:r>
    </w:p>
    <w:p w14:paraId="4406F252" w14:textId="10A6847B" w:rsidR="002E09C1" w:rsidRDefault="00CC40EE" w:rsidP="00DA6EB1">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DA6EB1">
        <w:rPr>
          <w:color w:val="000000" w:themeColor="text1"/>
          <w:szCs w:val="26"/>
        </w:rPr>
        <w:t xml:space="preserve">En la fiscalización horizontal sobre el cumplimiento de la legalidad en las remuneraciones y contratación de personal de la Mancomunidad de Montejurra y los ayuntamientos de </w:t>
      </w:r>
      <w:proofErr w:type="spellStart"/>
      <w:r w:rsidRPr="00DA6EB1">
        <w:rPr>
          <w:color w:val="000000" w:themeColor="text1"/>
          <w:szCs w:val="26"/>
        </w:rPr>
        <w:t>Lekunberri</w:t>
      </w:r>
      <w:proofErr w:type="spellEnd"/>
      <w:r w:rsidRPr="00DA6EB1">
        <w:rPr>
          <w:color w:val="000000" w:themeColor="text1"/>
          <w:szCs w:val="26"/>
        </w:rPr>
        <w:t xml:space="preserve">, Lodosa, </w:t>
      </w:r>
      <w:proofErr w:type="spellStart"/>
      <w:r w:rsidRPr="00DA6EB1">
        <w:rPr>
          <w:color w:val="000000" w:themeColor="text1"/>
          <w:szCs w:val="26"/>
        </w:rPr>
        <w:t>Ribaforada</w:t>
      </w:r>
      <w:proofErr w:type="spellEnd"/>
      <w:r w:rsidRPr="00DA6EB1">
        <w:rPr>
          <w:color w:val="000000" w:themeColor="text1"/>
          <w:szCs w:val="26"/>
        </w:rPr>
        <w:t xml:space="preserve"> y Sangüesa (2015-2020)</w:t>
      </w:r>
      <w:r w:rsidR="00EA5D4F">
        <w:rPr>
          <w:color w:val="000000" w:themeColor="text1"/>
          <w:szCs w:val="26"/>
        </w:rPr>
        <w:t xml:space="preserve"> s</w:t>
      </w:r>
      <w:r w:rsidRPr="00DA6EB1">
        <w:rPr>
          <w:color w:val="000000" w:themeColor="text1"/>
          <w:szCs w:val="26"/>
        </w:rPr>
        <w:t>e emitió una opinión para cada una de las entidades, siendo todas ellas favorables con salvedades</w:t>
      </w:r>
      <w:r w:rsidR="00B246D6" w:rsidRPr="00DA6EB1">
        <w:rPr>
          <w:color w:val="000000" w:themeColor="text1"/>
          <w:szCs w:val="26"/>
        </w:rPr>
        <w:t xml:space="preserve">, </w:t>
      </w:r>
      <w:r w:rsidR="002E09C1">
        <w:rPr>
          <w:color w:val="000000" w:themeColor="text1"/>
          <w:szCs w:val="26"/>
        </w:rPr>
        <w:t>que se resumieron en nuestro informe sobre el sector público local de 2019, al que nos remitimos.</w:t>
      </w:r>
    </w:p>
    <w:p w14:paraId="7D2E93D0" w14:textId="280904AC" w:rsidR="00133182" w:rsidRPr="002E09C1" w:rsidRDefault="00133182" w:rsidP="002E09C1">
      <w:pPr>
        <w:pStyle w:val="texto"/>
        <w:tabs>
          <w:tab w:val="clear" w:pos="2835"/>
          <w:tab w:val="clear" w:pos="3969"/>
          <w:tab w:val="clear" w:pos="5103"/>
          <w:tab w:val="clear" w:pos="6237"/>
          <w:tab w:val="clear" w:pos="7371"/>
          <w:tab w:val="left" w:pos="602"/>
        </w:tabs>
        <w:ind w:left="1364" w:firstLine="0"/>
        <w:rPr>
          <w:rFonts w:cs="Arial"/>
          <w:color w:val="000000" w:themeColor="text1"/>
          <w:highlight w:val="lightGray"/>
        </w:rPr>
      </w:pPr>
    </w:p>
    <w:p w14:paraId="39489B3A" w14:textId="77777777" w:rsidR="004F62BB" w:rsidRDefault="004F62BB" w:rsidP="00CC40EE">
      <w:pPr>
        <w:tabs>
          <w:tab w:val="left" w:pos="480"/>
          <w:tab w:val="num" w:pos="1948"/>
          <w:tab w:val="num" w:pos="5040"/>
        </w:tabs>
        <w:ind w:firstLine="284"/>
        <w:rPr>
          <w:color w:val="000000" w:themeColor="text1"/>
          <w:spacing w:val="6"/>
          <w:sz w:val="26"/>
          <w:szCs w:val="24"/>
        </w:rPr>
      </w:pPr>
    </w:p>
    <w:p w14:paraId="07F386D4" w14:textId="4A1F994A" w:rsidR="00345C6C" w:rsidRPr="00B81E61" w:rsidRDefault="004C5885" w:rsidP="00CC40EE">
      <w:pPr>
        <w:tabs>
          <w:tab w:val="left" w:pos="480"/>
          <w:tab w:val="num" w:pos="1948"/>
          <w:tab w:val="num" w:pos="5040"/>
        </w:tabs>
        <w:ind w:firstLine="284"/>
        <w:rPr>
          <w:color w:val="000000" w:themeColor="text1"/>
          <w:spacing w:val="6"/>
          <w:sz w:val="26"/>
          <w:szCs w:val="24"/>
        </w:rPr>
      </w:pPr>
      <w:r>
        <w:rPr>
          <w:color w:val="000000" w:themeColor="text1"/>
          <w:spacing w:val="6"/>
          <w:sz w:val="26"/>
          <w:szCs w:val="24"/>
        </w:rPr>
        <w:lastRenderedPageBreak/>
        <w:t>En materia financiera y de legalidad, l</w:t>
      </w:r>
      <w:r w:rsidR="00345C6C" w:rsidRPr="00B81E61">
        <w:rPr>
          <w:color w:val="000000" w:themeColor="text1"/>
          <w:spacing w:val="6"/>
          <w:sz w:val="26"/>
          <w:szCs w:val="24"/>
        </w:rPr>
        <w:t xml:space="preserve">as principales recomendaciones </w:t>
      </w:r>
      <w:r>
        <w:rPr>
          <w:color w:val="000000" w:themeColor="text1"/>
          <w:spacing w:val="6"/>
          <w:sz w:val="26"/>
          <w:szCs w:val="24"/>
        </w:rPr>
        <w:t>incluidas en los informes</w:t>
      </w:r>
      <w:r w:rsidR="00345C6C" w:rsidRPr="00B81E61">
        <w:rPr>
          <w:color w:val="000000" w:themeColor="text1"/>
          <w:spacing w:val="6"/>
          <w:sz w:val="26"/>
          <w:szCs w:val="24"/>
        </w:rPr>
        <w:t xml:space="preserve"> fueron:</w:t>
      </w:r>
    </w:p>
    <w:p w14:paraId="24882658" w14:textId="77777777" w:rsidR="002827A0" w:rsidRPr="002827A0" w:rsidRDefault="00841C2E" w:rsidP="002827A0">
      <w:pPr>
        <w:pStyle w:val="texto"/>
        <w:numPr>
          <w:ilvl w:val="0"/>
          <w:numId w:val="2"/>
        </w:numPr>
        <w:tabs>
          <w:tab w:val="clear" w:pos="2835"/>
          <w:tab w:val="clear" w:pos="3969"/>
          <w:tab w:val="clear" w:pos="5103"/>
          <w:tab w:val="clear" w:pos="6237"/>
          <w:tab w:val="clear" w:pos="7371"/>
          <w:tab w:val="left" w:pos="480"/>
          <w:tab w:val="num" w:pos="644"/>
          <w:tab w:val="num" w:pos="720"/>
          <w:tab w:val="num" w:pos="1320"/>
          <w:tab w:val="num" w:pos="5606"/>
        </w:tabs>
        <w:ind w:left="114"/>
        <w:rPr>
          <w:rFonts w:cs="Arial"/>
          <w:i/>
          <w:color w:val="000000" w:themeColor="text1"/>
        </w:rPr>
      </w:pPr>
      <w:r>
        <w:rPr>
          <w:rFonts w:cs="Arial"/>
          <w:i/>
          <w:color w:val="000000" w:themeColor="text1"/>
        </w:rPr>
        <w:t xml:space="preserve">Establecer una adecuada planificación temporal de los procedimientos de </w:t>
      </w:r>
      <w:r w:rsidR="001F3DCD">
        <w:rPr>
          <w:rFonts w:cs="Arial"/>
          <w:i/>
          <w:color w:val="000000" w:themeColor="text1"/>
        </w:rPr>
        <w:t>contratación</w:t>
      </w:r>
      <w:r>
        <w:rPr>
          <w:rFonts w:cs="Arial"/>
          <w:i/>
          <w:color w:val="000000" w:themeColor="text1"/>
        </w:rPr>
        <w:t xml:space="preserve"> a </w:t>
      </w:r>
      <w:r w:rsidR="001F3DCD">
        <w:rPr>
          <w:rFonts w:cs="Arial"/>
          <w:i/>
          <w:color w:val="000000" w:themeColor="text1"/>
        </w:rPr>
        <w:t>fin de evitar la superación del</w:t>
      </w:r>
      <w:r>
        <w:rPr>
          <w:rFonts w:cs="Arial"/>
          <w:i/>
          <w:color w:val="000000" w:themeColor="text1"/>
        </w:rPr>
        <w:t xml:space="preserve"> plazo máximo de vigencia </w:t>
      </w:r>
      <w:r w:rsidR="001F3DCD">
        <w:rPr>
          <w:rFonts w:cs="Arial"/>
          <w:i/>
          <w:color w:val="000000" w:themeColor="text1"/>
        </w:rPr>
        <w:t>de los contratos</w:t>
      </w:r>
      <w:r>
        <w:rPr>
          <w:rFonts w:cs="Arial"/>
          <w:i/>
          <w:color w:val="000000" w:themeColor="text1"/>
        </w:rPr>
        <w:t xml:space="preserve">. </w:t>
      </w:r>
    </w:p>
    <w:p w14:paraId="1633C1B5" w14:textId="77777777" w:rsidR="00345C6C" w:rsidRDefault="00345C6C" w:rsidP="004C588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sidRPr="004C5885">
        <w:rPr>
          <w:rFonts w:cs="Arial"/>
          <w:i/>
          <w:color w:val="000000" w:themeColor="text1"/>
        </w:rPr>
        <w:t>Realizar la f</w:t>
      </w:r>
      <w:r w:rsidR="002827A0">
        <w:rPr>
          <w:rFonts w:cs="Arial"/>
          <w:i/>
          <w:color w:val="000000" w:themeColor="text1"/>
        </w:rPr>
        <w:t>iscalización previa de la nómina.</w:t>
      </w:r>
    </w:p>
    <w:p w14:paraId="5A9AF805" w14:textId="77777777" w:rsidR="001F3DCD" w:rsidRPr="004C5885" w:rsidRDefault="001F3DCD" w:rsidP="001F3DCD">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Pr>
          <w:rFonts w:cs="Arial"/>
          <w:i/>
          <w:color w:val="000000" w:themeColor="text1"/>
        </w:rPr>
        <w:t>Incluir en la plantilla orgánica todos los puestos que tengan carácter permanente y estructural.</w:t>
      </w:r>
    </w:p>
    <w:p w14:paraId="0629CBA9" w14:textId="64FF7DD0" w:rsidR="004C5885" w:rsidRPr="004C5885" w:rsidRDefault="004C5885" w:rsidP="004C588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sidRPr="004C5885">
        <w:rPr>
          <w:rFonts w:cs="Arial"/>
          <w:i/>
          <w:color w:val="000000" w:themeColor="text1"/>
        </w:rPr>
        <w:t>Reducir al máximo la temporalidad en la contratación</w:t>
      </w:r>
      <w:r w:rsidR="00372E85">
        <w:rPr>
          <w:rFonts w:cs="Arial"/>
          <w:i/>
          <w:color w:val="000000" w:themeColor="text1"/>
        </w:rPr>
        <w:t xml:space="preserve"> de personal</w:t>
      </w:r>
      <w:r w:rsidRPr="004C5885">
        <w:rPr>
          <w:rFonts w:cs="Arial"/>
          <w:i/>
          <w:color w:val="000000" w:themeColor="text1"/>
        </w:rPr>
        <w:t xml:space="preserve"> realizando las convocatorias </w:t>
      </w:r>
      <w:r>
        <w:rPr>
          <w:rFonts w:cs="Arial"/>
          <w:i/>
          <w:color w:val="000000" w:themeColor="text1"/>
        </w:rPr>
        <w:t xml:space="preserve">necesarias dentro de lo permitido por </w:t>
      </w:r>
      <w:r w:rsidRPr="004C5885">
        <w:rPr>
          <w:rFonts w:cs="Arial"/>
          <w:i/>
          <w:color w:val="000000" w:themeColor="text1"/>
        </w:rPr>
        <w:t xml:space="preserve">la </w:t>
      </w:r>
      <w:r>
        <w:rPr>
          <w:rFonts w:cs="Arial"/>
          <w:i/>
          <w:color w:val="000000" w:themeColor="text1"/>
        </w:rPr>
        <w:t>normativa vigente</w:t>
      </w:r>
      <w:r w:rsidRPr="004C5885">
        <w:rPr>
          <w:rFonts w:cs="Arial"/>
          <w:i/>
          <w:color w:val="000000" w:themeColor="text1"/>
        </w:rPr>
        <w:t>.</w:t>
      </w:r>
    </w:p>
    <w:p w14:paraId="0C76BED5" w14:textId="77777777" w:rsidR="001F3DCD" w:rsidRPr="004C5885" w:rsidRDefault="001F3DCD" w:rsidP="001F3DCD">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sidRPr="004C5885">
        <w:rPr>
          <w:rFonts w:cs="Arial"/>
          <w:i/>
          <w:color w:val="000000" w:themeColor="text1"/>
        </w:rPr>
        <w:t>Convocar las plazas conforme a los procedimientos previstos garantizando en todo caso los principios de igualdad, mérito y capacidad</w:t>
      </w:r>
      <w:r>
        <w:rPr>
          <w:rFonts w:cs="Arial"/>
          <w:i/>
          <w:color w:val="000000" w:themeColor="text1"/>
        </w:rPr>
        <w:t>, así como de publicidad,</w:t>
      </w:r>
      <w:r w:rsidRPr="004C5885">
        <w:rPr>
          <w:rFonts w:cs="Arial"/>
          <w:i/>
          <w:color w:val="000000" w:themeColor="text1"/>
        </w:rPr>
        <w:t xml:space="preserve"> en el acceso al empleo público.</w:t>
      </w:r>
    </w:p>
    <w:p w14:paraId="428399D7" w14:textId="77777777" w:rsidR="004C5885" w:rsidRDefault="004C5885" w:rsidP="004C588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Pr>
          <w:rFonts w:cs="Arial"/>
          <w:i/>
          <w:color w:val="000000" w:themeColor="text1"/>
        </w:rPr>
        <w:t>Aprobar y publicar la plantilla orgánica de los organismos autónomos.</w:t>
      </w:r>
    </w:p>
    <w:p w14:paraId="33DCDDE6" w14:textId="3A9BB438" w:rsidR="00CC40EE" w:rsidRDefault="00087B0A" w:rsidP="004F62BB">
      <w:pPr>
        <w:pStyle w:val="texto"/>
        <w:spacing w:before="240"/>
        <w:rPr>
          <w:rFonts w:cs="Arial"/>
          <w:color w:val="000000" w:themeColor="text1"/>
        </w:rPr>
      </w:pPr>
      <w:r>
        <w:rPr>
          <w:rFonts w:cs="Arial"/>
          <w:color w:val="000000" w:themeColor="text1"/>
        </w:rPr>
        <w:t xml:space="preserve">En relación con </w:t>
      </w:r>
      <w:r w:rsidR="008E43F9">
        <w:rPr>
          <w:rFonts w:cs="Arial"/>
          <w:color w:val="000000" w:themeColor="text1"/>
        </w:rPr>
        <w:t xml:space="preserve">el </w:t>
      </w:r>
      <w:r w:rsidR="00CC40EE">
        <w:rPr>
          <w:rFonts w:cs="Arial"/>
          <w:color w:val="000000" w:themeColor="text1"/>
        </w:rPr>
        <w:t xml:space="preserve">Ayuntamiento de </w:t>
      </w:r>
      <w:proofErr w:type="spellStart"/>
      <w:r w:rsidR="00CC40EE">
        <w:rPr>
          <w:rFonts w:cs="Arial"/>
          <w:color w:val="000000" w:themeColor="text1"/>
        </w:rPr>
        <w:t>Urdazubi</w:t>
      </w:r>
      <w:proofErr w:type="spellEnd"/>
      <w:r w:rsidR="00CC40EE">
        <w:rPr>
          <w:rFonts w:cs="Arial"/>
          <w:color w:val="000000" w:themeColor="text1"/>
        </w:rPr>
        <w:t xml:space="preserve">-Urdax, el informe hizo seguimiento de las 39 recomendaciones formuladas en el informe de fiscalización de dicho ayuntamiento referido al ejercicio 2009, que contenía opinión financiera y de legalidad desfavorable. El informe </w:t>
      </w:r>
      <w:r w:rsidR="00CF1E06">
        <w:rPr>
          <w:rFonts w:cs="Arial"/>
          <w:color w:val="000000" w:themeColor="text1"/>
        </w:rPr>
        <w:t xml:space="preserve">concluyó </w:t>
      </w:r>
      <w:r w:rsidR="00CC40EE">
        <w:rPr>
          <w:rFonts w:cs="Arial"/>
          <w:color w:val="000000" w:themeColor="text1"/>
        </w:rPr>
        <w:t xml:space="preserve">que </w:t>
      </w:r>
      <w:r w:rsidR="006556FD">
        <w:rPr>
          <w:rFonts w:cs="Arial"/>
          <w:color w:val="000000" w:themeColor="text1"/>
        </w:rPr>
        <w:t>el</w:t>
      </w:r>
      <w:r w:rsidR="00CC40EE">
        <w:rPr>
          <w:rFonts w:cs="Arial"/>
          <w:color w:val="000000" w:themeColor="text1"/>
        </w:rPr>
        <w:t xml:space="preserve"> control interno </w:t>
      </w:r>
      <w:r w:rsidR="006556FD">
        <w:rPr>
          <w:rFonts w:cs="Arial"/>
          <w:color w:val="000000" w:themeColor="text1"/>
        </w:rPr>
        <w:t>ha mejorado razonablemente en determinados aspectos relati</w:t>
      </w:r>
      <w:r w:rsidR="001F3DCD">
        <w:rPr>
          <w:rFonts w:cs="Arial"/>
          <w:color w:val="000000" w:themeColor="text1"/>
        </w:rPr>
        <w:t>vos a contabilidad y tesorería</w:t>
      </w:r>
      <w:r w:rsidR="006556FD">
        <w:rPr>
          <w:rFonts w:cs="Arial"/>
          <w:color w:val="000000" w:themeColor="text1"/>
        </w:rPr>
        <w:t>,</w:t>
      </w:r>
      <w:r w:rsidR="00CC40EE">
        <w:rPr>
          <w:rFonts w:cs="Arial"/>
          <w:color w:val="000000" w:themeColor="text1"/>
        </w:rPr>
        <w:t xml:space="preserve"> pero que no cabe decir l</w:t>
      </w:r>
      <w:r w:rsidR="006556FD">
        <w:rPr>
          <w:rFonts w:cs="Arial"/>
          <w:color w:val="000000" w:themeColor="text1"/>
        </w:rPr>
        <w:t>o mismo en materia de legalidad,</w:t>
      </w:r>
      <w:r w:rsidR="00CC40EE">
        <w:rPr>
          <w:rFonts w:cs="Arial"/>
          <w:color w:val="000000" w:themeColor="text1"/>
        </w:rPr>
        <w:t xml:space="preserve"> por lo que se reitera la conveniencia de adoptar </w:t>
      </w:r>
      <w:r w:rsidR="00C31E0B">
        <w:rPr>
          <w:rFonts w:cs="Arial"/>
          <w:color w:val="000000" w:themeColor="text1"/>
        </w:rPr>
        <w:t xml:space="preserve">las </w:t>
      </w:r>
      <w:r w:rsidR="006556FD">
        <w:rPr>
          <w:rFonts w:cs="Arial"/>
          <w:color w:val="000000" w:themeColor="text1"/>
        </w:rPr>
        <w:t xml:space="preserve">medidas </w:t>
      </w:r>
      <w:r w:rsidR="008E43F9">
        <w:rPr>
          <w:rFonts w:cs="Arial"/>
          <w:color w:val="000000" w:themeColor="text1"/>
        </w:rPr>
        <w:t>oportunas</w:t>
      </w:r>
      <w:r w:rsidR="00CC40EE">
        <w:rPr>
          <w:rFonts w:cs="Arial"/>
          <w:color w:val="000000" w:themeColor="text1"/>
        </w:rPr>
        <w:t>.</w:t>
      </w:r>
    </w:p>
    <w:p w14:paraId="3B397E12" w14:textId="0EDA4690" w:rsidR="00CC40EE" w:rsidRDefault="00460B29" w:rsidP="00CC40EE">
      <w:pPr>
        <w:pStyle w:val="texto"/>
        <w:rPr>
          <w:rFonts w:cs="Arial"/>
          <w:color w:val="000000" w:themeColor="text1"/>
        </w:rPr>
      </w:pPr>
      <w:r>
        <w:rPr>
          <w:rFonts w:cs="Arial"/>
          <w:color w:val="000000" w:themeColor="text1"/>
        </w:rPr>
        <w:t>Por lo que se refiere a las conclusiones y recomendaciones en el ámbito de la fiscalizaci</w:t>
      </w:r>
      <w:r w:rsidR="00F0072C">
        <w:rPr>
          <w:rFonts w:cs="Arial"/>
          <w:color w:val="000000" w:themeColor="text1"/>
        </w:rPr>
        <w:t xml:space="preserve">ón operativa, </w:t>
      </w:r>
      <w:r w:rsidR="00EA5D4F">
        <w:rPr>
          <w:rFonts w:cs="Arial"/>
          <w:color w:val="000000" w:themeColor="text1"/>
        </w:rPr>
        <w:t>debido a la especificidad de las materias correspondientes, nos remitimos a los respectivos</w:t>
      </w:r>
      <w:r w:rsidR="00F0072C">
        <w:rPr>
          <w:rFonts w:cs="Arial"/>
          <w:color w:val="000000" w:themeColor="text1"/>
        </w:rPr>
        <w:t xml:space="preserve"> informes, publicados por esta Cámara. </w:t>
      </w:r>
      <w:r>
        <w:rPr>
          <w:rFonts w:cs="Arial"/>
          <w:color w:val="000000" w:themeColor="text1"/>
        </w:rPr>
        <w:t xml:space="preserve"> </w:t>
      </w:r>
    </w:p>
    <w:p w14:paraId="37BA71BA" w14:textId="4B1AF527" w:rsidR="00345C6C" w:rsidRPr="004248BF" w:rsidRDefault="00345C6C" w:rsidP="004248BF">
      <w:pPr>
        <w:pStyle w:val="Ttulo1"/>
        <w:ind w:firstLine="0"/>
        <w:rPr>
          <w:szCs w:val="25"/>
        </w:rPr>
      </w:pPr>
      <w:r w:rsidRPr="00CC40EE">
        <w:rPr>
          <w:color w:val="000000" w:themeColor="text1"/>
        </w:rPr>
        <w:br w:type="page"/>
      </w:r>
      <w:bookmarkStart w:id="65" w:name="_Toc24100142"/>
      <w:bookmarkStart w:id="66" w:name="_Toc52348290"/>
      <w:bookmarkStart w:id="67" w:name="_Toc88727715"/>
      <w:bookmarkStart w:id="68" w:name="_Toc123724199"/>
      <w:r w:rsidRPr="004248BF">
        <w:rPr>
          <w:szCs w:val="25"/>
        </w:rPr>
        <w:lastRenderedPageBreak/>
        <w:t>V</w:t>
      </w:r>
      <w:r w:rsidR="00683931" w:rsidRPr="004248BF">
        <w:rPr>
          <w:szCs w:val="25"/>
        </w:rPr>
        <w:t>I</w:t>
      </w:r>
      <w:r w:rsidRPr="004248BF">
        <w:rPr>
          <w:szCs w:val="25"/>
        </w:rPr>
        <w:t>. Situación financiera del sector público local</w:t>
      </w:r>
      <w:bookmarkEnd w:id="65"/>
      <w:bookmarkEnd w:id="66"/>
      <w:bookmarkEnd w:id="67"/>
      <w:bookmarkEnd w:id="68"/>
    </w:p>
    <w:p w14:paraId="06A9ADC3" w14:textId="48A6FFBE" w:rsidR="00345C6C" w:rsidRDefault="00345C6C" w:rsidP="00345C6C">
      <w:pPr>
        <w:pStyle w:val="texto"/>
        <w:spacing w:after="200"/>
        <w:rPr>
          <w:color w:val="000000" w:themeColor="text1"/>
        </w:rPr>
      </w:pPr>
      <w:r w:rsidRPr="00B81E61">
        <w:rPr>
          <w:color w:val="000000" w:themeColor="text1"/>
        </w:rPr>
        <w:t>El informe del sector público local del año 20</w:t>
      </w:r>
      <w:r w:rsidR="009F35A7">
        <w:rPr>
          <w:color w:val="000000" w:themeColor="text1"/>
        </w:rPr>
        <w:t>20</w:t>
      </w:r>
      <w:r w:rsidR="00372E85">
        <w:rPr>
          <w:color w:val="000000" w:themeColor="text1"/>
        </w:rPr>
        <w:t xml:space="preserve"> elaborado por la DGALD, </w:t>
      </w:r>
      <w:r w:rsidRPr="00B81E61">
        <w:rPr>
          <w:color w:val="000000" w:themeColor="text1"/>
        </w:rPr>
        <w:t>que adjuntamos en el Anexo 2</w:t>
      </w:r>
      <w:r w:rsidR="00372E85">
        <w:rPr>
          <w:color w:val="000000" w:themeColor="text1"/>
        </w:rPr>
        <w:t>,</w:t>
      </w:r>
      <w:r w:rsidR="00F0072C">
        <w:rPr>
          <w:color w:val="000000" w:themeColor="text1"/>
        </w:rPr>
        <w:t xml:space="preserve"> </w:t>
      </w:r>
      <w:r w:rsidRPr="00B81E61">
        <w:rPr>
          <w:color w:val="000000" w:themeColor="text1"/>
        </w:rPr>
        <w:t>se presenta la información co</w:t>
      </w:r>
      <w:r w:rsidR="00B763E1">
        <w:rPr>
          <w:color w:val="000000" w:themeColor="text1"/>
        </w:rPr>
        <w:t>nsolidada de los entes locales</w:t>
      </w:r>
      <w:r w:rsidRPr="00B81E61">
        <w:rPr>
          <w:color w:val="000000" w:themeColor="text1"/>
        </w:rPr>
        <w:t xml:space="preserve"> con sus organismos autónomos. </w:t>
      </w:r>
    </w:p>
    <w:p w14:paraId="367BC65E" w14:textId="13300856" w:rsidR="009F35A7" w:rsidRDefault="009F35A7" w:rsidP="00345C6C">
      <w:pPr>
        <w:pStyle w:val="texto"/>
        <w:spacing w:after="200"/>
        <w:rPr>
          <w:color w:val="000000" w:themeColor="text1"/>
        </w:rPr>
      </w:pPr>
      <w:r>
        <w:rPr>
          <w:color w:val="000000" w:themeColor="text1"/>
        </w:rPr>
        <w:t xml:space="preserve">En dicho informe se incorpora por primera vez un apartado que incluye datos consolidados con </w:t>
      </w:r>
      <w:r w:rsidR="00C31E0B">
        <w:rPr>
          <w:color w:val="000000" w:themeColor="text1"/>
        </w:rPr>
        <w:t>tres sociedades públicas:</w:t>
      </w:r>
      <w:r>
        <w:rPr>
          <w:color w:val="000000" w:themeColor="text1"/>
        </w:rPr>
        <w:t xml:space="preserve"> Servicios de la Comarca de Pamplona, S.A. (SCPSA), dependiente de la Mancomunidad de la Comarca de Pamplona, Servicios Técnicos Mancomunados S.L.U. (</w:t>
      </w:r>
      <w:proofErr w:type="spellStart"/>
      <w:r>
        <w:rPr>
          <w:color w:val="000000" w:themeColor="text1"/>
        </w:rPr>
        <w:t>Sertecma</w:t>
      </w:r>
      <w:proofErr w:type="spellEnd"/>
      <w:r>
        <w:rPr>
          <w:color w:val="000000" w:themeColor="text1"/>
        </w:rPr>
        <w:t xml:space="preserve">) y Servicios de la Mancomunidad de Montejurra S.A. (SMSA), </w:t>
      </w:r>
      <w:r w:rsidR="00C31E0B">
        <w:rPr>
          <w:color w:val="000000" w:themeColor="text1"/>
        </w:rPr>
        <w:t xml:space="preserve">estas últimas </w:t>
      </w:r>
      <w:r>
        <w:rPr>
          <w:color w:val="000000" w:themeColor="text1"/>
        </w:rPr>
        <w:t>dependientes de la Mancomunidad de Montejurra. Estas tres sociedades representan aproximadamente el 98 por ciento del gasto total de las sociedades públicas que gestionan servicios mancomunados. En el informe relativo al ejercicio 2019</w:t>
      </w:r>
      <w:r w:rsidR="004954EA">
        <w:rPr>
          <w:color w:val="000000" w:themeColor="text1"/>
        </w:rPr>
        <w:t>,</w:t>
      </w:r>
      <w:r>
        <w:rPr>
          <w:color w:val="000000" w:themeColor="text1"/>
        </w:rPr>
        <w:t xml:space="preserve"> </w:t>
      </w:r>
      <w:r w:rsidR="005C31B6">
        <w:rPr>
          <w:color w:val="000000" w:themeColor="text1"/>
        </w:rPr>
        <w:t xml:space="preserve">el apartado </w:t>
      </w:r>
      <w:r>
        <w:rPr>
          <w:color w:val="000000" w:themeColor="text1"/>
        </w:rPr>
        <w:t>presentaba dato</w:t>
      </w:r>
      <w:r w:rsidR="00B763E1">
        <w:rPr>
          <w:color w:val="000000" w:themeColor="text1"/>
        </w:rPr>
        <w:t>s consolidando únicamente SCPSA</w:t>
      </w:r>
      <w:r>
        <w:rPr>
          <w:color w:val="000000" w:themeColor="text1"/>
        </w:rPr>
        <w:t>.</w:t>
      </w:r>
    </w:p>
    <w:p w14:paraId="4575C449" w14:textId="1C9687D6" w:rsidR="008433A0" w:rsidRDefault="008433A0" w:rsidP="008433A0">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120"/>
        <w:rPr>
          <w:rFonts w:cs="Arial"/>
          <w:color w:val="000000" w:themeColor="text1"/>
        </w:rPr>
      </w:pPr>
      <w:bookmarkStart w:id="69" w:name="_Toc465686688"/>
      <w:bookmarkStart w:id="70" w:name="_Toc529773882"/>
      <w:bookmarkStart w:id="71" w:name="_Toc24100143"/>
      <w:bookmarkStart w:id="72" w:name="_Toc52348291"/>
      <w:bookmarkStart w:id="73" w:name="_Toc88727716"/>
      <w:r>
        <w:rPr>
          <w:rFonts w:cs="Arial"/>
          <w:color w:val="000000" w:themeColor="text1"/>
        </w:rPr>
        <w:t xml:space="preserve">La actividad de las entidades locales en 2020 ha estado </w:t>
      </w:r>
      <w:r w:rsidR="00CF1E06">
        <w:rPr>
          <w:rFonts w:cs="Arial"/>
          <w:color w:val="000000" w:themeColor="text1"/>
        </w:rPr>
        <w:t xml:space="preserve">significativamente </w:t>
      </w:r>
      <w:r>
        <w:rPr>
          <w:rFonts w:cs="Arial"/>
          <w:color w:val="000000" w:themeColor="text1"/>
        </w:rPr>
        <w:t xml:space="preserve">condicionada por </w:t>
      </w:r>
      <w:r w:rsidR="00E35D6B">
        <w:rPr>
          <w:rFonts w:cs="Arial"/>
          <w:color w:val="000000" w:themeColor="text1"/>
        </w:rPr>
        <w:t xml:space="preserve">la </w:t>
      </w:r>
      <w:r>
        <w:rPr>
          <w:rFonts w:cs="Arial"/>
          <w:color w:val="000000" w:themeColor="text1"/>
        </w:rPr>
        <w:t xml:space="preserve">pandemia de </w:t>
      </w:r>
      <w:proofErr w:type="spellStart"/>
      <w:r>
        <w:rPr>
          <w:rFonts w:cs="Arial"/>
          <w:color w:val="000000" w:themeColor="text1"/>
        </w:rPr>
        <w:t>Covid-19</w:t>
      </w:r>
      <w:proofErr w:type="spellEnd"/>
      <w:r>
        <w:rPr>
          <w:rFonts w:cs="Arial"/>
          <w:color w:val="000000" w:themeColor="text1"/>
        </w:rPr>
        <w:t xml:space="preserve"> y por las medidas sanitarias, jurídicas y económicas adoptadas para responder a la misma, que afectaron a su actividad económico-financiera tal y como se detalla en el apartado V</w:t>
      </w:r>
      <w:r w:rsidR="00E112F3">
        <w:rPr>
          <w:rFonts w:cs="Arial"/>
          <w:color w:val="000000" w:themeColor="text1"/>
        </w:rPr>
        <w:t>I</w:t>
      </w:r>
      <w:r>
        <w:rPr>
          <w:rFonts w:cs="Arial"/>
          <w:color w:val="000000" w:themeColor="text1"/>
        </w:rPr>
        <w:t>.</w:t>
      </w:r>
      <w:r w:rsidR="00E112F3">
        <w:rPr>
          <w:rFonts w:cs="Arial"/>
          <w:color w:val="000000" w:themeColor="text1"/>
        </w:rPr>
        <w:t>4</w:t>
      </w:r>
      <w:r>
        <w:rPr>
          <w:rFonts w:cs="Arial"/>
          <w:color w:val="000000" w:themeColor="text1"/>
        </w:rPr>
        <w:t>.</w:t>
      </w:r>
    </w:p>
    <w:p w14:paraId="51F810F1" w14:textId="77777777" w:rsidR="00345C6C" w:rsidRPr="00EF0883" w:rsidRDefault="008433A0" w:rsidP="00DA0A2D">
      <w:pPr>
        <w:pStyle w:val="Ttulo2"/>
        <w:rPr>
          <w:szCs w:val="25"/>
        </w:rPr>
      </w:pPr>
      <w:bookmarkStart w:id="74" w:name="_Toc123724200"/>
      <w:r w:rsidRPr="00EF0883">
        <w:rPr>
          <w:szCs w:val="25"/>
        </w:rPr>
        <w:t>V</w:t>
      </w:r>
      <w:r w:rsidR="004B35F2" w:rsidRPr="00EF0883">
        <w:rPr>
          <w:szCs w:val="25"/>
        </w:rPr>
        <w:t>I</w:t>
      </w:r>
      <w:r w:rsidR="00345C6C" w:rsidRPr="00EF0883">
        <w:rPr>
          <w:szCs w:val="25"/>
        </w:rPr>
        <w:t>.1. Ingresos</w:t>
      </w:r>
      <w:bookmarkEnd w:id="69"/>
      <w:bookmarkEnd w:id="70"/>
      <w:bookmarkEnd w:id="71"/>
      <w:bookmarkEnd w:id="72"/>
      <w:bookmarkEnd w:id="73"/>
      <w:bookmarkEnd w:id="74"/>
    </w:p>
    <w:p w14:paraId="34AEC106" w14:textId="53F492FE" w:rsidR="00345C6C" w:rsidRPr="00B81E61" w:rsidRDefault="009F50C6" w:rsidP="00345C6C">
      <w:pPr>
        <w:pStyle w:val="texto"/>
        <w:spacing w:before="120" w:after="60"/>
        <w:rPr>
          <w:color w:val="000000" w:themeColor="text1"/>
        </w:rPr>
      </w:pPr>
      <w:r>
        <w:rPr>
          <w:color w:val="000000" w:themeColor="text1"/>
        </w:rPr>
        <w:t>A continuación, se muestra un resumen de la ejecución del presupuesto de</w:t>
      </w:r>
      <w:r w:rsidR="00345C6C" w:rsidRPr="00B81E61">
        <w:rPr>
          <w:color w:val="000000" w:themeColor="text1"/>
        </w:rPr>
        <w:t xml:space="preserve"> in</w:t>
      </w:r>
      <w:r>
        <w:rPr>
          <w:color w:val="000000" w:themeColor="text1"/>
        </w:rPr>
        <w:t>gresos d</w:t>
      </w:r>
      <w:r w:rsidR="00F20E8F">
        <w:rPr>
          <w:color w:val="000000" w:themeColor="text1"/>
        </w:rPr>
        <w:t>el sector público local en 2020:</w:t>
      </w:r>
    </w:p>
    <w:p w14:paraId="2F2FC3FE" w14:textId="77954B26" w:rsidR="00345C6C" w:rsidRPr="00642D26" w:rsidRDefault="00C668F9" w:rsidP="004F62BB">
      <w:pPr>
        <w:pStyle w:val="texto"/>
        <w:tabs>
          <w:tab w:val="center" w:pos="9072"/>
        </w:tabs>
        <w:spacing w:after="0"/>
        <w:ind w:right="-142"/>
        <w:jc w:val="right"/>
        <w:rPr>
          <w:rFonts w:ascii="Arial Narrow" w:hAnsi="Arial Narrow"/>
          <w:b/>
          <w:color w:val="000000" w:themeColor="text1"/>
          <w:sz w:val="18"/>
          <w:szCs w:val="18"/>
        </w:rPr>
      </w:pPr>
      <w:r>
        <w:rPr>
          <w:rFonts w:ascii="Arial Narrow" w:hAnsi="Arial Narrow"/>
          <w:color w:val="000000" w:themeColor="text1"/>
          <w:sz w:val="18"/>
          <w:szCs w:val="18"/>
        </w:rPr>
        <w:t>(</w:t>
      </w:r>
      <w:r w:rsidR="004F62BB" w:rsidRPr="00642D26">
        <w:rPr>
          <w:rFonts w:ascii="Arial Narrow" w:hAnsi="Arial Narrow"/>
          <w:color w:val="000000" w:themeColor="text1"/>
          <w:sz w:val="18"/>
          <w:szCs w:val="18"/>
        </w:rPr>
        <w:t>Millones</w:t>
      </w:r>
      <w:r>
        <w:rPr>
          <w:rFonts w:ascii="Arial Narrow" w:hAnsi="Arial Narrow"/>
          <w:color w:val="000000" w:themeColor="text1"/>
          <w:sz w:val="18"/>
          <w:szCs w:val="18"/>
        </w:rPr>
        <w:t>)</w:t>
      </w:r>
      <w:r w:rsidR="004F62BB" w:rsidRPr="00642D26">
        <w:rPr>
          <w:rFonts w:ascii="Arial Narrow" w:hAnsi="Arial Narrow"/>
          <w:color w:val="000000" w:themeColor="text1"/>
          <w:sz w:val="18"/>
          <w:szCs w:val="18"/>
        </w:rPr>
        <w:t xml:space="preserve"> </w:t>
      </w:r>
    </w:p>
    <w:tbl>
      <w:tblPr>
        <w:tblW w:w="5069" w:type="pct"/>
        <w:tblLayout w:type="fixed"/>
        <w:tblCellMar>
          <w:left w:w="70" w:type="dxa"/>
          <w:right w:w="70" w:type="dxa"/>
        </w:tblCellMar>
        <w:tblLook w:val="04A0" w:firstRow="1" w:lastRow="0" w:firstColumn="1" w:lastColumn="0" w:noHBand="0" w:noVBand="1"/>
      </w:tblPr>
      <w:tblGrid>
        <w:gridCol w:w="2579"/>
        <w:gridCol w:w="991"/>
        <w:gridCol w:w="991"/>
        <w:gridCol w:w="993"/>
        <w:gridCol w:w="1025"/>
        <w:gridCol w:w="1246"/>
        <w:gridCol w:w="1085"/>
      </w:tblGrid>
      <w:tr w:rsidR="004F62BB" w:rsidRPr="00C668F9" w14:paraId="262A2C19" w14:textId="77777777" w:rsidTr="005C70E8">
        <w:trPr>
          <w:trHeight w:val="284"/>
        </w:trPr>
        <w:tc>
          <w:tcPr>
            <w:tcW w:w="1447"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567EC5AF" w14:textId="77777777" w:rsidR="009F50C6" w:rsidRPr="00C668F9" w:rsidRDefault="009F50C6" w:rsidP="004F62BB">
            <w:pPr>
              <w:pStyle w:val="cuadroCabe"/>
              <w:spacing w:line="240" w:lineRule="auto"/>
              <w:rPr>
                <w:rFonts w:cs="Arial"/>
                <w:color w:val="000000" w:themeColor="text1"/>
                <w:sz w:val="16"/>
                <w:szCs w:val="16"/>
                <w:lang w:val="es-ES" w:eastAsia="es-ES"/>
              </w:rPr>
            </w:pPr>
            <w:r w:rsidRPr="00C668F9">
              <w:rPr>
                <w:rFonts w:cs="Arial"/>
                <w:color w:val="000000" w:themeColor="text1"/>
                <w:sz w:val="16"/>
                <w:szCs w:val="16"/>
                <w:lang w:val="es-ES" w:eastAsia="es-ES"/>
              </w:rPr>
              <w:t>Capítulo</w:t>
            </w:r>
          </w:p>
        </w:tc>
        <w:tc>
          <w:tcPr>
            <w:tcW w:w="556"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5207A836" w14:textId="77777777" w:rsidR="004F62BB" w:rsidRPr="00C668F9" w:rsidRDefault="009F50C6" w:rsidP="00C668F9">
            <w:pPr>
              <w:pStyle w:val="cuadroCabe"/>
              <w:tabs>
                <w:tab w:val="clear" w:pos="2835"/>
                <w:tab w:val="right" w:pos="1065"/>
              </w:tabs>
              <w:spacing w:line="240" w:lineRule="auto"/>
              <w:ind w:left="67" w:hanging="67"/>
              <w:jc w:val="right"/>
              <w:rPr>
                <w:rFonts w:cs="Arial"/>
                <w:color w:val="000000" w:themeColor="text1"/>
                <w:sz w:val="16"/>
                <w:szCs w:val="16"/>
                <w:lang w:val="es-ES" w:eastAsia="es-ES"/>
              </w:rPr>
            </w:pPr>
            <w:proofErr w:type="spellStart"/>
            <w:r w:rsidRPr="00C668F9">
              <w:rPr>
                <w:rFonts w:cs="Arial"/>
                <w:color w:val="000000" w:themeColor="text1"/>
                <w:sz w:val="16"/>
                <w:szCs w:val="16"/>
                <w:lang w:val="es-ES" w:eastAsia="es-ES"/>
              </w:rPr>
              <w:t>Prev</w:t>
            </w:r>
            <w:proofErr w:type="spellEnd"/>
            <w:r w:rsidRPr="00C668F9">
              <w:rPr>
                <w:rFonts w:cs="Arial"/>
                <w:color w:val="000000" w:themeColor="text1"/>
                <w:sz w:val="16"/>
                <w:szCs w:val="16"/>
                <w:lang w:val="es-ES" w:eastAsia="es-ES"/>
              </w:rPr>
              <w:t xml:space="preserve">. </w:t>
            </w:r>
          </w:p>
          <w:p w14:paraId="58729F51" w14:textId="4C5773F0" w:rsidR="009F50C6" w:rsidRPr="00C668F9" w:rsidRDefault="009F50C6" w:rsidP="00C668F9">
            <w:pPr>
              <w:pStyle w:val="cuadroCabe"/>
              <w:tabs>
                <w:tab w:val="clear" w:pos="2835"/>
                <w:tab w:val="right" w:pos="1065"/>
              </w:tabs>
              <w:spacing w:line="240" w:lineRule="auto"/>
              <w:ind w:left="67" w:hanging="67"/>
              <w:jc w:val="right"/>
              <w:rPr>
                <w:rFonts w:cs="Arial"/>
                <w:color w:val="000000" w:themeColor="text1"/>
                <w:sz w:val="16"/>
                <w:szCs w:val="16"/>
                <w:lang w:val="es-ES" w:eastAsia="es-ES"/>
              </w:rPr>
            </w:pPr>
            <w:r w:rsidRPr="00C668F9">
              <w:rPr>
                <w:rFonts w:cs="Arial"/>
                <w:color w:val="000000" w:themeColor="text1"/>
                <w:sz w:val="16"/>
                <w:szCs w:val="16"/>
                <w:lang w:val="es-ES" w:eastAsia="es-ES"/>
              </w:rPr>
              <w:t>definitivas</w:t>
            </w:r>
          </w:p>
        </w:tc>
        <w:tc>
          <w:tcPr>
            <w:tcW w:w="556"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4056D0F9" w14:textId="77777777" w:rsidR="009F50C6" w:rsidRPr="00C668F9" w:rsidRDefault="009F50C6" w:rsidP="00C668F9">
            <w:pPr>
              <w:pStyle w:val="cuadroCabe"/>
              <w:spacing w:line="240" w:lineRule="auto"/>
              <w:jc w:val="right"/>
              <w:rPr>
                <w:rFonts w:cs="Arial"/>
                <w:color w:val="000000" w:themeColor="text1"/>
                <w:sz w:val="16"/>
                <w:szCs w:val="16"/>
                <w:lang w:val="es-ES" w:eastAsia="es-ES"/>
              </w:rPr>
            </w:pPr>
            <w:r w:rsidRPr="00C668F9">
              <w:rPr>
                <w:rFonts w:cs="Arial"/>
                <w:color w:val="000000" w:themeColor="text1"/>
                <w:sz w:val="16"/>
                <w:szCs w:val="16"/>
                <w:lang w:val="es-ES" w:eastAsia="es-ES"/>
              </w:rPr>
              <w:t>DRN 2020</w:t>
            </w:r>
          </w:p>
        </w:tc>
        <w:tc>
          <w:tcPr>
            <w:tcW w:w="557"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5D9BC589" w14:textId="77777777" w:rsidR="009F50C6" w:rsidRPr="00C668F9" w:rsidRDefault="009F50C6" w:rsidP="00C668F9">
            <w:pPr>
              <w:pStyle w:val="cuadroCabe"/>
              <w:spacing w:line="240" w:lineRule="auto"/>
              <w:jc w:val="right"/>
              <w:rPr>
                <w:rFonts w:cs="Arial"/>
                <w:color w:val="000000" w:themeColor="text1"/>
                <w:sz w:val="16"/>
                <w:szCs w:val="16"/>
                <w:lang w:val="es-ES" w:eastAsia="es-ES"/>
              </w:rPr>
            </w:pPr>
            <w:r w:rsidRPr="00C668F9">
              <w:rPr>
                <w:rFonts w:cs="Arial"/>
                <w:color w:val="000000" w:themeColor="text1"/>
                <w:sz w:val="16"/>
                <w:szCs w:val="16"/>
                <w:lang w:val="es-ES" w:eastAsia="es-ES"/>
              </w:rPr>
              <w:t xml:space="preserve"> % s/ total ingresos</w:t>
            </w:r>
          </w:p>
        </w:tc>
        <w:tc>
          <w:tcPr>
            <w:tcW w:w="575"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3BF5F3E2" w14:textId="77777777" w:rsidR="009F50C6" w:rsidRPr="00C668F9" w:rsidRDefault="009F50C6" w:rsidP="00C668F9">
            <w:pPr>
              <w:pStyle w:val="cuadroCabe"/>
              <w:spacing w:line="240" w:lineRule="auto"/>
              <w:jc w:val="right"/>
              <w:rPr>
                <w:rFonts w:cs="Arial"/>
                <w:color w:val="000000" w:themeColor="text1"/>
                <w:sz w:val="16"/>
                <w:szCs w:val="16"/>
                <w:lang w:val="es-ES" w:eastAsia="es-ES"/>
              </w:rPr>
            </w:pPr>
            <w:r w:rsidRPr="00C668F9">
              <w:rPr>
                <w:rFonts w:cs="Arial"/>
                <w:color w:val="000000" w:themeColor="text1"/>
                <w:sz w:val="16"/>
                <w:szCs w:val="16"/>
                <w:lang w:val="es-ES" w:eastAsia="es-ES"/>
              </w:rPr>
              <w:t>%</w:t>
            </w:r>
            <w:r w:rsidRPr="00C668F9">
              <w:rPr>
                <w:rFonts w:cs="Arial"/>
                <w:color w:val="000000" w:themeColor="text1"/>
                <w:sz w:val="16"/>
                <w:szCs w:val="16"/>
                <w:lang w:val="es-ES" w:eastAsia="es-ES"/>
              </w:rPr>
              <w:br/>
              <w:t>Ejecución</w:t>
            </w:r>
          </w:p>
        </w:tc>
        <w:tc>
          <w:tcPr>
            <w:tcW w:w="699"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6599FA25" w14:textId="662EC4F5" w:rsidR="009F50C6" w:rsidRPr="00C668F9" w:rsidRDefault="009F50C6" w:rsidP="00C668F9">
            <w:pPr>
              <w:pStyle w:val="cuadroCabe"/>
              <w:spacing w:line="240" w:lineRule="auto"/>
              <w:jc w:val="right"/>
              <w:rPr>
                <w:rFonts w:cs="Arial"/>
                <w:color w:val="000000" w:themeColor="text1"/>
                <w:sz w:val="16"/>
                <w:szCs w:val="16"/>
                <w:highlight w:val="yellow"/>
                <w:lang w:val="es-ES" w:eastAsia="es-ES"/>
              </w:rPr>
            </w:pPr>
            <w:r w:rsidRPr="00C668F9">
              <w:rPr>
                <w:rFonts w:cs="Arial"/>
                <w:color w:val="000000" w:themeColor="text1"/>
                <w:sz w:val="16"/>
                <w:szCs w:val="16"/>
                <w:lang w:val="es-ES" w:eastAsia="es-ES"/>
              </w:rPr>
              <w:t>Var</w:t>
            </w:r>
            <w:r w:rsidR="00C668F9" w:rsidRPr="00C668F9">
              <w:rPr>
                <w:rFonts w:cs="Arial"/>
                <w:color w:val="000000" w:themeColor="text1"/>
                <w:sz w:val="16"/>
                <w:szCs w:val="16"/>
                <w:lang w:val="es-ES" w:eastAsia="es-ES"/>
              </w:rPr>
              <w:t>.</w:t>
            </w:r>
            <w:r w:rsidRPr="00C668F9">
              <w:rPr>
                <w:rFonts w:cs="Arial"/>
                <w:color w:val="000000" w:themeColor="text1"/>
                <w:sz w:val="16"/>
                <w:szCs w:val="16"/>
                <w:lang w:val="es-ES" w:eastAsia="es-ES"/>
              </w:rPr>
              <w:t xml:space="preserve"> DRN 2020</w:t>
            </w:r>
            <w:r w:rsidR="002A2B5E" w:rsidRPr="00C668F9">
              <w:rPr>
                <w:rFonts w:cs="Arial"/>
                <w:color w:val="000000" w:themeColor="text1"/>
                <w:sz w:val="16"/>
                <w:szCs w:val="16"/>
                <w:lang w:val="es-ES" w:eastAsia="es-ES"/>
              </w:rPr>
              <w:t>/19</w:t>
            </w:r>
          </w:p>
        </w:tc>
        <w:tc>
          <w:tcPr>
            <w:tcW w:w="609"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5F1E3D7F" w14:textId="6868E155" w:rsidR="009F50C6" w:rsidRPr="00C668F9" w:rsidRDefault="009F50C6" w:rsidP="00C668F9">
            <w:pPr>
              <w:pStyle w:val="cuadroCabe"/>
              <w:spacing w:line="240" w:lineRule="auto"/>
              <w:jc w:val="right"/>
              <w:rPr>
                <w:rFonts w:cs="Arial"/>
                <w:color w:val="000000" w:themeColor="text1"/>
                <w:sz w:val="16"/>
                <w:szCs w:val="16"/>
                <w:lang w:val="es-ES" w:eastAsia="es-ES"/>
              </w:rPr>
            </w:pPr>
            <w:r w:rsidRPr="00C668F9">
              <w:rPr>
                <w:rFonts w:cs="Arial"/>
                <w:color w:val="000000" w:themeColor="text1"/>
                <w:sz w:val="16"/>
                <w:szCs w:val="16"/>
                <w:lang w:val="es-ES" w:eastAsia="es-ES"/>
              </w:rPr>
              <w:t xml:space="preserve">% </w:t>
            </w:r>
            <w:proofErr w:type="spellStart"/>
            <w:r w:rsidRPr="00C668F9">
              <w:rPr>
                <w:rFonts w:cs="Arial"/>
                <w:color w:val="000000" w:themeColor="text1"/>
                <w:sz w:val="16"/>
                <w:szCs w:val="16"/>
                <w:lang w:val="es-ES" w:eastAsia="es-ES"/>
              </w:rPr>
              <w:t>var</w:t>
            </w:r>
            <w:proofErr w:type="spellEnd"/>
            <w:r w:rsidRPr="00C668F9">
              <w:rPr>
                <w:rFonts w:cs="Arial"/>
                <w:color w:val="000000" w:themeColor="text1"/>
                <w:sz w:val="16"/>
                <w:szCs w:val="16"/>
                <w:lang w:val="es-ES" w:eastAsia="es-ES"/>
              </w:rPr>
              <w:t>. 2020</w:t>
            </w:r>
            <w:r w:rsidR="002A2B5E" w:rsidRPr="00C668F9">
              <w:rPr>
                <w:rFonts w:cs="Arial"/>
                <w:color w:val="000000" w:themeColor="text1"/>
                <w:sz w:val="16"/>
                <w:szCs w:val="16"/>
                <w:lang w:val="es-ES" w:eastAsia="es-ES"/>
              </w:rPr>
              <w:t>/</w:t>
            </w:r>
            <w:r w:rsidRPr="00C668F9">
              <w:rPr>
                <w:rFonts w:cs="Arial"/>
                <w:color w:val="000000" w:themeColor="text1"/>
                <w:sz w:val="16"/>
                <w:szCs w:val="16"/>
                <w:lang w:val="es-ES" w:eastAsia="es-ES"/>
              </w:rPr>
              <w:t>19</w:t>
            </w:r>
          </w:p>
        </w:tc>
      </w:tr>
      <w:tr w:rsidR="004F62BB" w:rsidRPr="00933A7F" w14:paraId="0F0D755F" w14:textId="77777777" w:rsidTr="004F62BB">
        <w:trPr>
          <w:trHeight w:val="284"/>
        </w:trPr>
        <w:tc>
          <w:tcPr>
            <w:tcW w:w="1447" w:type="pct"/>
            <w:tcBorders>
              <w:top w:val="single" w:sz="4" w:space="0" w:color="000000" w:themeColor="text1"/>
              <w:left w:val="nil"/>
              <w:bottom w:val="single" w:sz="2" w:space="0" w:color="000000"/>
              <w:right w:val="nil"/>
            </w:tcBorders>
            <w:shd w:val="clear" w:color="auto" w:fill="auto"/>
            <w:vAlign w:val="center"/>
            <w:hideMark/>
          </w:tcPr>
          <w:p w14:paraId="3AEA7155" w14:textId="7BA5942E" w:rsidR="009F50C6" w:rsidRPr="00933A7F" w:rsidRDefault="009F50C6" w:rsidP="004F62BB">
            <w:pPr>
              <w:pStyle w:val="cuatexto"/>
              <w:spacing w:line="240" w:lineRule="auto"/>
              <w:rPr>
                <w:color w:val="000000" w:themeColor="text1"/>
                <w:szCs w:val="20"/>
                <w:lang w:val="es-ES" w:eastAsia="es-ES"/>
              </w:rPr>
            </w:pPr>
            <w:r w:rsidRPr="00933A7F">
              <w:rPr>
                <w:color w:val="000000" w:themeColor="text1"/>
                <w:szCs w:val="20"/>
                <w:lang w:val="es-ES" w:eastAsia="es-ES"/>
              </w:rPr>
              <w:t>1</w:t>
            </w:r>
            <w:r w:rsidR="004F62BB" w:rsidRPr="00933A7F">
              <w:rPr>
                <w:color w:val="000000" w:themeColor="text1"/>
                <w:szCs w:val="20"/>
                <w:lang w:val="es-ES" w:eastAsia="es-ES"/>
              </w:rPr>
              <w:t xml:space="preserve"> </w:t>
            </w:r>
            <w:r w:rsidRPr="00933A7F">
              <w:rPr>
                <w:color w:val="000000" w:themeColor="text1"/>
                <w:szCs w:val="20"/>
                <w:lang w:val="es-ES" w:eastAsia="es-ES"/>
              </w:rPr>
              <w:t>Impuestos directos</w:t>
            </w:r>
          </w:p>
        </w:tc>
        <w:tc>
          <w:tcPr>
            <w:tcW w:w="556" w:type="pct"/>
            <w:tcBorders>
              <w:top w:val="single" w:sz="4" w:space="0" w:color="000000" w:themeColor="text1"/>
              <w:left w:val="nil"/>
              <w:bottom w:val="single" w:sz="2" w:space="0" w:color="000000"/>
              <w:right w:val="nil"/>
            </w:tcBorders>
            <w:shd w:val="clear" w:color="auto" w:fill="auto"/>
            <w:vAlign w:val="center"/>
            <w:hideMark/>
          </w:tcPr>
          <w:p w14:paraId="4F0A90D6" w14:textId="77777777" w:rsidR="009F50C6" w:rsidRPr="00933A7F" w:rsidRDefault="009F50C6" w:rsidP="00C668F9">
            <w:pPr>
              <w:spacing w:after="0"/>
              <w:ind w:left="67" w:firstLine="0"/>
              <w:jc w:val="right"/>
              <w:rPr>
                <w:rFonts w:ascii="Arial Narrow" w:hAnsi="Arial Narrow" w:cs="Calibri"/>
                <w:color w:val="000000"/>
                <w:lang w:val="es-ES" w:eastAsia="es-ES"/>
              </w:rPr>
            </w:pPr>
            <w:r w:rsidRPr="00933A7F">
              <w:rPr>
                <w:rFonts w:ascii="Arial Narrow" w:hAnsi="Arial Narrow" w:cs="Calibri"/>
                <w:color w:val="000000"/>
              </w:rPr>
              <w:t>191,36</w:t>
            </w:r>
          </w:p>
        </w:tc>
        <w:tc>
          <w:tcPr>
            <w:tcW w:w="556" w:type="pct"/>
            <w:tcBorders>
              <w:top w:val="single" w:sz="4" w:space="0" w:color="000000" w:themeColor="text1"/>
              <w:left w:val="nil"/>
              <w:bottom w:val="single" w:sz="2" w:space="0" w:color="000000"/>
              <w:right w:val="nil"/>
            </w:tcBorders>
            <w:shd w:val="clear" w:color="auto" w:fill="auto"/>
            <w:vAlign w:val="center"/>
            <w:hideMark/>
          </w:tcPr>
          <w:p w14:paraId="63633C1B"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198,25</w:t>
            </w:r>
          </w:p>
        </w:tc>
        <w:tc>
          <w:tcPr>
            <w:tcW w:w="557" w:type="pct"/>
            <w:tcBorders>
              <w:top w:val="single" w:sz="4" w:space="0" w:color="000000" w:themeColor="text1"/>
              <w:left w:val="nil"/>
              <w:bottom w:val="single" w:sz="2" w:space="0" w:color="000000"/>
              <w:right w:val="nil"/>
            </w:tcBorders>
            <w:shd w:val="clear" w:color="auto" w:fill="auto"/>
            <w:vAlign w:val="center"/>
            <w:hideMark/>
          </w:tcPr>
          <w:p w14:paraId="7105B3E5"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23</w:t>
            </w:r>
          </w:p>
        </w:tc>
        <w:tc>
          <w:tcPr>
            <w:tcW w:w="575" w:type="pct"/>
            <w:tcBorders>
              <w:top w:val="single" w:sz="4" w:space="0" w:color="000000" w:themeColor="text1"/>
              <w:left w:val="nil"/>
              <w:bottom w:val="single" w:sz="2" w:space="0" w:color="000000"/>
              <w:right w:val="nil"/>
            </w:tcBorders>
            <w:shd w:val="clear" w:color="auto" w:fill="auto"/>
            <w:vAlign w:val="center"/>
            <w:hideMark/>
          </w:tcPr>
          <w:p w14:paraId="02D33B1A"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104</w:t>
            </w:r>
          </w:p>
        </w:tc>
        <w:tc>
          <w:tcPr>
            <w:tcW w:w="699" w:type="pct"/>
            <w:tcBorders>
              <w:top w:val="single" w:sz="4" w:space="0" w:color="000000" w:themeColor="text1"/>
              <w:left w:val="nil"/>
              <w:bottom w:val="single" w:sz="2" w:space="0" w:color="000000"/>
              <w:right w:val="nil"/>
            </w:tcBorders>
            <w:vAlign w:val="center"/>
          </w:tcPr>
          <w:p w14:paraId="7C8EFEED" w14:textId="77777777" w:rsidR="009F50C6" w:rsidRPr="00933A7F" w:rsidRDefault="009F50C6" w:rsidP="00C668F9">
            <w:pPr>
              <w:spacing w:after="0"/>
              <w:ind w:firstLine="0"/>
              <w:jc w:val="right"/>
              <w:rPr>
                <w:rFonts w:ascii="Arial Narrow" w:hAnsi="Arial Narrow" w:cs="Calibri"/>
                <w:color w:val="000000"/>
                <w:lang w:val="es-ES" w:eastAsia="es-ES"/>
              </w:rPr>
            </w:pPr>
            <w:r w:rsidRPr="00933A7F">
              <w:rPr>
                <w:rFonts w:ascii="Arial Narrow" w:hAnsi="Arial Narrow" w:cs="Calibri"/>
                <w:color w:val="000000"/>
              </w:rPr>
              <w:t>-1,01</w:t>
            </w:r>
          </w:p>
        </w:tc>
        <w:tc>
          <w:tcPr>
            <w:tcW w:w="609" w:type="pct"/>
            <w:tcBorders>
              <w:top w:val="single" w:sz="4" w:space="0" w:color="000000" w:themeColor="text1"/>
              <w:left w:val="nil"/>
              <w:bottom w:val="single" w:sz="2" w:space="0" w:color="000000"/>
              <w:right w:val="nil"/>
            </w:tcBorders>
            <w:vAlign w:val="center"/>
          </w:tcPr>
          <w:p w14:paraId="14D6C9EE" w14:textId="77777777" w:rsidR="009F50C6" w:rsidRPr="00933A7F" w:rsidRDefault="009F50C6" w:rsidP="00C668F9">
            <w:pPr>
              <w:spacing w:after="0"/>
              <w:ind w:hanging="36"/>
              <w:jc w:val="right"/>
              <w:rPr>
                <w:rFonts w:ascii="Arial Narrow" w:hAnsi="Arial Narrow" w:cs="Calibri"/>
              </w:rPr>
            </w:pPr>
            <w:r w:rsidRPr="00933A7F">
              <w:rPr>
                <w:rFonts w:ascii="Arial Narrow" w:hAnsi="Arial Narrow" w:cs="Calibri"/>
              </w:rPr>
              <w:t>-1</w:t>
            </w:r>
          </w:p>
        </w:tc>
      </w:tr>
      <w:tr w:rsidR="004F62BB" w:rsidRPr="00933A7F" w14:paraId="05E14A3E"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125C830C" w14:textId="524D582F" w:rsidR="009F50C6" w:rsidRPr="00933A7F" w:rsidRDefault="009F50C6" w:rsidP="004F62BB">
            <w:pPr>
              <w:pStyle w:val="cuatexto"/>
              <w:spacing w:line="240" w:lineRule="auto"/>
              <w:rPr>
                <w:color w:val="000000" w:themeColor="text1"/>
                <w:szCs w:val="20"/>
                <w:lang w:val="es-ES" w:eastAsia="es-ES"/>
              </w:rPr>
            </w:pPr>
            <w:r w:rsidRPr="00933A7F">
              <w:rPr>
                <w:color w:val="000000" w:themeColor="text1"/>
                <w:szCs w:val="20"/>
                <w:lang w:val="es-ES" w:eastAsia="es-ES"/>
              </w:rPr>
              <w:t>2 Impuestos indirectos</w:t>
            </w:r>
          </w:p>
        </w:tc>
        <w:tc>
          <w:tcPr>
            <w:tcW w:w="556" w:type="pct"/>
            <w:tcBorders>
              <w:top w:val="single" w:sz="2" w:space="0" w:color="000000"/>
              <w:left w:val="nil"/>
              <w:bottom w:val="single" w:sz="2" w:space="0" w:color="000000"/>
              <w:right w:val="nil"/>
            </w:tcBorders>
            <w:shd w:val="clear" w:color="auto" w:fill="auto"/>
            <w:vAlign w:val="center"/>
            <w:hideMark/>
          </w:tcPr>
          <w:p w14:paraId="021C2C6B" w14:textId="77777777" w:rsidR="009F50C6" w:rsidRPr="00933A7F" w:rsidRDefault="009F50C6" w:rsidP="00C668F9">
            <w:pPr>
              <w:spacing w:after="0"/>
              <w:ind w:left="67" w:firstLine="0"/>
              <w:jc w:val="right"/>
              <w:rPr>
                <w:rFonts w:ascii="Arial Narrow" w:hAnsi="Arial Narrow" w:cs="Calibri"/>
                <w:color w:val="000000"/>
              </w:rPr>
            </w:pPr>
            <w:r w:rsidRPr="00933A7F">
              <w:rPr>
                <w:rFonts w:ascii="Arial Narrow" w:hAnsi="Arial Narrow" w:cs="Calibri"/>
                <w:color w:val="000000"/>
              </w:rPr>
              <w:t>19,48</w:t>
            </w:r>
          </w:p>
        </w:tc>
        <w:tc>
          <w:tcPr>
            <w:tcW w:w="556" w:type="pct"/>
            <w:tcBorders>
              <w:top w:val="single" w:sz="2" w:space="0" w:color="000000"/>
              <w:left w:val="nil"/>
              <w:bottom w:val="single" w:sz="2" w:space="0" w:color="000000"/>
              <w:right w:val="nil"/>
            </w:tcBorders>
            <w:shd w:val="clear" w:color="auto" w:fill="auto"/>
            <w:vAlign w:val="center"/>
            <w:hideMark/>
          </w:tcPr>
          <w:p w14:paraId="0DE0BC2C"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22,40</w:t>
            </w:r>
          </w:p>
        </w:tc>
        <w:tc>
          <w:tcPr>
            <w:tcW w:w="557" w:type="pct"/>
            <w:tcBorders>
              <w:top w:val="single" w:sz="2" w:space="0" w:color="000000"/>
              <w:left w:val="nil"/>
              <w:bottom w:val="single" w:sz="2" w:space="0" w:color="000000"/>
              <w:right w:val="nil"/>
            </w:tcBorders>
            <w:shd w:val="clear" w:color="auto" w:fill="auto"/>
            <w:vAlign w:val="center"/>
            <w:hideMark/>
          </w:tcPr>
          <w:p w14:paraId="019F996A"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3</w:t>
            </w:r>
          </w:p>
        </w:tc>
        <w:tc>
          <w:tcPr>
            <w:tcW w:w="575" w:type="pct"/>
            <w:tcBorders>
              <w:top w:val="single" w:sz="2" w:space="0" w:color="000000"/>
              <w:left w:val="nil"/>
              <w:bottom w:val="single" w:sz="2" w:space="0" w:color="000000"/>
              <w:right w:val="nil"/>
            </w:tcBorders>
            <w:shd w:val="clear" w:color="auto" w:fill="auto"/>
            <w:vAlign w:val="center"/>
            <w:hideMark/>
          </w:tcPr>
          <w:p w14:paraId="62CD2F2E"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115</w:t>
            </w:r>
          </w:p>
        </w:tc>
        <w:tc>
          <w:tcPr>
            <w:tcW w:w="699" w:type="pct"/>
            <w:tcBorders>
              <w:top w:val="single" w:sz="2" w:space="0" w:color="000000"/>
              <w:left w:val="nil"/>
              <w:bottom w:val="single" w:sz="2" w:space="0" w:color="000000"/>
              <w:right w:val="nil"/>
            </w:tcBorders>
            <w:vAlign w:val="center"/>
          </w:tcPr>
          <w:p w14:paraId="7497CFFA"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-11,47</w:t>
            </w:r>
          </w:p>
        </w:tc>
        <w:tc>
          <w:tcPr>
            <w:tcW w:w="609" w:type="pct"/>
            <w:tcBorders>
              <w:top w:val="single" w:sz="2" w:space="0" w:color="000000"/>
              <w:left w:val="nil"/>
              <w:bottom w:val="single" w:sz="2" w:space="0" w:color="000000"/>
              <w:right w:val="nil"/>
            </w:tcBorders>
            <w:vAlign w:val="center"/>
          </w:tcPr>
          <w:p w14:paraId="7F128E12" w14:textId="77777777" w:rsidR="009F50C6" w:rsidRPr="00933A7F" w:rsidRDefault="009F50C6" w:rsidP="00C668F9">
            <w:pPr>
              <w:spacing w:after="0"/>
              <w:ind w:hanging="36"/>
              <w:jc w:val="right"/>
              <w:rPr>
                <w:rFonts w:ascii="Arial Narrow" w:hAnsi="Arial Narrow" w:cs="Calibri"/>
              </w:rPr>
            </w:pPr>
            <w:r w:rsidRPr="00933A7F">
              <w:rPr>
                <w:rFonts w:ascii="Arial Narrow" w:hAnsi="Arial Narrow" w:cs="Calibri"/>
              </w:rPr>
              <w:t>-34</w:t>
            </w:r>
          </w:p>
        </w:tc>
      </w:tr>
      <w:tr w:rsidR="004F62BB" w:rsidRPr="00933A7F" w14:paraId="1C8EBE12"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2EE9F02F" w14:textId="561EE387" w:rsidR="009F50C6" w:rsidRPr="00933A7F" w:rsidRDefault="009F50C6" w:rsidP="004F62BB">
            <w:pPr>
              <w:pStyle w:val="cuatexto"/>
              <w:spacing w:line="240" w:lineRule="auto"/>
              <w:rPr>
                <w:color w:val="000000" w:themeColor="text1"/>
                <w:szCs w:val="20"/>
                <w:lang w:val="es-ES" w:eastAsia="es-ES"/>
              </w:rPr>
            </w:pPr>
            <w:r w:rsidRPr="00933A7F">
              <w:rPr>
                <w:color w:val="000000" w:themeColor="text1"/>
                <w:szCs w:val="20"/>
                <w:lang w:val="es-ES" w:eastAsia="es-ES"/>
              </w:rPr>
              <w:t xml:space="preserve">3 </w:t>
            </w:r>
            <w:r w:rsidR="004F62BB" w:rsidRPr="00933A7F">
              <w:rPr>
                <w:color w:val="000000" w:themeColor="text1"/>
                <w:szCs w:val="20"/>
                <w:lang w:val="es-ES" w:eastAsia="es-ES"/>
              </w:rPr>
              <w:t>T</w:t>
            </w:r>
            <w:r w:rsidRPr="00933A7F">
              <w:rPr>
                <w:color w:val="000000" w:themeColor="text1"/>
                <w:szCs w:val="20"/>
                <w:lang w:val="es-ES" w:eastAsia="es-ES"/>
              </w:rPr>
              <w:t>asas, precios públicos y otros ingresos</w:t>
            </w:r>
          </w:p>
        </w:tc>
        <w:tc>
          <w:tcPr>
            <w:tcW w:w="556" w:type="pct"/>
            <w:tcBorders>
              <w:top w:val="single" w:sz="2" w:space="0" w:color="000000"/>
              <w:left w:val="nil"/>
              <w:bottom w:val="single" w:sz="2" w:space="0" w:color="000000"/>
              <w:right w:val="nil"/>
            </w:tcBorders>
            <w:shd w:val="clear" w:color="auto" w:fill="auto"/>
            <w:vAlign w:val="center"/>
            <w:hideMark/>
          </w:tcPr>
          <w:p w14:paraId="5FB015BC" w14:textId="77777777" w:rsidR="009F50C6" w:rsidRPr="00933A7F" w:rsidRDefault="009F50C6" w:rsidP="00C668F9">
            <w:pPr>
              <w:spacing w:after="0"/>
              <w:ind w:left="67" w:firstLine="0"/>
              <w:jc w:val="right"/>
              <w:rPr>
                <w:rFonts w:ascii="Arial Narrow" w:hAnsi="Arial Narrow" w:cs="Calibri"/>
                <w:color w:val="000000"/>
              </w:rPr>
            </w:pPr>
            <w:r w:rsidRPr="00933A7F">
              <w:rPr>
                <w:rFonts w:ascii="Arial Narrow" w:hAnsi="Arial Narrow" w:cs="Calibri"/>
                <w:color w:val="000000"/>
              </w:rPr>
              <w:t>159,01</w:t>
            </w:r>
          </w:p>
        </w:tc>
        <w:tc>
          <w:tcPr>
            <w:tcW w:w="556" w:type="pct"/>
            <w:tcBorders>
              <w:top w:val="single" w:sz="2" w:space="0" w:color="000000"/>
              <w:left w:val="nil"/>
              <w:bottom w:val="single" w:sz="2" w:space="0" w:color="000000"/>
              <w:right w:val="nil"/>
            </w:tcBorders>
            <w:shd w:val="clear" w:color="auto" w:fill="auto"/>
            <w:vAlign w:val="center"/>
            <w:hideMark/>
          </w:tcPr>
          <w:p w14:paraId="013EC543"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153,82</w:t>
            </w:r>
          </w:p>
        </w:tc>
        <w:tc>
          <w:tcPr>
            <w:tcW w:w="557" w:type="pct"/>
            <w:tcBorders>
              <w:top w:val="single" w:sz="2" w:space="0" w:color="000000"/>
              <w:left w:val="nil"/>
              <w:bottom w:val="single" w:sz="2" w:space="0" w:color="000000"/>
              <w:right w:val="nil"/>
            </w:tcBorders>
            <w:shd w:val="clear" w:color="auto" w:fill="auto"/>
            <w:vAlign w:val="center"/>
            <w:hideMark/>
          </w:tcPr>
          <w:p w14:paraId="60224765"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18</w:t>
            </w:r>
          </w:p>
        </w:tc>
        <w:tc>
          <w:tcPr>
            <w:tcW w:w="575" w:type="pct"/>
            <w:tcBorders>
              <w:top w:val="single" w:sz="2" w:space="0" w:color="000000"/>
              <w:left w:val="nil"/>
              <w:bottom w:val="single" w:sz="2" w:space="0" w:color="000000"/>
              <w:right w:val="nil"/>
            </w:tcBorders>
            <w:shd w:val="clear" w:color="auto" w:fill="auto"/>
            <w:vAlign w:val="center"/>
            <w:hideMark/>
          </w:tcPr>
          <w:p w14:paraId="1E19E668"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97</w:t>
            </w:r>
          </w:p>
        </w:tc>
        <w:tc>
          <w:tcPr>
            <w:tcW w:w="699" w:type="pct"/>
            <w:tcBorders>
              <w:top w:val="single" w:sz="2" w:space="0" w:color="000000"/>
              <w:left w:val="nil"/>
              <w:bottom w:val="single" w:sz="2" w:space="0" w:color="000000"/>
              <w:right w:val="nil"/>
            </w:tcBorders>
            <w:vAlign w:val="center"/>
          </w:tcPr>
          <w:p w14:paraId="62A8D442"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-15,13</w:t>
            </w:r>
          </w:p>
        </w:tc>
        <w:tc>
          <w:tcPr>
            <w:tcW w:w="609" w:type="pct"/>
            <w:tcBorders>
              <w:top w:val="single" w:sz="2" w:space="0" w:color="000000"/>
              <w:left w:val="nil"/>
              <w:bottom w:val="single" w:sz="2" w:space="0" w:color="000000"/>
              <w:right w:val="nil"/>
            </w:tcBorders>
            <w:vAlign w:val="center"/>
          </w:tcPr>
          <w:p w14:paraId="01E3D5D3" w14:textId="77777777" w:rsidR="009F50C6" w:rsidRPr="00933A7F" w:rsidRDefault="009F50C6" w:rsidP="00C668F9">
            <w:pPr>
              <w:spacing w:after="0"/>
              <w:ind w:hanging="36"/>
              <w:jc w:val="right"/>
              <w:rPr>
                <w:rFonts w:ascii="Arial Narrow" w:hAnsi="Arial Narrow" w:cs="Calibri"/>
              </w:rPr>
            </w:pPr>
            <w:r w:rsidRPr="00933A7F">
              <w:rPr>
                <w:rFonts w:ascii="Arial Narrow" w:hAnsi="Arial Narrow" w:cs="Calibri"/>
              </w:rPr>
              <w:t>-9</w:t>
            </w:r>
          </w:p>
        </w:tc>
      </w:tr>
      <w:tr w:rsidR="004F62BB" w:rsidRPr="00933A7F" w14:paraId="7D8D0BD6"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2B1E77C8" w14:textId="6A7F6144" w:rsidR="009F50C6" w:rsidRPr="00933A7F" w:rsidRDefault="009F50C6" w:rsidP="004F62BB">
            <w:pPr>
              <w:pStyle w:val="cuatexto"/>
              <w:spacing w:line="240" w:lineRule="auto"/>
              <w:rPr>
                <w:color w:val="000000" w:themeColor="text1"/>
                <w:szCs w:val="20"/>
                <w:lang w:val="es-ES" w:eastAsia="es-ES"/>
              </w:rPr>
            </w:pPr>
            <w:r w:rsidRPr="00933A7F">
              <w:rPr>
                <w:color w:val="000000" w:themeColor="text1"/>
                <w:szCs w:val="20"/>
                <w:lang w:val="es-ES" w:eastAsia="es-ES"/>
              </w:rPr>
              <w:t>4 Transferencias corrientes</w:t>
            </w:r>
          </w:p>
        </w:tc>
        <w:tc>
          <w:tcPr>
            <w:tcW w:w="556" w:type="pct"/>
            <w:tcBorders>
              <w:top w:val="single" w:sz="2" w:space="0" w:color="000000"/>
              <w:left w:val="nil"/>
              <w:bottom w:val="single" w:sz="2" w:space="0" w:color="000000"/>
              <w:right w:val="nil"/>
            </w:tcBorders>
            <w:shd w:val="clear" w:color="auto" w:fill="auto"/>
            <w:vAlign w:val="center"/>
            <w:hideMark/>
          </w:tcPr>
          <w:p w14:paraId="4AE609D3" w14:textId="77777777" w:rsidR="009F50C6" w:rsidRPr="00933A7F" w:rsidRDefault="009F50C6" w:rsidP="00C668F9">
            <w:pPr>
              <w:spacing w:after="0"/>
              <w:ind w:left="67" w:firstLine="0"/>
              <w:jc w:val="right"/>
              <w:rPr>
                <w:rFonts w:ascii="Arial Narrow" w:hAnsi="Arial Narrow" w:cs="Calibri"/>
                <w:color w:val="000000"/>
              </w:rPr>
            </w:pPr>
            <w:r w:rsidRPr="00933A7F">
              <w:rPr>
                <w:rFonts w:ascii="Arial Narrow" w:hAnsi="Arial Narrow" w:cs="Calibri"/>
                <w:color w:val="000000"/>
              </w:rPr>
              <w:t>348,37</w:t>
            </w:r>
          </w:p>
        </w:tc>
        <w:tc>
          <w:tcPr>
            <w:tcW w:w="556" w:type="pct"/>
            <w:tcBorders>
              <w:top w:val="single" w:sz="2" w:space="0" w:color="000000"/>
              <w:left w:val="nil"/>
              <w:bottom w:val="single" w:sz="2" w:space="0" w:color="000000"/>
              <w:right w:val="nil"/>
            </w:tcBorders>
            <w:shd w:val="clear" w:color="auto" w:fill="auto"/>
            <w:vAlign w:val="center"/>
            <w:hideMark/>
          </w:tcPr>
          <w:p w14:paraId="7613B924"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372,95</w:t>
            </w:r>
          </w:p>
        </w:tc>
        <w:tc>
          <w:tcPr>
            <w:tcW w:w="557" w:type="pct"/>
            <w:tcBorders>
              <w:top w:val="single" w:sz="2" w:space="0" w:color="000000"/>
              <w:left w:val="nil"/>
              <w:bottom w:val="single" w:sz="2" w:space="0" w:color="000000"/>
              <w:right w:val="nil"/>
            </w:tcBorders>
            <w:shd w:val="clear" w:color="auto" w:fill="auto"/>
            <w:vAlign w:val="center"/>
            <w:hideMark/>
          </w:tcPr>
          <w:p w14:paraId="6DB2A3F2"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44</w:t>
            </w:r>
          </w:p>
        </w:tc>
        <w:tc>
          <w:tcPr>
            <w:tcW w:w="575" w:type="pct"/>
            <w:tcBorders>
              <w:top w:val="single" w:sz="2" w:space="0" w:color="000000"/>
              <w:left w:val="nil"/>
              <w:bottom w:val="single" w:sz="2" w:space="0" w:color="000000"/>
              <w:right w:val="nil"/>
            </w:tcBorders>
            <w:shd w:val="clear" w:color="auto" w:fill="auto"/>
            <w:vAlign w:val="center"/>
            <w:hideMark/>
          </w:tcPr>
          <w:p w14:paraId="79485D24"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107</w:t>
            </w:r>
          </w:p>
        </w:tc>
        <w:tc>
          <w:tcPr>
            <w:tcW w:w="699" w:type="pct"/>
            <w:tcBorders>
              <w:top w:val="single" w:sz="2" w:space="0" w:color="000000"/>
              <w:left w:val="nil"/>
              <w:bottom w:val="single" w:sz="2" w:space="0" w:color="000000"/>
              <w:right w:val="nil"/>
            </w:tcBorders>
            <w:vAlign w:val="center"/>
          </w:tcPr>
          <w:p w14:paraId="682A3360"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32,36</w:t>
            </w:r>
          </w:p>
        </w:tc>
        <w:tc>
          <w:tcPr>
            <w:tcW w:w="609" w:type="pct"/>
            <w:tcBorders>
              <w:top w:val="single" w:sz="2" w:space="0" w:color="000000"/>
              <w:left w:val="nil"/>
              <w:bottom w:val="single" w:sz="2" w:space="0" w:color="000000"/>
              <w:right w:val="nil"/>
            </w:tcBorders>
            <w:vAlign w:val="center"/>
          </w:tcPr>
          <w:p w14:paraId="3601C91C" w14:textId="77777777" w:rsidR="009F50C6" w:rsidRPr="00933A7F" w:rsidRDefault="009F50C6" w:rsidP="00C668F9">
            <w:pPr>
              <w:spacing w:after="0"/>
              <w:ind w:hanging="36"/>
              <w:jc w:val="right"/>
              <w:rPr>
                <w:rFonts w:ascii="Arial Narrow" w:hAnsi="Arial Narrow" w:cs="Calibri"/>
              </w:rPr>
            </w:pPr>
            <w:r w:rsidRPr="00933A7F">
              <w:rPr>
                <w:rFonts w:ascii="Arial Narrow" w:hAnsi="Arial Narrow" w:cs="Calibri"/>
              </w:rPr>
              <w:t>10</w:t>
            </w:r>
          </w:p>
        </w:tc>
      </w:tr>
      <w:tr w:rsidR="004F62BB" w:rsidRPr="00933A7F" w14:paraId="77BFA332"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270C1AB0" w14:textId="306EC9D1" w:rsidR="009F50C6" w:rsidRPr="00933A7F" w:rsidRDefault="009F50C6" w:rsidP="00C668F9">
            <w:pPr>
              <w:pStyle w:val="cuatexto"/>
              <w:spacing w:line="240" w:lineRule="auto"/>
              <w:rPr>
                <w:color w:val="000000" w:themeColor="text1"/>
                <w:szCs w:val="20"/>
                <w:lang w:val="es-ES" w:eastAsia="es-ES"/>
              </w:rPr>
            </w:pPr>
            <w:r w:rsidRPr="00933A7F">
              <w:rPr>
                <w:color w:val="000000" w:themeColor="text1"/>
                <w:szCs w:val="20"/>
                <w:lang w:val="es-ES" w:eastAsia="es-ES"/>
              </w:rPr>
              <w:t>5 Ingresos patrimoniales y aprovechamientos comunales</w:t>
            </w:r>
          </w:p>
        </w:tc>
        <w:tc>
          <w:tcPr>
            <w:tcW w:w="556" w:type="pct"/>
            <w:tcBorders>
              <w:top w:val="single" w:sz="2" w:space="0" w:color="000000"/>
              <w:left w:val="nil"/>
              <w:bottom w:val="single" w:sz="2" w:space="0" w:color="000000"/>
              <w:right w:val="nil"/>
            </w:tcBorders>
            <w:shd w:val="clear" w:color="auto" w:fill="auto"/>
            <w:vAlign w:val="center"/>
            <w:hideMark/>
          </w:tcPr>
          <w:p w14:paraId="166894DA" w14:textId="77777777" w:rsidR="009F50C6" w:rsidRPr="00933A7F" w:rsidRDefault="009F50C6" w:rsidP="00C668F9">
            <w:pPr>
              <w:spacing w:after="0"/>
              <w:ind w:left="67" w:firstLine="0"/>
              <w:jc w:val="right"/>
              <w:rPr>
                <w:rFonts w:ascii="Arial Narrow" w:hAnsi="Arial Narrow" w:cs="Calibri"/>
                <w:color w:val="000000"/>
              </w:rPr>
            </w:pPr>
            <w:r w:rsidRPr="00933A7F">
              <w:rPr>
                <w:rFonts w:ascii="Arial Narrow" w:hAnsi="Arial Narrow" w:cs="Calibri"/>
                <w:color w:val="000000"/>
              </w:rPr>
              <w:t>37,99</w:t>
            </w:r>
          </w:p>
        </w:tc>
        <w:tc>
          <w:tcPr>
            <w:tcW w:w="556" w:type="pct"/>
            <w:tcBorders>
              <w:top w:val="single" w:sz="2" w:space="0" w:color="000000"/>
              <w:left w:val="nil"/>
              <w:bottom w:val="single" w:sz="2" w:space="0" w:color="000000"/>
              <w:right w:val="nil"/>
            </w:tcBorders>
            <w:shd w:val="clear" w:color="auto" w:fill="auto"/>
            <w:vAlign w:val="center"/>
            <w:hideMark/>
          </w:tcPr>
          <w:p w14:paraId="45232A8A"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34,60</w:t>
            </w:r>
          </w:p>
        </w:tc>
        <w:tc>
          <w:tcPr>
            <w:tcW w:w="557" w:type="pct"/>
            <w:tcBorders>
              <w:top w:val="single" w:sz="2" w:space="0" w:color="000000"/>
              <w:left w:val="nil"/>
              <w:bottom w:val="single" w:sz="2" w:space="0" w:color="000000"/>
              <w:right w:val="nil"/>
            </w:tcBorders>
            <w:shd w:val="clear" w:color="auto" w:fill="auto"/>
            <w:vAlign w:val="center"/>
            <w:hideMark/>
          </w:tcPr>
          <w:p w14:paraId="7123C493"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4</w:t>
            </w:r>
          </w:p>
        </w:tc>
        <w:tc>
          <w:tcPr>
            <w:tcW w:w="575" w:type="pct"/>
            <w:tcBorders>
              <w:top w:val="single" w:sz="2" w:space="0" w:color="000000"/>
              <w:left w:val="nil"/>
              <w:bottom w:val="single" w:sz="2" w:space="0" w:color="000000"/>
              <w:right w:val="nil"/>
            </w:tcBorders>
            <w:shd w:val="clear" w:color="auto" w:fill="auto"/>
            <w:vAlign w:val="center"/>
            <w:hideMark/>
          </w:tcPr>
          <w:p w14:paraId="04393072"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91</w:t>
            </w:r>
          </w:p>
        </w:tc>
        <w:tc>
          <w:tcPr>
            <w:tcW w:w="699" w:type="pct"/>
            <w:tcBorders>
              <w:top w:val="single" w:sz="2" w:space="0" w:color="000000"/>
              <w:left w:val="nil"/>
              <w:bottom w:val="single" w:sz="2" w:space="0" w:color="000000"/>
              <w:right w:val="nil"/>
            </w:tcBorders>
            <w:vAlign w:val="center"/>
          </w:tcPr>
          <w:p w14:paraId="21042E67"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-14,32</w:t>
            </w:r>
          </w:p>
        </w:tc>
        <w:tc>
          <w:tcPr>
            <w:tcW w:w="609" w:type="pct"/>
            <w:tcBorders>
              <w:top w:val="single" w:sz="2" w:space="0" w:color="000000"/>
              <w:left w:val="nil"/>
              <w:bottom w:val="single" w:sz="2" w:space="0" w:color="000000"/>
              <w:right w:val="nil"/>
            </w:tcBorders>
            <w:vAlign w:val="center"/>
          </w:tcPr>
          <w:p w14:paraId="3874E69B" w14:textId="77777777" w:rsidR="009F50C6" w:rsidRPr="00933A7F" w:rsidRDefault="009F50C6" w:rsidP="00C668F9">
            <w:pPr>
              <w:spacing w:after="0"/>
              <w:ind w:hanging="36"/>
              <w:jc w:val="right"/>
              <w:rPr>
                <w:rFonts w:ascii="Arial Narrow" w:hAnsi="Arial Narrow" w:cs="Calibri"/>
              </w:rPr>
            </w:pPr>
            <w:r w:rsidRPr="00933A7F">
              <w:rPr>
                <w:rFonts w:ascii="Arial Narrow" w:hAnsi="Arial Narrow" w:cs="Calibri"/>
              </w:rPr>
              <w:t>-29</w:t>
            </w:r>
          </w:p>
        </w:tc>
      </w:tr>
      <w:tr w:rsidR="004F62BB" w:rsidRPr="00933A7F" w14:paraId="3FF6AFB2"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0DE49BAB" w14:textId="69692A76" w:rsidR="009F50C6" w:rsidRPr="00933A7F" w:rsidRDefault="009F50C6" w:rsidP="004F62BB">
            <w:pPr>
              <w:pStyle w:val="cuatexto"/>
              <w:spacing w:line="240" w:lineRule="auto"/>
              <w:rPr>
                <w:b/>
                <w:i/>
                <w:iCs/>
                <w:color w:val="000000" w:themeColor="text1"/>
                <w:szCs w:val="20"/>
                <w:lang w:val="es-ES" w:eastAsia="es-ES"/>
              </w:rPr>
            </w:pPr>
            <w:r w:rsidRPr="00933A7F">
              <w:rPr>
                <w:b/>
                <w:i/>
                <w:iCs/>
                <w:color w:val="000000" w:themeColor="text1"/>
                <w:szCs w:val="20"/>
                <w:lang w:val="es-ES" w:eastAsia="es-ES"/>
              </w:rPr>
              <w:t>Ingresos corrientes</w:t>
            </w:r>
          </w:p>
        </w:tc>
        <w:tc>
          <w:tcPr>
            <w:tcW w:w="556" w:type="pct"/>
            <w:tcBorders>
              <w:top w:val="single" w:sz="2" w:space="0" w:color="000000"/>
              <w:left w:val="nil"/>
              <w:bottom w:val="single" w:sz="2" w:space="0" w:color="000000"/>
              <w:right w:val="nil"/>
            </w:tcBorders>
            <w:shd w:val="clear" w:color="auto" w:fill="auto"/>
            <w:vAlign w:val="center"/>
            <w:hideMark/>
          </w:tcPr>
          <w:p w14:paraId="1634B52F" w14:textId="77777777" w:rsidR="009F50C6" w:rsidRPr="00933A7F" w:rsidRDefault="009F50C6" w:rsidP="00C668F9">
            <w:pPr>
              <w:spacing w:after="0"/>
              <w:ind w:left="67" w:firstLine="0"/>
              <w:jc w:val="right"/>
              <w:rPr>
                <w:rFonts w:ascii="Arial Narrow" w:hAnsi="Arial Narrow" w:cs="Calibri"/>
                <w:b/>
                <w:bCs/>
                <w:i/>
                <w:iCs/>
                <w:color w:val="000000"/>
              </w:rPr>
            </w:pPr>
            <w:r w:rsidRPr="00933A7F">
              <w:rPr>
                <w:rFonts w:ascii="Arial Narrow" w:hAnsi="Arial Narrow" w:cs="Calibri"/>
                <w:b/>
                <w:bCs/>
                <w:i/>
                <w:iCs/>
                <w:color w:val="000000"/>
              </w:rPr>
              <w:t>756,21</w:t>
            </w:r>
          </w:p>
        </w:tc>
        <w:tc>
          <w:tcPr>
            <w:tcW w:w="556" w:type="pct"/>
            <w:tcBorders>
              <w:top w:val="single" w:sz="2" w:space="0" w:color="000000"/>
              <w:left w:val="nil"/>
              <w:bottom w:val="single" w:sz="2" w:space="0" w:color="000000"/>
              <w:right w:val="nil"/>
            </w:tcBorders>
            <w:shd w:val="clear" w:color="auto" w:fill="auto"/>
            <w:vAlign w:val="center"/>
            <w:hideMark/>
          </w:tcPr>
          <w:p w14:paraId="7F17792D" w14:textId="77777777" w:rsidR="009F50C6" w:rsidRPr="00933A7F" w:rsidRDefault="009F50C6" w:rsidP="00C668F9">
            <w:pPr>
              <w:spacing w:after="0"/>
              <w:ind w:firstLine="0"/>
              <w:jc w:val="right"/>
              <w:rPr>
                <w:rFonts w:ascii="Arial Narrow" w:hAnsi="Arial Narrow" w:cs="Calibri"/>
                <w:b/>
                <w:bCs/>
                <w:i/>
                <w:iCs/>
                <w:color w:val="000000"/>
              </w:rPr>
            </w:pPr>
            <w:r w:rsidRPr="00933A7F">
              <w:rPr>
                <w:rFonts w:ascii="Arial Narrow" w:hAnsi="Arial Narrow" w:cs="Calibri"/>
                <w:b/>
                <w:bCs/>
                <w:i/>
                <w:iCs/>
                <w:color w:val="000000"/>
              </w:rPr>
              <w:t>782,02</w:t>
            </w:r>
          </w:p>
        </w:tc>
        <w:tc>
          <w:tcPr>
            <w:tcW w:w="557" w:type="pct"/>
            <w:tcBorders>
              <w:top w:val="single" w:sz="2" w:space="0" w:color="000000"/>
              <w:left w:val="nil"/>
              <w:bottom w:val="single" w:sz="2" w:space="0" w:color="000000"/>
              <w:right w:val="nil"/>
            </w:tcBorders>
            <w:shd w:val="clear" w:color="auto" w:fill="auto"/>
            <w:vAlign w:val="center"/>
            <w:hideMark/>
          </w:tcPr>
          <w:p w14:paraId="4290C0E3" w14:textId="77777777" w:rsidR="009F50C6" w:rsidRPr="00933A7F" w:rsidRDefault="009F50C6" w:rsidP="00C668F9">
            <w:pPr>
              <w:spacing w:after="0"/>
              <w:ind w:firstLine="0"/>
              <w:jc w:val="right"/>
              <w:rPr>
                <w:rFonts w:ascii="Arial Narrow" w:hAnsi="Arial Narrow" w:cs="Calibri"/>
                <w:b/>
                <w:bCs/>
                <w:i/>
                <w:iCs/>
              </w:rPr>
            </w:pPr>
            <w:r w:rsidRPr="00933A7F">
              <w:rPr>
                <w:rFonts w:ascii="Arial Narrow" w:hAnsi="Arial Narrow" w:cs="Calibri"/>
                <w:b/>
                <w:bCs/>
                <w:i/>
                <w:iCs/>
              </w:rPr>
              <w:t>91</w:t>
            </w:r>
          </w:p>
        </w:tc>
        <w:tc>
          <w:tcPr>
            <w:tcW w:w="575" w:type="pct"/>
            <w:tcBorders>
              <w:top w:val="single" w:sz="2" w:space="0" w:color="000000"/>
              <w:left w:val="nil"/>
              <w:bottom w:val="single" w:sz="2" w:space="0" w:color="000000"/>
              <w:right w:val="nil"/>
            </w:tcBorders>
            <w:shd w:val="clear" w:color="auto" w:fill="auto"/>
            <w:vAlign w:val="center"/>
            <w:hideMark/>
          </w:tcPr>
          <w:p w14:paraId="4644A2F3" w14:textId="77777777" w:rsidR="009F50C6" w:rsidRPr="00933A7F" w:rsidRDefault="009F50C6" w:rsidP="00C668F9">
            <w:pPr>
              <w:spacing w:after="0"/>
              <w:ind w:firstLine="0"/>
              <w:jc w:val="right"/>
              <w:rPr>
                <w:rFonts w:ascii="Arial Narrow" w:hAnsi="Arial Narrow" w:cs="Calibri"/>
                <w:b/>
                <w:bCs/>
                <w:i/>
                <w:iCs/>
              </w:rPr>
            </w:pPr>
            <w:r w:rsidRPr="00933A7F">
              <w:rPr>
                <w:rFonts w:ascii="Arial Narrow" w:hAnsi="Arial Narrow" w:cs="Calibri"/>
                <w:b/>
                <w:bCs/>
                <w:i/>
                <w:iCs/>
              </w:rPr>
              <w:t>103</w:t>
            </w:r>
          </w:p>
        </w:tc>
        <w:tc>
          <w:tcPr>
            <w:tcW w:w="699" w:type="pct"/>
            <w:tcBorders>
              <w:top w:val="single" w:sz="2" w:space="0" w:color="000000"/>
              <w:left w:val="nil"/>
              <w:bottom w:val="single" w:sz="2" w:space="0" w:color="000000"/>
              <w:right w:val="nil"/>
            </w:tcBorders>
            <w:vAlign w:val="center"/>
          </w:tcPr>
          <w:p w14:paraId="522C1FFD" w14:textId="77777777" w:rsidR="009F50C6" w:rsidRPr="00933A7F" w:rsidRDefault="009F50C6" w:rsidP="00C668F9">
            <w:pPr>
              <w:spacing w:after="0"/>
              <w:ind w:firstLine="0"/>
              <w:jc w:val="right"/>
              <w:rPr>
                <w:rFonts w:ascii="Arial Narrow" w:hAnsi="Arial Narrow" w:cs="Calibri"/>
                <w:b/>
                <w:bCs/>
                <w:i/>
                <w:iCs/>
                <w:color w:val="000000"/>
              </w:rPr>
            </w:pPr>
            <w:r w:rsidRPr="00933A7F">
              <w:rPr>
                <w:rFonts w:ascii="Arial Narrow" w:hAnsi="Arial Narrow" w:cs="Calibri"/>
                <w:b/>
                <w:bCs/>
                <w:i/>
                <w:iCs/>
                <w:color w:val="000000"/>
              </w:rPr>
              <w:t>-9,57</w:t>
            </w:r>
          </w:p>
        </w:tc>
        <w:tc>
          <w:tcPr>
            <w:tcW w:w="609" w:type="pct"/>
            <w:tcBorders>
              <w:top w:val="single" w:sz="2" w:space="0" w:color="000000"/>
              <w:left w:val="nil"/>
              <w:bottom w:val="single" w:sz="2" w:space="0" w:color="000000"/>
              <w:right w:val="nil"/>
            </w:tcBorders>
            <w:vAlign w:val="center"/>
          </w:tcPr>
          <w:p w14:paraId="01D41357" w14:textId="77777777" w:rsidR="009F50C6" w:rsidRPr="00933A7F" w:rsidRDefault="009F50C6" w:rsidP="00C668F9">
            <w:pPr>
              <w:spacing w:after="0"/>
              <w:ind w:hanging="36"/>
              <w:jc w:val="right"/>
              <w:rPr>
                <w:rFonts w:ascii="Arial Narrow" w:hAnsi="Arial Narrow" w:cs="Calibri"/>
                <w:b/>
                <w:bCs/>
                <w:i/>
                <w:iCs/>
              </w:rPr>
            </w:pPr>
            <w:r w:rsidRPr="00933A7F">
              <w:rPr>
                <w:rFonts w:ascii="Arial Narrow" w:hAnsi="Arial Narrow" w:cs="Calibri"/>
                <w:b/>
                <w:bCs/>
                <w:i/>
                <w:iCs/>
              </w:rPr>
              <w:t>-1</w:t>
            </w:r>
          </w:p>
        </w:tc>
      </w:tr>
      <w:tr w:rsidR="004F62BB" w:rsidRPr="00933A7F" w14:paraId="39DF7F0E"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75BF1741" w14:textId="50327E45" w:rsidR="009F50C6" w:rsidRPr="00933A7F" w:rsidRDefault="009F50C6" w:rsidP="004F62BB">
            <w:pPr>
              <w:pStyle w:val="cuatexto"/>
              <w:spacing w:line="240" w:lineRule="auto"/>
              <w:rPr>
                <w:color w:val="000000" w:themeColor="text1"/>
                <w:szCs w:val="20"/>
                <w:lang w:val="es-ES" w:eastAsia="es-ES"/>
              </w:rPr>
            </w:pPr>
            <w:r w:rsidRPr="00933A7F">
              <w:rPr>
                <w:color w:val="000000" w:themeColor="text1"/>
                <w:szCs w:val="20"/>
                <w:lang w:val="es-ES" w:eastAsia="es-ES"/>
              </w:rPr>
              <w:t>6 Enajenación de inversiones reales</w:t>
            </w:r>
          </w:p>
        </w:tc>
        <w:tc>
          <w:tcPr>
            <w:tcW w:w="556" w:type="pct"/>
            <w:tcBorders>
              <w:top w:val="single" w:sz="2" w:space="0" w:color="000000"/>
              <w:left w:val="nil"/>
              <w:bottom w:val="single" w:sz="2" w:space="0" w:color="000000"/>
              <w:right w:val="nil"/>
            </w:tcBorders>
            <w:shd w:val="clear" w:color="auto" w:fill="auto"/>
            <w:vAlign w:val="center"/>
            <w:hideMark/>
          </w:tcPr>
          <w:p w14:paraId="3EEC166B" w14:textId="77777777" w:rsidR="009F50C6" w:rsidRPr="00933A7F" w:rsidRDefault="009F50C6" w:rsidP="00C668F9">
            <w:pPr>
              <w:spacing w:after="0"/>
              <w:ind w:left="67" w:firstLine="0"/>
              <w:jc w:val="right"/>
              <w:rPr>
                <w:rFonts w:ascii="Arial Narrow" w:hAnsi="Arial Narrow" w:cs="Calibri"/>
                <w:color w:val="000000"/>
              </w:rPr>
            </w:pPr>
            <w:r w:rsidRPr="00933A7F">
              <w:rPr>
                <w:rFonts w:ascii="Arial Narrow" w:hAnsi="Arial Narrow" w:cs="Calibri"/>
                <w:color w:val="000000"/>
              </w:rPr>
              <w:t>16,24</w:t>
            </w:r>
          </w:p>
        </w:tc>
        <w:tc>
          <w:tcPr>
            <w:tcW w:w="556" w:type="pct"/>
            <w:tcBorders>
              <w:top w:val="single" w:sz="2" w:space="0" w:color="000000"/>
              <w:left w:val="nil"/>
              <w:bottom w:val="single" w:sz="2" w:space="0" w:color="000000"/>
              <w:right w:val="nil"/>
            </w:tcBorders>
            <w:shd w:val="clear" w:color="auto" w:fill="auto"/>
            <w:vAlign w:val="center"/>
            <w:hideMark/>
          </w:tcPr>
          <w:p w14:paraId="0224DFD1"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7,93</w:t>
            </w:r>
          </w:p>
        </w:tc>
        <w:tc>
          <w:tcPr>
            <w:tcW w:w="557" w:type="pct"/>
            <w:tcBorders>
              <w:top w:val="single" w:sz="2" w:space="0" w:color="000000"/>
              <w:left w:val="nil"/>
              <w:bottom w:val="single" w:sz="2" w:space="0" w:color="000000"/>
              <w:right w:val="nil"/>
            </w:tcBorders>
            <w:shd w:val="clear" w:color="auto" w:fill="auto"/>
            <w:vAlign w:val="center"/>
            <w:hideMark/>
          </w:tcPr>
          <w:p w14:paraId="5BAAF957"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1</w:t>
            </w:r>
          </w:p>
        </w:tc>
        <w:tc>
          <w:tcPr>
            <w:tcW w:w="575" w:type="pct"/>
            <w:tcBorders>
              <w:top w:val="single" w:sz="2" w:space="0" w:color="000000"/>
              <w:left w:val="nil"/>
              <w:bottom w:val="single" w:sz="2" w:space="0" w:color="000000"/>
              <w:right w:val="nil"/>
            </w:tcBorders>
            <w:shd w:val="clear" w:color="auto" w:fill="auto"/>
            <w:vAlign w:val="center"/>
            <w:hideMark/>
          </w:tcPr>
          <w:p w14:paraId="492C6316"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49</w:t>
            </w:r>
          </w:p>
        </w:tc>
        <w:tc>
          <w:tcPr>
            <w:tcW w:w="699" w:type="pct"/>
            <w:tcBorders>
              <w:top w:val="single" w:sz="2" w:space="0" w:color="000000"/>
              <w:left w:val="nil"/>
              <w:bottom w:val="single" w:sz="2" w:space="0" w:color="000000"/>
              <w:right w:val="nil"/>
            </w:tcBorders>
            <w:vAlign w:val="center"/>
          </w:tcPr>
          <w:p w14:paraId="46E223B9"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-3,09</w:t>
            </w:r>
          </w:p>
        </w:tc>
        <w:tc>
          <w:tcPr>
            <w:tcW w:w="609" w:type="pct"/>
            <w:tcBorders>
              <w:top w:val="single" w:sz="2" w:space="0" w:color="000000"/>
              <w:left w:val="nil"/>
              <w:bottom w:val="single" w:sz="2" w:space="0" w:color="000000"/>
              <w:right w:val="nil"/>
            </w:tcBorders>
            <w:vAlign w:val="center"/>
          </w:tcPr>
          <w:p w14:paraId="6C815D26" w14:textId="77777777" w:rsidR="009F50C6" w:rsidRPr="00933A7F" w:rsidRDefault="009F50C6" w:rsidP="00C668F9">
            <w:pPr>
              <w:spacing w:after="0"/>
              <w:ind w:hanging="36"/>
              <w:jc w:val="right"/>
              <w:rPr>
                <w:rFonts w:ascii="Arial Narrow" w:hAnsi="Arial Narrow" w:cs="Calibri"/>
              </w:rPr>
            </w:pPr>
            <w:r w:rsidRPr="00933A7F">
              <w:rPr>
                <w:rFonts w:ascii="Arial Narrow" w:hAnsi="Arial Narrow" w:cs="Calibri"/>
              </w:rPr>
              <w:t>-28</w:t>
            </w:r>
          </w:p>
        </w:tc>
      </w:tr>
      <w:tr w:rsidR="004F62BB" w:rsidRPr="00933A7F" w14:paraId="53BAF6B0"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4E1A067D" w14:textId="7CCA3CA9" w:rsidR="009F50C6" w:rsidRPr="00933A7F" w:rsidRDefault="009F50C6" w:rsidP="004F62BB">
            <w:pPr>
              <w:pStyle w:val="cuatexto"/>
              <w:spacing w:line="240" w:lineRule="auto"/>
              <w:rPr>
                <w:color w:val="000000" w:themeColor="text1"/>
                <w:szCs w:val="20"/>
                <w:lang w:val="es-ES" w:eastAsia="es-ES"/>
              </w:rPr>
            </w:pPr>
            <w:r w:rsidRPr="00933A7F">
              <w:rPr>
                <w:color w:val="000000" w:themeColor="text1"/>
                <w:szCs w:val="20"/>
                <w:lang w:val="es-ES" w:eastAsia="es-ES"/>
              </w:rPr>
              <w:t>7 Transferencias de capital</w:t>
            </w:r>
          </w:p>
        </w:tc>
        <w:tc>
          <w:tcPr>
            <w:tcW w:w="556" w:type="pct"/>
            <w:tcBorders>
              <w:top w:val="single" w:sz="2" w:space="0" w:color="000000"/>
              <w:left w:val="nil"/>
              <w:bottom w:val="single" w:sz="2" w:space="0" w:color="000000"/>
              <w:right w:val="nil"/>
            </w:tcBorders>
            <w:shd w:val="clear" w:color="auto" w:fill="auto"/>
            <w:vAlign w:val="center"/>
            <w:hideMark/>
          </w:tcPr>
          <w:p w14:paraId="5777D169" w14:textId="77777777" w:rsidR="009F50C6" w:rsidRPr="00933A7F" w:rsidRDefault="009F50C6" w:rsidP="00C668F9">
            <w:pPr>
              <w:spacing w:after="0"/>
              <w:ind w:left="67" w:firstLine="0"/>
              <w:jc w:val="right"/>
              <w:rPr>
                <w:rFonts w:ascii="Arial Narrow" w:hAnsi="Arial Narrow" w:cs="Calibri"/>
                <w:color w:val="000000"/>
              </w:rPr>
            </w:pPr>
            <w:r w:rsidRPr="00933A7F">
              <w:rPr>
                <w:rFonts w:ascii="Arial Narrow" w:hAnsi="Arial Narrow" w:cs="Calibri"/>
                <w:color w:val="000000"/>
              </w:rPr>
              <w:t>69,88</w:t>
            </w:r>
          </w:p>
        </w:tc>
        <w:tc>
          <w:tcPr>
            <w:tcW w:w="556" w:type="pct"/>
            <w:tcBorders>
              <w:top w:val="single" w:sz="2" w:space="0" w:color="000000"/>
              <w:left w:val="nil"/>
              <w:bottom w:val="single" w:sz="2" w:space="0" w:color="000000"/>
              <w:right w:val="nil"/>
            </w:tcBorders>
            <w:shd w:val="clear" w:color="auto" w:fill="auto"/>
            <w:vAlign w:val="center"/>
            <w:hideMark/>
          </w:tcPr>
          <w:p w14:paraId="2AA9877B"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56,59</w:t>
            </w:r>
          </w:p>
        </w:tc>
        <w:tc>
          <w:tcPr>
            <w:tcW w:w="557" w:type="pct"/>
            <w:tcBorders>
              <w:top w:val="single" w:sz="2" w:space="0" w:color="000000"/>
              <w:left w:val="nil"/>
              <w:bottom w:val="single" w:sz="2" w:space="0" w:color="000000"/>
              <w:right w:val="nil"/>
            </w:tcBorders>
            <w:shd w:val="clear" w:color="auto" w:fill="auto"/>
            <w:vAlign w:val="center"/>
            <w:hideMark/>
          </w:tcPr>
          <w:p w14:paraId="44BF4776"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7</w:t>
            </w:r>
          </w:p>
        </w:tc>
        <w:tc>
          <w:tcPr>
            <w:tcW w:w="575" w:type="pct"/>
            <w:tcBorders>
              <w:top w:val="single" w:sz="2" w:space="0" w:color="000000"/>
              <w:left w:val="nil"/>
              <w:bottom w:val="single" w:sz="2" w:space="0" w:color="000000"/>
              <w:right w:val="nil"/>
            </w:tcBorders>
            <w:shd w:val="clear" w:color="auto" w:fill="auto"/>
            <w:vAlign w:val="center"/>
            <w:hideMark/>
          </w:tcPr>
          <w:p w14:paraId="7925422B"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81</w:t>
            </w:r>
          </w:p>
        </w:tc>
        <w:tc>
          <w:tcPr>
            <w:tcW w:w="699" w:type="pct"/>
            <w:tcBorders>
              <w:top w:val="single" w:sz="2" w:space="0" w:color="000000"/>
              <w:left w:val="nil"/>
              <w:bottom w:val="single" w:sz="2" w:space="0" w:color="000000"/>
              <w:right w:val="nil"/>
            </w:tcBorders>
            <w:vAlign w:val="center"/>
          </w:tcPr>
          <w:p w14:paraId="256876B1"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-26,92</w:t>
            </w:r>
          </w:p>
        </w:tc>
        <w:tc>
          <w:tcPr>
            <w:tcW w:w="609" w:type="pct"/>
            <w:tcBorders>
              <w:top w:val="single" w:sz="2" w:space="0" w:color="000000"/>
              <w:left w:val="nil"/>
              <w:bottom w:val="single" w:sz="2" w:space="0" w:color="000000"/>
              <w:right w:val="nil"/>
            </w:tcBorders>
            <w:vAlign w:val="center"/>
          </w:tcPr>
          <w:p w14:paraId="339E1C93" w14:textId="77777777" w:rsidR="009F50C6" w:rsidRPr="00933A7F" w:rsidRDefault="009F50C6" w:rsidP="00C668F9">
            <w:pPr>
              <w:spacing w:after="0"/>
              <w:ind w:hanging="36"/>
              <w:jc w:val="right"/>
              <w:rPr>
                <w:rFonts w:ascii="Arial Narrow" w:hAnsi="Arial Narrow" w:cs="Calibri"/>
              </w:rPr>
            </w:pPr>
            <w:r w:rsidRPr="00933A7F">
              <w:rPr>
                <w:rFonts w:ascii="Arial Narrow" w:hAnsi="Arial Narrow" w:cs="Calibri"/>
              </w:rPr>
              <w:t>-32</w:t>
            </w:r>
          </w:p>
        </w:tc>
      </w:tr>
      <w:tr w:rsidR="004F62BB" w:rsidRPr="00933A7F" w14:paraId="612E3745"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46969C1F" w14:textId="142C7942" w:rsidR="009F50C6" w:rsidRPr="00933A7F" w:rsidRDefault="009F50C6" w:rsidP="004F62BB">
            <w:pPr>
              <w:pStyle w:val="cuatexto"/>
              <w:spacing w:line="240" w:lineRule="auto"/>
              <w:rPr>
                <w:b/>
                <w:i/>
                <w:iCs/>
                <w:color w:val="000000" w:themeColor="text1"/>
                <w:szCs w:val="20"/>
                <w:lang w:val="es-ES" w:eastAsia="es-ES"/>
              </w:rPr>
            </w:pPr>
            <w:r w:rsidRPr="00933A7F">
              <w:rPr>
                <w:b/>
                <w:i/>
                <w:iCs/>
                <w:color w:val="000000" w:themeColor="text1"/>
                <w:szCs w:val="20"/>
                <w:lang w:val="es-ES" w:eastAsia="es-ES"/>
              </w:rPr>
              <w:t>Ingresos de capital</w:t>
            </w:r>
          </w:p>
        </w:tc>
        <w:tc>
          <w:tcPr>
            <w:tcW w:w="556" w:type="pct"/>
            <w:tcBorders>
              <w:top w:val="single" w:sz="2" w:space="0" w:color="000000"/>
              <w:left w:val="nil"/>
              <w:bottom w:val="single" w:sz="2" w:space="0" w:color="000000"/>
              <w:right w:val="nil"/>
            </w:tcBorders>
            <w:shd w:val="clear" w:color="auto" w:fill="auto"/>
            <w:vAlign w:val="center"/>
            <w:hideMark/>
          </w:tcPr>
          <w:p w14:paraId="1AF03777" w14:textId="77777777" w:rsidR="009F50C6" w:rsidRPr="00933A7F" w:rsidRDefault="009F50C6" w:rsidP="00C668F9">
            <w:pPr>
              <w:spacing w:after="0"/>
              <w:ind w:left="67" w:firstLine="0"/>
              <w:jc w:val="right"/>
              <w:rPr>
                <w:rFonts w:ascii="Arial Narrow" w:hAnsi="Arial Narrow" w:cs="Calibri"/>
                <w:b/>
                <w:bCs/>
                <w:i/>
                <w:iCs/>
                <w:color w:val="000000"/>
              </w:rPr>
            </w:pPr>
            <w:r w:rsidRPr="00933A7F">
              <w:rPr>
                <w:rFonts w:ascii="Arial Narrow" w:hAnsi="Arial Narrow" w:cs="Calibri"/>
                <w:b/>
                <w:bCs/>
                <w:i/>
                <w:iCs/>
                <w:color w:val="000000"/>
              </w:rPr>
              <w:t>86,11</w:t>
            </w:r>
          </w:p>
        </w:tc>
        <w:tc>
          <w:tcPr>
            <w:tcW w:w="556" w:type="pct"/>
            <w:tcBorders>
              <w:top w:val="single" w:sz="2" w:space="0" w:color="000000"/>
              <w:left w:val="nil"/>
              <w:bottom w:val="single" w:sz="2" w:space="0" w:color="000000"/>
              <w:right w:val="nil"/>
            </w:tcBorders>
            <w:shd w:val="clear" w:color="auto" w:fill="auto"/>
            <w:vAlign w:val="center"/>
            <w:hideMark/>
          </w:tcPr>
          <w:p w14:paraId="0C8CA0C8" w14:textId="77777777" w:rsidR="009F50C6" w:rsidRPr="00933A7F" w:rsidRDefault="009F50C6" w:rsidP="00C668F9">
            <w:pPr>
              <w:spacing w:after="0"/>
              <w:ind w:firstLine="0"/>
              <w:jc w:val="right"/>
              <w:rPr>
                <w:rFonts w:ascii="Arial Narrow" w:hAnsi="Arial Narrow" w:cs="Calibri"/>
                <w:b/>
                <w:bCs/>
                <w:i/>
                <w:iCs/>
                <w:color w:val="000000"/>
              </w:rPr>
            </w:pPr>
            <w:r w:rsidRPr="00933A7F">
              <w:rPr>
                <w:rFonts w:ascii="Arial Narrow" w:hAnsi="Arial Narrow" w:cs="Calibri"/>
                <w:b/>
                <w:bCs/>
                <w:i/>
                <w:iCs/>
                <w:color w:val="000000"/>
              </w:rPr>
              <w:t>64,52</w:t>
            </w:r>
          </w:p>
        </w:tc>
        <w:tc>
          <w:tcPr>
            <w:tcW w:w="557" w:type="pct"/>
            <w:tcBorders>
              <w:top w:val="single" w:sz="2" w:space="0" w:color="000000"/>
              <w:left w:val="nil"/>
              <w:bottom w:val="single" w:sz="2" w:space="0" w:color="000000"/>
              <w:right w:val="nil"/>
            </w:tcBorders>
            <w:shd w:val="clear" w:color="auto" w:fill="auto"/>
            <w:vAlign w:val="center"/>
            <w:hideMark/>
          </w:tcPr>
          <w:p w14:paraId="0A00D640" w14:textId="77777777" w:rsidR="009F50C6" w:rsidRPr="00933A7F" w:rsidRDefault="009F50C6" w:rsidP="00C668F9">
            <w:pPr>
              <w:spacing w:after="0"/>
              <w:ind w:firstLine="0"/>
              <w:jc w:val="right"/>
              <w:rPr>
                <w:rFonts w:ascii="Arial Narrow" w:hAnsi="Arial Narrow" w:cs="Calibri"/>
                <w:b/>
                <w:bCs/>
                <w:i/>
                <w:iCs/>
              </w:rPr>
            </w:pPr>
            <w:r w:rsidRPr="00933A7F">
              <w:rPr>
                <w:rFonts w:ascii="Arial Narrow" w:hAnsi="Arial Narrow" w:cs="Calibri"/>
                <w:b/>
                <w:bCs/>
                <w:i/>
                <w:iCs/>
              </w:rPr>
              <w:t>8</w:t>
            </w:r>
          </w:p>
        </w:tc>
        <w:tc>
          <w:tcPr>
            <w:tcW w:w="575" w:type="pct"/>
            <w:tcBorders>
              <w:top w:val="single" w:sz="2" w:space="0" w:color="000000"/>
              <w:left w:val="nil"/>
              <w:bottom w:val="single" w:sz="2" w:space="0" w:color="000000"/>
              <w:right w:val="nil"/>
            </w:tcBorders>
            <w:shd w:val="clear" w:color="auto" w:fill="auto"/>
            <w:vAlign w:val="center"/>
            <w:hideMark/>
          </w:tcPr>
          <w:p w14:paraId="5D281490" w14:textId="77777777" w:rsidR="009F50C6" w:rsidRPr="00933A7F" w:rsidRDefault="009F50C6" w:rsidP="00C668F9">
            <w:pPr>
              <w:spacing w:after="0"/>
              <w:ind w:firstLine="0"/>
              <w:jc w:val="right"/>
              <w:rPr>
                <w:rFonts w:ascii="Arial Narrow" w:hAnsi="Arial Narrow" w:cs="Calibri"/>
                <w:b/>
                <w:bCs/>
                <w:i/>
                <w:iCs/>
              </w:rPr>
            </w:pPr>
            <w:r w:rsidRPr="00933A7F">
              <w:rPr>
                <w:rFonts w:ascii="Arial Narrow" w:hAnsi="Arial Narrow" w:cs="Calibri"/>
                <w:b/>
                <w:bCs/>
                <w:i/>
                <w:iCs/>
              </w:rPr>
              <w:t>75</w:t>
            </w:r>
          </w:p>
        </w:tc>
        <w:tc>
          <w:tcPr>
            <w:tcW w:w="699" w:type="pct"/>
            <w:tcBorders>
              <w:top w:val="single" w:sz="2" w:space="0" w:color="000000"/>
              <w:left w:val="nil"/>
              <w:bottom w:val="single" w:sz="2" w:space="0" w:color="000000"/>
              <w:right w:val="nil"/>
            </w:tcBorders>
            <w:vAlign w:val="center"/>
          </w:tcPr>
          <w:p w14:paraId="65A9C4CF" w14:textId="77777777" w:rsidR="009F50C6" w:rsidRPr="00933A7F" w:rsidRDefault="009F50C6" w:rsidP="00C668F9">
            <w:pPr>
              <w:spacing w:after="0"/>
              <w:ind w:firstLine="0"/>
              <w:jc w:val="right"/>
              <w:rPr>
                <w:rFonts w:ascii="Arial Narrow" w:hAnsi="Arial Narrow" w:cs="Calibri"/>
                <w:b/>
                <w:bCs/>
                <w:i/>
                <w:iCs/>
                <w:color w:val="000000"/>
              </w:rPr>
            </w:pPr>
            <w:r w:rsidRPr="00933A7F">
              <w:rPr>
                <w:rFonts w:ascii="Arial Narrow" w:hAnsi="Arial Narrow" w:cs="Calibri"/>
                <w:b/>
                <w:bCs/>
                <w:i/>
                <w:iCs/>
                <w:color w:val="000000"/>
              </w:rPr>
              <w:t>-30,01</w:t>
            </w:r>
          </w:p>
        </w:tc>
        <w:tc>
          <w:tcPr>
            <w:tcW w:w="609" w:type="pct"/>
            <w:tcBorders>
              <w:top w:val="single" w:sz="2" w:space="0" w:color="000000"/>
              <w:left w:val="nil"/>
              <w:bottom w:val="single" w:sz="2" w:space="0" w:color="000000"/>
              <w:right w:val="nil"/>
            </w:tcBorders>
            <w:vAlign w:val="center"/>
          </w:tcPr>
          <w:p w14:paraId="3CF013A3" w14:textId="77777777" w:rsidR="009F50C6" w:rsidRPr="00933A7F" w:rsidRDefault="009F50C6" w:rsidP="00C668F9">
            <w:pPr>
              <w:spacing w:after="0"/>
              <w:ind w:hanging="36"/>
              <w:jc w:val="right"/>
              <w:rPr>
                <w:rFonts w:ascii="Arial Narrow" w:hAnsi="Arial Narrow" w:cs="Calibri"/>
                <w:b/>
                <w:bCs/>
                <w:i/>
                <w:iCs/>
              </w:rPr>
            </w:pPr>
            <w:r w:rsidRPr="00933A7F">
              <w:rPr>
                <w:rFonts w:ascii="Arial Narrow" w:hAnsi="Arial Narrow" w:cs="Calibri"/>
                <w:b/>
                <w:bCs/>
                <w:i/>
                <w:iCs/>
              </w:rPr>
              <w:t>-32</w:t>
            </w:r>
          </w:p>
        </w:tc>
      </w:tr>
      <w:tr w:rsidR="004F62BB" w:rsidRPr="00933A7F" w14:paraId="2AE2F0CC"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450B30DA" w14:textId="27F186BA" w:rsidR="009F50C6" w:rsidRPr="00933A7F" w:rsidRDefault="009F50C6" w:rsidP="004F62BB">
            <w:pPr>
              <w:pStyle w:val="cuatexto"/>
              <w:spacing w:line="240" w:lineRule="auto"/>
              <w:rPr>
                <w:color w:val="000000" w:themeColor="text1"/>
                <w:szCs w:val="20"/>
                <w:lang w:val="es-ES" w:eastAsia="es-ES"/>
              </w:rPr>
            </w:pPr>
            <w:r w:rsidRPr="00933A7F">
              <w:rPr>
                <w:color w:val="000000" w:themeColor="text1"/>
                <w:szCs w:val="20"/>
                <w:lang w:val="es-ES" w:eastAsia="es-ES"/>
              </w:rPr>
              <w:t>8 Activos financieros</w:t>
            </w:r>
          </w:p>
        </w:tc>
        <w:tc>
          <w:tcPr>
            <w:tcW w:w="556" w:type="pct"/>
            <w:tcBorders>
              <w:top w:val="single" w:sz="2" w:space="0" w:color="000000"/>
              <w:left w:val="nil"/>
              <w:bottom w:val="single" w:sz="2" w:space="0" w:color="000000"/>
              <w:right w:val="nil"/>
            </w:tcBorders>
            <w:shd w:val="clear" w:color="auto" w:fill="auto"/>
            <w:vAlign w:val="center"/>
            <w:hideMark/>
          </w:tcPr>
          <w:p w14:paraId="595DEC6B" w14:textId="77777777" w:rsidR="009F50C6" w:rsidRPr="00933A7F" w:rsidRDefault="009F50C6" w:rsidP="00C668F9">
            <w:pPr>
              <w:spacing w:after="0"/>
              <w:ind w:left="67" w:firstLine="0"/>
              <w:jc w:val="right"/>
              <w:rPr>
                <w:rFonts w:ascii="Arial Narrow" w:hAnsi="Arial Narrow" w:cs="Calibri"/>
                <w:color w:val="000000"/>
              </w:rPr>
            </w:pPr>
            <w:r w:rsidRPr="00933A7F">
              <w:rPr>
                <w:rFonts w:ascii="Arial Narrow" w:hAnsi="Arial Narrow" w:cs="Calibri"/>
                <w:color w:val="000000"/>
              </w:rPr>
              <w:t>93,45</w:t>
            </w:r>
          </w:p>
        </w:tc>
        <w:tc>
          <w:tcPr>
            <w:tcW w:w="556" w:type="pct"/>
            <w:tcBorders>
              <w:top w:val="single" w:sz="2" w:space="0" w:color="000000"/>
              <w:left w:val="nil"/>
              <w:bottom w:val="single" w:sz="2" w:space="0" w:color="000000"/>
              <w:right w:val="nil"/>
            </w:tcBorders>
            <w:shd w:val="clear" w:color="auto" w:fill="auto"/>
            <w:vAlign w:val="center"/>
            <w:hideMark/>
          </w:tcPr>
          <w:p w14:paraId="03439AD1"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1,39</w:t>
            </w:r>
          </w:p>
        </w:tc>
        <w:tc>
          <w:tcPr>
            <w:tcW w:w="557" w:type="pct"/>
            <w:tcBorders>
              <w:top w:val="single" w:sz="2" w:space="0" w:color="000000"/>
              <w:left w:val="nil"/>
              <w:bottom w:val="single" w:sz="2" w:space="0" w:color="000000"/>
              <w:right w:val="nil"/>
            </w:tcBorders>
            <w:shd w:val="clear" w:color="auto" w:fill="auto"/>
            <w:vAlign w:val="center"/>
            <w:hideMark/>
          </w:tcPr>
          <w:p w14:paraId="53970483"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0</w:t>
            </w:r>
          </w:p>
        </w:tc>
        <w:tc>
          <w:tcPr>
            <w:tcW w:w="575" w:type="pct"/>
            <w:tcBorders>
              <w:top w:val="single" w:sz="2" w:space="0" w:color="000000"/>
              <w:left w:val="nil"/>
              <w:bottom w:val="single" w:sz="2" w:space="0" w:color="000000"/>
              <w:right w:val="nil"/>
            </w:tcBorders>
            <w:shd w:val="clear" w:color="auto" w:fill="auto"/>
            <w:vAlign w:val="center"/>
            <w:hideMark/>
          </w:tcPr>
          <w:p w14:paraId="63950575"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1</w:t>
            </w:r>
          </w:p>
        </w:tc>
        <w:tc>
          <w:tcPr>
            <w:tcW w:w="699" w:type="pct"/>
            <w:tcBorders>
              <w:top w:val="single" w:sz="2" w:space="0" w:color="000000"/>
              <w:left w:val="nil"/>
              <w:bottom w:val="single" w:sz="2" w:space="0" w:color="000000"/>
              <w:right w:val="nil"/>
            </w:tcBorders>
            <w:vAlign w:val="center"/>
          </w:tcPr>
          <w:p w14:paraId="66FF519D"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-0,96</w:t>
            </w:r>
          </w:p>
        </w:tc>
        <w:tc>
          <w:tcPr>
            <w:tcW w:w="609" w:type="pct"/>
            <w:tcBorders>
              <w:top w:val="single" w:sz="2" w:space="0" w:color="000000"/>
              <w:left w:val="nil"/>
              <w:bottom w:val="single" w:sz="2" w:space="0" w:color="000000"/>
              <w:right w:val="nil"/>
            </w:tcBorders>
            <w:vAlign w:val="center"/>
          </w:tcPr>
          <w:p w14:paraId="6BEAD464" w14:textId="77777777" w:rsidR="009F50C6" w:rsidRPr="00933A7F" w:rsidRDefault="009F50C6" w:rsidP="00C668F9">
            <w:pPr>
              <w:spacing w:after="0"/>
              <w:ind w:hanging="36"/>
              <w:jc w:val="right"/>
              <w:rPr>
                <w:rFonts w:ascii="Arial Narrow" w:hAnsi="Arial Narrow" w:cs="Calibri"/>
              </w:rPr>
            </w:pPr>
            <w:r w:rsidRPr="00933A7F">
              <w:rPr>
                <w:rFonts w:ascii="Arial Narrow" w:hAnsi="Arial Narrow" w:cs="Calibri"/>
              </w:rPr>
              <w:t>-41</w:t>
            </w:r>
          </w:p>
        </w:tc>
      </w:tr>
      <w:tr w:rsidR="004F62BB" w:rsidRPr="00933A7F" w14:paraId="65640555"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5F3C8E4F" w14:textId="69212E65" w:rsidR="009F50C6" w:rsidRPr="00933A7F" w:rsidRDefault="009F50C6" w:rsidP="004F62BB">
            <w:pPr>
              <w:pStyle w:val="cuatexto"/>
              <w:spacing w:line="240" w:lineRule="auto"/>
              <w:rPr>
                <w:color w:val="000000" w:themeColor="text1"/>
                <w:szCs w:val="20"/>
                <w:lang w:val="es-ES" w:eastAsia="es-ES"/>
              </w:rPr>
            </w:pPr>
            <w:r w:rsidRPr="00933A7F">
              <w:rPr>
                <w:color w:val="000000" w:themeColor="text1"/>
                <w:szCs w:val="20"/>
                <w:lang w:val="es-ES" w:eastAsia="es-ES"/>
              </w:rPr>
              <w:t>9 Pasivos financieros</w:t>
            </w:r>
          </w:p>
        </w:tc>
        <w:tc>
          <w:tcPr>
            <w:tcW w:w="556" w:type="pct"/>
            <w:tcBorders>
              <w:top w:val="single" w:sz="2" w:space="0" w:color="000000"/>
              <w:left w:val="nil"/>
              <w:bottom w:val="single" w:sz="2" w:space="0" w:color="000000"/>
              <w:right w:val="nil"/>
            </w:tcBorders>
            <w:shd w:val="clear" w:color="auto" w:fill="auto"/>
            <w:vAlign w:val="center"/>
            <w:hideMark/>
          </w:tcPr>
          <w:p w14:paraId="312C627D" w14:textId="77777777" w:rsidR="009F50C6" w:rsidRPr="00933A7F" w:rsidRDefault="009F50C6" w:rsidP="00C668F9">
            <w:pPr>
              <w:spacing w:after="0"/>
              <w:ind w:left="67" w:firstLine="0"/>
              <w:jc w:val="right"/>
              <w:rPr>
                <w:rFonts w:ascii="Arial Narrow" w:hAnsi="Arial Narrow" w:cs="Calibri"/>
                <w:color w:val="000000"/>
              </w:rPr>
            </w:pPr>
            <w:r w:rsidRPr="00933A7F">
              <w:rPr>
                <w:rFonts w:ascii="Arial Narrow" w:hAnsi="Arial Narrow" w:cs="Calibri"/>
                <w:color w:val="000000"/>
              </w:rPr>
              <w:t>22,65</w:t>
            </w:r>
          </w:p>
        </w:tc>
        <w:tc>
          <w:tcPr>
            <w:tcW w:w="556" w:type="pct"/>
            <w:tcBorders>
              <w:top w:val="single" w:sz="2" w:space="0" w:color="000000"/>
              <w:left w:val="nil"/>
              <w:bottom w:val="single" w:sz="2" w:space="0" w:color="000000"/>
              <w:right w:val="nil"/>
            </w:tcBorders>
            <w:shd w:val="clear" w:color="auto" w:fill="auto"/>
            <w:vAlign w:val="center"/>
            <w:hideMark/>
          </w:tcPr>
          <w:p w14:paraId="0ECB1D92"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7,39</w:t>
            </w:r>
          </w:p>
        </w:tc>
        <w:tc>
          <w:tcPr>
            <w:tcW w:w="557" w:type="pct"/>
            <w:tcBorders>
              <w:top w:val="single" w:sz="2" w:space="0" w:color="000000"/>
              <w:left w:val="nil"/>
              <w:bottom w:val="single" w:sz="2" w:space="0" w:color="000000"/>
              <w:right w:val="nil"/>
            </w:tcBorders>
            <w:shd w:val="clear" w:color="auto" w:fill="auto"/>
            <w:vAlign w:val="center"/>
            <w:hideMark/>
          </w:tcPr>
          <w:p w14:paraId="213A1A72"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1</w:t>
            </w:r>
          </w:p>
        </w:tc>
        <w:tc>
          <w:tcPr>
            <w:tcW w:w="575" w:type="pct"/>
            <w:tcBorders>
              <w:top w:val="single" w:sz="2" w:space="0" w:color="000000"/>
              <w:left w:val="nil"/>
              <w:bottom w:val="single" w:sz="2" w:space="0" w:color="000000"/>
              <w:right w:val="nil"/>
            </w:tcBorders>
            <w:shd w:val="clear" w:color="auto" w:fill="auto"/>
            <w:vAlign w:val="center"/>
            <w:hideMark/>
          </w:tcPr>
          <w:p w14:paraId="4D1547ED" w14:textId="77777777" w:rsidR="009F50C6" w:rsidRPr="00933A7F" w:rsidRDefault="009F50C6" w:rsidP="00C668F9">
            <w:pPr>
              <w:spacing w:after="0"/>
              <w:ind w:firstLine="0"/>
              <w:jc w:val="right"/>
              <w:rPr>
                <w:rFonts w:ascii="Arial Narrow" w:hAnsi="Arial Narrow" w:cs="Calibri"/>
              </w:rPr>
            </w:pPr>
            <w:r w:rsidRPr="00933A7F">
              <w:rPr>
                <w:rFonts w:ascii="Arial Narrow" w:hAnsi="Arial Narrow" w:cs="Calibri"/>
              </w:rPr>
              <w:t>33</w:t>
            </w:r>
          </w:p>
        </w:tc>
        <w:tc>
          <w:tcPr>
            <w:tcW w:w="699" w:type="pct"/>
            <w:tcBorders>
              <w:top w:val="single" w:sz="2" w:space="0" w:color="000000"/>
              <w:left w:val="nil"/>
              <w:bottom w:val="single" w:sz="2" w:space="0" w:color="000000"/>
              <w:right w:val="nil"/>
            </w:tcBorders>
            <w:vAlign w:val="center"/>
          </w:tcPr>
          <w:p w14:paraId="447537FF" w14:textId="77777777" w:rsidR="009F50C6" w:rsidRPr="00933A7F" w:rsidRDefault="009F50C6" w:rsidP="00C668F9">
            <w:pPr>
              <w:spacing w:after="0"/>
              <w:ind w:firstLine="0"/>
              <w:jc w:val="right"/>
              <w:rPr>
                <w:rFonts w:ascii="Arial Narrow" w:hAnsi="Arial Narrow" w:cs="Calibri"/>
                <w:color w:val="000000"/>
              </w:rPr>
            </w:pPr>
            <w:r w:rsidRPr="00933A7F">
              <w:rPr>
                <w:rFonts w:ascii="Arial Narrow" w:hAnsi="Arial Narrow" w:cs="Calibri"/>
                <w:color w:val="000000"/>
              </w:rPr>
              <w:t>4,45</w:t>
            </w:r>
          </w:p>
        </w:tc>
        <w:tc>
          <w:tcPr>
            <w:tcW w:w="609" w:type="pct"/>
            <w:tcBorders>
              <w:top w:val="single" w:sz="2" w:space="0" w:color="000000"/>
              <w:left w:val="nil"/>
              <w:bottom w:val="single" w:sz="2" w:space="0" w:color="000000"/>
              <w:right w:val="nil"/>
            </w:tcBorders>
            <w:vAlign w:val="center"/>
          </w:tcPr>
          <w:p w14:paraId="5FF216DD" w14:textId="77777777" w:rsidR="009F50C6" w:rsidRPr="00933A7F" w:rsidRDefault="009F50C6" w:rsidP="00C668F9">
            <w:pPr>
              <w:spacing w:after="0"/>
              <w:ind w:hanging="36"/>
              <w:jc w:val="right"/>
              <w:rPr>
                <w:rFonts w:ascii="Arial Narrow" w:hAnsi="Arial Narrow" w:cs="Calibri"/>
              </w:rPr>
            </w:pPr>
            <w:r w:rsidRPr="00933A7F">
              <w:rPr>
                <w:rFonts w:ascii="Arial Narrow" w:hAnsi="Arial Narrow" w:cs="Calibri"/>
              </w:rPr>
              <w:t>152</w:t>
            </w:r>
          </w:p>
        </w:tc>
      </w:tr>
      <w:tr w:rsidR="004F62BB" w:rsidRPr="00933A7F" w14:paraId="53017EBF" w14:textId="77777777" w:rsidTr="00C668F9">
        <w:trPr>
          <w:trHeight w:val="284"/>
        </w:trPr>
        <w:tc>
          <w:tcPr>
            <w:tcW w:w="1447" w:type="pct"/>
            <w:tcBorders>
              <w:top w:val="single" w:sz="2" w:space="0" w:color="000000"/>
              <w:left w:val="nil"/>
              <w:bottom w:val="single" w:sz="4" w:space="0" w:color="000000"/>
              <w:right w:val="nil"/>
            </w:tcBorders>
            <w:shd w:val="clear" w:color="auto" w:fill="auto"/>
            <w:vAlign w:val="center"/>
            <w:hideMark/>
          </w:tcPr>
          <w:p w14:paraId="492D810B" w14:textId="11ECE45E" w:rsidR="009F50C6" w:rsidRPr="00933A7F" w:rsidRDefault="009F50C6" w:rsidP="004F62BB">
            <w:pPr>
              <w:pStyle w:val="cuatexto"/>
              <w:spacing w:line="240" w:lineRule="auto"/>
              <w:rPr>
                <w:b/>
                <w:i/>
                <w:iCs/>
                <w:color w:val="000000" w:themeColor="text1"/>
                <w:szCs w:val="20"/>
                <w:lang w:val="es-ES" w:eastAsia="es-ES"/>
              </w:rPr>
            </w:pPr>
            <w:r w:rsidRPr="00933A7F">
              <w:rPr>
                <w:b/>
                <w:i/>
                <w:iCs/>
                <w:color w:val="000000" w:themeColor="text1"/>
                <w:szCs w:val="20"/>
                <w:lang w:val="es-ES" w:eastAsia="es-ES"/>
              </w:rPr>
              <w:t>Ingresos financieros</w:t>
            </w:r>
          </w:p>
        </w:tc>
        <w:tc>
          <w:tcPr>
            <w:tcW w:w="556" w:type="pct"/>
            <w:tcBorders>
              <w:top w:val="single" w:sz="2" w:space="0" w:color="000000"/>
              <w:left w:val="nil"/>
              <w:bottom w:val="single" w:sz="4" w:space="0" w:color="000000"/>
              <w:right w:val="nil"/>
            </w:tcBorders>
            <w:shd w:val="clear" w:color="auto" w:fill="auto"/>
            <w:vAlign w:val="center"/>
            <w:hideMark/>
          </w:tcPr>
          <w:p w14:paraId="71BC63CD" w14:textId="77777777" w:rsidR="009F50C6" w:rsidRPr="00933A7F" w:rsidRDefault="009F50C6" w:rsidP="00C668F9">
            <w:pPr>
              <w:spacing w:after="0"/>
              <w:ind w:left="67" w:firstLine="0"/>
              <w:jc w:val="right"/>
              <w:rPr>
                <w:rFonts w:ascii="Arial Narrow" w:hAnsi="Arial Narrow" w:cs="Calibri"/>
                <w:b/>
                <w:bCs/>
                <w:i/>
                <w:iCs/>
                <w:color w:val="000000"/>
              </w:rPr>
            </w:pPr>
            <w:r w:rsidRPr="00933A7F">
              <w:rPr>
                <w:rFonts w:ascii="Arial Narrow" w:hAnsi="Arial Narrow" w:cs="Calibri"/>
                <w:b/>
                <w:bCs/>
                <w:i/>
                <w:iCs/>
                <w:color w:val="000000"/>
              </w:rPr>
              <w:t>116,10</w:t>
            </w:r>
          </w:p>
        </w:tc>
        <w:tc>
          <w:tcPr>
            <w:tcW w:w="556" w:type="pct"/>
            <w:tcBorders>
              <w:top w:val="single" w:sz="2" w:space="0" w:color="000000"/>
              <w:left w:val="nil"/>
              <w:bottom w:val="single" w:sz="4" w:space="0" w:color="000000"/>
              <w:right w:val="nil"/>
            </w:tcBorders>
            <w:shd w:val="clear" w:color="auto" w:fill="auto"/>
            <w:vAlign w:val="center"/>
            <w:hideMark/>
          </w:tcPr>
          <w:p w14:paraId="634DA363" w14:textId="77777777" w:rsidR="009F50C6" w:rsidRPr="00933A7F" w:rsidRDefault="009F50C6" w:rsidP="00C668F9">
            <w:pPr>
              <w:spacing w:after="0"/>
              <w:ind w:firstLine="0"/>
              <w:jc w:val="right"/>
              <w:rPr>
                <w:rFonts w:ascii="Arial Narrow" w:hAnsi="Arial Narrow" w:cs="Calibri"/>
                <w:b/>
                <w:bCs/>
                <w:i/>
                <w:iCs/>
                <w:color w:val="000000"/>
              </w:rPr>
            </w:pPr>
            <w:r w:rsidRPr="00933A7F">
              <w:rPr>
                <w:rFonts w:ascii="Arial Narrow" w:hAnsi="Arial Narrow" w:cs="Calibri"/>
                <w:b/>
                <w:bCs/>
                <w:i/>
                <w:iCs/>
                <w:color w:val="000000"/>
              </w:rPr>
              <w:t>8,78</w:t>
            </w:r>
          </w:p>
        </w:tc>
        <w:tc>
          <w:tcPr>
            <w:tcW w:w="557" w:type="pct"/>
            <w:tcBorders>
              <w:top w:val="single" w:sz="2" w:space="0" w:color="000000"/>
              <w:left w:val="nil"/>
              <w:bottom w:val="single" w:sz="4" w:space="0" w:color="000000"/>
              <w:right w:val="nil"/>
            </w:tcBorders>
            <w:shd w:val="clear" w:color="auto" w:fill="auto"/>
            <w:vAlign w:val="center"/>
            <w:hideMark/>
          </w:tcPr>
          <w:p w14:paraId="3481E6CE" w14:textId="77777777" w:rsidR="009F50C6" w:rsidRPr="00933A7F" w:rsidRDefault="009F50C6" w:rsidP="00C668F9">
            <w:pPr>
              <w:spacing w:after="0"/>
              <w:ind w:firstLine="0"/>
              <w:jc w:val="right"/>
              <w:rPr>
                <w:rFonts w:ascii="Arial Narrow" w:hAnsi="Arial Narrow" w:cs="Calibri"/>
                <w:b/>
                <w:bCs/>
                <w:i/>
                <w:iCs/>
              </w:rPr>
            </w:pPr>
            <w:r w:rsidRPr="00933A7F">
              <w:rPr>
                <w:rFonts w:ascii="Arial Narrow" w:hAnsi="Arial Narrow" w:cs="Calibri"/>
                <w:b/>
                <w:bCs/>
                <w:i/>
                <w:iCs/>
              </w:rPr>
              <w:t>1</w:t>
            </w:r>
          </w:p>
        </w:tc>
        <w:tc>
          <w:tcPr>
            <w:tcW w:w="575" w:type="pct"/>
            <w:tcBorders>
              <w:top w:val="single" w:sz="2" w:space="0" w:color="000000"/>
              <w:left w:val="nil"/>
              <w:bottom w:val="single" w:sz="4" w:space="0" w:color="000000"/>
              <w:right w:val="nil"/>
            </w:tcBorders>
            <w:shd w:val="clear" w:color="auto" w:fill="auto"/>
            <w:vAlign w:val="center"/>
            <w:hideMark/>
          </w:tcPr>
          <w:p w14:paraId="76803E81" w14:textId="77777777" w:rsidR="009F50C6" w:rsidRPr="00933A7F" w:rsidRDefault="009F50C6" w:rsidP="00C668F9">
            <w:pPr>
              <w:spacing w:after="0"/>
              <w:ind w:firstLine="0"/>
              <w:jc w:val="right"/>
              <w:rPr>
                <w:rFonts w:ascii="Arial Narrow" w:hAnsi="Arial Narrow" w:cs="Calibri"/>
                <w:b/>
                <w:bCs/>
                <w:i/>
                <w:iCs/>
              </w:rPr>
            </w:pPr>
            <w:r w:rsidRPr="00933A7F">
              <w:rPr>
                <w:rFonts w:ascii="Arial Narrow" w:hAnsi="Arial Narrow" w:cs="Calibri"/>
                <w:b/>
                <w:bCs/>
                <w:i/>
                <w:iCs/>
              </w:rPr>
              <w:t>8</w:t>
            </w:r>
          </w:p>
        </w:tc>
        <w:tc>
          <w:tcPr>
            <w:tcW w:w="699" w:type="pct"/>
            <w:tcBorders>
              <w:top w:val="single" w:sz="2" w:space="0" w:color="000000"/>
              <w:left w:val="nil"/>
              <w:bottom w:val="single" w:sz="4" w:space="0" w:color="000000"/>
              <w:right w:val="nil"/>
            </w:tcBorders>
            <w:vAlign w:val="center"/>
          </w:tcPr>
          <w:p w14:paraId="30EADA9E" w14:textId="77777777" w:rsidR="009F50C6" w:rsidRPr="00933A7F" w:rsidRDefault="009F50C6" w:rsidP="00C668F9">
            <w:pPr>
              <w:spacing w:after="0"/>
              <w:ind w:firstLine="0"/>
              <w:jc w:val="right"/>
              <w:rPr>
                <w:rFonts w:ascii="Arial Narrow" w:hAnsi="Arial Narrow" w:cs="Calibri"/>
                <w:b/>
                <w:bCs/>
                <w:i/>
                <w:iCs/>
                <w:color w:val="000000"/>
              </w:rPr>
            </w:pPr>
            <w:r w:rsidRPr="00933A7F">
              <w:rPr>
                <w:rFonts w:ascii="Arial Narrow" w:hAnsi="Arial Narrow" w:cs="Calibri"/>
                <w:b/>
                <w:bCs/>
                <w:i/>
                <w:iCs/>
                <w:color w:val="000000"/>
              </w:rPr>
              <w:t>3,50</w:t>
            </w:r>
          </w:p>
        </w:tc>
        <w:tc>
          <w:tcPr>
            <w:tcW w:w="609" w:type="pct"/>
            <w:tcBorders>
              <w:top w:val="single" w:sz="2" w:space="0" w:color="000000"/>
              <w:left w:val="nil"/>
              <w:bottom w:val="single" w:sz="4" w:space="0" w:color="000000"/>
              <w:right w:val="nil"/>
            </w:tcBorders>
            <w:vAlign w:val="center"/>
          </w:tcPr>
          <w:p w14:paraId="3CD1ADB3" w14:textId="77777777" w:rsidR="009F50C6" w:rsidRPr="00933A7F" w:rsidRDefault="009F50C6" w:rsidP="00C668F9">
            <w:pPr>
              <w:spacing w:after="0"/>
              <w:ind w:hanging="36"/>
              <w:jc w:val="right"/>
              <w:rPr>
                <w:rFonts w:ascii="Arial Narrow" w:hAnsi="Arial Narrow" w:cs="Calibri"/>
                <w:b/>
                <w:bCs/>
                <w:i/>
                <w:iCs/>
              </w:rPr>
            </w:pPr>
            <w:r w:rsidRPr="00933A7F">
              <w:rPr>
                <w:rFonts w:ascii="Arial Narrow" w:hAnsi="Arial Narrow" w:cs="Calibri"/>
                <w:b/>
                <w:bCs/>
                <w:i/>
                <w:iCs/>
              </w:rPr>
              <w:t>66</w:t>
            </w:r>
          </w:p>
        </w:tc>
      </w:tr>
      <w:tr w:rsidR="004F62BB" w:rsidRPr="00C668F9" w14:paraId="64155B6E" w14:textId="77777777" w:rsidTr="00C668F9">
        <w:trPr>
          <w:trHeight w:val="284"/>
        </w:trPr>
        <w:tc>
          <w:tcPr>
            <w:tcW w:w="1447" w:type="pct"/>
            <w:tcBorders>
              <w:top w:val="single" w:sz="4" w:space="0" w:color="000000"/>
              <w:left w:val="nil"/>
              <w:bottom w:val="single" w:sz="4" w:space="0" w:color="000000"/>
              <w:right w:val="nil"/>
            </w:tcBorders>
            <w:shd w:val="clear" w:color="auto" w:fill="FABF8F" w:themeFill="accent6" w:themeFillTint="99"/>
            <w:vAlign w:val="center"/>
            <w:hideMark/>
          </w:tcPr>
          <w:p w14:paraId="7B68539A" w14:textId="32C49B3D" w:rsidR="009F50C6" w:rsidRPr="00C668F9" w:rsidRDefault="009F50C6" w:rsidP="004F62BB">
            <w:pPr>
              <w:pStyle w:val="cuadroCabe"/>
              <w:rPr>
                <w:rFonts w:cs="Arial"/>
                <w:szCs w:val="18"/>
                <w:lang w:val="es-ES" w:eastAsia="es-ES"/>
              </w:rPr>
            </w:pPr>
            <w:r w:rsidRPr="00C668F9">
              <w:rPr>
                <w:rFonts w:cs="Arial"/>
                <w:szCs w:val="18"/>
                <w:lang w:val="es-ES" w:eastAsia="es-ES"/>
              </w:rPr>
              <w:t>Total</w:t>
            </w:r>
          </w:p>
        </w:tc>
        <w:tc>
          <w:tcPr>
            <w:tcW w:w="556" w:type="pct"/>
            <w:tcBorders>
              <w:top w:val="single" w:sz="4" w:space="0" w:color="000000"/>
              <w:left w:val="nil"/>
              <w:bottom w:val="single" w:sz="4" w:space="0" w:color="000000"/>
              <w:right w:val="nil"/>
            </w:tcBorders>
            <w:shd w:val="clear" w:color="auto" w:fill="FABF8F" w:themeFill="accent6" w:themeFillTint="99"/>
            <w:vAlign w:val="center"/>
            <w:hideMark/>
          </w:tcPr>
          <w:p w14:paraId="6C5C4290" w14:textId="77777777" w:rsidR="009F50C6" w:rsidRPr="00C668F9" w:rsidRDefault="009F50C6" w:rsidP="00C668F9">
            <w:pPr>
              <w:pStyle w:val="cuadroCabe"/>
              <w:ind w:left="67"/>
              <w:jc w:val="right"/>
              <w:rPr>
                <w:rFonts w:cs="Arial"/>
                <w:color w:val="000000"/>
                <w:szCs w:val="18"/>
              </w:rPr>
            </w:pPr>
            <w:r w:rsidRPr="00C668F9">
              <w:rPr>
                <w:rFonts w:cs="Arial"/>
                <w:color w:val="000000"/>
                <w:szCs w:val="18"/>
              </w:rPr>
              <w:t>958,42</w:t>
            </w:r>
          </w:p>
        </w:tc>
        <w:tc>
          <w:tcPr>
            <w:tcW w:w="556" w:type="pct"/>
            <w:tcBorders>
              <w:top w:val="single" w:sz="4" w:space="0" w:color="000000"/>
              <w:left w:val="nil"/>
              <w:bottom w:val="single" w:sz="4" w:space="0" w:color="000000"/>
              <w:right w:val="nil"/>
            </w:tcBorders>
            <w:shd w:val="clear" w:color="auto" w:fill="FABF8F" w:themeFill="accent6" w:themeFillTint="99"/>
            <w:vAlign w:val="center"/>
            <w:hideMark/>
          </w:tcPr>
          <w:p w14:paraId="2A7285D3" w14:textId="77777777" w:rsidR="009F50C6" w:rsidRPr="00C668F9" w:rsidRDefault="009F50C6" w:rsidP="00C668F9">
            <w:pPr>
              <w:pStyle w:val="cuadroCabe"/>
              <w:jc w:val="right"/>
              <w:rPr>
                <w:rFonts w:cs="Arial"/>
                <w:color w:val="000000"/>
                <w:szCs w:val="18"/>
              </w:rPr>
            </w:pPr>
            <w:r w:rsidRPr="00C668F9">
              <w:rPr>
                <w:rFonts w:cs="Arial"/>
                <w:color w:val="000000"/>
                <w:szCs w:val="18"/>
              </w:rPr>
              <w:t>855,31</w:t>
            </w:r>
          </w:p>
        </w:tc>
        <w:tc>
          <w:tcPr>
            <w:tcW w:w="557" w:type="pct"/>
            <w:tcBorders>
              <w:top w:val="single" w:sz="4" w:space="0" w:color="000000"/>
              <w:left w:val="nil"/>
              <w:bottom w:val="single" w:sz="4" w:space="0" w:color="000000"/>
              <w:right w:val="nil"/>
            </w:tcBorders>
            <w:shd w:val="clear" w:color="auto" w:fill="FABF8F" w:themeFill="accent6" w:themeFillTint="99"/>
            <w:vAlign w:val="center"/>
            <w:hideMark/>
          </w:tcPr>
          <w:p w14:paraId="0684BEB5" w14:textId="77777777" w:rsidR="009F50C6" w:rsidRPr="00C668F9" w:rsidRDefault="009F50C6" w:rsidP="00C668F9">
            <w:pPr>
              <w:pStyle w:val="cuadroCabe"/>
              <w:jc w:val="right"/>
              <w:rPr>
                <w:rFonts w:cs="Arial"/>
                <w:szCs w:val="18"/>
              </w:rPr>
            </w:pPr>
            <w:r w:rsidRPr="00C668F9">
              <w:rPr>
                <w:rFonts w:cs="Arial"/>
                <w:szCs w:val="18"/>
              </w:rPr>
              <w:t>100</w:t>
            </w:r>
          </w:p>
        </w:tc>
        <w:tc>
          <w:tcPr>
            <w:tcW w:w="575" w:type="pct"/>
            <w:tcBorders>
              <w:top w:val="single" w:sz="4" w:space="0" w:color="000000"/>
              <w:left w:val="nil"/>
              <w:bottom w:val="single" w:sz="4" w:space="0" w:color="000000"/>
              <w:right w:val="nil"/>
            </w:tcBorders>
            <w:shd w:val="clear" w:color="auto" w:fill="FABF8F" w:themeFill="accent6" w:themeFillTint="99"/>
            <w:vAlign w:val="center"/>
            <w:hideMark/>
          </w:tcPr>
          <w:p w14:paraId="2D94CB12" w14:textId="77777777" w:rsidR="009F50C6" w:rsidRPr="00C668F9" w:rsidRDefault="009F50C6" w:rsidP="00C668F9">
            <w:pPr>
              <w:pStyle w:val="cuadroCabe"/>
              <w:jc w:val="right"/>
              <w:rPr>
                <w:rFonts w:cs="Arial"/>
                <w:szCs w:val="18"/>
              </w:rPr>
            </w:pPr>
            <w:r w:rsidRPr="00C668F9">
              <w:rPr>
                <w:rFonts w:cs="Arial"/>
                <w:szCs w:val="18"/>
              </w:rPr>
              <w:t>89</w:t>
            </w:r>
          </w:p>
        </w:tc>
        <w:tc>
          <w:tcPr>
            <w:tcW w:w="699" w:type="pct"/>
            <w:tcBorders>
              <w:top w:val="single" w:sz="4" w:space="0" w:color="000000"/>
              <w:left w:val="nil"/>
              <w:bottom w:val="single" w:sz="4" w:space="0" w:color="000000"/>
              <w:right w:val="nil"/>
            </w:tcBorders>
            <w:shd w:val="clear" w:color="auto" w:fill="FABF8F" w:themeFill="accent6" w:themeFillTint="99"/>
            <w:vAlign w:val="center"/>
          </w:tcPr>
          <w:p w14:paraId="403F368C" w14:textId="77777777" w:rsidR="009F50C6" w:rsidRPr="00C668F9" w:rsidRDefault="009F50C6" w:rsidP="00C668F9">
            <w:pPr>
              <w:pStyle w:val="cuadroCabe"/>
              <w:jc w:val="right"/>
              <w:rPr>
                <w:rFonts w:cs="Arial"/>
                <w:bCs/>
                <w:color w:val="000000"/>
                <w:szCs w:val="18"/>
              </w:rPr>
            </w:pPr>
            <w:r w:rsidRPr="00C668F9">
              <w:rPr>
                <w:rFonts w:cs="Arial"/>
                <w:bCs/>
                <w:color w:val="000000"/>
                <w:szCs w:val="18"/>
              </w:rPr>
              <w:t>-36,09</w:t>
            </w:r>
          </w:p>
        </w:tc>
        <w:tc>
          <w:tcPr>
            <w:tcW w:w="609" w:type="pct"/>
            <w:tcBorders>
              <w:top w:val="single" w:sz="4" w:space="0" w:color="000000"/>
              <w:left w:val="nil"/>
              <w:bottom w:val="single" w:sz="4" w:space="0" w:color="000000"/>
              <w:right w:val="nil"/>
            </w:tcBorders>
            <w:shd w:val="clear" w:color="auto" w:fill="FABF8F" w:themeFill="accent6" w:themeFillTint="99"/>
            <w:vAlign w:val="center"/>
          </w:tcPr>
          <w:p w14:paraId="541C7DDD" w14:textId="77777777" w:rsidR="009F50C6" w:rsidRPr="00C668F9" w:rsidRDefault="009F50C6" w:rsidP="00C668F9">
            <w:pPr>
              <w:pStyle w:val="cuadroCabe"/>
              <w:jc w:val="right"/>
              <w:rPr>
                <w:rFonts w:cs="Arial"/>
                <w:szCs w:val="18"/>
              </w:rPr>
            </w:pPr>
            <w:r w:rsidRPr="00C668F9">
              <w:rPr>
                <w:rFonts w:cs="Arial"/>
                <w:szCs w:val="18"/>
              </w:rPr>
              <w:t>-4</w:t>
            </w:r>
          </w:p>
        </w:tc>
      </w:tr>
    </w:tbl>
    <w:p w14:paraId="22616421" w14:textId="39BAA16B" w:rsidR="00345C6C" w:rsidRPr="00082610" w:rsidRDefault="00345C6C" w:rsidP="00C668F9">
      <w:pPr>
        <w:pStyle w:val="texto"/>
        <w:spacing w:before="60" w:after="40"/>
        <w:ind w:right="-142" w:firstLine="0"/>
        <w:rPr>
          <w:rFonts w:ascii="Arial" w:hAnsi="Arial" w:cs="Arial"/>
          <w:color w:val="000000" w:themeColor="text1"/>
          <w:sz w:val="14"/>
          <w:szCs w:val="14"/>
        </w:rPr>
      </w:pPr>
      <w:r w:rsidRPr="00082610">
        <w:rPr>
          <w:rFonts w:ascii="Arial" w:hAnsi="Arial" w:cs="Arial"/>
          <w:color w:val="000000" w:themeColor="text1"/>
          <w:sz w:val="14"/>
          <w:szCs w:val="14"/>
        </w:rPr>
        <w:t xml:space="preserve">(*) </w:t>
      </w:r>
      <w:r w:rsidR="00F20E8F" w:rsidRPr="00082610">
        <w:rPr>
          <w:rFonts w:ascii="Arial" w:hAnsi="Arial" w:cs="Arial"/>
          <w:color w:val="000000" w:themeColor="text1"/>
          <w:sz w:val="14"/>
          <w:szCs w:val="14"/>
        </w:rPr>
        <w:t>Incluye las entidades locales y sus organismos autónomos dependientes, pero no sociedades públicas, fundaciones públicas ni consorcios.</w:t>
      </w:r>
    </w:p>
    <w:p w14:paraId="0D4AFF50" w14:textId="6D6A0EEA" w:rsidR="009F50C6" w:rsidRDefault="00345C6C" w:rsidP="00345C6C">
      <w:pPr>
        <w:pStyle w:val="texto"/>
        <w:spacing w:before="120"/>
        <w:rPr>
          <w:color w:val="000000" w:themeColor="text1"/>
        </w:rPr>
      </w:pPr>
      <w:r w:rsidRPr="00B81E61">
        <w:rPr>
          <w:color w:val="000000" w:themeColor="text1"/>
        </w:rPr>
        <w:lastRenderedPageBreak/>
        <w:t>Las previsiones definitivas de</w:t>
      </w:r>
      <w:r>
        <w:rPr>
          <w:color w:val="000000" w:themeColor="text1"/>
        </w:rPr>
        <w:t xml:space="preserve"> ingresos para el ejercicio 20</w:t>
      </w:r>
      <w:r w:rsidR="009F50C6">
        <w:rPr>
          <w:color w:val="000000" w:themeColor="text1"/>
        </w:rPr>
        <w:t>20</w:t>
      </w:r>
      <w:r w:rsidRPr="00B81E61">
        <w:rPr>
          <w:color w:val="000000" w:themeColor="text1"/>
        </w:rPr>
        <w:t xml:space="preserve"> ascendieron a </w:t>
      </w:r>
      <w:r w:rsidR="009F50C6">
        <w:rPr>
          <w:color w:val="000000" w:themeColor="text1"/>
        </w:rPr>
        <w:t>958,42</w:t>
      </w:r>
      <w:r w:rsidRPr="00B81E61">
        <w:rPr>
          <w:color w:val="000000" w:themeColor="text1"/>
        </w:rPr>
        <w:t xml:space="preserve"> millones y presentan un grado de ejecución del 8</w:t>
      </w:r>
      <w:r w:rsidR="009F50C6">
        <w:rPr>
          <w:color w:val="000000" w:themeColor="text1"/>
        </w:rPr>
        <w:t>9</w:t>
      </w:r>
      <w:r w:rsidRPr="00B81E61">
        <w:rPr>
          <w:color w:val="000000" w:themeColor="text1"/>
        </w:rPr>
        <w:t xml:space="preserve"> por ciento. </w:t>
      </w:r>
      <w:r w:rsidR="009F50C6">
        <w:rPr>
          <w:color w:val="000000" w:themeColor="text1"/>
        </w:rPr>
        <w:t xml:space="preserve">Mientras que los ingresos corrientes presentan un grado de ejecución del 103 por ciento, los ingresos de capital y financieros se ejecutaron en un 75 y un ocho por ciento, respectivamente. </w:t>
      </w:r>
    </w:p>
    <w:p w14:paraId="113151D1" w14:textId="49E4650E" w:rsidR="009F50C6" w:rsidRDefault="009F50C6" w:rsidP="00345C6C">
      <w:pPr>
        <w:pStyle w:val="texto"/>
        <w:rPr>
          <w:color w:val="000000" w:themeColor="text1"/>
        </w:rPr>
      </w:pPr>
      <w:r>
        <w:rPr>
          <w:color w:val="000000" w:themeColor="text1"/>
        </w:rPr>
        <w:t>Los derechos reconocidos netos sumaron 855,31 millones, de los que el 91 por ciento fueron ingresos corrientes (principalmente transferencias y tributos)</w:t>
      </w:r>
      <w:r w:rsidR="00E35D6B">
        <w:rPr>
          <w:color w:val="000000" w:themeColor="text1"/>
        </w:rPr>
        <w:t>, mientras que l</w:t>
      </w:r>
      <w:r>
        <w:rPr>
          <w:color w:val="000000" w:themeColor="text1"/>
        </w:rPr>
        <w:t>os de capital representan un ocho por ciento</w:t>
      </w:r>
      <w:r w:rsidR="00E35D6B">
        <w:rPr>
          <w:color w:val="000000" w:themeColor="text1"/>
        </w:rPr>
        <w:t>.</w:t>
      </w:r>
    </w:p>
    <w:p w14:paraId="2C1C89C8" w14:textId="19DEB9CF" w:rsidR="009F50C6" w:rsidRDefault="009F50C6" w:rsidP="00345C6C">
      <w:pPr>
        <w:pStyle w:val="texto"/>
        <w:rPr>
          <w:color w:val="000000" w:themeColor="text1"/>
        </w:rPr>
      </w:pPr>
      <w:r>
        <w:rPr>
          <w:color w:val="000000" w:themeColor="text1"/>
        </w:rPr>
        <w:t>Los ingresos totales de 2020 fueron un cuatro por ciento inferiores a los de 2019. Los ingresos corrientes se reducen un uno por ciento, ya que el aumento de las transferencias corrientes en 32,36 millones prácticamente compensa las caídas de los ingresos en los demás capítulos. Por su parte, los ingresos de capital caen un 32 por ciento, principalmente debido a la reducción de los ingresos por transferenci</w:t>
      </w:r>
      <w:r w:rsidR="00887977">
        <w:rPr>
          <w:color w:val="000000" w:themeColor="text1"/>
        </w:rPr>
        <w:t>as de capital en 26,92 millones.</w:t>
      </w:r>
    </w:p>
    <w:p w14:paraId="5DDE82BD" w14:textId="0A7DFCE2" w:rsidR="008433A0" w:rsidRDefault="009F50C6" w:rsidP="008433A0">
      <w:pPr>
        <w:pStyle w:val="texto"/>
        <w:rPr>
          <w:color w:val="000000" w:themeColor="text1"/>
        </w:rPr>
      </w:pPr>
      <w:r>
        <w:rPr>
          <w:color w:val="000000" w:themeColor="text1"/>
        </w:rPr>
        <w:t>Del total de ingresos, el 8</w:t>
      </w:r>
      <w:r w:rsidR="00887977">
        <w:rPr>
          <w:color w:val="000000" w:themeColor="text1"/>
        </w:rPr>
        <w:t>5</w:t>
      </w:r>
      <w:r>
        <w:rPr>
          <w:color w:val="000000" w:themeColor="text1"/>
        </w:rPr>
        <w:t xml:space="preserve"> por ciento corresponde a municipios</w:t>
      </w:r>
      <w:r w:rsidR="00887977">
        <w:rPr>
          <w:color w:val="000000" w:themeColor="text1"/>
        </w:rPr>
        <w:t xml:space="preserve">, el 13 por ciento a </w:t>
      </w:r>
      <w:r w:rsidR="00887977" w:rsidRPr="002F17A2">
        <w:rPr>
          <w:color w:val="000000" w:themeColor="text1"/>
        </w:rPr>
        <w:t xml:space="preserve">mancomunidades y agrupaciones y el </w:t>
      </w:r>
      <w:r w:rsidR="00CF1E06">
        <w:rPr>
          <w:color w:val="000000" w:themeColor="text1"/>
        </w:rPr>
        <w:t>dos</w:t>
      </w:r>
      <w:r w:rsidR="00CF1E06" w:rsidRPr="002F17A2">
        <w:rPr>
          <w:color w:val="000000" w:themeColor="text1"/>
        </w:rPr>
        <w:t xml:space="preserve"> </w:t>
      </w:r>
      <w:r w:rsidR="00887977" w:rsidRPr="002F17A2">
        <w:rPr>
          <w:color w:val="000000" w:themeColor="text1"/>
        </w:rPr>
        <w:t xml:space="preserve">por </w:t>
      </w:r>
      <w:proofErr w:type="gramStart"/>
      <w:r w:rsidR="00887977" w:rsidRPr="002F17A2">
        <w:rPr>
          <w:color w:val="000000" w:themeColor="text1"/>
        </w:rPr>
        <w:t>ciento restante</w:t>
      </w:r>
      <w:proofErr w:type="gramEnd"/>
      <w:r w:rsidR="00887977" w:rsidRPr="002F17A2">
        <w:rPr>
          <w:color w:val="000000" w:themeColor="text1"/>
        </w:rPr>
        <w:t xml:space="preserve">, a los </w:t>
      </w:r>
      <w:r w:rsidRPr="002F17A2">
        <w:rPr>
          <w:color w:val="000000" w:themeColor="text1"/>
        </w:rPr>
        <w:t>concejos</w:t>
      </w:r>
      <w:r w:rsidR="00887977" w:rsidRPr="002F17A2">
        <w:rPr>
          <w:color w:val="000000" w:themeColor="text1"/>
        </w:rPr>
        <w:t>, distribución similar a la de</w:t>
      </w:r>
      <w:r w:rsidRPr="002F17A2">
        <w:rPr>
          <w:color w:val="000000" w:themeColor="text1"/>
        </w:rPr>
        <w:t>l</w:t>
      </w:r>
      <w:r>
        <w:rPr>
          <w:color w:val="000000" w:themeColor="text1"/>
        </w:rPr>
        <w:t xml:space="preserve"> ejercicio an</w:t>
      </w:r>
      <w:r w:rsidR="008E43F9">
        <w:rPr>
          <w:color w:val="000000" w:themeColor="text1"/>
        </w:rPr>
        <w:t>terior.</w:t>
      </w:r>
    </w:p>
    <w:p w14:paraId="3C4A78A2" w14:textId="11333332" w:rsidR="00887977" w:rsidRPr="002F17A2" w:rsidRDefault="008433A0" w:rsidP="008433A0">
      <w:pPr>
        <w:pStyle w:val="texto"/>
        <w:rPr>
          <w:color w:val="000000" w:themeColor="text1"/>
          <w:lang w:val="es-ES"/>
        </w:rPr>
      </w:pPr>
      <w:r>
        <w:rPr>
          <w:color w:val="000000" w:themeColor="text1"/>
        </w:rPr>
        <w:t>A pesar de que no afect</w:t>
      </w:r>
      <w:r w:rsidR="00B763E1">
        <w:rPr>
          <w:color w:val="000000" w:themeColor="text1"/>
        </w:rPr>
        <w:t>a</w:t>
      </w:r>
      <w:r>
        <w:rPr>
          <w:color w:val="000000" w:themeColor="text1"/>
        </w:rPr>
        <w:t xml:space="preserve"> significativamente a la distribución, cabe señalar la </w:t>
      </w:r>
      <w:r w:rsidR="008E43F9">
        <w:rPr>
          <w:color w:val="000000" w:themeColor="text1"/>
        </w:rPr>
        <w:t>disparidad registrada en la</w:t>
      </w:r>
      <w:r>
        <w:rPr>
          <w:color w:val="000000" w:themeColor="text1"/>
        </w:rPr>
        <w:t xml:space="preserve"> variación interanual de los ingresos en ayuntamientos, mancomunidades y concejos: disminuye</w:t>
      </w:r>
      <w:r w:rsidR="00B763E1">
        <w:rPr>
          <w:color w:val="000000" w:themeColor="text1"/>
        </w:rPr>
        <w:t>n</w:t>
      </w:r>
      <w:r>
        <w:rPr>
          <w:color w:val="000000" w:themeColor="text1"/>
        </w:rPr>
        <w:t xml:space="preserve"> en un dos, un 11 y un 38 por ciento, respectivamente, lo que se relaciona con las diferencias existentes en la estructura de ingresos de cada </w:t>
      </w:r>
      <w:r w:rsidR="00CF1E06">
        <w:rPr>
          <w:color w:val="000000" w:themeColor="text1"/>
        </w:rPr>
        <w:t xml:space="preserve">tipo </w:t>
      </w:r>
      <w:r>
        <w:rPr>
          <w:color w:val="000000" w:themeColor="text1"/>
        </w:rPr>
        <w:t>de entidad local.</w:t>
      </w:r>
    </w:p>
    <w:p w14:paraId="1002AEE1" w14:textId="6AECEA73" w:rsidR="00051F60" w:rsidRDefault="00051F60" w:rsidP="004E2CFD">
      <w:pPr>
        <w:pStyle w:val="texto"/>
        <w:spacing w:after="0"/>
        <w:rPr>
          <w:color w:val="000000" w:themeColor="text1"/>
        </w:rPr>
      </w:pPr>
      <w:r>
        <w:rPr>
          <w:color w:val="000000" w:themeColor="text1"/>
        </w:rPr>
        <w:t xml:space="preserve">El ingreso total del </w:t>
      </w:r>
      <w:r w:rsidR="00CF1E06">
        <w:rPr>
          <w:color w:val="000000" w:themeColor="text1"/>
        </w:rPr>
        <w:t xml:space="preserve">sector público local </w:t>
      </w:r>
      <w:r>
        <w:rPr>
          <w:color w:val="000000" w:themeColor="text1"/>
        </w:rPr>
        <w:t>en 2020 consolidado con las tres sociedades citadas anteriormente asciende a un total de 933,78 millones</w:t>
      </w:r>
      <w:r w:rsidR="00CF1E06">
        <w:rPr>
          <w:color w:val="000000" w:themeColor="text1"/>
        </w:rPr>
        <w:t xml:space="preserve"> según el siguiente detalle:</w:t>
      </w:r>
    </w:p>
    <w:p w14:paraId="08EF80FF" w14:textId="53A647E2" w:rsidR="008E43F9" w:rsidRPr="00642D26" w:rsidRDefault="007A1EC0" w:rsidP="00642D26">
      <w:pPr>
        <w:pStyle w:val="texto"/>
        <w:tabs>
          <w:tab w:val="center" w:pos="8789"/>
        </w:tabs>
        <w:spacing w:after="0"/>
        <w:jc w:val="right"/>
        <w:rPr>
          <w:rFonts w:ascii="Arial Narrow" w:hAnsi="Arial Narrow"/>
          <w:color w:val="000000" w:themeColor="text1"/>
          <w:sz w:val="18"/>
          <w:szCs w:val="18"/>
        </w:rPr>
      </w:pPr>
      <w:r>
        <w:rPr>
          <w:rFonts w:ascii="Arial Narrow" w:hAnsi="Arial Narrow"/>
          <w:color w:val="000000" w:themeColor="text1"/>
          <w:sz w:val="18"/>
          <w:szCs w:val="18"/>
        </w:rPr>
        <w:t>(</w:t>
      </w:r>
      <w:r w:rsidR="00642D26" w:rsidRPr="00642D26">
        <w:rPr>
          <w:rFonts w:ascii="Arial Narrow" w:hAnsi="Arial Narrow"/>
          <w:color w:val="000000" w:themeColor="text1"/>
          <w:sz w:val="18"/>
          <w:szCs w:val="18"/>
        </w:rPr>
        <w:t>Millones</w:t>
      </w:r>
      <w:r>
        <w:rPr>
          <w:rFonts w:ascii="Arial Narrow" w:hAnsi="Arial Narrow"/>
          <w:color w:val="000000" w:themeColor="text1"/>
          <w:sz w:val="18"/>
          <w:szCs w:val="18"/>
        </w:rPr>
        <w:t>)</w:t>
      </w:r>
    </w:p>
    <w:tbl>
      <w:tblPr>
        <w:tblW w:w="8802" w:type="dxa"/>
        <w:tblInd w:w="70" w:type="dxa"/>
        <w:tblCellMar>
          <w:left w:w="70" w:type="dxa"/>
          <w:right w:w="70" w:type="dxa"/>
        </w:tblCellMar>
        <w:tblLook w:val="04A0" w:firstRow="1" w:lastRow="0" w:firstColumn="1" w:lastColumn="0" w:noHBand="0" w:noVBand="1"/>
      </w:tblPr>
      <w:tblGrid>
        <w:gridCol w:w="3332"/>
        <w:gridCol w:w="1383"/>
        <w:gridCol w:w="1222"/>
        <w:gridCol w:w="1403"/>
        <w:gridCol w:w="1462"/>
      </w:tblGrid>
      <w:tr w:rsidR="00642D26" w:rsidRPr="007A1EC0" w14:paraId="244F08C5" w14:textId="77777777" w:rsidTr="004E2CFD">
        <w:trPr>
          <w:trHeight w:val="227"/>
        </w:trPr>
        <w:tc>
          <w:tcPr>
            <w:tcW w:w="3332" w:type="dxa"/>
            <w:tcBorders>
              <w:top w:val="single" w:sz="4" w:space="0" w:color="000000"/>
              <w:left w:val="nil"/>
              <w:bottom w:val="single" w:sz="4" w:space="0" w:color="000000"/>
              <w:right w:val="nil"/>
            </w:tcBorders>
            <w:shd w:val="clear" w:color="auto" w:fill="FABF8F" w:themeFill="accent6" w:themeFillTint="99"/>
            <w:vAlign w:val="center"/>
          </w:tcPr>
          <w:p w14:paraId="51FBA0EA" w14:textId="77777777" w:rsidR="00642D26" w:rsidRPr="007A1EC0" w:rsidRDefault="00642D26" w:rsidP="004E2CFD">
            <w:pPr>
              <w:pStyle w:val="cuadroCabe"/>
              <w:spacing w:line="240" w:lineRule="auto"/>
              <w:rPr>
                <w:sz w:val="16"/>
                <w:szCs w:val="16"/>
              </w:rPr>
            </w:pPr>
            <w:r w:rsidRPr="007A1EC0">
              <w:rPr>
                <w:sz w:val="16"/>
                <w:szCs w:val="16"/>
              </w:rPr>
              <w:t>INGRESOS 2020</w:t>
            </w:r>
          </w:p>
        </w:tc>
        <w:tc>
          <w:tcPr>
            <w:tcW w:w="1383" w:type="dxa"/>
            <w:vMerge w:val="restart"/>
            <w:tcBorders>
              <w:top w:val="single" w:sz="4" w:space="0" w:color="000000"/>
              <w:left w:val="nil"/>
              <w:right w:val="nil"/>
            </w:tcBorders>
            <w:shd w:val="clear" w:color="auto" w:fill="FABF8F" w:themeFill="accent6" w:themeFillTint="99"/>
            <w:vAlign w:val="center"/>
          </w:tcPr>
          <w:p w14:paraId="3D590D2C" w14:textId="77777777" w:rsidR="00642D26" w:rsidRPr="007A1EC0" w:rsidRDefault="00642D26" w:rsidP="004E2CFD">
            <w:pPr>
              <w:pStyle w:val="cuadroCabe"/>
              <w:spacing w:line="240" w:lineRule="auto"/>
              <w:jc w:val="right"/>
              <w:rPr>
                <w:sz w:val="16"/>
                <w:szCs w:val="16"/>
              </w:rPr>
            </w:pPr>
            <w:r w:rsidRPr="007A1EC0">
              <w:rPr>
                <w:sz w:val="16"/>
                <w:szCs w:val="16"/>
              </w:rPr>
              <w:t xml:space="preserve">Sin consolidar </w:t>
            </w:r>
          </w:p>
          <w:p w14:paraId="1C5B147F" w14:textId="77777777" w:rsidR="00642D26" w:rsidRPr="007A1EC0" w:rsidRDefault="00642D26" w:rsidP="004E2CFD">
            <w:pPr>
              <w:pStyle w:val="cuadroCabe"/>
              <w:spacing w:line="240" w:lineRule="auto"/>
              <w:jc w:val="right"/>
              <w:rPr>
                <w:sz w:val="16"/>
                <w:szCs w:val="16"/>
              </w:rPr>
            </w:pPr>
            <w:r w:rsidRPr="007A1EC0">
              <w:rPr>
                <w:sz w:val="16"/>
                <w:szCs w:val="16"/>
              </w:rPr>
              <w:t>sociedades</w:t>
            </w:r>
          </w:p>
        </w:tc>
        <w:tc>
          <w:tcPr>
            <w:tcW w:w="2625" w:type="dxa"/>
            <w:gridSpan w:val="2"/>
            <w:tcBorders>
              <w:top w:val="single" w:sz="4" w:space="0" w:color="000000"/>
              <w:left w:val="nil"/>
              <w:bottom w:val="single" w:sz="4" w:space="0" w:color="000000"/>
              <w:right w:val="nil"/>
            </w:tcBorders>
            <w:shd w:val="clear" w:color="auto" w:fill="FABF8F" w:themeFill="accent6" w:themeFillTint="99"/>
            <w:vAlign w:val="center"/>
          </w:tcPr>
          <w:p w14:paraId="1C7CB020" w14:textId="77777777" w:rsidR="00642D26" w:rsidRPr="007A1EC0" w:rsidRDefault="00642D26" w:rsidP="004E2CFD">
            <w:pPr>
              <w:pStyle w:val="cuadroCabe"/>
              <w:spacing w:line="240" w:lineRule="auto"/>
              <w:jc w:val="right"/>
              <w:rPr>
                <w:sz w:val="16"/>
                <w:szCs w:val="16"/>
              </w:rPr>
            </w:pPr>
            <w:r w:rsidRPr="007A1EC0">
              <w:rPr>
                <w:sz w:val="16"/>
                <w:szCs w:val="16"/>
              </w:rPr>
              <w:t>Consolidado 3 sociedades</w:t>
            </w:r>
          </w:p>
        </w:tc>
        <w:tc>
          <w:tcPr>
            <w:tcW w:w="1462" w:type="dxa"/>
            <w:vMerge w:val="restart"/>
            <w:tcBorders>
              <w:top w:val="single" w:sz="4" w:space="0" w:color="000000"/>
              <w:left w:val="nil"/>
              <w:right w:val="nil"/>
            </w:tcBorders>
            <w:shd w:val="clear" w:color="auto" w:fill="FABF8F" w:themeFill="accent6" w:themeFillTint="99"/>
            <w:vAlign w:val="center"/>
          </w:tcPr>
          <w:p w14:paraId="24F3C939" w14:textId="77777777" w:rsidR="00642D26" w:rsidRPr="007A1EC0" w:rsidRDefault="00642D26" w:rsidP="004E2CFD">
            <w:pPr>
              <w:pStyle w:val="cuadroCabe"/>
              <w:spacing w:line="240" w:lineRule="auto"/>
              <w:jc w:val="right"/>
              <w:rPr>
                <w:sz w:val="16"/>
                <w:szCs w:val="16"/>
              </w:rPr>
            </w:pPr>
            <w:r w:rsidRPr="007A1EC0">
              <w:rPr>
                <w:sz w:val="16"/>
                <w:szCs w:val="16"/>
              </w:rPr>
              <w:t xml:space="preserve">Efecto </w:t>
            </w:r>
          </w:p>
          <w:p w14:paraId="66DC1643" w14:textId="0B0B10D5" w:rsidR="00642D26" w:rsidRPr="007A1EC0" w:rsidRDefault="00642D26" w:rsidP="004E2CFD">
            <w:pPr>
              <w:pStyle w:val="cuadroCabe"/>
              <w:spacing w:line="240" w:lineRule="auto"/>
              <w:jc w:val="right"/>
              <w:rPr>
                <w:sz w:val="16"/>
                <w:szCs w:val="16"/>
              </w:rPr>
            </w:pPr>
            <w:r w:rsidRPr="007A1EC0">
              <w:rPr>
                <w:sz w:val="16"/>
                <w:szCs w:val="16"/>
              </w:rPr>
              <w:t>consolidación</w:t>
            </w:r>
          </w:p>
        </w:tc>
      </w:tr>
      <w:tr w:rsidR="00642D26" w:rsidRPr="007A1EC0" w14:paraId="095E1D3D" w14:textId="77777777" w:rsidTr="004E2CFD">
        <w:trPr>
          <w:trHeight w:val="170"/>
        </w:trPr>
        <w:tc>
          <w:tcPr>
            <w:tcW w:w="3332" w:type="dxa"/>
            <w:tcBorders>
              <w:top w:val="single" w:sz="4" w:space="0" w:color="000000"/>
              <w:left w:val="nil"/>
              <w:bottom w:val="single" w:sz="4" w:space="0" w:color="000000"/>
              <w:right w:val="nil"/>
            </w:tcBorders>
            <w:shd w:val="clear" w:color="auto" w:fill="FABF8F" w:themeFill="accent6" w:themeFillTint="99"/>
            <w:vAlign w:val="center"/>
            <w:hideMark/>
          </w:tcPr>
          <w:p w14:paraId="07102DC9" w14:textId="77777777" w:rsidR="00642D26" w:rsidRPr="007A1EC0" w:rsidRDefault="00642D26" w:rsidP="004E2CFD">
            <w:pPr>
              <w:pStyle w:val="cuadroCabe"/>
              <w:spacing w:line="240" w:lineRule="auto"/>
              <w:rPr>
                <w:sz w:val="16"/>
                <w:szCs w:val="16"/>
              </w:rPr>
            </w:pPr>
            <w:r w:rsidRPr="007A1EC0">
              <w:rPr>
                <w:sz w:val="16"/>
                <w:szCs w:val="16"/>
              </w:rPr>
              <w:t>Capítulo</w:t>
            </w:r>
          </w:p>
        </w:tc>
        <w:tc>
          <w:tcPr>
            <w:tcW w:w="1383" w:type="dxa"/>
            <w:vMerge/>
            <w:tcBorders>
              <w:left w:val="nil"/>
              <w:bottom w:val="single" w:sz="4" w:space="0" w:color="000000"/>
              <w:right w:val="nil"/>
            </w:tcBorders>
            <w:shd w:val="clear" w:color="auto" w:fill="FABF8F" w:themeFill="accent6" w:themeFillTint="99"/>
            <w:vAlign w:val="center"/>
            <w:hideMark/>
          </w:tcPr>
          <w:p w14:paraId="12B91EB0" w14:textId="77777777" w:rsidR="00642D26" w:rsidRPr="007A1EC0" w:rsidRDefault="00642D26" w:rsidP="004E2CFD">
            <w:pPr>
              <w:pStyle w:val="cuadroCabe"/>
              <w:spacing w:line="240" w:lineRule="auto"/>
              <w:jc w:val="right"/>
              <w:rPr>
                <w:sz w:val="16"/>
                <w:szCs w:val="16"/>
              </w:rPr>
            </w:pPr>
          </w:p>
        </w:tc>
        <w:tc>
          <w:tcPr>
            <w:tcW w:w="1222" w:type="dxa"/>
            <w:tcBorders>
              <w:top w:val="single" w:sz="4" w:space="0" w:color="000000"/>
              <w:left w:val="nil"/>
              <w:bottom w:val="single" w:sz="4" w:space="0" w:color="000000"/>
              <w:right w:val="nil"/>
            </w:tcBorders>
            <w:shd w:val="clear" w:color="auto" w:fill="FABF8F" w:themeFill="accent6" w:themeFillTint="99"/>
            <w:vAlign w:val="center"/>
            <w:hideMark/>
          </w:tcPr>
          <w:p w14:paraId="040CBB4A" w14:textId="77777777" w:rsidR="00642D26" w:rsidRPr="007A1EC0" w:rsidRDefault="00642D26" w:rsidP="004E2CFD">
            <w:pPr>
              <w:pStyle w:val="cuadroCabe"/>
              <w:spacing w:line="240" w:lineRule="auto"/>
              <w:jc w:val="right"/>
              <w:rPr>
                <w:sz w:val="16"/>
                <w:szCs w:val="16"/>
              </w:rPr>
            </w:pPr>
            <w:r w:rsidRPr="007A1EC0">
              <w:rPr>
                <w:sz w:val="16"/>
                <w:szCs w:val="16"/>
              </w:rPr>
              <w:t>Ingresos 2020</w:t>
            </w:r>
          </w:p>
        </w:tc>
        <w:tc>
          <w:tcPr>
            <w:tcW w:w="1403" w:type="dxa"/>
            <w:tcBorders>
              <w:top w:val="single" w:sz="4" w:space="0" w:color="000000"/>
              <w:left w:val="nil"/>
              <w:bottom w:val="single" w:sz="4" w:space="0" w:color="000000"/>
              <w:right w:val="nil"/>
            </w:tcBorders>
            <w:shd w:val="clear" w:color="auto" w:fill="FABF8F" w:themeFill="accent6" w:themeFillTint="99"/>
            <w:vAlign w:val="center"/>
            <w:hideMark/>
          </w:tcPr>
          <w:p w14:paraId="268DC751" w14:textId="77777777" w:rsidR="00642D26" w:rsidRPr="007A1EC0" w:rsidRDefault="00642D26" w:rsidP="004E2CFD">
            <w:pPr>
              <w:pStyle w:val="cuadroCabe"/>
              <w:spacing w:line="240" w:lineRule="auto"/>
              <w:jc w:val="right"/>
              <w:rPr>
                <w:sz w:val="16"/>
                <w:szCs w:val="16"/>
              </w:rPr>
            </w:pPr>
            <w:r w:rsidRPr="007A1EC0">
              <w:rPr>
                <w:sz w:val="16"/>
                <w:szCs w:val="16"/>
              </w:rPr>
              <w:t>% s/ total</w:t>
            </w:r>
          </w:p>
          <w:p w14:paraId="7779BA68" w14:textId="6A3C4E1E" w:rsidR="00642D26" w:rsidRPr="007A1EC0" w:rsidRDefault="00642D26" w:rsidP="004E2CFD">
            <w:pPr>
              <w:pStyle w:val="cuadroCabe"/>
              <w:spacing w:line="240" w:lineRule="auto"/>
              <w:jc w:val="right"/>
              <w:rPr>
                <w:sz w:val="16"/>
                <w:szCs w:val="16"/>
              </w:rPr>
            </w:pPr>
            <w:r w:rsidRPr="007A1EC0">
              <w:rPr>
                <w:sz w:val="16"/>
                <w:szCs w:val="16"/>
              </w:rPr>
              <w:t xml:space="preserve"> ingresos</w:t>
            </w:r>
          </w:p>
        </w:tc>
        <w:tc>
          <w:tcPr>
            <w:tcW w:w="1462" w:type="dxa"/>
            <w:vMerge/>
            <w:tcBorders>
              <w:left w:val="nil"/>
              <w:bottom w:val="single" w:sz="4" w:space="0" w:color="000000"/>
              <w:right w:val="nil"/>
            </w:tcBorders>
            <w:shd w:val="clear" w:color="auto" w:fill="FABF8F" w:themeFill="accent6" w:themeFillTint="99"/>
            <w:vAlign w:val="center"/>
            <w:hideMark/>
          </w:tcPr>
          <w:p w14:paraId="21BDCC94" w14:textId="77777777" w:rsidR="00642D26" w:rsidRPr="007A1EC0" w:rsidRDefault="00642D26" w:rsidP="004E2CFD">
            <w:pPr>
              <w:pStyle w:val="cuadroCabe"/>
              <w:spacing w:line="240" w:lineRule="auto"/>
              <w:jc w:val="right"/>
              <w:rPr>
                <w:sz w:val="16"/>
                <w:szCs w:val="16"/>
              </w:rPr>
            </w:pPr>
          </w:p>
        </w:tc>
      </w:tr>
      <w:tr w:rsidR="00642D26" w:rsidRPr="00933A7F" w14:paraId="4F54A417"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7A946DF8" w14:textId="18881484" w:rsidR="00642D26" w:rsidRPr="00933A7F" w:rsidRDefault="00642D26" w:rsidP="004E2CFD">
            <w:pPr>
              <w:pStyle w:val="cuatexto"/>
              <w:spacing w:line="240" w:lineRule="auto"/>
              <w:rPr>
                <w:szCs w:val="20"/>
                <w:lang w:val="es-ES" w:eastAsia="es-ES"/>
              </w:rPr>
            </w:pPr>
            <w:r w:rsidRPr="00933A7F">
              <w:rPr>
                <w:szCs w:val="20"/>
                <w:lang w:val="es-ES" w:eastAsia="es-ES"/>
              </w:rPr>
              <w:t>1 Impuestos directos</w:t>
            </w:r>
          </w:p>
        </w:tc>
        <w:tc>
          <w:tcPr>
            <w:tcW w:w="1383" w:type="dxa"/>
            <w:tcBorders>
              <w:top w:val="nil"/>
              <w:left w:val="nil"/>
              <w:bottom w:val="single" w:sz="4" w:space="0" w:color="000000"/>
              <w:right w:val="nil"/>
            </w:tcBorders>
            <w:shd w:val="clear" w:color="auto" w:fill="auto"/>
            <w:vAlign w:val="center"/>
            <w:hideMark/>
          </w:tcPr>
          <w:p w14:paraId="2B4BC7DE"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198,25</w:t>
            </w:r>
          </w:p>
        </w:tc>
        <w:tc>
          <w:tcPr>
            <w:tcW w:w="1222" w:type="dxa"/>
            <w:tcBorders>
              <w:top w:val="nil"/>
              <w:left w:val="nil"/>
              <w:bottom w:val="single" w:sz="4" w:space="0" w:color="000000"/>
              <w:right w:val="nil"/>
            </w:tcBorders>
            <w:shd w:val="clear" w:color="auto" w:fill="auto"/>
            <w:vAlign w:val="center"/>
            <w:hideMark/>
          </w:tcPr>
          <w:p w14:paraId="3BFB3AE0"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198,25</w:t>
            </w:r>
          </w:p>
        </w:tc>
        <w:tc>
          <w:tcPr>
            <w:tcW w:w="1403" w:type="dxa"/>
            <w:tcBorders>
              <w:top w:val="nil"/>
              <w:left w:val="nil"/>
              <w:bottom w:val="single" w:sz="4" w:space="0" w:color="000000"/>
              <w:right w:val="nil"/>
            </w:tcBorders>
            <w:shd w:val="clear" w:color="auto" w:fill="auto"/>
            <w:vAlign w:val="center"/>
            <w:hideMark/>
          </w:tcPr>
          <w:p w14:paraId="300E8874" w14:textId="77777777" w:rsidR="00642D26" w:rsidRPr="00933A7F" w:rsidRDefault="00642D26" w:rsidP="004E2CFD">
            <w:pPr>
              <w:pStyle w:val="cuatexto"/>
              <w:spacing w:line="240" w:lineRule="auto"/>
              <w:jc w:val="right"/>
              <w:rPr>
                <w:szCs w:val="20"/>
                <w:lang w:val="es-ES" w:eastAsia="es-ES"/>
              </w:rPr>
            </w:pPr>
            <w:r w:rsidRPr="00933A7F">
              <w:rPr>
                <w:szCs w:val="20"/>
                <w:lang w:val="es-ES" w:eastAsia="es-ES"/>
              </w:rPr>
              <w:t>21,2</w:t>
            </w:r>
          </w:p>
        </w:tc>
        <w:tc>
          <w:tcPr>
            <w:tcW w:w="1462" w:type="dxa"/>
            <w:tcBorders>
              <w:top w:val="nil"/>
              <w:left w:val="nil"/>
              <w:bottom w:val="single" w:sz="4" w:space="0" w:color="000000"/>
              <w:right w:val="nil"/>
            </w:tcBorders>
            <w:shd w:val="clear" w:color="auto" w:fill="auto"/>
            <w:vAlign w:val="center"/>
            <w:hideMark/>
          </w:tcPr>
          <w:p w14:paraId="5FF183A8"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0,00</w:t>
            </w:r>
          </w:p>
        </w:tc>
      </w:tr>
      <w:tr w:rsidR="00642D26" w:rsidRPr="00933A7F" w14:paraId="07BC8E43"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7D27DAF2" w14:textId="2AEE6D7B" w:rsidR="00642D26" w:rsidRPr="00933A7F" w:rsidRDefault="00642D26" w:rsidP="004E2CFD">
            <w:pPr>
              <w:pStyle w:val="cuatexto"/>
              <w:spacing w:line="240" w:lineRule="auto"/>
              <w:rPr>
                <w:szCs w:val="20"/>
                <w:lang w:val="es-ES" w:eastAsia="es-ES"/>
              </w:rPr>
            </w:pPr>
            <w:r w:rsidRPr="00933A7F">
              <w:rPr>
                <w:szCs w:val="20"/>
                <w:lang w:val="es-ES" w:eastAsia="es-ES"/>
              </w:rPr>
              <w:t>2 Impuestos indirectos</w:t>
            </w:r>
          </w:p>
        </w:tc>
        <w:tc>
          <w:tcPr>
            <w:tcW w:w="1383" w:type="dxa"/>
            <w:tcBorders>
              <w:top w:val="nil"/>
              <w:left w:val="nil"/>
              <w:bottom w:val="single" w:sz="4" w:space="0" w:color="000000"/>
              <w:right w:val="nil"/>
            </w:tcBorders>
            <w:shd w:val="clear" w:color="auto" w:fill="auto"/>
            <w:vAlign w:val="center"/>
            <w:hideMark/>
          </w:tcPr>
          <w:p w14:paraId="7D0778E3"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22,40</w:t>
            </w:r>
          </w:p>
        </w:tc>
        <w:tc>
          <w:tcPr>
            <w:tcW w:w="1222" w:type="dxa"/>
            <w:tcBorders>
              <w:top w:val="nil"/>
              <w:left w:val="nil"/>
              <w:bottom w:val="single" w:sz="4" w:space="0" w:color="000000"/>
              <w:right w:val="nil"/>
            </w:tcBorders>
            <w:shd w:val="clear" w:color="auto" w:fill="auto"/>
            <w:vAlign w:val="center"/>
            <w:hideMark/>
          </w:tcPr>
          <w:p w14:paraId="2973BE76"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22,40</w:t>
            </w:r>
          </w:p>
        </w:tc>
        <w:tc>
          <w:tcPr>
            <w:tcW w:w="1403" w:type="dxa"/>
            <w:tcBorders>
              <w:top w:val="nil"/>
              <w:left w:val="nil"/>
              <w:bottom w:val="single" w:sz="4" w:space="0" w:color="000000"/>
              <w:right w:val="nil"/>
            </w:tcBorders>
            <w:shd w:val="clear" w:color="auto" w:fill="auto"/>
            <w:vAlign w:val="center"/>
            <w:hideMark/>
          </w:tcPr>
          <w:p w14:paraId="585E718F" w14:textId="77777777" w:rsidR="00642D26" w:rsidRPr="00933A7F" w:rsidRDefault="00642D26" w:rsidP="004E2CFD">
            <w:pPr>
              <w:pStyle w:val="cuatexto"/>
              <w:spacing w:line="240" w:lineRule="auto"/>
              <w:jc w:val="right"/>
              <w:rPr>
                <w:szCs w:val="20"/>
                <w:lang w:val="es-ES" w:eastAsia="es-ES"/>
              </w:rPr>
            </w:pPr>
            <w:r w:rsidRPr="00933A7F">
              <w:rPr>
                <w:szCs w:val="20"/>
                <w:lang w:val="es-ES" w:eastAsia="es-ES"/>
              </w:rPr>
              <w:t>2,4</w:t>
            </w:r>
          </w:p>
        </w:tc>
        <w:tc>
          <w:tcPr>
            <w:tcW w:w="1462" w:type="dxa"/>
            <w:tcBorders>
              <w:top w:val="nil"/>
              <w:left w:val="nil"/>
              <w:bottom w:val="single" w:sz="4" w:space="0" w:color="000000"/>
              <w:right w:val="nil"/>
            </w:tcBorders>
            <w:shd w:val="clear" w:color="auto" w:fill="auto"/>
            <w:vAlign w:val="center"/>
            <w:hideMark/>
          </w:tcPr>
          <w:p w14:paraId="787A5284"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0,00</w:t>
            </w:r>
          </w:p>
        </w:tc>
      </w:tr>
      <w:tr w:rsidR="00642D26" w:rsidRPr="00933A7F" w14:paraId="670D6F04"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67AA6100" w14:textId="1D89BBC7" w:rsidR="00642D26" w:rsidRPr="00933A7F" w:rsidRDefault="00642D26" w:rsidP="004E2CFD">
            <w:pPr>
              <w:pStyle w:val="cuatexto"/>
              <w:spacing w:line="240" w:lineRule="auto"/>
              <w:rPr>
                <w:szCs w:val="20"/>
                <w:lang w:val="es-ES" w:eastAsia="es-ES"/>
              </w:rPr>
            </w:pPr>
            <w:r w:rsidRPr="00933A7F">
              <w:rPr>
                <w:szCs w:val="20"/>
                <w:lang w:val="es-ES" w:eastAsia="es-ES"/>
              </w:rPr>
              <w:t xml:space="preserve">3 Tasas, precios públicos y otros </w:t>
            </w:r>
            <w:proofErr w:type="spellStart"/>
            <w:r w:rsidRPr="00933A7F">
              <w:rPr>
                <w:szCs w:val="20"/>
                <w:lang w:val="es-ES" w:eastAsia="es-ES"/>
              </w:rPr>
              <w:t>ingr</w:t>
            </w:r>
            <w:proofErr w:type="spellEnd"/>
            <w:r w:rsidRPr="00933A7F">
              <w:rPr>
                <w:szCs w:val="20"/>
                <w:lang w:val="es-ES" w:eastAsia="es-ES"/>
              </w:rPr>
              <w:t>.</w:t>
            </w:r>
          </w:p>
        </w:tc>
        <w:tc>
          <w:tcPr>
            <w:tcW w:w="1383" w:type="dxa"/>
            <w:tcBorders>
              <w:top w:val="nil"/>
              <w:left w:val="nil"/>
              <w:bottom w:val="single" w:sz="4" w:space="0" w:color="000000"/>
              <w:right w:val="nil"/>
            </w:tcBorders>
            <w:shd w:val="clear" w:color="auto" w:fill="auto"/>
            <w:vAlign w:val="center"/>
            <w:hideMark/>
          </w:tcPr>
          <w:p w14:paraId="0E5833D7"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153,82</w:t>
            </w:r>
          </w:p>
        </w:tc>
        <w:tc>
          <w:tcPr>
            <w:tcW w:w="1222" w:type="dxa"/>
            <w:tcBorders>
              <w:top w:val="nil"/>
              <w:left w:val="nil"/>
              <w:bottom w:val="single" w:sz="4" w:space="0" w:color="000000"/>
              <w:right w:val="nil"/>
            </w:tcBorders>
            <w:shd w:val="clear" w:color="auto" w:fill="auto"/>
            <w:vAlign w:val="center"/>
            <w:hideMark/>
          </w:tcPr>
          <w:p w14:paraId="13B64A5F"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218,09</w:t>
            </w:r>
          </w:p>
        </w:tc>
        <w:tc>
          <w:tcPr>
            <w:tcW w:w="1403" w:type="dxa"/>
            <w:tcBorders>
              <w:top w:val="nil"/>
              <w:left w:val="nil"/>
              <w:bottom w:val="single" w:sz="4" w:space="0" w:color="000000"/>
              <w:right w:val="nil"/>
            </w:tcBorders>
            <w:shd w:val="clear" w:color="auto" w:fill="auto"/>
            <w:vAlign w:val="center"/>
            <w:hideMark/>
          </w:tcPr>
          <w:p w14:paraId="534FE445" w14:textId="77777777" w:rsidR="00642D26" w:rsidRPr="00933A7F" w:rsidRDefault="00642D26" w:rsidP="004E2CFD">
            <w:pPr>
              <w:pStyle w:val="cuatexto"/>
              <w:spacing w:line="240" w:lineRule="auto"/>
              <w:jc w:val="right"/>
              <w:rPr>
                <w:szCs w:val="20"/>
                <w:lang w:val="es-ES" w:eastAsia="es-ES"/>
              </w:rPr>
            </w:pPr>
            <w:r w:rsidRPr="00933A7F">
              <w:rPr>
                <w:szCs w:val="20"/>
                <w:lang w:val="es-ES" w:eastAsia="es-ES"/>
              </w:rPr>
              <w:t>23,4</w:t>
            </w:r>
          </w:p>
        </w:tc>
        <w:tc>
          <w:tcPr>
            <w:tcW w:w="1462" w:type="dxa"/>
            <w:tcBorders>
              <w:top w:val="nil"/>
              <w:left w:val="nil"/>
              <w:bottom w:val="single" w:sz="4" w:space="0" w:color="000000"/>
              <w:right w:val="nil"/>
            </w:tcBorders>
            <w:shd w:val="clear" w:color="auto" w:fill="auto"/>
            <w:vAlign w:val="center"/>
            <w:hideMark/>
          </w:tcPr>
          <w:p w14:paraId="656822D7"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64,27</w:t>
            </w:r>
          </w:p>
        </w:tc>
      </w:tr>
      <w:tr w:rsidR="00642D26" w:rsidRPr="00933A7F" w14:paraId="4C92A555"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0968CF4A" w14:textId="1873D752" w:rsidR="00642D26" w:rsidRPr="00933A7F" w:rsidRDefault="00642D26" w:rsidP="004E2CFD">
            <w:pPr>
              <w:pStyle w:val="cuatexto"/>
              <w:spacing w:line="240" w:lineRule="auto"/>
              <w:rPr>
                <w:szCs w:val="20"/>
                <w:lang w:val="es-ES" w:eastAsia="es-ES"/>
              </w:rPr>
            </w:pPr>
            <w:proofErr w:type="gramStart"/>
            <w:r w:rsidRPr="00933A7F">
              <w:rPr>
                <w:szCs w:val="20"/>
                <w:lang w:val="es-ES" w:eastAsia="es-ES"/>
              </w:rPr>
              <w:t>4  transferencias</w:t>
            </w:r>
            <w:proofErr w:type="gramEnd"/>
            <w:r w:rsidRPr="00933A7F">
              <w:rPr>
                <w:szCs w:val="20"/>
                <w:lang w:val="es-ES" w:eastAsia="es-ES"/>
              </w:rPr>
              <w:t xml:space="preserve"> corrientes</w:t>
            </w:r>
          </w:p>
        </w:tc>
        <w:tc>
          <w:tcPr>
            <w:tcW w:w="1383" w:type="dxa"/>
            <w:tcBorders>
              <w:top w:val="nil"/>
              <w:left w:val="nil"/>
              <w:bottom w:val="single" w:sz="4" w:space="0" w:color="000000"/>
              <w:right w:val="nil"/>
            </w:tcBorders>
            <w:shd w:val="clear" w:color="auto" w:fill="auto"/>
            <w:vAlign w:val="center"/>
            <w:hideMark/>
          </w:tcPr>
          <w:p w14:paraId="14E4ED67"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372,95</w:t>
            </w:r>
          </w:p>
        </w:tc>
        <w:tc>
          <w:tcPr>
            <w:tcW w:w="1222" w:type="dxa"/>
            <w:tcBorders>
              <w:top w:val="nil"/>
              <w:left w:val="nil"/>
              <w:bottom w:val="single" w:sz="4" w:space="0" w:color="000000"/>
              <w:right w:val="nil"/>
            </w:tcBorders>
            <w:shd w:val="clear" w:color="auto" w:fill="auto"/>
            <w:vAlign w:val="center"/>
            <w:hideMark/>
          </w:tcPr>
          <w:p w14:paraId="5FBA4B65"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380,46</w:t>
            </w:r>
          </w:p>
        </w:tc>
        <w:tc>
          <w:tcPr>
            <w:tcW w:w="1403" w:type="dxa"/>
            <w:tcBorders>
              <w:top w:val="nil"/>
              <w:left w:val="nil"/>
              <w:bottom w:val="single" w:sz="4" w:space="0" w:color="000000"/>
              <w:right w:val="nil"/>
            </w:tcBorders>
            <w:shd w:val="clear" w:color="auto" w:fill="auto"/>
            <w:vAlign w:val="center"/>
            <w:hideMark/>
          </w:tcPr>
          <w:p w14:paraId="08EB5336" w14:textId="77777777" w:rsidR="00642D26" w:rsidRPr="00933A7F" w:rsidRDefault="00642D26" w:rsidP="004E2CFD">
            <w:pPr>
              <w:pStyle w:val="cuatexto"/>
              <w:spacing w:line="240" w:lineRule="auto"/>
              <w:jc w:val="right"/>
              <w:rPr>
                <w:szCs w:val="20"/>
                <w:lang w:val="es-ES" w:eastAsia="es-ES"/>
              </w:rPr>
            </w:pPr>
            <w:r w:rsidRPr="00933A7F">
              <w:rPr>
                <w:szCs w:val="20"/>
                <w:lang w:val="es-ES" w:eastAsia="es-ES"/>
              </w:rPr>
              <w:t>40,7</w:t>
            </w:r>
          </w:p>
        </w:tc>
        <w:tc>
          <w:tcPr>
            <w:tcW w:w="1462" w:type="dxa"/>
            <w:tcBorders>
              <w:top w:val="nil"/>
              <w:left w:val="nil"/>
              <w:bottom w:val="single" w:sz="4" w:space="0" w:color="000000"/>
              <w:right w:val="nil"/>
            </w:tcBorders>
            <w:shd w:val="clear" w:color="auto" w:fill="auto"/>
            <w:vAlign w:val="center"/>
            <w:hideMark/>
          </w:tcPr>
          <w:p w14:paraId="32DC681B"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7,51</w:t>
            </w:r>
          </w:p>
        </w:tc>
      </w:tr>
      <w:tr w:rsidR="00642D26" w:rsidRPr="00933A7F" w14:paraId="413C6657"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30DD7955" w14:textId="7F78AD5B" w:rsidR="00642D26" w:rsidRPr="00933A7F" w:rsidRDefault="00642D26" w:rsidP="004E2CFD">
            <w:pPr>
              <w:pStyle w:val="cuatexto"/>
              <w:spacing w:line="240" w:lineRule="auto"/>
              <w:rPr>
                <w:color w:val="000000"/>
                <w:szCs w:val="20"/>
                <w:lang w:val="es-ES" w:eastAsia="es-ES"/>
              </w:rPr>
            </w:pPr>
            <w:r w:rsidRPr="00933A7F">
              <w:rPr>
                <w:color w:val="000000"/>
                <w:szCs w:val="20"/>
                <w:lang w:val="es-ES" w:eastAsia="es-ES"/>
              </w:rPr>
              <w:t>5 Ingresos patrimoniales y aprovechamientos comunales</w:t>
            </w:r>
          </w:p>
        </w:tc>
        <w:tc>
          <w:tcPr>
            <w:tcW w:w="1383" w:type="dxa"/>
            <w:tcBorders>
              <w:top w:val="nil"/>
              <w:left w:val="nil"/>
              <w:bottom w:val="single" w:sz="4" w:space="0" w:color="000000"/>
              <w:right w:val="nil"/>
            </w:tcBorders>
            <w:shd w:val="clear" w:color="auto" w:fill="auto"/>
            <w:vAlign w:val="center"/>
            <w:hideMark/>
          </w:tcPr>
          <w:p w14:paraId="3B848859"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34,60</w:t>
            </w:r>
          </w:p>
        </w:tc>
        <w:tc>
          <w:tcPr>
            <w:tcW w:w="1222" w:type="dxa"/>
            <w:tcBorders>
              <w:top w:val="nil"/>
              <w:left w:val="nil"/>
              <w:bottom w:val="single" w:sz="4" w:space="0" w:color="000000"/>
              <w:right w:val="nil"/>
            </w:tcBorders>
            <w:shd w:val="clear" w:color="auto" w:fill="auto"/>
            <w:vAlign w:val="center"/>
            <w:hideMark/>
          </w:tcPr>
          <w:p w14:paraId="5FF47B43"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34,61</w:t>
            </w:r>
          </w:p>
        </w:tc>
        <w:tc>
          <w:tcPr>
            <w:tcW w:w="1403" w:type="dxa"/>
            <w:tcBorders>
              <w:top w:val="nil"/>
              <w:left w:val="nil"/>
              <w:bottom w:val="single" w:sz="4" w:space="0" w:color="000000"/>
              <w:right w:val="nil"/>
            </w:tcBorders>
            <w:shd w:val="clear" w:color="auto" w:fill="auto"/>
            <w:vAlign w:val="center"/>
            <w:hideMark/>
          </w:tcPr>
          <w:p w14:paraId="41299D12" w14:textId="77777777" w:rsidR="00642D26" w:rsidRPr="00933A7F" w:rsidRDefault="00642D26" w:rsidP="004E2CFD">
            <w:pPr>
              <w:pStyle w:val="cuatexto"/>
              <w:spacing w:line="240" w:lineRule="auto"/>
              <w:jc w:val="right"/>
              <w:rPr>
                <w:szCs w:val="20"/>
                <w:lang w:val="es-ES" w:eastAsia="es-ES"/>
              </w:rPr>
            </w:pPr>
            <w:r w:rsidRPr="00933A7F">
              <w:rPr>
                <w:szCs w:val="20"/>
                <w:lang w:val="es-ES" w:eastAsia="es-ES"/>
              </w:rPr>
              <w:t>3,7</w:t>
            </w:r>
          </w:p>
        </w:tc>
        <w:tc>
          <w:tcPr>
            <w:tcW w:w="1462" w:type="dxa"/>
            <w:tcBorders>
              <w:top w:val="nil"/>
              <w:left w:val="nil"/>
              <w:bottom w:val="single" w:sz="4" w:space="0" w:color="000000"/>
              <w:right w:val="nil"/>
            </w:tcBorders>
            <w:shd w:val="clear" w:color="auto" w:fill="auto"/>
            <w:vAlign w:val="center"/>
            <w:hideMark/>
          </w:tcPr>
          <w:p w14:paraId="42C2AB8F"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0,01</w:t>
            </w:r>
          </w:p>
        </w:tc>
      </w:tr>
      <w:tr w:rsidR="00642D26" w:rsidRPr="00933A7F" w14:paraId="0BCE76AE"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452EE5D5" w14:textId="216FA45A" w:rsidR="00642D26" w:rsidRPr="00933A7F" w:rsidRDefault="00642D26" w:rsidP="004E2CFD">
            <w:pPr>
              <w:pStyle w:val="cuatexto"/>
              <w:spacing w:line="240" w:lineRule="auto"/>
              <w:rPr>
                <w:b/>
                <w:bCs/>
                <w:i/>
                <w:iCs/>
                <w:szCs w:val="20"/>
                <w:lang w:val="es-ES" w:eastAsia="es-ES"/>
              </w:rPr>
            </w:pPr>
            <w:r w:rsidRPr="00933A7F">
              <w:rPr>
                <w:b/>
                <w:bCs/>
                <w:i/>
                <w:iCs/>
                <w:szCs w:val="20"/>
                <w:lang w:val="es-ES" w:eastAsia="es-ES"/>
              </w:rPr>
              <w:t>Ingresos corrientes</w:t>
            </w:r>
          </w:p>
        </w:tc>
        <w:tc>
          <w:tcPr>
            <w:tcW w:w="1383" w:type="dxa"/>
            <w:tcBorders>
              <w:top w:val="nil"/>
              <w:left w:val="nil"/>
              <w:bottom w:val="single" w:sz="4" w:space="0" w:color="000000"/>
              <w:right w:val="nil"/>
            </w:tcBorders>
            <w:shd w:val="clear" w:color="auto" w:fill="auto"/>
            <w:vAlign w:val="center"/>
            <w:hideMark/>
          </w:tcPr>
          <w:p w14:paraId="3333E822" w14:textId="77777777" w:rsidR="00642D26" w:rsidRPr="00933A7F" w:rsidRDefault="00642D26" w:rsidP="004E2CFD">
            <w:pPr>
              <w:pStyle w:val="cuatexto"/>
              <w:spacing w:line="240" w:lineRule="auto"/>
              <w:jc w:val="right"/>
              <w:rPr>
                <w:b/>
                <w:bCs/>
                <w:i/>
                <w:iCs/>
                <w:color w:val="000000"/>
                <w:szCs w:val="20"/>
                <w:lang w:val="es-ES" w:eastAsia="es-ES"/>
              </w:rPr>
            </w:pPr>
            <w:r w:rsidRPr="00933A7F">
              <w:rPr>
                <w:b/>
                <w:bCs/>
                <w:i/>
                <w:iCs/>
                <w:color w:val="000000"/>
                <w:szCs w:val="20"/>
                <w:lang w:val="es-ES" w:eastAsia="es-ES"/>
              </w:rPr>
              <w:t>782,02</w:t>
            </w:r>
          </w:p>
        </w:tc>
        <w:tc>
          <w:tcPr>
            <w:tcW w:w="1222" w:type="dxa"/>
            <w:tcBorders>
              <w:top w:val="nil"/>
              <w:left w:val="nil"/>
              <w:bottom w:val="single" w:sz="4" w:space="0" w:color="000000"/>
              <w:right w:val="nil"/>
            </w:tcBorders>
            <w:shd w:val="clear" w:color="auto" w:fill="auto"/>
            <w:vAlign w:val="center"/>
            <w:hideMark/>
          </w:tcPr>
          <w:p w14:paraId="367A7366" w14:textId="77777777" w:rsidR="00642D26" w:rsidRPr="00933A7F" w:rsidRDefault="00642D26" w:rsidP="004E2CFD">
            <w:pPr>
              <w:pStyle w:val="cuatexto"/>
              <w:spacing w:line="240" w:lineRule="auto"/>
              <w:jc w:val="right"/>
              <w:rPr>
                <w:b/>
                <w:bCs/>
                <w:i/>
                <w:iCs/>
                <w:color w:val="000000"/>
                <w:szCs w:val="20"/>
                <w:lang w:val="es-ES" w:eastAsia="es-ES"/>
              </w:rPr>
            </w:pPr>
            <w:r w:rsidRPr="00933A7F">
              <w:rPr>
                <w:b/>
                <w:bCs/>
                <w:i/>
                <w:iCs/>
                <w:color w:val="000000"/>
                <w:szCs w:val="20"/>
                <w:lang w:val="es-ES" w:eastAsia="es-ES"/>
              </w:rPr>
              <w:t>853,81</w:t>
            </w:r>
          </w:p>
        </w:tc>
        <w:tc>
          <w:tcPr>
            <w:tcW w:w="1403" w:type="dxa"/>
            <w:tcBorders>
              <w:top w:val="nil"/>
              <w:left w:val="nil"/>
              <w:bottom w:val="single" w:sz="4" w:space="0" w:color="000000"/>
              <w:right w:val="nil"/>
            </w:tcBorders>
            <w:shd w:val="clear" w:color="auto" w:fill="auto"/>
            <w:vAlign w:val="center"/>
            <w:hideMark/>
          </w:tcPr>
          <w:p w14:paraId="12A9E494" w14:textId="77777777" w:rsidR="00642D26" w:rsidRPr="00933A7F" w:rsidRDefault="00642D26" w:rsidP="004E2CFD">
            <w:pPr>
              <w:pStyle w:val="cuatexto"/>
              <w:spacing w:line="240" w:lineRule="auto"/>
              <w:jc w:val="right"/>
              <w:rPr>
                <w:b/>
                <w:bCs/>
                <w:i/>
                <w:iCs/>
                <w:szCs w:val="20"/>
                <w:lang w:val="es-ES" w:eastAsia="es-ES"/>
              </w:rPr>
            </w:pPr>
            <w:r w:rsidRPr="00933A7F">
              <w:rPr>
                <w:b/>
                <w:bCs/>
                <w:i/>
                <w:iCs/>
                <w:szCs w:val="20"/>
                <w:lang w:val="es-ES" w:eastAsia="es-ES"/>
              </w:rPr>
              <w:t>91,4</w:t>
            </w:r>
          </w:p>
        </w:tc>
        <w:tc>
          <w:tcPr>
            <w:tcW w:w="1462" w:type="dxa"/>
            <w:tcBorders>
              <w:top w:val="nil"/>
              <w:left w:val="nil"/>
              <w:bottom w:val="single" w:sz="4" w:space="0" w:color="000000"/>
              <w:right w:val="nil"/>
            </w:tcBorders>
            <w:shd w:val="clear" w:color="auto" w:fill="auto"/>
            <w:vAlign w:val="center"/>
            <w:hideMark/>
          </w:tcPr>
          <w:p w14:paraId="543EE470" w14:textId="77777777" w:rsidR="00642D26" w:rsidRPr="00933A7F" w:rsidRDefault="00642D26" w:rsidP="004E2CFD">
            <w:pPr>
              <w:pStyle w:val="cuatexto"/>
              <w:spacing w:line="240" w:lineRule="auto"/>
              <w:jc w:val="right"/>
              <w:rPr>
                <w:b/>
                <w:bCs/>
                <w:i/>
                <w:iCs/>
                <w:color w:val="000000"/>
                <w:szCs w:val="20"/>
                <w:lang w:val="es-ES" w:eastAsia="es-ES"/>
              </w:rPr>
            </w:pPr>
            <w:r w:rsidRPr="00933A7F">
              <w:rPr>
                <w:b/>
                <w:bCs/>
                <w:i/>
                <w:iCs/>
                <w:color w:val="000000"/>
                <w:szCs w:val="20"/>
                <w:lang w:val="es-ES" w:eastAsia="es-ES"/>
              </w:rPr>
              <w:t>71,80</w:t>
            </w:r>
          </w:p>
        </w:tc>
      </w:tr>
      <w:tr w:rsidR="00642D26" w:rsidRPr="00933A7F" w14:paraId="5ACFB1A9"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0AABAA76" w14:textId="74DCE1D9" w:rsidR="00642D26" w:rsidRPr="00933A7F" w:rsidRDefault="00642D26" w:rsidP="004E2CFD">
            <w:pPr>
              <w:pStyle w:val="cuatexto"/>
              <w:spacing w:line="240" w:lineRule="auto"/>
              <w:rPr>
                <w:szCs w:val="20"/>
                <w:lang w:val="es-ES" w:eastAsia="es-ES"/>
              </w:rPr>
            </w:pPr>
            <w:r w:rsidRPr="00933A7F">
              <w:rPr>
                <w:szCs w:val="20"/>
                <w:lang w:val="es-ES" w:eastAsia="es-ES"/>
              </w:rPr>
              <w:t>6 Enajenación de inversiones reales</w:t>
            </w:r>
          </w:p>
        </w:tc>
        <w:tc>
          <w:tcPr>
            <w:tcW w:w="1383" w:type="dxa"/>
            <w:tcBorders>
              <w:top w:val="nil"/>
              <w:left w:val="nil"/>
              <w:bottom w:val="single" w:sz="4" w:space="0" w:color="000000"/>
              <w:right w:val="nil"/>
            </w:tcBorders>
            <w:shd w:val="clear" w:color="auto" w:fill="auto"/>
            <w:vAlign w:val="center"/>
            <w:hideMark/>
          </w:tcPr>
          <w:p w14:paraId="76B71BA6"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7,93</w:t>
            </w:r>
          </w:p>
        </w:tc>
        <w:tc>
          <w:tcPr>
            <w:tcW w:w="1222" w:type="dxa"/>
            <w:tcBorders>
              <w:top w:val="nil"/>
              <w:left w:val="nil"/>
              <w:bottom w:val="single" w:sz="4" w:space="0" w:color="000000"/>
              <w:right w:val="nil"/>
            </w:tcBorders>
            <w:shd w:val="clear" w:color="auto" w:fill="auto"/>
            <w:vAlign w:val="center"/>
            <w:hideMark/>
          </w:tcPr>
          <w:p w14:paraId="1F3512CE"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7,96</w:t>
            </w:r>
          </w:p>
        </w:tc>
        <w:tc>
          <w:tcPr>
            <w:tcW w:w="1403" w:type="dxa"/>
            <w:tcBorders>
              <w:top w:val="nil"/>
              <w:left w:val="nil"/>
              <w:bottom w:val="single" w:sz="4" w:space="0" w:color="000000"/>
              <w:right w:val="nil"/>
            </w:tcBorders>
            <w:shd w:val="clear" w:color="auto" w:fill="auto"/>
            <w:vAlign w:val="center"/>
            <w:hideMark/>
          </w:tcPr>
          <w:p w14:paraId="521F198A" w14:textId="77777777" w:rsidR="00642D26" w:rsidRPr="00933A7F" w:rsidRDefault="00642D26" w:rsidP="004E2CFD">
            <w:pPr>
              <w:pStyle w:val="cuatexto"/>
              <w:spacing w:line="240" w:lineRule="auto"/>
              <w:jc w:val="right"/>
              <w:rPr>
                <w:szCs w:val="20"/>
                <w:lang w:val="es-ES" w:eastAsia="es-ES"/>
              </w:rPr>
            </w:pPr>
            <w:r w:rsidRPr="00933A7F">
              <w:rPr>
                <w:szCs w:val="20"/>
                <w:lang w:val="es-ES" w:eastAsia="es-ES"/>
              </w:rPr>
              <w:t>0,9</w:t>
            </w:r>
          </w:p>
        </w:tc>
        <w:tc>
          <w:tcPr>
            <w:tcW w:w="1462" w:type="dxa"/>
            <w:tcBorders>
              <w:top w:val="nil"/>
              <w:left w:val="nil"/>
              <w:bottom w:val="single" w:sz="4" w:space="0" w:color="000000"/>
              <w:right w:val="nil"/>
            </w:tcBorders>
            <w:shd w:val="clear" w:color="auto" w:fill="auto"/>
            <w:vAlign w:val="center"/>
            <w:hideMark/>
          </w:tcPr>
          <w:p w14:paraId="07AB89BC"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0,04</w:t>
            </w:r>
          </w:p>
        </w:tc>
      </w:tr>
      <w:tr w:rsidR="00642D26" w:rsidRPr="00933A7F" w14:paraId="274F1D15"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6CDF7B5B" w14:textId="0E5D45C5" w:rsidR="00642D26" w:rsidRPr="00933A7F" w:rsidRDefault="00642D26" w:rsidP="004E2CFD">
            <w:pPr>
              <w:pStyle w:val="cuatexto"/>
              <w:spacing w:line="240" w:lineRule="auto"/>
              <w:rPr>
                <w:color w:val="000000"/>
                <w:szCs w:val="20"/>
                <w:lang w:val="es-ES" w:eastAsia="es-ES"/>
              </w:rPr>
            </w:pPr>
            <w:r w:rsidRPr="00933A7F">
              <w:rPr>
                <w:color w:val="000000"/>
                <w:szCs w:val="20"/>
                <w:lang w:val="es-ES" w:eastAsia="es-ES"/>
              </w:rPr>
              <w:t>7 Transferencias de capital</w:t>
            </w:r>
          </w:p>
        </w:tc>
        <w:tc>
          <w:tcPr>
            <w:tcW w:w="1383" w:type="dxa"/>
            <w:tcBorders>
              <w:top w:val="nil"/>
              <w:left w:val="nil"/>
              <w:bottom w:val="single" w:sz="4" w:space="0" w:color="000000"/>
              <w:right w:val="nil"/>
            </w:tcBorders>
            <w:shd w:val="clear" w:color="auto" w:fill="auto"/>
            <w:vAlign w:val="center"/>
            <w:hideMark/>
          </w:tcPr>
          <w:p w14:paraId="548C3F87"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56,59</w:t>
            </w:r>
          </w:p>
        </w:tc>
        <w:tc>
          <w:tcPr>
            <w:tcW w:w="1222" w:type="dxa"/>
            <w:tcBorders>
              <w:top w:val="nil"/>
              <w:left w:val="nil"/>
              <w:bottom w:val="single" w:sz="4" w:space="0" w:color="000000"/>
              <w:right w:val="nil"/>
            </w:tcBorders>
            <w:shd w:val="clear" w:color="auto" w:fill="auto"/>
            <w:vAlign w:val="center"/>
            <w:hideMark/>
          </w:tcPr>
          <w:p w14:paraId="4EF911AF"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60,47</w:t>
            </w:r>
          </w:p>
        </w:tc>
        <w:tc>
          <w:tcPr>
            <w:tcW w:w="1403" w:type="dxa"/>
            <w:tcBorders>
              <w:top w:val="nil"/>
              <w:left w:val="nil"/>
              <w:bottom w:val="single" w:sz="4" w:space="0" w:color="000000"/>
              <w:right w:val="nil"/>
            </w:tcBorders>
            <w:shd w:val="clear" w:color="auto" w:fill="auto"/>
            <w:vAlign w:val="center"/>
            <w:hideMark/>
          </w:tcPr>
          <w:p w14:paraId="4428461C" w14:textId="77777777" w:rsidR="00642D26" w:rsidRPr="00933A7F" w:rsidRDefault="00642D26" w:rsidP="004E2CFD">
            <w:pPr>
              <w:pStyle w:val="cuatexto"/>
              <w:spacing w:line="240" w:lineRule="auto"/>
              <w:jc w:val="right"/>
              <w:rPr>
                <w:szCs w:val="20"/>
                <w:lang w:val="es-ES" w:eastAsia="es-ES"/>
              </w:rPr>
            </w:pPr>
            <w:r w:rsidRPr="00933A7F">
              <w:rPr>
                <w:szCs w:val="20"/>
                <w:lang w:val="es-ES" w:eastAsia="es-ES"/>
              </w:rPr>
              <w:t>6,5</w:t>
            </w:r>
          </w:p>
        </w:tc>
        <w:tc>
          <w:tcPr>
            <w:tcW w:w="1462" w:type="dxa"/>
            <w:tcBorders>
              <w:top w:val="nil"/>
              <w:left w:val="nil"/>
              <w:bottom w:val="single" w:sz="4" w:space="0" w:color="000000"/>
              <w:right w:val="nil"/>
            </w:tcBorders>
            <w:shd w:val="clear" w:color="auto" w:fill="auto"/>
            <w:vAlign w:val="center"/>
            <w:hideMark/>
          </w:tcPr>
          <w:p w14:paraId="6EFAD1CA"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3,88</w:t>
            </w:r>
          </w:p>
        </w:tc>
      </w:tr>
      <w:tr w:rsidR="00642D26" w:rsidRPr="00933A7F" w14:paraId="519DCE0E"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211B7B48" w14:textId="2E23F18B" w:rsidR="00642D26" w:rsidRPr="00933A7F" w:rsidRDefault="00642D26" w:rsidP="004E2CFD">
            <w:pPr>
              <w:pStyle w:val="cuatexto"/>
              <w:spacing w:line="240" w:lineRule="auto"/>
              <w:rPr>
                <w:b/>
                <w:bCs/>
                <w:i/>
                <w:iCs/>
                <w:szCs w:val="20"/>
                <w:lang w:val="es-ES" w:eastAsia="es-ES"/>
              </w:rPr>
            </w:pPr>
            <w:r w:rsidRPr="00933A7F">
              <w:rPr>
                <w:b/>
                <w:bCs/>
                <w:i/>
                <w:iCs/>
                <w:szCs w:val="20"/>
                <w:lang w:val="es-ES" w:eastAsia="es-ES"/>
              </w:rPr>
              <w:t>Ingresos de capital</w:t>
            </w:r>
          </w:p>
        </w:tc>
        <w:tc>
          <w:tcPr>
            <w:tcW w:w="1383" w:type="dxa"/>
            <w:tcBorders>
              <w:top w:val="nil"/>
              <w:left w:val="nil"/>
              <w:bottom w:val="single" w:sz="4" w:space="0" w:color="000000"/>
              <w:right w:val="nil"/>
            </w:tcBorders>
            <w:shd w:val="clear" w:color="auto" w:fill="auto"/>
            <w:vAlign w:val="center"/>
            <w:hideMark/>
          </w:tcPr>
          <w:p w14:paraId="36554C07" w14:textId="77777777" w:rsidR="00642D26" w:rsidRPr="00933A7F" w:rsidRDefault="00642D26" w:rsidP="004E2CFD">
            <w:pPr>
              <w:pStyle w:val="cuatexto"/>
              <w:spacing w:line="240" w:lineRule="auto"/>
              <w:jc w:val="right"/>
              <w:rPr>
                <w:b/>
                <w:bCs/>
                <w:i/>
                <w:iCs/>
                <w:color w:val="000000"/>
                <w:szCs w:val="20"/>
                <w:lang w:val="es-ES" w:eastAsia="es-ES"/>
              </w:rPr>
            </w:pPr>
            <w:r w:rsidRPr="00933A7F">
              <w:rPr>
                <w:b/>
                <w:bCs/>
                <w:i/>
                <w:iCs/>
                <w:color w:val="000000"/>
                <w:szCs w:val="20"/>
                <w:lang w:val="es-ES" w:eastAsia="es-ES"/>
              </w:rPr>
              <w:t>64,52</w:t>
            </w:r>
          </w:p>
        </w:tc>
        <w:tc>
          <w:tcPr>
            <w:tcW w:w="1222" w:type="dxa"/>
            <w:tcBorders>
              <w:top w:val="nil"/>
              <w:left w:val="nil"/>
              <w:bottom w:val="single" w:sz="4" w:space="0" w:color="000000"/>
              <w:right w:val="nil"/>
            </w:tcBorders>
            <w:shd w:val="clear" w:color="auto" w:fill="auto"/>
            <w:vAlign w:val="center"/>
            <w:hideMark/>
          </w:tcPr>
          <w:p w14:paraId="54C58242" w14:textId="77777777" w:rsidR="00642D26" w:rsidRPr="00933A7F" w:rsidRDefault="00642D26" w:rsidP="004E2CFD">
            <w:pPr>
              <w:pStyle w:val="cuatexto"/>
              <w:spacing w:line="240" w:lineRule="auto"/>
              <w:jc w:val="right"/>
              <w:rPr>
                <w:b/>
                <w:bCs/>
                <w:i/>
                <w:iCs/>
                <w:color w:val="000000"/>
                <w:szCs w:val="20"/>
                <w:lang w:val="es-ES" w:eastAsia="es-ES"/>
              </w:rPr>
            </w:pPr>
            <w:r w:rsidRPr="00933A7F">
              <w:rPr>
                <w:b/>
                <w:bCs/>
                <w:i/>
                <w:iCs/>
                <w:color w:val="000000"/>
                <w:szCs w:val="20"/>
                <w:lang w:val="es-ES" w:eastAsia="es-ES"/>
              </w:rPr>
              <w:t>68,44</w:t>
            </w:r>
          </w:p>
        </w:tc>
        <w:tc>
          <w:tcPr>
            <w:tcW w:w="1403" w:type="dxa"/>
            <w:tcBorders>
              <w:top w:val="nil"/>
              <w:left w:val="nil"/>
              <w:bottom w:val="single" w:sz="4" w:space="0" w:color="000000"/>
              <w:right w:val="nil"/>
            </w:tcBorders>
            <w:shd w:val="clear" w:color="auto" w:fill="auto"/>
            <w:vAlign w:val="center"/>
            <w:hideMark/>
          </w:tcPr>
          <w:p w14:paraId="3822EFBA" w14:textId="77777777" w:rsidR="00642D26" w:rsidRPr="00933A7F" w:rsidRDefault="00642D26" w:rsidP="004E2CFD">
            <w:pPr>
              <w:pStyle w:val="cuatexto"/>
              <w:spacing w:line="240" w:lineRule="auto"/>
              <w:jc w:val="right"/>
              <w:rPr>
                <w:b/>
                <w:bCs/>
                <w:i/>
                <w:iCs/>
                <w:szCs w:val="20"/>
                <w:lang w:val="es-ES" w:eastAsia="es-ES"/>
              </w:rPr>
            </w:pPr>
            <w:r w:rsidRPr="00933A7F">
              <w:rPr>
                <w:b/>
                <w:bCs/>
                <w:i/>
                <w:iCs/>
                <w:szCs w:val="20"/>
                <w:lang w:val="es-ES" w:eastAsia="es-ES"/>
              </w:rPr>
              <w:t>7,3</w:t>
            </w:r>
          </w:p>
        </w:tc>
        <w:tc>
          <w:tcPr>
            <w:tcW w:w="1462" w:type="dxa"/>
            <w:tcBorders>
              <w:top w:val="nil"/>
              <w:left w:val="nil"/>
              <w:bottom w:val="single" w:sz="4" w:space="0" w:color="000000"/>
              <w:right w:val="nil"/>
            </w:tcBorders>
            <w:shd w:val="clear" w:color="auto" w:fill="auto"/>
            <w:vAlign w:val="center"/>
            <w:hideMark/>
          </w:tcPr>
          <w:p w14:paraId="30308CFF" w14:textId="77777777" w:rsidR="00642D26" w:rsidRPr="00933A7F" w:rsidRDefault="00642D26" w:rsidP="004E2CFD">
            <w:pPr>
              <w:pStyle w:val="cuatexto"/>
              <w:spacing w:line="240" w:lineRule="auto"/>
              <w:jc w:val="right"/>
              <w:rPr>
                <w:b/>
                <w:bCs/>
                <w:i/>
                <w:iCs/>
                <w:color w:val="000000"/>
                <w:szCs w:val="20"/>
                <w:lang w:val="es-ES" w:eastAsia="es-ES"/>
              </w:rPr>
            </w:pPr>
            <w:r w:rsidRPr="00933A7F">
              <w:rPr>
                <w:b/>
                <w:bCs/>
                <w:i/>
                <w:iCs/>
                <w:color w:val="000000"/>
                <w:szCs w:val="20"/>
                <w:lang w:val="es-ES" w:eastAsia="es-ES"/>
              </w:rPr>
              <w:t>3,92</w:t>
            </w:r>
          </w:p>
        </w:tc>
      </w:tr>
      <w:tr w:rsidR="00642D26" w:rsidRPr="00933A7F" w14:paraId="683AA9F8"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2DF6CA80" w14:textId="680D1BFB" w:rsidR="00642D26" w:rsidRPr="00933A7F" w:rsidRDefault="00642D26" w:rsidP="004E2CFD">
            <w:pPr>
              <w:pStyle w:val="cuatexto"/>
              <w:spacing w:line="240" w:lineRule="auto"/>
              <w:rPr>
                <w:szCs w:val="20"/>
                <w:lang w:val="es-ES" w:eastAsia="es-ES"/>
              </w:rPr>
            </w:pPr>
            <w:r w:rsidRPr="00933A7F">
              <w:rPr>
                <w:szCs w:val="20"/>
                <w:lang w:val="es-ES" w:eastAsia="es-ES"/>
              </w:rPr>
              <w:t>8 Activos financieros</w:t>
            </w:r>
          </w:p>
        </w:tc>
        <w:tc>
          <w:tcPr>
            <w:tcW w:w="1383" w:type="dxa"/>
            <w:tcBorders>
              <w:top w:val="nil"/>
              <w:left w:val="nil"/>
              <w:bottom w:val="single" w:sz="4" w:space="0" w:color="000000"/>
              <w:right w:val="nil"/>
            </w:tcBorders>
            <w:shd w:val="clear" w:color="auto" w:fill="auto"/>
            <w:vAlign w:val="center"/>
            <w:hideMark/>
          </w:tcPr>
          <w:p w14:paraId="6FC35B0D"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1,39</w:t>
            </w:r>
          </w:p>
        </w:tc>
        <w:tc>
          <w:tcPr>
            <w:tcW w:w="1222" w:type="dxa"/>
            <w:tcBorders>
              <w:top w:val="nil"/>
              <w:left w:val="nil"/>
              <w:bottom w:val="single" w:sz="4" w:space="0" w:color="000000"/>
              <w:right w:val="nil"/>
            </w:tcBorders>
            <w:shd w:val="clear" w:color="auto" w:fill="auto"/>
            <w:vAlign w:val="center"/>
            <w:hideMark/>
          </w:tcPr>
          <w:p w14:paraId="0591E4A4"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4,14</w:t>
            </w:r>
          </w:p>
        </w:tc>
        <w:tc>
          <w:tcPr>
            <w:tcW w:w="1403" w:type="dxa"/>
            <w:tcBorders>
              <w:top w:val="nil"/>
              <w:left w:val="nil"/>
              <w:bottom w:val="single" w:sz="4" w:space="0" w:color="000000"/>
              <w:right w:val="nil"/>
            </w:tcBorders>
            <w:shd w:val="clear" w:color="auto" w:fill="auto"/>
            <w:vAlign w:val="center"/>
            <w:hideMark/>
          </w:tcPr>
          <w:p w14:paraId="48FD1DAD" w14:textId="77777777" w:rsidR="00642D26" w:rsidRPr="00933A7F" w:rsidRDefault="00642D26" w:rsidP="004E2CFD">
            <w:pPr>
              <w:pStyle w:val="cuatexto"/>
              <w:spacing w:line="240" w:lineRule="auto"/>
              <w:jc w:val="right"/>
              <w:rPr>
                <w:szCs w:val="20"/>
                <w:lang w:val="es-ES" w:eastAsia="es-ES"/>
              </w:rPr>
            </w:pPr>
            <w:r w:rsidRPr="00933A7F">
              <w:rPr>
                <w:szCs w:val="20"/>
                <w:lang w:val="es-ES" w:eastAsia="es-ES"/>
              </w:rPr>
              <w:t>0,4</w:t>
            </w:r>
          </w:p>
        </w:tc>
        <w:tc>
          <w:tcPr>
            <w:tcW w:w="1462" w:type="dxa"/>
            <w:tcBorders>
              <w:top w:val="nil"/>
              <w:left w:val="nil"/>
              <w:bottom w:val="single" w:sz="4" w:space="0" w:color="000000"/>
              <w:right w:val="nil"/>
            </w:tcBorders>
            <w:shd w:val="clear" w:color="auto" w:fill="auto"/>
            <w:vAlign w:val="center"/>
            <w:hideMark/>
          </w:tcPr>
          <w:p w14:paraId="0A9A9B0B"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2,75</w:t>
            </w:r>
          </w:p>
        </w:tc>
      </w:tr>
      <w:tr w:rsidR="00642D26" w:rsidRPr="00933A7F" w14:paraId="0AFA7E93"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2D97790B" w14:textId="4774BC6D" w:rsidR="00642D26" w:rsidRPr="00933A7F" w:rsidRDefault="00642D26" w:rsidP="004E2CFD">
            <w:pPr>
              <w:pStyle w:val="cuatexto"/>
              <w:spacing w:line="240" w:lineRule="auto"/>
              <w:rPr>
                <w:szCs w:val="20"/>
                <w:lang w:val="es-ES" w:eastAsia="es-ES"/>
              </w:rPr>
            </w:pPr>
            <w:r w:rsidRPr="00933A7F">
              <w:rPr>
                <w:szCs w:val="20"/>
                <w:lang w:val="es-ES" w:eastAsia="es-ES"/>
              </w:rPr>
              <w:t>9 Pasivos financieros</w:t>
            </w:r>
          </w:p>
        </w:tc>
        <w:tc>
          <w:tcPr>
            <w:tcW w:w="1383" w:type="dxa"/>
            <w:tcBorders>
              <w:top w:val="nil"/>
              <w:left w:val="nil"/>
              <w:bottom w:val="single" w:sz="4" w:space="0" w:color="000000"/>
              <w:right w:val="nil"/>
            </w:tcBorders>
            <w:shd w:val="clear" w:color="auto" w:fill="auto"/>
            <w:vAlign w:val="center"/>
            <w:hideMark/>
          </w:tcPr>
          <w:p w14:paraId="270B6EB1"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7,39</w:t>
            </w:r>
          </w:p>
        </w:tc>
        <w:tc>
          <w:tcPr>
            <w:tcW w:w="1222" w:type="dxa"/>
            <w:tcBorders>
              <w:top w:val="nil"/>
              <w:left w:val="nil"/>
              <w:bottom w:val="single" w:sz="4" w:space="0" w:color="000000"/>
              <w:right w:val="nil"/>
            </w:tcBorders>
            <w:shd w:val="clear" w:color="auto" w:fill="auto"/>
            <w:vAlign w:val="center"/>
            <w:hideMark/>
          </w:tcPr>
          <w:p w14:paraId="7A315BDC"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7,39</w:t>
            </w:r>
          </w:p>
        </w:tc>
        <w:tc>
          <w:tcPr>
            <w:tcW w:w="1403" w:type="dxa"/>
            <w:tcBorders>
              <w:top w:val="nil"/>
              <w:left w:val="nil"/>
              <w:bottom w:val="single" w:sz="4" w:space="0" w:color="000000"/>
              <w:right w:val="nil"/>
            </w:tcBorders>
            <w:shd w:val="clear" w:color="auto" w:fill="auto"/>
            <w:vAlign w:val="center"/>
            <w:hideMark/>
          </w:tcPr>
          <w:p w14:paraId="529E033A" w14:textId="77777777" w:rsidR="00642D26" w:rsidRPr="00933A7F" w:rsidRDefault="00642D26" w:rsidP="004E2CFD">
            <w:pPr>
              <w:pStyle w:val="cuatexto"/>
              <w:spacing w:line="240" w:lineRule="auto"/>
              <w:jc w:val="right"/>
              <w:rPr>
                <w:szCs w:val="20"/>
                <w:lang w:val="es-ES" w:eastAsia="es-ES"/>
              </w:rPr>
            </w:pPr>
            <w:r w:rsidRPr="00933A7F">
              <w:rPr>
                <w:szCs w:val="20"/>
                <w:lang w:val="es-ES" w:eastAsia="es-ES"/>
              </w:rPr>
              <w:t>0,8</w:t>
            </w:r>
          </w:p>
        </w:tc>
        <w:tc>
          <w:tcPr>
            <w:tcW w:w="1462" w:type="dxa"/>
            <w:tcBorders>
              <w:top w:val="nil"/>
              <w:left w:val="nil"/>
              <w:bottom w:val="single" w:sz="4" w:space="0" w:color="000000"/>
              <w:right w:val="nil"/>
            </w:tcBorders>
            <w:shd w:val="clear" w:color="auto" w:fill="auto"/>
            <w:vAlign w:val="center"/>
            <w:hideMark/>
          </w:tcPr>
          <w:p w14:paraId="69C0228E" w14:textId="77777777" w:rsidR="00642D26" w:rsidRPr="00933A7F" w:rsidRDefault="00642D26" w:rsidP="004E2CFD">
            <w:pPr>
              <w:pStyle w:val="cuatexto"/>
              <w:spacing w:line="240" w:lineRule="auto"/>
              <w:jc w:val="right"/>
              <w:rPr>
                <w:color w:val="000000"/>
                <w:szCs w:val="20"/>
                <w:lang w:val="es-ES" w:eastAsia="es-ES"/>
              </w:rPr>
            </w:pPr>
            <w:r w:rsidRPr="00933A7F">
              <w:rPr>
                <w:color w:val="000000"/>
                <w:szCs w:val="20"/>
                <w:lang w:val="es-ES" w:eastAsia="es-ES"/>
              </w:rPr>
              <w:t>0,00</w:t>
            </w:r>
          </w:p>
        </w:tc>
      </w:tr>
      <w:tr w:rsidR="00642D26" w:rsidRPr="00933A7F" w14:paraId="48DBEF6E"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46D690D6" w14:textId="31B19368" w:rsidR="00642D26" w:rsidRPr="00933A7F" w:rsidRDefault="00642D26" w:rsidP="004E2CFD">
            <w:pPr>
              <w:pStyle w:val="cuatexto"/>
              <w:spacing w:line="240" w:lineRule="auto"/>
              <w:rPr>
                <w:b/>
                <w:bCs/>
                <w:i/>
                <w:iCs/>
                <w:szCs w:val="20"/>
                <w:lang w:val="es-ES" w:eastAsia="es-ES"/>
              </w:rPr>
            </w:pPr>
            <w:r w:rsidRPr="00933A7F">
              <w:rPr>
                <w:b/>
                <w:bCs/>
                <w:i/>
                <w:iCs/>
                <w:szCs w:val="20"/>
                <w:lang w:val="es-ES" w:eastAsia="es-ES"/>
              </w:rPr>
              <w:t>Ingresos financieros</w:t>
            </w:r>
          </w:p>
        </w:tc>
        <w:tc>
          <w:tcPr>
            <w:tcW w:w="1383" w:type="dxa"/>
            <w:tcBorders>
              <w:top w:val="nil"/>
              <w:left w:val="nil"/>
              <w:bottom w:val="single" w:sz="4" w:space="0" w:color="000000"/>
              <w:right w:val="nil"/>
            </w:tcBorders>
            <w:shd w:val="clear" w:color="auto" w:fill="auto"/>
            <w:vAlign w:val="center"/>
            <w:hideMark/>
          </w:tcPr>
          <w:p w14:paraId="307F4DDD" w14:textId="77777777" w:rsidR="00642D26" w:rsidRPr="00933A7F" w:rsidRDefault="00642D26" w:rsidP="004E2CFD">
            <w:pPr>
              <w:pStyle w:val="cuatexto"/>
              <w:spacing w:line="240" w:lineRule="auto"/>
              <w:jc w:val="right"/>
              <w:rPr>
                <w:b/>
                <w:bCs/>
                <w:i/>
                <w:iCs/>
                <w:color w:val="000000"/>
                <w:szCs w:val="20"/>
                <w:lang w:val="es-ES" w:eastAsia="es-ES"/>
              </w:rPr>
            </w:pPr>
            <w:r w:rsidRPr="00933A7F">
              <w:rPr>
                <w:b/>
                <w:bCs/>
                <w:i/>
                <w:iCs/>
                <w:color w:val="000000"/>
                <w:szCs w:val="20"/>
                <w:lang w:val="es-ES" w:eastAsia="es-ES"/>
              </w:rPr>
              <w:t>8,78</w:t>
            </w:r>
          </w:p>
        </w:tc>
        <w:tc>
          <w:tcPr>
            <w:tcW w:w="1222" w:type="dxa"/>
            <w:tcBorders>
              <w:top w:val="nil"/>
              <w:left w:val="nil"/>
              <w:bottom w:val="single" w:sz="4" w:space="0" w:color="000000"/>
              <w:right w:val="nil"/>
            </w:tcBorders>
            <w:shd w:val="clear" w:color="auto" w:fill="auto"/>
            <w:vAlign w:val="center"/>
            <w:hideMark/>
          </w:tcPr>
          <w:p w14:paraId="50FF432F" w14:textId="77777777" w:rsidR="00642D26" w:rsidRPr="00933A7F" w:rsidRDefault="00642D26" w:rsidP="004E2CFD">
            <w:pPr>
              <w:pStyle w:val="cuatexto"/>
              <w:spacing w:line="240" w:lineRule="auto"/>
              <w:jc w:val="right"/>
              <w:rPr>
                <w:b/>
                <w:bCs/>
                <w:i/>
                <w:iCs/>
                <w:color w:val="000000"/>
                <w:szCs w:val="20"/>
                <w:lang w:val="es-ES" w:eastAsia="es-ES"/>
              </w:rPr>
            </w:pPr>
            <w:r w:rsidRPr="00933A7F">
              <w:rPr>
                <w:b/>
                <w:bCs/>
                <w:i/>
                <w:iCs/>
                <w:color w:val="000000"/>
                <w:szCs w:val="20"/>
                <w:lang w:val="es-ES" w:eastAsia="es-ES"/>
              </w:rPr>
              <w:t>11,53</w:t>
            </w:r>
          </w:p>
        </w:tc>
        <w:tc>
          <w:tcPr>
            <w:tcW w:w="1403" w:type="dxa"/>
            <w:tcBorders>
              <w:top w:val="nil"/>
              <w:left w:val="nil"/>
              <w:bottom w:val="single" w:sz="4" w:space="0" w:color="000000"/>
              <w:right w:val="nil"/>
            </w:tcBorders>
            <w:shd w:val="clear" w:color="auto" w:fill="auto"/>
            <w:vAlign w:val="center"/>
            <w:hideMark/>
          </w:tcPr>
          <w:p w14:paraId="6BC13EFC" w14:textId="77777777" w:rsidR="00642D26" w:rsidRPr="00933A7F" w:rsidRDefault="00642D26" w:rsidP="004E2CFD">
            <w:pPr>
              <w:pStyle w:val="cuatexto"/>
              <w:spacing w:line="240" w:lineRule="auto"/>
              <w:jc w:val="right"/>
              <w:rPr>
                <w:b/>
                <w:bCs/>
                <w:i/>
                <w:iCs/>
                <w:szCs w:val="20"/>
                <w:lang w:val="es-ES" w:eastAsia="es-ES"/>
              </w:rPr>
            </w:pPr>
            <w:r w:rsidRPr="00933A7F">
              <w:rPr>
                <w:b/>
                <w:bCs/>
                <w:i/>
                <w:iCs/>
                <w:szCs w:val="20"/>
                <w:lang w:val="es-ES" w:eastAsia="es-ES"/>
              </w:rPr>
              <w:t>1,2</w:t>
            </w:r>
          </w:p>
        </w:tc>
        <w:tc>
          <w:tcPr>
            <w:tcW w:w="1462" w:type="dxa"/>
            <w:tcBorders>
              <w:top w:val="nil"/>
              <w:left w:val="nil"/>
              <w:bottom w:val="single" w:sz="4" w:space="0" w:color="000000"/>
              <w:right w:val="nil"/>
            </w:tcBorders>
            <w:shd w:val="clear" w:color="auto" w:fill="auto"/>
            <w:vAlign w:val="center"/>
            <w:hideMark/>
          </w:tcPr>
          <w:p w14:paraId="08A54F32" w14:textId="77777777" w:rsidR="00642D26" w:rsidRPr="00933A7F" w:rsidRDefault="00642D26" w:rsidP="004E2CFD">
            <w:pPr>
              <w:pStyle w:val="cuatexto"/>
              <w:spacing w:line="240" w:lineRule="auto"/>
              <w:jc w:val="right"/>
              <w:rPr>
                <w:b/>
                <w:bCs/>
                <w:i/>
                <w:iCs/>
                <w:color w:val="000000"/>
                <w:szCs w:val="20"/>
                <w:lang w:val="es-ES" w:eastAsia="es-ES"/>
              </w:rPr>
            </w:pPr>
            <w:r w:rsidRPr="00933A7F">
              <w:rPr>
                <w:b/>
                <w:bCs/>
                <w:i/>
                <w:iCs/>
                <w:color w:val="000000"/>
                <w:szCs w:val="20"/>
                <w:lang w:val="es-ES" w:eastAsia="es-ES"/>
              </w:rPr>
              <w:t>2,75</w:t>
            </w:r>
          </w:p>
        </w:tc>
      </w:tr>
      <w:tr w:rsidR="00642D26" w:rsidRPr="007A1EC0" w14:paraId="56853274" w14:textId="77777777" w:rsidTr="005C70E8">
        <w:trPr>
          <w:trHeight w:val="255"/>
        </w:trPr>
        <w:tc>
          <w:tcPr>
            <w:tcW w:w="3332" w:type="dxa"/>
            <w:tcBorders>
              <w:top w:val="nil"/>
              <w:left w:val="nil"/>
              <w:bottom w:val="single" w:sz="4" w:space="0" w:color="000000"/>
              <w:right w:val="nil"/>
            </w:tcBorders>
            <w:shd w:val="clear" w:color="auto" w:fill="FABF8F" w:themeFill="accent6" w:themeFillTint="99"/>
            <w:vAlign w:val="center"/>
            <w:hideMark/>
          </w:tcPr>
          <w:p w14:paraId="387D26A1" w14:textId="5F2A1A6A" w:rsidR="00642D26" w:rsidRPr="007A1EC0" w:rsidRDefault="00642D26" w:rsidP="004E2CFD">
            <w:pPr>
              <w:pStyle w:val="cuadroCabe"/>
              <w:spacing w:line="240" w:lineRule="auto"/>
            </w:pPr>
            <w:r w:rsidRPr="007A1EC0">
              <w:t>Total</w:t>
            </w:r>
          </w:p>
        </w:tc>
        <w:tc>
          <w:tcPr>
            <w:tcW w:w="1383" w:type="dxa"/>
            <w:tcBorders>
              <w:top w:val="nil"/>
              <w:left w:val="nil"/>
              <w:bottom w:val="single" w:sz="4" w:space="0" w:color="000000"/>
              <w:right w:val="nil"/>
            </w:tcBorders>
            <w:shd w:val="clear" w:color="auto" w:fill="FABF8F" w:themeFill="accent6" w:themeFillTint="99"/>
            <w:vAlign w:val="center"/>
            <w:hideMark/>
          </w:tcPr>
          <w:p w14:paraId="343FB5E5" w14:textId="77777777" w:rsidR="00642D26" w:rsidRPr="007A1EC0" w:rsidRDefault="00642D26" w:rsidP="004E2CFD">
            <w:pPr>
              <w:pStyle w:val="cuadroCabe"/>
              <w:spacing w:line="240" w:lineRule="auto"/>
              <w:jc w:val="right"/>
            </w:pPr>
            <w:r w:rsidRPr="007A1EC0">
              <w:t>855,31</w:t>
            </w:r>
          </w:p>
        </w:tc>
        <w:tc>
          <w:tcPr>
            <w:tcW w:w="1222" w:type="dxa"/>
            <w:tcBorders>
              <w:top w:val="nil"/>
              <w:left w:val="nil"/>
              <w:bottom w:val="single" w:sz="4" w:space="0" w:color="000000"/>
              <w:right w:val="nil"/>
            </w:tcBorders>
            <w:shd w:val="clear" w:color="auto" w:fill="FABF8F" w:themeFill="accent6" w:themeFillTint="99"/>
            <w:vAlign w:val="center"/>
            <w:hideMark/>
          </w:tcPr>
          <w:p w14:paraId="15D119BA" w14:textId="77777777" w:rsidR="00642D26" w:rsidRPr="007A1EC0" w:rsidRDefault="00642D26" w:rsidP="004E2CFD">
            <w:pPr>
              <w:pStyle w:val="cuadroCabe"/>
              <w:spacing w:line="240" w:lineRule="auto"/>
              <w:jc w:val="right"/>
            </w:pPr>
            <w:r w:rsidRPr="007A1EC0">
              <w:t>933,78</w:t>
            </w:r>
          </w:p>
        </w:tc>
        <w:tc>
          <w:tcPr>
            <w:tcW w:w="1403" w:type="dxa"/>
            <w:tcBorders>
              <w:top w:val="nil"/>
              <w:left w:val="nil"/>
              <w:bottom w:val="single" w:sz="4" w:space="0" w:color="000000"/>
              <w:right w:val="nil"/>
            </w:tcBorders>
            <w:shd w:val="clear" w:color="auto" w:fill="FABF8F" w:themeFill="accent6" w:themeFillTint="99"/>
            <w:vAlign w:val="center"/>
            <w:hideMark/>
          </w:tcPr>
          <w:p w14:paraId="11D4B35D" w14:textId="77777777" w:rsidR="00642D26" w:rsidRPr="007A1EC0" w:rsidRDefault="00642D26" w:rsidP="004E2CFD">
            <w:pPr>
              <w:pStyle w:val="cuadroCabe"/>
              <w:spacing w:line="240" w:lineRule="auto"/>
              <w:jc w:val="right"/>
            </w:pPr>
            <w:r w:rsidRPr="007A1EC0">
              <w:t>100,0</w:t>
            </w:r>
          </w:p>
        </w:tc>
        <w:tc>
          <w:tcPr>
            <w:tcW w:w="1462" w:type="dxa"/>
            <w:tcBorders>
              <w:top w:val="nil"/>
              <w:left w:val="nil"/>
              <w:bottom w:val="single" w:sz="4" w:space="0" w:color="000000"/>
              <w:right w:val="nil"/>
            </w:tcBorders>
            <w:shd w:val="clear" w:color="auto" w:fill="FABF8F" w:themeFill="accent6" w:themeFillTint="99"/>
            <w:vAlign w:val="center"/>
            <w:hideMark/>
          </w:tcPr>
          <w:p w14:paraId="7E59CFC8" w14:textId="77777777" w:rsidR="00642D26" w:rsidRPr="007A1EC0" w:rsidRDefault="00642D26" w:rsidP="004E2CFD">
            <w:pPr>
              <w:pStyle w:val="cuadroCabe"/>
              <w:spacing w:line="240" w:lineRule="auto"/>
              <w:jc w:val="right"/>
            </w:pPr>
            <w:r w:rsidRPr="007A1EC0">
              <w:t>78,47</w:t>
            </w:r>
          </w:p>
        </w:tc>
      </w:tr>
    </w:tbl>
    <w:p w14:paraId="0320AEDC" w14:textId="77777777" w:rsidR="00DB45F1" w:rsidRDefault="00751965" w:rsidP="00EE593C">
      <w:pPr>
        <w:pStyle w:val="texto"/>
        <w:rPr>
          <w:color w:val="000000" w:themeColor="text1"/>
        </w:rPr>
      </w:pPr>
      <w:r>
        <w:rPr>
          <w:color w:val="000000" w:themeColor="text1"/>
        </w:rPr>
        <w:lastRenderedPageBreak/>
        <w:t>Teniendo en cuenta la consolidación de las tres sociedades, el ingreso total del sector público local se sitúa en 933,78 millones. El efecto de la consolidación asciende a 7</w:t>
      </w:r>
      <w:r w:rsidR="00051F60" w:rsidRPr="008C027D">
        <w:rPr>
          <w:color w:val="000000" w:themeColor="text1"/>
        </w:rPr>
        <w:t>8,47 millones, de los que el 82 por ciento corresponden a tasas, precios públicos y otros ingresos y el 15 por ciento a transferencias recibidas.</w:t>
      </w:r>
    </w:p>
    <w:p w14:paraId="17E0F2A2" w14:textId="2878F959" w:rsidR="00DB45F1" w:rsidRDefault="008C027D" w:rsidP="004B1F4E">
      <w:pPr>
        <w:pStyle w:val="texto"/>
        <w:spacing w:after="120"/>
        <w:rPr>
          <w:color w:val="000000" w:themeColor="text1"/>
        </w:rPr>
      </w:pPr>
      <w:r>
        <w:rPr>
          <w:color w:val="000000" w:themeColor="text1"/>
        </w:rPr>
        <w:t>Cabe destacar que los ingresos por transferencias del Sector Público Local, incluyendo las entidades locales, sus organismos autónomos y todas las sociedades participadas íntegramente por las mismas, proceden fundamentalmente de los Presupuestos Generales de Navarra</w:t>
      </w:r>
      <w:r w:rsidR="008433A0">
        <w:rPr>
          <w:color w:val="000000" w:themeColor="text1"/>
        </w:rPr>
        <w:t xml:space="preserve"> (PGN)</w:t>
      </w:r>
      <w:r>
        <w:rPr>
          <w:color w:val="000000" w:themeColor="text1"/>
        </w:rPr>
        <w:t>, cuya ejecución en el ejercicio 2020 refleja transferencias corrientes y de capital en este ámbito por un total de 397,01 millones, de acuerdo con la siguiente clasificación funcional:</w:t>
      </w:r>
    </w:p>
    <w:p w14:paraId="1709EB1E" w14:textId="77F3C7C2" w:rsidR="008E43F9" w:rsidRPr="00EE593C" w:rsidRDefault="00CF0526" w:rsidP="00EE593C">
      <w:pPr>
        <w:pStyle w:val="texto"/>
        <w:tabs>
          <w:tab w:val="center" w:pos="9072"/>
        </w:tabs>
        <w:spacing w:after="0"/>
        <w:ind w:right="-142"/>
        <w:jc w:val="right"/>
        <w:rPr>
          <w:rFonts w:ascii="Arial Narrow" w:hAnsi="Arial Narrow"/>
          <w:color w:val="000000" w:themeColor="text1"/>
          <w:sz w:val="18"/>
          <w:szCs w:val="18"/>
        </w:rPr>
      </w:pPr>
      <w:r>
        <w:rPr>
          <w:rFonts w:ascii="Arial Narrow" w:hAnsi="Arial Narrow"/>
          <w:color w:val="000000" w:themeColor="text1"/>
          <w:sz w:val="18"/>
          <w:szCs w:val="18"/>
        </w:rPr>
        <w:t>(</w:t>
      </w:r>
      <w:r w:rsidR="00EE593C" w:rsidRPr="00EE593C">
        <w:rPr>
          <w:rFonts w:ascii="Arial Narrow" w:hAnsi="Arial Narrow"/>
          <w:color w:val="000000" w:themeColor="text1"/>
          <w:sz w:val="18"/>
          <w:szCs w:val="18"/>
        </w:rPr>
        <w:t>Millones</w:t>
      </w:r>
      <w:r>
        <w:rPr>
          <w:rFonts w:ascii="Arial Narrow" w:hAnsi="Arial Narrow"/>
          <w:color w:val="000000" w:themeColor="text1"/>
          <w:sz w:val="18"/>
          <w:szCs w:val="18"/>
        </w:rPr>
        <w:t>)</w:t>
      </w:r>
      <w:r w:rsidR="00EE593C" w:rsidRPr="00EE593C">
        <w:rPr>
          <w:rFonts w:ascii="Arial Narrow" w:hAnsi="Arial Narrow"/>
          <w:color w:val="000000" w:themeColor="text1"/>
          <w:sz w:val="18"/>
          <w:szCs w:val="18"/>
        </w:rPr>
        <w:t xml:space="preserve"> </w:t>
      </w:r>
    </w:p>
    <w:tbl>
      <w:tblPr>
        <w:tblW w:w="8881" w:type="dxa"/>
        <w:tblCellMar>
          <w:left w:w="70" w:type="dxa"/>
          <w:right w:w="70" w:type="dxa"/>
        </w:tblCellMar>
        <w:tblLook w:val="04A0" w:firstRow="1" w:lastRow="0" w:firstColumn="1" w:lastColumn="0" w:noHBand="0" w:noVBand="1"/>
      </w:tblPr>
      <w:tblGrid>
        <w:gridCol w:w="3261"/>
        <w:gridCol w:w="1655"/>
        <w:gridCol w:w="1393"/>
        <w:gridCol w:w="1542"/>
        <w:gridCol w:w="1030"/>
      </w:tblGrid>
      <w:tr w:rsidR="00C70DD5" w:rsidRPr="00E27795" w14:paraId="3D79528B" w14:textId="77777777" w:rsidTr="008B5AD0">
        <w:trPr>
          <w:trHeight w:val="255"/>
        </w:trPr>
        <w:tc>
          <w:tcPr>
            <w:tcW w:w="3261" w:type="dxa"/>
            <w:tcBorders>
              <w:top w:val="single" w:sz="4" w:space="0" w:color="000000"/>
              <w:left w:val="nil"/>
              <w:right w:val="nil"/>
            </w:tcBorders>
            <w:shd w:val="clear" w:color="auto" w:fill="FABF8F" w:themeFill="accent6" w:themeFillTint="99"/>
            <w:vAlign w:val="center"/>
          </w:tcPr>
          <w:p w14:paraId="2A62C8E9" w14:textId="77777777" w:rsidR="00C70DD5" w:rsidRPr="00E27795" w:rsidRDefault="00C70DD5" w:rsidP="00E27795">
            <w:pPr>
              <w:pStyle w:val="cuadroCabe"/>
              <w:spacing w:line="240" w:lineRule="auto"/>
              <w:rPr>
                <w:sz w:val="16"/>
                <w:szCs w:val="16"/>
              </w:rPr>
            </w:pPr>
          </w:p>
        </w:tc>
        <w:tc>
          <w:tcPr>
            <w:tcW w:w="3048" w:type="dxa"/>
            <w:gridSpan w:val="2"/>
            <w:tcBorders>
              <w:top w:val="single" w:sz="4" w:space="0" w:color="000000"/>
              <w:left w:val="nil"/>
              <w:bottom w:val="single" w:sz="4" w:space="0" w:color="000000"/>
              <w:right w:val="nil"/>
            </w:tcBorders>
            <w:shd w:val="clear" w:color="auto" w:fill="FABF8F" w:themeFill="accent6" w:themeFillTint="99"/>
            <w:vAlign w:val="center"/>
          </w:tcPr>
          <w:p w14:paraId="7FCE6275" w14:textId="74EBB9EE" w:rsidR="00C70DD5" w:rsidRPr="00E27795" w:rsidRDefault="00C70DD5" w:rsidP="00E27795">
            <w:pPr>
              <w:pStyle w:val="cuadroCabe"/>
              <w:spacing w:line="240" w:lineRule="auto"/>
              <w:jc w:val="center"/>
              <w:rPr>
                <w:sz w:val="16"/>
                <w:szCs w:val="16"/>
              </w:rPr>
            </w:pPr>
            <w:r w:rsidRPr="00E27795">
              <w:rPr>
                <w:sz w:val="16"/>
                <w:szCs w:val="16"/>
              </w:rPr>
              <w:t>2020</w:t>
            </w:r>
          </w:p>
        </w:tc>
        <w:tc>
          <w:tcPr>
            <w:tcW w:w="1542" w:type="dxa"/>
            <w:vMerge w:val="restart"/>
            <w:tcBorders>
              <w:top w:val="single" w:sz="4" w:space="0" w:color="000000"/>
              <w:left w:val="nil"/>
              <w:right w:val="nil"/>
            </w:tcBorders>
            <w:shd w:val="clear" w:color="auto" w:fill="FABF8F" w:themeFill="accent6" w:themeFillTint="99"/>
            <w:vAlign w:val="center"/>
          </w:tcPr>
          <w:p w14:paraId="2BA41A04" w14:textId="4AC91812" w:rsidR="00C70DD5" w:rsidRPr="00E27795" w:rsidRDefault="00C70DD5" w:rsidP="00E27795">
            <w:pPr>
              <w:pStyle w:val="cuadroCabe"/>
              <w:spacing w:line="240" w:lineRule="auto"/>
              <w:jc w:val="right"/>
              <w:rPr>
                <w:sz w:val="16"/>
                <w:szCs w:val="16"/>
              </w:rPr>
            </w:pPr>
            <w:r w:rsidRPr="00E27795">
              <w:rPr>
                <w:sz w:val="16"/>
                <w:szCs w:val="16"/>
              </w:rPr>
              <w:t>Var abs</w:t>
            </w:r>
            <w:r w:rsidR="00E27795" w:rsidRPr="00E27795">
              <w:rPr>
                <w:sz w:val="16"/>
                <w:szCs w:val="16"/>
              </w:rPr>
              <w:t>oluta</w:t>
            </w:r>
            <w:r w:rsidRPr="00E27795">
              <w:rPr>
                <w:sz w:val="16"/>
                <w:szCs w:val="16"/>
              </w:rPr>
              <w:t xml:space="preserve"> 2020/19</w:t>
            </w:r>
          </w:p>
        </w:tc>
        <w:tc>
          <w:tcPr>
            <w:tcW w:w="1030" w:type="dxa"/>
            <w:vMerge w:val="restart"/>
            <w:tcBorders>
              <w:top w:val="single" w:sz="4" w:space="0" w:color="000000"/>
              <w:left w:val="nil"/>
              <w:right w:val="nil"/>
            </w:tcBorders>
            <w:shd w:val="clear" w:color="auto" w:fill="FABF8F" w:themeFill="accent6" w:themeFillTint="99"/>
            <w:vAlign w:val="center"/>
          </w:tcPr>
          <w:p w14:paraId="5186DA80" w14:textId="46818475" w:rsidR="00C70DD5" w:rsidRPr="00E27795" w:rsidRDefault="00C70DD5" w:rsidP="00E27795">
            <w:pPr>
              <w:pStyle w:val="cuadroCabe"/>
              <w:spacing w:line="240" w:lineRule="auto"/>
              <w:jc w:val="right"/>
              <w:rPr>
                <w:sz w:val="16"/>
                <w:szCs w:val="16"/>
              </w:rPr>
            </w:pPr>
            <w:r w:rsidRPr="00E27795">
              <w:rPr>
                <w:sz w:val="16"/>
                <w:szCs w:val="16"/>
              </w:rPr>
              <w:t xml:space="preserve">% </w:t>
            </w:r>
            <w:proofErr w:type="spellStart"/>
            <w:r w:rsidRPr="00E27795">
              <w:rPr>
                <w:sz w:val="16"/>
                <w:szCs w:val="16"/>
              </w:rPr>
              <w:t>var</w:t>
            </w:r>
            <w:proofErr w:type="spellEnd"/>
            <w:r w:rsidRPr="00E27795">
              <w:rPr>
                <w:sz w:val="16"/>
                <w:szCs w:val="16"/>
              </w:rPr>
              <w:t xml:space="preserve"> 2020/19</w:t>
            </w:r>
          </w:p>
        </w:tc>
      </w:tr>
      <w:tr w:rsidR="00C70DD5" w:rsidRPr="00E27795" w14:paraId="4BED267B" w14:textId="77777777" w:rsidTr="00C91EFD">
        <w:trPr>
          <w:trHeight w:val="255"/>
        </w:trPr>
        <w:tc>
          <w:tcPr>
            <w:tcW w:w="3261" w:type="dxa"/>
            <w:tcBorders>
              <w:top w:val="nil"/>
              <w:left w:val="nil"/>
              <w:bottom w:val="single" w:sz="4" w:space="0" w:color="000000"/>
              <w:right w:val="nil"/>
            </w:tcBorders>
            <w:shd w:val="clear" w:color="auto" w:fill="FABF8F" w:themeFill="accent6" w:themeFillTint="99"/>
            <w:vAlign w:val="center"/>
            <w:hideMark/>
          </w:tcPr>
          <w:p w14:paraId="37CBD32A" w14:textId="77777777" w:rsidR="00C70DD5" w:rsidRPr="00E27795" w:rsidRDefault="00C70DD5" w:rsidP="00E27795">
            <w:pPr>
              <w:pStyle w:val="cuadroCabe"/>
              <w:spacing w:line="240" w:lineRule="auto"/>
              <w:rPr>
                <w:sz w:val="16"/>
                <w:szCs w:val="16"/>
              </w:rPr>
            </w:pPr>
            <w:r w:rsidRPr="00E27795">
              <w:rPr>
                <w:sz w:val="16"/>
                <w:szCs w:val="16"/>
              </w:rPr>
              <w:t>Función</w:t>
            </w:r>
          </w:p>
        </w:tc>
        <w:tc>
          <w:tcPr>
            <w:tcW w:w="1655" w:type="dxa"/>
            <w:tcBorders>
              <w:top w:val="nil"/>
              <w:left w:val="nil"/>
              <w:bottom w:val="single" w:sz="4" w:space="0" w:color="000000"/>
              <w:right w:val="nil"/>
            </w:tcBorders>
            <w:shd w:val="clear" w:color="auto" w:fill="FABF8F" w:themeFill="accent6" w:themeFillTint="99"/>
            <w:vAlign w:val="center"/>
            <w:hideMark/>
          </w:tcPr>
          <w:p w14:paraId="2170D504" w14:textId="4054DC99" w:rsidR="00C70DD5" w:rsidRPr="00E27795" w:rsidRDefault="00C70DD5" w:rsidP="00E27795">
            <w:pPr>
              <w:pStyle w:val="cuadroCabe"/>
              <w:spacing w:line="240" w:lineRule="auto"/>
              <w:jc w:val="right"/>
              <w:rPr>
                <w:sz w:val="16"/>
                <w:szCs w:val="16"/>
              </w:rPr>
            </w:pPr>
            <w:r w:rsidRPr="00E27795">
              <w:rPr>
                <w:sz w:val="16"/>
                <w:szCs w:val="16"/>
              </w:rPr>
              <w:t>ORN en PGN</w:t>
            </w:r>
          </w:p>
        </w:tc>
        <w:tc>
          <w:tcPr>
            <w:tcW w:w="1393" w:type="dxa"/>
            <w:tcBorders>
              <w:top w:val="nil"/>
              <w:left w:val="nil"/>
              <w:bottom w:val="single" w:sz="4" w:space="0" w:color="000000"/>
              <w:right w:val="nil"/>
            </w:tcBorders>
            <w:shd w:val="clear" w:color="auto" w:fill="FABF8F" w:themeFill="accent6" w:themeFillTint="99"/>
            <w:vAlign w:val="center"/>
            <w:hideMark/>
          </w:tcPr>
          <w:p w14:paraId="00A8BD5E" w14:textId="77777777" w:rsidR="00C70DD5" w:rsidRPr="00E27795" w:rsidRDefault="00C70DD5" w:rsidP="00E27795">
            <w:pPr>
              <w:pStyle w:val="cuadroCabe"/>
              <w:spacing w:line="240" w:lineRule="auto"/>
              <w:jc w:val="right"/>
              <w:rPr>
                <w:sz w:val="16"/>
                <w:szCs w:val="16"/>
              </w:rPr>
            </w:pPr>
            <w:r w:rsidRPr="00E27795">
              <w:rPr>
                <w:sz w:val="16"/>
                <w:szCs w:val="16"/>
              </w:rPr>
              <w:t>% sobre total</w:t>
            </w:r>
          </w:p>
        </w:tc>
        <w:tc>
          <w:tcPr>
            <w:tcW w:w="1542" w:type="dxa"/>
            <w:vMerge/>
            <w:tcBorders>
              <w:left w:val="nil"/>
              <w:bottom w:val="single" w:sz="4" w:space="0" w:color="000000"/>
              <w:right w:val="nil"/>
            </w:tcBorders>
            <w:shd w:val="clear" w:color="auto" w:fill="FABF8F" w:themeFill="accent6" w:themeFillTint="99"/>
            <w:vAlign w:val="center"/>
            <w:hideMark/>
          </w:tcPr>
          <w:p w14:paraId="64757A7D" w14:textId="75C3EC9D" w:rsidR="00C70DD5" w:rsidRPr="00E27795" w:rsidRDefault="00C70DD5" w:rsidP="00E27795">
            <w:pPr>
              <w:pStyle w:val="cuadroCabe"/>
              <w:spacing w:line="240" w:lineRule="auto"/>
              <w:jc w:val="right"/>
              <w:rPr>
                <w:sz w:val="16"/>
                <w:szCs w:val="16"/>
                <w:highlight w:val="yellow"/>
              </w:rPr>
            </w:pPr>
          </w:p>
        </w:tc>
        <w:tc>
          <w:tcPr>
            <w:tcW w:w="1030" w:type="dxa"/>
            <w:vMerge/>
            <w:tcBorders>
              <w:left w:val="nil"/>
              <w:bottom w:val="single" w:sz="4" w:space="0" w:color="000000"/>
              <w:right w:val="nil"/>
            </w:tcBorders>
            <w:shd w:val="clear" w:color="auto" w:fill="FABF8F" w:themeFill="accent6" w:themeFillTint="99"/>
            <w:vAlign w:val="center"/>
            <w:hideMark/>
          </w:tcPr>
          <w:p w14:paraId="09E90839" w14:textId="7AD7DCEA" w:rsidR="00C70DD5" w:rsidRPr="00E27795" w:rsidRDefault="00C70DD5" w:rsidP="00E27795">
            <w:pPr>
              <w:pStyle w:val="cuadroCabe"/>
              <w:spacing w:line="240" w:lineRule="auto"/>
              <w:jc w:val="right"/>
              <w:rPr>
                <w:sz w:val="16"/>
                <w:szCs w:val="16"/>
                <w:highlight w:val="yellow"/>
              </w:rPr>
            </w:pPr>
          </w:p>
        </w:tc>
      </w:tr>
      <w:tr w:rsidR="008C027D" w:rsidRPr="00933A7F" w14:paraId="7BBFF373" w14:textId="77777777" w:rsidTr="004B1F4E">
        <w:trPr>
          <w:trHeight w:val="255"/>
        </w:trPr>
        <w:tc>
          <w:tcPr>
            <w:tcW w:w="3261" w:type="dxa"/>
            <w:tcBorders>
              <w:top w:val="nil"/>
              <w:left w:val="nil"/>
              <w:bottom w:val="single" w:sz="2" w:space="0" w:color="auto"/>
              <w:right w:val="nil"/>
            </w:tcBorders>
            <w:shd w:val="clear" w:color="auto" w:fill="auto"/>
            <w:vAlign w:val="center"/>
            <w:hideMark/>
          </w:tcPr>
          <w:p w14:paraId="63EA2A3A" w14:textId="77777777" w:rsidR="008C027D" w:rsidRPr="00933A7F" w:rsidRDefault="008C027D" w:rsidP="00E27795">
            <w:pPr>
              <w:pStyle w:val="cuatexto"/>
              <w:spacing w:line="240" w:lineRule="auto"/>
              <w:rPr>
                <w:szCs w:val="20"/>
                <w:lang w:val="es-ES" w:eastAsia="es-ES"/>
              </w:rPr>
            </w:pPr>
            <w:proofErr w:type="gramStart"/>
            <w:r w:rsidRPr="00933A7F">
              <w:rPr>
                <w:szCs w:val="20"/>
                <w:lang w:val="es-ES" w:eastAsia="es-ES"/>
              </w:rPr>
              <w:t>94  Transferencias</w:t>
            </w:r>
            <w:proofErr w:type="gramEnd"/>
            <w:r w:rsidRPr="00933A7F">
              <w:rPr>
                <w:szCs w:val="20"/>
                <w:lang w:val="es-ES" w:eastAsia="es-ES"/>
              </w:rPr>
              <w:t xml:space="preserve"> a otras </w:t>
            </w:r>
            <w:proofErr w:type="spellStart"/>
            <w:r w:rsidRPr="00933A7F">
              <w:rPr>
                <w:szCs w:val="20"/>
                <w:lang w:val="es-ES" w:eastAsia="es-ES"/>
              </w:rPr>
              <w:t>adminis</w:t>
            </w:r>
            <w:proofErr w:type="spellEnd"/>
          </w:p>
        </w:tc>
        <w:tc>
          <w:tcPr>
            <w:tcW w:w="1655" w:type="dxa"/>
            <w:tcBorders>
              <w:top w:val="nil"/>
              <w:left w:val="nil"/>
              <w:bottom w:val="single" w:sz="2" w:space="0" w:color="auto"/>
              <w:right w:val="nil"/>
            </w:tcBorders>
            <w:shd w:val="clear" w:color="auto" w:fill="auto"/>
            <w:vAlign w:val="center"/>
            <w:hideMark/>
          </w:tcPr>
          <w:p w14:paraId="2962E257" w14:textId="7A4609F6" w:rsidR="008C027D" w:rsidRPr="00933A7F" w:rsidRDefault="008C027D" w:rsidP="00E27795">
            <w:pPr>
              <w:pStyle w:val="cuatexto"/>
              <w:spacing w:line="240" w:lineRule="auto"/>
              <w:jc w:val="right"/>
              <w:rPr>
                <w:szCs w:val="20"/>
                <w:lang w:val="es-ES" w:eastAsia="es-ES"/>
              </w:rPr>
            </w:pPr>
            <w:r w:rsidRPr="00933A7F">
              <w:rPr>
                <w:szCs w:val="20"/>
              </w:rPr>
              <w:t xml:space="preserve">265,64 </w:t>
            </w:r>
          </w:p>
        </w:tc>
        <w:tc>
          <w:tcPr>
            <w:tcW w:w="1393" w:type="dxa"/>
            <w:tcBorders>
              <w:top w:val="nil"/>
              <w:left w:val="nil"/>
              <w:bottom w:val="single" w:sz="2" w:space="0" w:color="auto"/>
              <w:right w:val="nil"/>
            </w:tcBorders>
            <w:shd w:val="clear" w:color="auto" w:fill="auto"/>
            <w:vAlign w:val="center"/>
            <w:hideMark/>
          </w:tcPr>
          <w:p w14:paraId="5191F354" w14:textId="53BD9B71" w:rsidR="008C027D" w:rsidRPr="00933A7F" w:rsidRDefault="008C027D" w:rsidP="00E27795">
            <w:pPr>
              <w:pStyle w:val="cuatexto"/>
              <w:spacing w:line="240" w:lineRule="auto"/>
              <w:jc w:val="right"/>
              <w:rPr>
                <w:szCs w:val="20"/>
                <w:lang w:val="es-ES" w:eastAsia="es-ES"/>
              </w:rPr>
            </w:pPr>
            <w:r w:rsidRPr="00933A7F">
              <w:rPr>
                <w:szCs w:val="20"/>
                <w:lang w:val="es-ES" w:eastAsia="es-ES"/>
              </w:rPr>
              <w:t>67</w:t>
            </w:r>
          </w:p>
        </w:tc>
        <w:tc>
          <w:tcPr>
            <w:tcW w:w="1542" w:type="dxa"/>
            <w:tcBorders>
              <w:top w:val="nil"/>
              <w:left w:val="nil"/>
              <w:bottom w:val="single" w:sz="2" w:space="0" w:color="auto"/>
              <w:right w:val="nil"/>
            </w:tcBorders>
            <w:shd w:val="clear" w:color="auto" w:fill="auto"/>
            <w:vAlign w:val="center"/>
            <w:hideMark/>
          </w:tcPr>
          <w:p w14:paraId="6730C18B" w14:textId="53EDEBE7" w:rsidR="008C027D" w:rsidRPr="00933A7F" w:rsidRDefault="008C027D" w:rsidP="00E27795">
            <w:pPr>
              <w:pStyle w:val="cuatexto"/>
              <w:spacing w:line="240" w:lineRule="auto"/>
              <w:jc w:val="right"/>
              <w:rPr>
                <w:szCs w:val="20"/>
                <w:lang w:val="es-ES" w:eastAsia="es-ES"/>
              </w:rPr>
            </w:pPr>
            <w:r w:rsidRPr="00933A7F">
              <w:rPr>
                <w:szCs w:val="20"/>
              </w:rPr>
              <w:t xml:space="preserve">20,66 </w:t>
            </w:r>
          </w:p>
        </w:tc>
        <w:tc>
          <w:tcPr>
            <w:tcW w:w="1030" w:type="dxa"/>
            <w:tcBorders>
              <w:top w:val="nil"/>
              <w:left w:val="nil"/>
              <w:bottom w:val="single" w:sz="2" w:space="0" w:color="auto"/>
              <w:right w:val="nil"/>
            </w:tcBorders>
            <w:shd w:val="clear" w:color="auto" w:fill="auto"/>
            <w:vAlign w:val="center"/>
            <w:hideMark/>
          </w:tcPr>
          <w:p w14:paraId="547DDE24" w14:textId="50589F04" w:rsidR="008C027D" w:rsidRPr="00933A7F" w:rsidRDefault="008C027D" w:rsidP="00E27795">
            <w:pPr>
              <w:pStyle w:val="cuatexto"/>
              <w:spacing w:line="240" w:lineRule="auto"/>
              <w:jc w:val="right"/>
              <w:rPr>
                <w:szCs w:val="20"/>
                <w:lang w:val="es-ES" w:eastAsia="es-ES"/>
              </w:rPr>
            </w:pPr>
            <w:r w:rsidRPr="00933A7F">
              <w:rPr>
                <w:szCs w:val="20"/>
                <w:lang w:val="es-ES" w:eastAsia="es-ES"/>
              </w:rPr>
              <w:t>8</w:t>
            </w:r>
          </w:p>
        </w:tc>
      </w:tr>
      <w:tr w:rsidR="008C027D" w:rsidRPr="00933A7F" w14:paraId="235FF129"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0DEB83F5" w14:textId="77777777" w:rsidR="008C027D" w:rsidRPr="00933A7F" w:rsidRDefault="008C027D" w:rsidP="00E27795">
            <w:pPr>
              <w:pStyle w:val="cuatexto"/>
              <w:spacing w:line="240" w:lineRule="auto"/>
              <w:rPr>
                <w:szCs w:val="20"/>
                <w:lang w:val="es-ES" w:eastAsia="es-ES"/>
              </w:rPr>
            </w:pPr>
            <w:proofErr w:type="gramStart"/>
            <w:r w:rsidRPr="00933A7F">
              <w:rPr>
                <w:szCs w:val="20"/>
                <w:lang w:val="es-ES" w:eastAsia="es-ES"/>
              </w:rPr>
              <w:t>32  Educación</w:t>
            </w:r>
            <w:proofErr w:type="gramEnd"/>
          </w:p>
        </w:tc>
        <w:tc>
          <w:tcPr>
            <w:tcW w:w="1655" w:type="dxa"/>
            <w:tcBorders>
              <w:top w:val="single" w:sz="2" w:space="0" w:color="auto"/>
              <w:left w:val="nil"/>
              <w:bottom w:val="single" w:sz="2" w:space="0" w:color="auto"/>
              <w:right w:val="nil"/>
            </w:tcBorders>
            <w:shd w:val="clear" w:color="auto" w:fill="auto"/>
            <w:vAlign w:val="center"/>
            <w:hideMark/>
          </w:tcPr>
          <w:p w14:paraId="1F32072D" w14:textId="19981576" w:rsidR="008C027D" w:rsidRPr="00933A7F" w:rsidRDefault="008C027D" w:rsidP="00E27795">
            <w:pPr>
              <w:pStyle w:val="cuatexto"/>
              <w:spacing w:line="240" w:lineRule="auto"/>
              <w:jc w:val="right"/>
              <w:rPr>
                <w:szCs w:val="20"/>
              </w:rPr>
            </w:pPr>
            <w:r w:rsidRPr="00933A7F">
              <w:rPr>
                <w:szCs w:val="20"/>
              </w:rPr>
              <w:t xml:space="preserve">29,61 </w:t>
            </w:r>
          </w:p>
        </w:tc>
        <w:tc>
          <w:tcPr>
            <w:tcW w:w="1393" w:type="dxa"/>
            <w:tcBorders>
              <w:top w:val="single" w:sz="2" w:space="0" w:color="auto"/>
              <w:left w:val="nil"/>
              <w:bottom w:val="single" w:sz="2" w:space="0" w:color="auto"/>
              <w:right w:val="nil"/>
            </w:tcBorders>
            <w:shd w:val="clear" w:color="auto" w:fill="auto"/>
            <w:vAlign w:val="center"/>
            <w:hideMark/>
          </w:tcPr>
          <w:p w14:paraId="5D4A1386" w14:textId="2818A6A4" w:rsidR="008C027D" w:rsidRPr="00933A7F" w:rsidRDefault="008C027D" w:rsidP="00E27795">
            <w:pPr>
              <w:pStyle w:val="cuatexto"/>
              <w:spacing w:line="240" w:lineRule="auto"/>
              <w:jc w:val="right"/>
              <w:rPr>
                <w:szCs w:val="20"/>
                <w:lang w:val="es-ES" w:eastAsia="es-ES"/>
              </w:rPr>
            </w:pPr>
            <w:r w:rsidRPr="00933A7F">
              <w:rPr>
                <w:szCs w:val="20"/>
                <w:lang w:val="es-ES" w:eastAsia="es-ES"/>
              </w:rPr>
              <w:t>7</w:t>
            </w:r>
          </w:p>
        </w:tc>
        <w:tc>
          <w:tcPr>
            <w:tcW w:w="1542" w:type="dxa"/>
            <w:tcBorders>
              <w:top w:val="single" w:sz="2" w:space="0" w:color="auto"/>
              <w:left w:val="nil"/>
              <w:bottom w:val="single" w:sz="2" w:space="0" w:color="auto"/>
              <w:right w:val="nil"/>
            </w:tcBorders>
            <w:shd w:val="clear" w:color="auto" w:fill="auto"/>
            <w:vAlign w:val="center"/>
            <w:hideMark/>
          </w:tcPr>
          <w:p w14:paraId="7DDBF523" w14:textId="4CC626A0" w:rsidR="008C027D" w:rsidRPr="00933A7F" w:rsidRDefault="008C027D" w:rsidP="00E27795">
            <w:pPr>
              <w:pStyle w:val="cuatexto"/>
              <w:spacing w:line="240" w:lineRule="auto"/>
              <w:jc w:val="right"/>
              <w:rPr>
                <w:szCs w:val="20"/>
              </w:rPr>
            </w:pPr>
            <w:r w:rsidRPr="00933A7F">
              <w:rPr>
                <w:szCs w:val="20"/>
              </w:rPr>
              <w:t xml:space="preserve">2,39 </w:t>
            </w:r>
          </w:p>
        </w:tc>
        <w:tc>
          <w:tcPr>
            <w:tcW w:w="1030" w:type="dxa"/>
            <w:tcBorders>
              <w:top w:val="single" w:sz="2" w:space="0" w:color="auto"/>
              <w:left w:val="nil"/>
              <w:bottom w:val="single" w:sz="2" w:space="0" w:color="auto"/>
              <w:right w:val="nil"/>
            </w:tcBorders>
            <w:shd w:val="clear" w:color="auto" w:fill="auto"/>
            <w:vAlign w:val="center"/>
            <w:hideMark/>
          </w:tcPr>
          <w:p w14:paraId="7A582A69" w14:textId="7DD7EBE2" w:rsidR="008C027D" w:rsidRPr="00933A7F" w:rsidRDefault="00F914F0" w:rsidP="00E27795">
            <w:pPr>
              <w:pStyle w:val="cuatexto"/>
              <w:spacing w:line="240" w:lineRule="auto"/>
              <w:jc w:val="right"/>
              <w:rPr>
                <w:szCs w:val="20"/>
                <w:lang w:val="es-ES" w:eastAsia="es-ES"/>
              </w:rPr>
            </w:pPr>
            <w:r w:rsidRPr="00933A7F">
              <w:rPr>
                <w:szCs w:val="20"/>
                <w:lang w:val="es-ES" w:eastAsia="es-ES"/>
              </w:rPr>
              <w:t>9</w:t>
            </w:r>
          </w:p>
        </w:tc>
      </w:tr>
      <w:tr w:rsidR="008C027D" w:rsidRPr="00933A7F" w14:paraId="593A56A8"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32B384D7" w14:textId="77777777" w:rsidR="008C027D" w:rsidRPr="00933A7F" w:rsidRDefault="008C027D" w:rsidP="00E27795">
            <w:pPr>
              <w:pStyle w:val="cuatexto"/>
              <w:spacing w:line="240" w:lineRule="auto"/>
              <w:rPr>
                <w:szCs w:val="20"/>
                <w:lang w:val="es-ES" w:eastAsia="es-ES"/>
              </w:rPr>
            </w:pPr>
            <w:proofErr w:type="gramStart"/>
            <w:r w:rsidRPr="00933A7F">
              <w:rPr>
                <w:szCs w:val="20"/>
                <w:lang w:val="es-ES" w:eastAsia="es-ES"/>
              </w:rPr>
              <w:t>23  Servicios</w:t>
            </w:r>
            <w:proofErr w:type="gramEnd"/>
            <w:r w:rsidRPr="00933A7F">
              <w:rPr>
                <w:szCs w:val="20"/>
                <w:lang w:val="es-ES" w:eastAsia="es-ES"/>
              </w:rPr>
              <w:t xml:space="preserve"> sociales y promoción</w:t>
            </w:r>
          </w:p>
        </w:tc>
        <w:tc>
          <w:tcPr>
            <w:tcW w:w="1655" w:type="dxa"/>
            <w:tcBorders>
              <w:top w:val="single" w:sz="2" w:space="0" w:color="auto"/>
              <w:left w:val="nil"/>
              <w:bottom w:val="single" w:sz="2" w:space="0" w:color="auto"/>
              <w:right w:val="nil"/>
            </w:tcBorders>
            <w:shd w:val="clear" w:color="auto" w:fill="auto"/>
            <w:vAlign w:val="center"/>
            <w:hideMark/>
          </w:tcPr>
          <w:p w14:paraId="2BFC08DE" w14:textId="0C3A43A5" w:rsidR="008C027D" w:rsidRPr="00933A7F" w:rsidRDefault="008C027D" w:rsidP="00E27795">
            <w:pPr>
              <w:pStyle w:val="cuatexto"/>
              <w:spacing w:line="240" w:lineRule="auto"/>
              <w:jc w:val="right"/>
              <w:rPr>
                <w:szCs w:val="20"/>
              </w:rPr>
            </w:pPr>
            <w:r w:rsidRPr="00933A7F">
              <w:rPr>
                <w:szCs w:val="20"/>
              </w:rPr>
              <w:t xml:space="preserve">27,81 </w:t>
            </w:r>
          </w:p>
        </w:tc>
        <w:tc>
          <w:tcPr>
            <w:tcW w:w="1393" w:type="dxa"/>
            <w:tcBorders>
              <w:top w:val="single" w:sz="2" w:space="0" w:color="auto"/>
              <w:left w:val="nil"/>
              <w:bottom w:val="single" w:sz="2" w:space="0" w:color="auto"/>
              <w:right w:val="nil"/>
            </w:tcBorders>
            <w:shd w:val="clear" w:color="auto" w:fill="auto"/>
            <w:vAlign w:val="center"/>
            <w:hideMark/>
          </w:tcPr>
          <w:p w14:paraId="7EED018A" w14:textId="76938A1E" w:rsidR="008C027D" w:rsidRPr="00933A7F" w:rsidRDefault="008C027D" w:rsidP="00E27795">
            <w:pPr>
              <w:pStyle w:val="cuatexto"/>
              <w:spacing w:line="240" w:lineRule="auto"/>
              <w:jc w:val="right"/>
              <w:rPr>
                <w:szCs w:val="20"/>
                <w:lang w:val="es-ES" w:eastAsia="es-ES"/>
              </w:rPr>
            </w:pPr>
            <w:r w:rsidRPr="00933A7F">
              <w:rPr>
                <w:szCs w:val="20"/>
                <w:lang w:val="es-ES" w:eastAsia="es-ES"/>
              </w:rPr>
              <w:t>7</w:t>
            </w:r>
          </w:p>
        </w:tc>
        <w:tc>
          <w:tcPr>
            <w:tcW w:w="1542" w:type="dxa"/>
            <w:tcBorders>
              <w:top w:val="single" w:sz="2" w:space="0" w:color="auto"/>
              <w:left w:val="nil"/>
              <w:bottom w:val="single" w:sz="2" w:space="0" w:color="auto"/>
              <w:right w:val="nil"/>
            </w:tcBorders>
            <w:shd w:val="clear" w:color="auto" w:fill="auto"/>
            <w:vAlign w:val="center"/>
            <w:hideMark/>
          </w:tcPr>
          <w:p w14:paraId="6561039E" w14:textId="5E572666" w:rsidR="008C027D" w:rsidRPr="00933A7F" w:rsidRDefault="008C027D" w:rsidP="00E27795">
            <w:pPr>
              <w:pStyle w:val="cuatexto"/>
              <w:spacing w:line="240" w:lineRule="auto"/>
              <w:jc w:val="right"/>
              <w:rPr>
                <w:szCs w:val="20"/>
              </w:rPr>
            </w:pPr>
            <w:r w:rsidRPr="00933A7F">
              <w:rPr>
                <w:szCs w:val="20"/>
              </w:rPr>
              <w:t xml:space="preserve">4,66 </w:t>
            </w:r>
          </w:p>
        </w:tc>
        <w:tc>
          <w:tcPr>
            <w:tcW w:w="1030" w:type="dxa"/>
            <w:tcBorders>
              <w:top w:val="single" w:sz="2" w:space="0" w:color="auto"/>
              <w:left w:val="nil"/>
              <w:bottom w:val="single" w:sz="2" w:space="0" w:color="auto"/>
              <w:right w:val="nil"/>
            </w:tcBorders>
            <w:shd w:val="clear" w:color="auto" w:fill="auto"/>
            <w:vAlign w:val="center"/>
            <w:hideMark/>
          </w:tcPr>
          <w:p w14:paraId="55D4A13C" w14:textId="0D9444A9" w:rsidR="008C027D" w:rsidRPr="00933A7F" w:rsidRDefault="00F914F0" w:rsidP="00E27795">
            <w:pPr>
              <w:pStyle w:val="cuatexto"/>
              <w:spacing w:line="240" w:lineRule="auto"/>
              <w:jc w:val="right"/>
              <w:rPr>
                <w:szCs w:val="20"/>
                <w:lang w:val="es-ES" w:eastAsia="es-ES"/>
              </w:rPr>
            </w:pPr>
            <w:r w:rsidRPr="00933A7F">
              <w:rPr>
                <w:szCs w:val="20"/>
                <w:lang w:val="es-ES" w:eastAsia="es-ES"/>
              </w:rPr>
              <w:t>20</w:t>
            </w:r>
          </w:p>
        </w:tc>
      </w:tr>
      <w:tr w:rsidR="008C027D" w:rsidRPr="00933A7F" w14:paraId="0D6F6A3A"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2E1B5F65" w14:textId="77777777" w:rsidR="008C027D" w:rsidRPr="00933A7F" w:rsidRDefault="008C027D" w:rsidP="00E27795">
            <w:pPr>
              <w:pStyle w:val="cuatexto"/>
              <w:spacing w:line="240" w:lineRule="auto"/>
              <w:rPr>
                <w:szCs w:val="20"/>
                <w:lang w:val="es-ES" w:eastAsia="es-ES"/>
              </w:rPr>
            </w:pPr>
            <w:proofErr w:type="gramStart"/>
            <w:r w:rsidRPr="00933A7F">
              <w:rPr>
                <w:szCs w:val="20"/>
                <w:lang w:val="es-ES" w:eastAsia="es-ES"/>
              </w:rPr>
              <w:t>26  Acceso</w:t>
            </w:r>
            <w:proofErr w:type="gramEnd"/>
            <w:r w:rsidRPr="00933A7F">
              <w:rPr>
                <w:szCs w:val="20"/>
                <w:lang w:val="es-ES" w:eastAsia="es-ES"/>
              </w:rPr>
              <w:t xml:space="preserve"> a la vivienda y fomento</w:t>
            </w:r>
          </w:p>
        </w:tc>
        <w:tc>
          <w:tcPr>
            <w:tcW w:w="1655" w:type="dxa"/>
            <w:tcBorders>
              <w:top w:val="single" w:sz="2" w:space="0" w:color="auto"/>
              <w:left w:val="nil"/>
              <w:bottom w:val="single" w:sz="2" w:space="0" w:color="auto"/>
              <w:right w:val="nil"/>
            </w:tcBorders>
            <w:shd w:val="clear" w:color="auto" w:fill="auto"/>
            <w:vAlign w:val="center"/>
            <w:hideMark/>
          </w:tcPr>
          <w:p w14:paraId="6B2782E6" w14:textId="02B5BF18" w:rsidR="008C027D" w:rsidRPr="00933A7F" w:rsidRDefault="008C027D" w:rsidP="00E27795">
            <w:pPr>
              <w:pStyle w:val="cuatexto"/>
              <w:spacing w:line="240" w:lineRule="auto"/>
              <w:jc w:val="right"/>
              <w:rPr>
                <w:szCs w:val="20"/>
              </w:rPr>
            </w:pPr>
            <w:r w:rsidRPr="00933A7F">
              <w:rPr>
                <w:szCs w:val="20"/>
              </w:rPr>
              <w:t xml:space="preserve">27,01 </w:t>
            </w:r>
          </w:p>
        </w:tc>
        <w:tc>
          <w:tcPr>
            <w:tcW w:w="1393" w:type="dxa"/>
            <w:tcBorders>
              <w:top w:val="single" w:sz="2" w:space="0" w:color="auto"/>
              <w:left w:val="nil"/>
              <w:bottom w:val="single" w:sz="2" w:space="0" w:color="auto"/>
              <w:right w:val="nil"/>
            </w:tcBorders>
            <w:shd w:val="clear" w:color="auto" w:fill="auto"/>
            <w:vAlign w:val="center"/>
            <w:hideMark/>
          </w:tcPr>
          <w:p w14:paraId="65D5B042" w14:textId="1E333A65" w:rsidR="008C027D" w:rsidRPr="00933A7F" w:rsidRDefault="008C027D" w:rsidP="00E27795">
            <w:pPr>
              <w:pStyle w:val="cuatexto"/>
              <w:spacing w:line="240" w:lineRule="auto"/>
              <w:jc w:val="right"/>
              <w:rPr>
                <w:szCs w:val="20"/>
                <w:lang w:val="es-ES" w:eastAsia="es-ES"/>
              </w:rPr>
            </w:pPr>
            <w:r w:rsidRPr="00933A7F">
              <w:rPr>
                <w:szCs w:val="20"/>
                <w:lang w:val="es-ES" w:eastAsia="es-ES"/>
              </w:rPr>
              <w:t>7</w:t>
            </w:r>
          </w:p>
        </w:tc>
        <w:tc>
          <w:tcPr>
            <w:tcW w:w="1542" w:type="dxa"/>
            <w:tcBorders>
              <w:top w:val="single" w:sz="2" w:space="0" w:color="auto"/>
              <w:left w:val="nil"/>
              <w:bottom w:val="single" w:sz="2" w:space="0" w:color="auto"/>
              <w:right w:val="nil"/>
            </w:tcBorders>
            <w:shd w:val="clear" w:color="auto" w:fill="auto"/>
            <w:vAlign w:val="center"/>
            <w:hideMark/>
          </w:tcPr>
          <w:p w14:paraId="51D7B3CF" w14:textId="31A0E3A2" w:rsidR="008C027D" w:rsidRPr="00933A7F" w:rsidRDefault="008C027D" w:rsidP="00E27795">
            <w:pPr>
              <w:pStyle w:val="cuatexto"/>
              <w:spacing w:line="240" w:lineRule="auto"/>
              <w:jc w:val="right"/>
              <w:rPr>
                <w:szCs w:val="20"/>
              </w:rPr>
            </w:pPr>
            <w:r w:rsidRPr="00933A7F">
              <w:rPr>
                <w:szCs w:val="20"/>
              </w:rPr>
              <w:t xml:space="preserve">2,97 </w:t>
            </w:r>
          </w:p>
        </w:tc>
        <w:tc>
          <w:tcPr>
            <w:tcW w:w="1030" w:type="dxa"/>
            <w:tcBorders>
              <w:top w:val="single" w:sz="2" w:space="0" w:color="auto"/>
              <w:left w:val="nil"/>
              <w:bottom w:val="single" w:sz="2" w:space="0" w:color="auto"/>
              <w:right w:val="nil"/>
            </w:tcBorders>
            <w:shd w:val="clear" w:color="auto" w:fill="auto"/>
            <w:vAlign w:val="center"/>
            <w:hideMark/>
          </w:tcPr>
          <w:p w14:paraId="5B19F240" w14:textId="67216B86" w:rsidR="008C027D" w:rsidRPr="00933A7F" w:rsidRDefault="00F914F0" w:rsidP="00E27795">
            <w:pPr>
              <w:pStyle w:val="cuatexto"/>
              <w:spacing w:line="240" w:lineRule="auto"/>
              <w:jc w:val="right"/>
              <w:rPr>
                <w:szCs w:val="20"/>
                <w:lang w:val="es-ES" w:eastAsia="es-ES"/>
              </w:rPr>
            </w:pPr>
            <w:r w:rsidRPr="00933A7F">
              <w:rPr>
                <w:szCs w:val="20"/>
                <w:lang w:val="es-ES" w:eastAsia="es-ES"/>
              </w:rPr>
              <w:t>12</w:t>
            </w:r>
          </w:p>
        </w:tc>
      </w:tr>
      <w:tr w:rsidR="008C027D" w:rsidRPr="00933A7F" w14:paraId="3B083CB1"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064AF8E8" w14:textId="77777777" w:rsidR="008C027D" w:rsidRPr="00933A7F" w:rsidRDefault="008C027D" w:rsidP="00E27795">
            <w:pPr>
              <w:pStyle w:val="cuatexto"/>
              <w:spacing w:line="240" w:lineRule="auto"/>
              <w:rPr>
                <w:szCs w:val="20"/>
                <w:lang w:val="es-ES" w:eastAsia="es-ES"/>
              </w:rPr>
            </w:pPr>
            <w:proofErr w:type="gramStart"/>
            <w:r w:rsidRPr="00933A7F">
              <w:rPr>
                <w:szCs w:val="20"/>
                <w:lang w:val="es-ES" w:eastAsia="es-ES"/>
              </w:rPr>
              <w:t>45  Infraestructuras</w:t>
            </w:r>
            <w:proofErr w:type="gramEnd"/>
          </w:p>
        </w:tc>
        <w:tc>
          <w:tcPr>
            <w:tcW w:w="1655" w:type="dxa"/>
            <w:tcBorders>
              <w:top w:val="single" w:sz="2" w:space="0" w:color="auto"/>
              <w:left w:val="nil"/>
              <w:bottom w:val="single" w:sz="2" w:space="0" w:color="auto"/>
              <w:right w:val="nil"/>
            </w:tcBorders>
            <w:shd w:val="clear" w:color="auto" w:fill="auto"/>
            <w:vAlign w:val="center"/>
            <w:hideMark/>
          </w:tcPr>
          <w:p w14:paraId="053B9ADA" w14:textId="39E40C80" w:rsidR="008C027D" w:rsidRPr="00933A7F" w:rsidRDefault="008C027D" w:rsidP="00E27795">
            <w:pPr>
              <w:pStyle w:val="cuatexto"/>
              <w:spacing w:line="240" w:lineRule="auto"/>
              <w:jc w:val="right"/>
              <w:rPr>
                <w:szCs w:val="20"/>
              </w:rPr>
            </w:pPr>
            <w:r w:rsidRPr="00933A7F">
              <w:rPr>
                <w:szCs w:val="20"/>
              </w:rPr>
              <w:t xml:space="preserve">12,55 </w:t>
            </w:r>
          </w:p>
        </w:tc>
        <w:tc>
          <w:tcPr>
            <w:tcW w:w="1393" w:type="dxa"/>
            <w:tcBorders>
              <w:top w:val="single" w:sz="2" w:space="0" w:color="auto"/>
              <w:left w:val="nil"/>
              <w:bottom w:val="single" w:sz="2" w:space="0" w:color="auto"/>
              <w:right w:val="nil"/>
            </w:tcBorders>
            <w:shd w:val="clear" w:color="auto" w:fill="auto"/>
            <w:vAlign w:val="center"/>
            <w:hideMark/>
          </w:tcPr>
          <w:p w14:paraId="5AB04402" w14:textId="71EEBA5E" w:rsidR="008C027D" w:rsidRPr="00933A7F" w:rsidRDefault="008C027D" w:rsidP="00E27795">
            <w:pPr>
              <w:pStyle w:val="cuatexto"/>
              <w:spacing w:line="240" w:lineRule="auto"/>
              <w:jc w:val="right"/>
              <w:rPr>
                <w:szCs w:val="20"/>
                <w:lang w:val="es-ES" w:eastAsia="es-ES"/>
              </w:rPr>
            </w:pPr>
            <w:r w:rsidRPr="00933A7F">
              <w:rPr>
                <w:szCs w:val="20"/>
                <w:lang w:val="es-ES" w:eastAsia="es-ES"/>
              </w:rPr>
              <w:t>3</w:t>
            </w:r>
          </w:p>
        </w:tc>
        <w:tc>
          <w:tcPr>
            <w:tcW w:w="1542" w:type="dxa"/>
            <w:tcBorders>
              <w:top w:val="single" w:sz="2" w:space="0" w:color="auto"/>
              <w:left w:val="nil"/>
              <w:bottom w:val="single" w:sz="2" w:space="0" w:color="auto"/>
              <w:right w:val="nil"/>
            </w:tcBorders>
            <w:shd w:val="clear" w:color="auto" w:fill="auto"/>
            <w:vAlign w:val="center"/>
            <w:hideMark/>
          </w:tcPr>
          <w:p w14:paraId="372DDE03" w14:textId="3EA86C39" w:rsidR="008C027D" w:rsidRPr="00933A7F" w:rsidRDefault="00BC201A" w:rsidP="00E27795">
            <w:pPr>
              <w:pStyle w:val="cuatexto"/>
              <w:spacing w:line="240" w:lineRule="auto"/>
              <w:jc w:val="right"/>
              <w:rPr>
                <w:szCs w:val="20"/>
              </w:rPr>
            </w:pPr>
            <w:r w:rsidRPr="00933A7F">
              <w:rPr>
                <w:szCs w:val="20"/>
              </w:rPr>
              <w:t>-</w:t>
            </w:r>
            <w:r w:rsidR="008C027D" w:rsidRPr="00933A7F">
              <w:rPr>
                <w:szCs w:val="20"/>
              </w:rPr>
              <w:t xml:space="preserve"> 16,25 </w:t>
            </w:r>
          </w:p>
        </w:tc>
        <w:tc>
          <w:tcPr>
            <w:tcW w:w="1030" w:type="dxa"/>
            <w:tcBorders>
              <w:top w:val="single" w:sz="2" w:space="0" w:color="auto"/>
              <w:left w:val="nil"/>
              <w:bottom w:val="single" w:sz="2" w:space="0" w:color="auto"/>
              <w:right w:val="nil"/>
            </w:tcBorders>
            <w:shd w:val="clear" w:color="auto" w:fill="auto"/>
            <w:vAlign w:val="center"/>
            <w:hideMark/>
          </w:tcPr>
          <w:p w14:paraId="75AAF865" w14:textId="2E270D6B" w:rsidR="008C027D" w:rsidRPr="00933A7F" w:rsidRDefault="00F914F0" w:rsidP="00E27795">
            <w:pPr>
              <w:pStyle w:val="cuatexto"/>
              <w:spacing w:line="240" w:lineRule="auto"/>
              <w:jc w:val="right"/>
              <w:rPr>
                <w:szCs w:val="20"/>
                <w:lang w:val="es-ES" w:eastAsia="es-ES"/>
              </w:rPr>
            </w:pPr>
            <w:r w:rsidRPr="00933A7F">
              <w:rPr>
                <w:szCs w:val="20"/>
                <w:lang w:val="es-ES" w:eastAsia="es-ES"/>
              </w:rPr>
              <w:t>-56</w:t>
            </w:r>
          </w:p>
        </w:tc>
      </w:tr>
      <w:tr w:rsidR="008C027D" w:rsidRPr="00933A7F" w14:paraId="0A417765"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460D31D6" w14:textId="77777777" w:rsidR="008C027D" w:rsidRPr="00933A7F" w:rsidRDefault="008C027D" w:rsidP="00E27795">
            <w:pPr>
              <w:pStyle w:val="cuatexto"/>
              <w:spacing w:line="240" w:lineRule="auto"/>
              <w:rPr>
                <w:szCs w:val="20"/>
                <w:lang w:val="es-ES" w:eastAsia="es-ES"/>
              </w:rPr>
            </w:pPr>
            <w:proofErr w:type="gramStart"/>
            <w:r w:rsidRPr="00933A7F">
              <w:rPr>
                <w:szCs w:val="20"/>
                <w:lang w:val="es-ES" w:eastAsia="es-ES"/>
              </w:rPr>
              <w:t>44  Subvenciones</w:t>
            </w:r>
            <w:proofErr w:type="gramEnd"/>
            <w:r w:rsidRPr="00933A7F">
              <w:rPr>
                <w:szCs w:val="20"/>
                <w:lang w:val="es-ES" w:eastAsia="es-ES"/>
              </w:rPr>
              <w:t xml:space="preserve"> al transporte</w:t>
            </w:r>
          </w:p>
        </w:tc>
        <w:tc>
          <w:tcPr>
            <w:tcW w:w="1655" w:type="dxa"/>
            <w:tcBorders>
              <w:top w:val="single" w:sz="2" w:space="0" w:color="auto"/>
              <w:left w:val="nil"/>
              <w:bottom w:val="single" w:sz="2" w:space="0" w:color="auto"/>
              <w:right w:val="nil"/>
            </w:tcBorders>
            <w:shd w:val="clear" w:color="auto" w:fill="auto"/>
            <w:vAlign w:val="center"/>
            <w:hideMark/>
          </w:tcPr>
          <w:p w14:paraId="033DA8ED" w14:textId="0C44A407" w:rsidR="008C027D" w:rsidRPr="00933A7F" w:rsidRDefault="008C027D" w:rsidP="00E27795">
            <w:pPr>
              <w:pStyle w:val="cuatexto"/>
              <w:spacing w:line="240" w:lineRule="auto"/>
              <w:jc w:val="right"/>
              <w:rPr>
                <w:szCs w:val="20"/>
              </w:rPr>
            </w:pPr>
            <w:r w:rsidRPr="00933A7F">
              <w:rPr>
                <w:szCs w:val="20"/>
              </w:rPr>
              <w:t xml:space="preserve">11,35 </w:t>
            </w:r>
          </w:p>
        </w:tc>
        <w:tc>
          <w:tcPr>
            <w:tcW w:w="1393" w:type="dxa"/>
            <w:tcBorders>
              <w:top w:val="single" w:sz="2" w:space="0" w:color="auto"/>
              <w:left w:val="nil"/>
              <w:bottom w:val="single" w:sz="2" w:space="0" w:color="auto"/>
              <w:right w:val="nil"/>
            </w:tcBorders>
            <w:shd w:val="clear" w:color="auto" w:fill="auto"/>
            <w:vAlign w:val="center"/>
            <w:hideMark/>
          </w:tcPr>
          <w:p w14:paraId="6F8638D4" w14:textId="5586A516" w:rsidR="008C027D" w:rsidRPr="00933A7F" w:rsidRDefault="008C027D" w:rsidP="00E27795">
            <w:pPr>
              <w:pStyle w:val="cuatexto"/>
              <w:spacing w:line="240" w:lineRule="auto"/>
              <w:jc w:val="right"/>
              <w:rPr>
                <w:szCs w:val="20"/>
                <w:lang w:val="es-ES" w:eastAsia="es-ES"/>
              </w:rPr>
            </w:pPr>
            <w:r w:rsidRPr="00933A7F">
              <w:rPr>
                <w:szCs w:val="20"/>
                <w:lang w:val="es-ES" w:eastAsia="es-ES"/>
              </w:rPr>
              <w:t>3</w:t>
            </w:r>
          </w:p>
        </w:tc>
        <w:tc>
          <w:tcPr>
            <w:tcW w:w="1542" w:type="dxa"/>
            <w:tcBorders>
              <w:top w:val="single" w:sz="2" w:space="0" w:color="auto"/>
              <w:left w:val="nil"/>
              <w:bottom w:val="single" w:sz="2" w:space="0" w:color="auto"/>
              <w:right w:val="nil"/>
            </w:tcBorders>
            <w:shd w:val="clear" w:color="auto" w:fill="auto"/>
            <w:vAlign w:val="center"/>
            <w:hideMark/>
          </w:tcPr>
          <w:p w14:paraId="0B3F07B8" w14:textId="3C52946C" w:rsidR="008C027D" w:rsidRPr="00933A7F" w:rsidRDefault="008C027D" w:rsidP="00E27795">
            <w:pPr>
              <w:pStyle w:val="cuatexto"/>
              <w:spacing w:line="240" w:lineRule="auto"/>
              <w:jc w:val="right"/>
              <w:rPr>
                <w:szCs w:val="20"/>
              </w:rPr>
            </w:pPr>
            <w:r w:rsidRPr="00933A7F">
              <w:rPr>
                <w:szCs w:val="20"/>
              </w:rPr>
              <w:t xml:space="preserve">1,12 </w:t>
            </w:r>
          </w:p>
        </w:tc>
        <w:tc>
          <w:tcPr>
            <w:tcW w:w="1030" w:type="dxa"/>
            <w:tcBorders>
              <w:top w:val="single" w:sz="2" w:space="0" w:color="auto"/>
              <w:left w:val="nil"/>
              <w:bottom w:val="single" w:sz="2" w:space="0" w:color="auto"/>
              <w:right w:val="nil"/>
            </w:tcBorders>
            <w:shd w:val="clear" w:color="auto" w:fill="auto"/>
            <w:vAlign w:val="center"/>
            <w:hideMark/>
          </w:tcPr>
          <w:p w14:paraId="0C17DB37" w14:textId="1E67ACBA" w:rsidR="008C027D" w:rsidRPr="00933A7F" w:rsidRDefault="00F914F0" w:rsidP="00E27795">
            <w:pPr>
              <w:pStyle w:val="cuatexto"/>
              <w:spacing w:line="240" w:lineRule="auto"/>
              <w:jc w:val="right"/>
              <w:rPr>
                <w:szCs w:val="20"/>
                <w:lang w:val="es-ES" w:eastAsia="es-ES"/>
              </w:rPr>
            </w:pPr>
            <w:r w:rsidRPr="00933A7F">
              <w:rPr>
                <w:szCs w:val="20"/>
                <w:lang w:val="es-ES" w:eastAsia="es-ES"/>
              </w:rPr>
              <w:t>11</w:t>
            </w:r>
          </w:p>
        </w:tc>
      </w:tr>
      <w:tr w:rsidR="008C027D" w:rsidRPr="00933A7F" w14:paraId="3091E7FC"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0C8E09D4" w14:textId="77777777" w:rsidR="008C027D" w:rsidRPr="00933A7F" w:rsidRDefault="008C027D" w:rsidP="00E27795">
            <w:pPr>
              <w:pStyle w:val="cuatexto"/>
              <w:spacing w:line="240" w:lineRule="auto"/>
              <w:rPr>
                <w:szCs w:val="20"/>
                <w:lang w:val="es-ES" w:eastAsia="es-ES"/>
              </w:rPr>
            </w:pPr>
            <w:proofErr w:type="gramStart"/>
            <w:r w:rsidRPr="00933A7F">
              <w:rPr>
                <w:szCs w:val="20"/>
                <w:lang w:val="es-ES" w:eastAsia="es-ES"/>
              </w:rPr>
              <w:t>33  Cultura</w:t>
            </w:r>
            <w:proofErr w:type="gramEnd"/>
          </w:p>
        </w:tc>
        <w:tc>
          <w:tcPr>
            <w:tcW w:w="1655" w:type="dxa"/>
            <w:tcBorders>
              <w:top w:val="single" w:sz="2" w:space="0" w:color="auto"/>
              <w:left w:val="nil"/>
              <w:bottom w:val="single" w:sz="2" w:space="0" w:color="auto"/>
              <w:right w:val="nil"/>
            </w:tcBorders>
            <w:shd w:val="clear" w:color="auto" w:fill="auto"/>
            <w:vAlign w:val="center"/>
            <w:hideMark/>
          </w:tcPr>
          <w:p w14:paraId="401BBCF8" w14:textId="3941C6D8" w:rsidR="008C027D" w:rsidRPr="00933A7F" w:rsidRDefault="008C027D" w:rsidP="00E27795">
            <w:pPr>
              <w:pStyle w:val="cuatexto"/>
              <w:spacing w:line="240" w:lineRule="auto"/>
              <w:jc w:val="right"/>
              <w:rPr>
                <w:szCs w:val="20"/>
              </w:rPr>
            </w:pPr>
            <w:r w:rsidRPr="00933A7F">
              <w:rPr>
                <w:szCs w:val="20"/>
              </w:rPr>
              <w:t xml:space="preserve">6,39 </w:t>
            </w:r>
          </w:p>
        </w:tc>
        <w:tc>
          <w:tcPr>
            <w:tcW w:w="1393" w:type="dxa"/>
            <w:tcBorders>
              <w:top w:val="single" w:sz="2" w:space="0" w:color="auto"/>
              <w:left w:val="nil"/>
              <w:bottom w:val="single" w:sz="2" w:space="0" w:color="auto"/>
              <w:right w:val="nil"/>
            </w:tcBorders>
            <w:shd w:val="clear" w:color="auto" w:fill="auto"/>
            <w:vAlign w:val="center"/>
            <w:hideMark/>
          </w:tcPr>
          <w:p w14:paraId="032D3D5B" w14:textId="32EAE4CB" w:rsidR="008C027D" w:rsidRPr="00933A7F" w:rsidRDefault="008C027D" w:rsidP="00E27795">
            <w:pPr>
              <w:pStyle w:val="cuatexto"/>
              <w:spacing w:line="240" w:lineRule="auto"/>
              <w:jc w:val="right"/>
              <w:rPr>
                <w:szCs w:val="20"/>
                <w:lang w:val="es-ES" w:eastAsia="es-ES"/>
              </w:rPr>
            </w:pPr>
            <w:r w:rsidRPr="00933A7F">
              <w:rPr>
                <w:szCs w:val="20"/>
                <w:lang w:val="es-ES" w:eastAsia="es-ES"/>
              </w:rPr>
              <w:t>2</w:t>
            </w:r>
          </w:p>
        </w:tc>
        <w:tc>
          <w:tcPr>
            <w:tcW w:w="1542" w:type="dxa"/>
            <w:tcBorders>
              <w:top w:val="single" w:sz="2" w:space="0" w:color="auto"/>
              <w:left w:val="nil"/>
              <w:bottom w:val="single" w:sz="2" w:space="0" w:color="auto"/>
              <w:right w:val="nil"/>
            </w:tcBorders>
            <w:shd w:val="clear" w:color="auto" w:fill="auto"/>
            <w:vAlign w:val="center"/>
            <w:hideMark/>
          </w:tcPr>
          <w:p w14:paraId="79977591" w14:textId="098987A8" w:rsidR="008C027D" w:rsidRPr="00933A7F" w:rsidRDefault="00BC201A" w:rsidP="00E27795">
            <w:pPr>
              <w:pStyle w:val="cuatexto"/>
              <w:spacing w:line="240" w:lineRule="auto"/>
              <w:jc w:val="right"/>
              <w:rPr>
                <w:szCs w:val="20"/>
              </w:rPr>
            </w:pPr>
            <w:r w:rsidRPr="00933A7F">
              <w:rPr>
                <w:szCs w:val="20"/>
              </w:rPr>
              <w:t xml:space="preserve">- </w:t>
            </w:r>
            <w:r w:rsidR="008C027D" w:rsidRPr="00933A7F">
              <w:rPr>
                <w:szCs w:val="20"/>
              </w:rPr>
              <w:t xml:space="preserve">2,89 </w:t>
            </w:r>
          </w:p>
        </w:tc>
        <w:tc>
          <w:tcPr>
            <w:tcW w:w="1030" w:type="dxa"/>
            <w:tcBorders>
              <w:top w:val="single" w:sz="2" w:space="0" w:color="auto"/>
              <w:left w:val="nil"/>
              <w:bottom w:val="single" w:sz="2" w:space="0" w:color="auto"/>
              <w:right w:val="nil"/>
            </w:tcBorders>
            <w:shd w:val="clear" w:color="auto" w:fill="auto"/>
            <w:vAlign w:val="center"/>
            <w:hideMark/>
          </w:tcPr>
          <w:p w14:paraId="42862DA5" w14:textId="5F7B2E06" w:rsidR="008C027D" w:rsidRPr="00933A7F" w:rsidRDefault="00F914F0" w:rsidP="00E27795">
            <w:pPr>
              <w:pStyle w:val="cuatexto"/>
              <w:spacing w:line="240" w:lineRule="auto"/>
              <w:jc w:val="right"/>
              <w:rPr>
                <w:szCs w:val="20"/>
                <w:lang w:val="es-ES" w:eastAsia="es-ES"/>
              </w:rPr>
            </w:pPr>
            <w:r w:rsidRPr="00933A7F">
              <w:rPr>
                <w:szCs w:val="20"/>
                <w:lang w:val="es-ES" w:eastAsia="es-ES"/>
              </w:rPr>
              <w:t>-31</w:t>
            </w:r>
          </w:p>
        </w:tc>
      </w:tr>
      <w:tr w:rsidR="008C027D" w:rsidRPr="00933A7F" w14:paraId="19307DC4" w14:textId="77777777" w:rsidTr="004B1F4E">
        <w:trPr>
          <w:trHeight w:val="255"/>
        </w:trPr>
        <w:tc>
          <w:tcPr>
            <w:tcW w:w="3261" w:type="dxa"/>
            <w:tcBorders>
              <w:top w:val="single" w:sz="2" w:space="0" w:color="auto"/>
              <w:left w:val="nil"/>
              <w:bottom w:val="single" w:sz="4" w:space="0" w:color="000000"/>
              <w:right w:val="nil"/>
            </w:tcBorders>
            <w:shd w:val="clear" w:color="auto" w:fill="auto"/>
            <w:vAlign w:val="center"/>
            <w:hideMark/>
          </w:tcPr>
          <w:p w14:paraId="687D8E9A" w14:textId="77777777" w:rsidR="008C027D" w:rsidRPr="00933A7F" w:rsidRDefault="008C027D" w:rsidP="00E27795">
            <w:pPr>
              <w:pStyle w:val="cuatexto"/>
              <w:spacing w:line="240" w:lineRule="auto"/>
              <w:rPr>
                <w:szCs w:val="20"/>
                <w:lang w:val="es-ES" w:eastAsia="es-ES"/>
              </w:rPr>
            </w:pPr>
            <w:r w:rsidRPr="00933A7F">
              <w:rPr>
                <w:szCs w:val="20"/>
                <w:lang w:val="es-ES" w:eastAsia="es-ES"/>
              </w:rPr>
              <w:t xml:space="preserve">Resto </w:t>
            </w:r>
          </w:p>
        </w:tc>
        <w:tc>
          <w:tcPr>
            <w:tcW w:w="1655" w:type="dxa"/>
            <w:tcBorders>
              <w:top w:val="single" w:sz="2" w:space="0" w:color="auto"/>
              <w:left w:val="nil"/>
              <w:bottom w:val="single" w:sz="4" w:space="0" w:color="000000"/>
              <w:right w:val="nil"/>
            </w:tcBorders>
            <w:shd w:val="clear" w:color="auto" w:fill="auto"/>
            <w:vAlign w:val="center"/>
            <w:hideMark/>
          </w:tcPr>
          <w:p w14:paraId="33D4A4E7" w14:textId="77F9ED8F" w:rsidR="008C027D" w:rsidRPr="00933A7F" w:rsidRDefault="008C027D" w:rsidP="00E27795">
            <w:pPr>
              <w:pStyle w:val="cuatexto"/>
              <w:spacing w:line="240" w:lineRule="auto"/>
              <w:jc w:val="right"/>
              <w:rPr>
                <w:szCs w:val="20"/>
              </w:rPr>
            </w:pPr>
            <w:r w:rsidRPr="00933A7F">
              <w:rPr>
                <w:szCs w:val="20"/>
              </w:rPr>
              <w:t xml:space="preserve">16,64 </w:t>
            </w:r>
          </w:p>
        </w:tc>
        <w:tc>
          <w:tcPr>
            <w:tcW w:w="1393" w:type="dxa"/>
            <w:tcBorders>
              <w:top w:val="single" w:sz="2" w:space="0" w:color="auto"/>
              <w:left w:val="nil"/>
              <w:bottom w:val="single" w:sz="4" w:space="0" w:color="000000"/>
              <w:right w:val="nil"/>
            </w:tcBorders>
            <w:shd w:val="clear" w:color="auto" w:fill="auto"/>
            <w:vAlign w:val="center"/>
            <w:hideMark/>
          </w:tcPr>
          <w:p w14:paraId="7FC70E87" w14:textId="2D530E0A" w:rsidR="008C027D" w:rsidRPr="00933A7F" w:rsidRDefault="008C027D" w:rsidP="00E27795">
            <w:pPr>
              <w:pStyle w:val="cuatexto"/>
              <w:spacing w:line="240" w:lineRule="auto"/>
              <w:jc w:val="right"/>
              <w:rPr>
                <w:szCs w:val="20"/>
                <w:lang w:val="es-ES" w:eastAsia="es-ES"/>
              </w:rPr>
            </w:pPr>
            <w:r w:rsidRPr="00933A7F">
              <w:rPr>
                <w:szCs w:val="20"/>
                <w:lang w:val="es-ES" w:eastAsia="es-ES"/>
              </w:rPr>
              <w:t>4</w:t>
            </w:r>
          </w:p>
        </w:tc>
        <w:tc>
          <w:tcPr>
            <w:tcW w:w="1542" w:type="dxa"/>
            <w:tcBorders>
              <w:top w:val="single" w:sz="2" w:space="0" w:color="auto"/>
              <w:left w:val="nil"/>
              <w:bottom w:val="single" w:sz="4" w:space="0" w:color="000000"/>
              <w:right w:val="nil"/>
            </w:tcBorders>
            <w:shd w:val="clear" w:color="auto" w:fill="auto"/>
            <w:vAlign w:val="center"/>
            <w:hideMark/>
          </w:tcPr>
          <w:p w14:paraId="12853E5E" w14:textId="72A4CEFC" w:rsidR="008C027D" w:rsidRPr="00933A7F" w:rsidRDefault="008C027D" w:rsidP="00E27795">
            <w:pPr>
              <w:pStyle w:val="cuatexto"/>
              <w:spacing w:line="240" w:lineRule="auto"/>
              <w:jc w:val="right"/>
              <w:rPr>
                <w:szCs w:val="20"/>
              </w:rPr>
            </w:pPr>
            <w:r w:rsidRPr="00933A7F">
              <w:rPr>
                <w:szCs w:val="20"/>
              </w:rPr>
              <w:t xml:space="preserve">4,23 </w:t>
            </w:r>
          </w:p>
        </w:tc>
        <w:tc>
          <w:tcPr>
            <w:tcW w:w="1030" w:type="dxa"/>
            <w:tcBorders>
              <w:top w:val="single" w:sz="2" w:space="0" w:color="auto"/>
              <w:left w:val="nil"/>
              <w:bottom w:val="single" w:sz="4" w:space="0" w:color="000000"/>
              <w:right w:val="nil"/>
            </w:tcBorders>
            <w:shd w:val="clear" w:color="auto" w:fill="auto"/>
            <w:vAlign w:val="center"/>
            <w:hideMark/>
          </w:tcPr>
          <w:p w14:paraId="1CB6503A" w14:textId="017C151A" w:rsidR="008C027D" w:rsidRPr="00933A7F" w:rsidRDefault="00F914F0" w:rsidP="00E27795">
            <w:pPr>
              <w:pStyle w:val="cuatexto"/>
              <w:spacing w:line="240" w:lineRule="auto"/>
              <w:jc w:val="right"/>
              <w:rPr>
                <w:szCs w:val="20"/>
                <w:lang w:val="es-ES" w:eastAsia="es-ES"/>
              </w:rPr>
            </w:pPr>
            <w:r w:rsidRPr="00933A7F">
              <w:rPr>
                <w:szCs w:val="20"/>
                <w:lang w:val="es-ES" w:eastAsia="es-ES"/>
              </w:rPr>
              <w:t>34</w:t>
            </w:r>
          </w:p>
        </w:tc>
      </w:tr>
      <w:tr w:rsidR="008C027D" w:rsidRPr="00E27795" w14:paraId="3FF47CEA" w14:textId="77777777" w:rsidTr="004B1F4E">
        <w:trPr>
          <w:trHeight w:val="255"/>
        </w:trPr>
        <w:tc>
          <w:tcPr>
            <w:tcW w:w="3261" w:type="dxa"/>
            <w:tcBorders>
              <w:top w:val="single" w:sz="4" w:space="0" w:color="000000"/>
              <w:left w:val="nil"/>
              <w:bottom w:val="single" w:sz="4" w:space="0" w:color="000000"/>
              <w:right w:val="nil"/>
            </w:tcBorders>
            <w:shd w:val="clear" w:color="auto" w:fill="FABF8F" w:themeFill="accent6" w:themeFillTint="99"/>
            <w:vAlign w:val="center"/>
            <w:hideMark/>
          </w:tcPr>
          <w:p w14:paraId="7455809F" w14:textId="77777777" w:rsidR="008C027D" w:rsidRPr="00E27795" w:rsidRDefault="008C027D" w:rsidP="00E27795">
            <w:pPr>
              <w:pStyle w:val="cuadroCabe"/>
              <w:spacing w:line="240" w:lineRule="auto"/>
              <w:rPr>
                <w:sz w:val="16"/>
                <w:szCs w:val="16"/>
              </w:rPr>
            </w:pPr>
            <w:r w:rsidRPr="00E27795">
              <w:rPr>
                <w:sz w:val="16"/>
                <w:szCs w:val="16"/>
              </w:rPr>
              <w:t> </w:t>
            </w:r>
          </w:p>
        </w:tc>
        <w:tc>
          <w:tcPr>
            <w:tcW w:w="1655" w:type="dxa"/>
            <w:tcBorders>
              <w:top w:val="single" w:sz="4" w:space="0" w:color="000000"/>
              <w:left w:val="nil"/>
              <w:bottom w:val="single" w:sz="4" w:space="0" w:color="000000"/>
              <w:right w:val="nil"/>
            </w:tcBorders>
            <w:shd w:val="clear" w:color="auto" w:fill="FABF8F" w:themeFill="accent6" w:themeFillTint="99"/>
            <w:vAlign w:val="center"/>
            <w:hideMark/>
          </w:tcPr>
          <w:p w14:paraId="0F344B5A" w14:textId="50D2BF3E" w:rsidR="008C027D" w:rsidRPr="00E27795" w:rsidRDefault="008C027D" w:rsidP="00E27795">
            <w:pPr>
              <w:pStyle w:val="cuadroCabe"/>
              <w:spacing w:line="240" w:lineRule="auto"/>
              <w:jc w:val="right"/>
              <w:rPr>
                <w:sz w:val="16"/>
                <w:szCs w:val="16"/>
              </w:rPr>
            </w:pPr>
            <w:r w:rsidRPr="00E27795">
              <w:rPr>
                <w:sz w:val="16"/>
                <w:szCs w:val="16"/>
              </w:rPr>
              <w:t xml:space="preserve">397,01 </w:t>
            </w:r>
          </w:p>
        </w:tc>
        <w:tc>
          <w:tcPr>
            <w:tcW w:w="1393" w:type="dxa"/>
            <w:tcBorders>
              <w:top w:val="single" w:sz="4" w:space="0" w:color="000000"/>
              <w:left w:val="nil"/>
              <w:bottom w:val="single" w:sz="4" w:space="0" w:color="000000"/>
              <w:right w:val="nil"/>
            </w:tcBorders>
            <w:shd w:val="clear" w:color="auto" w:fill="FABF8F" w:themeFill="accent6" w:themeFillTint="99"/>
            <w:vAlign w:val="center"/>
            <w:hideMark/>
          </w:tcPr>
          <w:p w14:paraId="643B6B46" w14:textId="41D84F42" w:rsidR="008C027D" w:rsidRPr="00E27795" w:rsidRDefault="008C027D" w:rsidP="00E27795">
            <w:pPr>
              <w:pStyle w:val="cuadroCabe"/>
              <w:spacing w:line="240" w:lineRule="auto"/>
              <w:jc w:val="right"/>
              <w:rPr>
                <w:sz w:val="16"/>
                <w:szCs w:val="16"/>
              </w:rPr>
            </w:pPr>
            <w:r w:rsidRPr="00E27795">
              <w:rPr>
                <w:sz w:val="16"/>
                <w:szCs w:val="16"/>
              </w:rPr>
              <w:t>100</w:t>
            </w:r>
          </w:p>
        </w:tc>
        <w:tc>
          <w:tcPr>
            <w:tcW w:w="1542" w:type="dxa"/>
            <w:tcBorders>
              <w:top w:val="single" w:sz="4" w:space="0" w:color="000000"/>
              <w:left w:val="nil"/>
              <w:bottom w:val="single" w:sz="4" w:space="0" w:color="000000"/>
              <w:right w:val="nil"/>
            </w:tcBorders>
            <w:shd w:val="clear" w:color="auto" w:fill="FABF8F" w:themeFill="accent6" w:themeFillTint="99"/>
            <w:vAlign w:val="center"/>
            <w:hideMark/>
          </w:tcPr>
          <w:p w14:paraId="568F4361" w14:textId="109537E4" w:rsidR="008C027D" w:rsidRPr="00E27795" w:rsidRDefault="008C027D" w:rsidP="00E27795">
            <w:pPr>
              <w:pStyle w:val="cuadroCabe"/>
              <w:spacing w:line="240" w:lineRule="auto"/>
              <w:jc w:val="right"/>
              <w:rPr>
                <w:sz w:val="16"/>
                <w:szCs w:val="16"/>
              </w:rPr>
            </w:pPr>
            <w:r w:rsidRPr="00E27795">
              <w:rPr>
                <w:sz w:val="16"/>
                <w:szCs w:val="16"/>
              </w:rPr>
              <w:t xml:space="preserve">16,89 </w:t>
            </w:r>
          </w:p>
        </w:tc>
        <w:tc>
          <w:tcPr>
            <w:tcW w:w="1030" w:type="dxa"/>
            <w:tcBorders>
              <w:top w:val="single" w:sz="4" w:space="0" w:color="000000"/>
              <w:left w:val="nil"/>
              <w:bottom w:val="single" w:sz="4" w:space="0" w:color="000000"/>
              <w:right w:val="nil"/>
            </w:tcBorders>
            <w:shd w:val="clear" w:color="auto" w:fill="FABF8F" w:themeFill="accent6" w:themeFillTint="99"/>
            <w:vAlign w:val="center"/>
            <w:hideMark/>
          </w:tcPr>
          <w:p w14:paraId="5118D01B" w14:textId="2A8EC5E3" w:rsidR="008C027D" w:rsidRPr="00E27795" w:rsidRDefault="00F914F0" w:rsidP="00E27795">
            <w:pPr>
              <w:pStyle w:val="cuadroCabe"/>
              <w:spacing w:line="240" w:lineRule="auto"/>
              <w:jc w:val="right"/>
              <w:rPr>
                <w:sz w:val="16"/>
                <w:szCs w:val="16"/>
              </w:rPr>
            </w:pPr>
            <w:r w:rsidRPr="00E27795">
              <w:rPr>
                <w:sz w:val="16"/>
                <w:szCs w:val="16"/>
              </w:rPr>
              <w:t>4</w:t>
            </w:r>
          </w:p>
        </w:tc>
      </w:tr>
    </w:tbl>
    <w:p w14:paraId="2169066F" w14:textId="1ACA0B50" w:rsidR="00345C6C" w:rsidRPr="00EF0883" w:rsidRDefault="00345C6C" w:rsidP="00136925">
      <w:pPr>
        <w:pStyle w:val="Ttulo2"/>
        <w:rPr>
          <w:szCs w:val="25"/>
        </w:rPr>
      </w:pPr>
      <w:bookmarkStart w:id="75" w:name="_Toc465686689"/>
      <w:bookmarkStart w:id="76" w:name="_Toc529773883"/>
      <w:bookmarkStart w:id="77" w:name="_Toc24100144"/>
      <w:bookmarkStart w:id="78" w:name="_Toc52348292"/>
      <w:bookmarkStart w:id="79" w:name="_Toc88727717"/>
      <w:bookmarkStart w:id="80" w:name="_Toc123724201"/>
      <w:r w:rsidRPr="00EF0883">
        <w:rPr>
          <w:szCs w:val="25"/>
        </w:rPr>
        <w:t>V</w:t>
      </w:r>
      <w:r w:rsidR="004B35F2" w:rsidRPr="00EF0883">
        <w:rPr>
          <w:szCs w:val="25"/>
        </w:rPr>
        <w:t>I</w:t>
      </w:r>
      <w:r w:rsidRPr="00EF0883">
        <w:rPr>
          <w:szCs w:val="25"/>
        </w:rPr>
        <w:t>.2. Gastos</w:t>
      </w:r>
      <w:bookmarkEnd w:id="75"/>
      <w:bookmarkEnd w:id="76"/>
      <w:bookmarkEnd w:id="77"/>
      <w:bookmarkEnd w:id="78"/>
      <w:bookmarkEnd w:id="79"/>
      <w:bookmarkEnd w:id="80"/>
    </w:p>
    <w:p w14:paraId="5528999A" w14:textId="77777777" w:rsidR="00345C6C" w:rsidRPr="00B81E61" w:rsidRDefault="00345C6C" w:rsidP="004B1F4E">
      <w:pPr>
        <w:pStyle w:val="texto"/>
        <w:spacing w:after="0"/>
        <w:rPr>
          <w:color w:val="000000" w:themeColor="text1"/>
        </w:rPr>
      </w:pPr>
      <w:r w:rsidRPr="00B81E61">
        <w:rPr>
          <w:color w:val="000000" w:themeColor="text1"/>
        </w:rPr>
        <w:t xml:space="preserve">Se presenta a continuación un </w:t>
      </w:r>
      <w:r w:rsidR="009F50C6">
        <w:rPr>
          <w:color w:val="000000" w:themeColor="text1"/>
        </w:rPr>
        <w:t>resumen de la ejecución del presupuesto de gastos</w:t>
      </w:r>
      <w:r w:rsidRPr="00B81E61">
        <w:rPr>
          <w:color w:val="000000" w:themeColor="text1"/>
        </w:rPr>
        <w:t xml:space="preserve"> del sector público local en 2</w:t>
      </w:r>
      <w:r w:rsidR="009F50C6">
        <w:rPr>
          <w:color w:val="000000" w:themeColor="text1"/>
        </w:rPr>
        <w:t>020</w:t>
      </w:r>
      <w:r w:rsidRPr="00B81E61">
        <w:rPr>
          <w:color w:val="000000" w:themeColor="text1"/>
        </w:rPr>
        <w:t>:</w:t>
      </w:r>
    </w:p>
    <w:p w14:paraId="11999B84" w14:textId="58C4B9A7" w:rsidR="00345C6C" w:rsidRPr="0003647B" w:rsidRDefault="00CF0526" w:rsidP="0003647B">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03647B">
        <w:rPr>
          <w:rFonts w:ascii="Arial Narrow" w:hAnsi="Arial Narrow"/>
          <w:color w:val="000000" w:themeColor="text1"/>
          <w:sz w:val="18"/>
          <w:szCs w:val="18"/>
        </w:rPr>
        <w:t>Millones</w:t>
      </w:r>
      <w:r>
        <w:rPr>
          <w:rFonts w:ascii="Arial Narrow" w:hAnsi="Arial Narrow"/>
          <w:color w:val="000000" w:themeColor="text1"/>
          <w:sz w:val="18"/>
          <w:szCs w:val="18"/>
        </w:rPr>
        <w:t>)</w:t>
      </w:r>
      <w:r w:rsidR="0003647B">
        <w:rPr>
          <w:rFonts w:ascii="Arial Narrow" w:hAnsi="Arial Narrow"/>
          <w:color w:val="000000" w:themeColor="text1"/>
          <w:sz w:val="18"/>
          <w:szCs w:val="18"/>
        </w:rPr>
        <w:t xml:space="preserve"> </w:t>
      </w:r>
    </w:p>
    <w:tbl>
      <w:tblPr>
        <w:tblW w:w="4999" w:type="pct"/>
        <w:tblLayout w:type="fixed"/>
        <w:tblCellMar>
          <w:left w:w="70" w:type="dxa"/>
          <w:right w:w="70" w:type="dxa"/>
        </w:tblCellMar>
        <w:tblLook w:val="04A0" w:firstRow="1" w:lastRow="0" w:firstColumn="1" w:lastColumn="0" w:noHBand="0" w:noVBand="1"/>
      </w:tblPr>
      <w:tblGrid>
        <w:gridCol w:w="2500"/>
        <w:gridCol w:w="1159"/>
        <w:gridCol w:w="1019"/>
        <w:gridCol w:w="995"/>
        <w:gridCol w:w="954"/>
        <w:gridCol w:w="1174"/>
        <w:gridCol w:w="986"/>
      </w:tblGrid>
      <w:tr w:rsidR="0003647B" w:rsidRPr="00E27795" w14:paraId="3C90D61E" w14:textId="77777777" w:rsidTr="004B1F4E">
        <w:trPr>
          <w:trHeight w:val="255"/>
        </w:trPr>
        <w:tc>
          <w:tcPr>
            <w:tcW w:w="1422" w:type="pct"/>
            <w:tcBorders>
              <w:top w:val="single" w:sz="4" w:space="0" w:color="000000"/>
              <w:left w:val="nil"/>
              <w:bottom w:val="single" w:sz="4" w:space="0" w:color="000000"/>
              <w:right w:val="nil"/>
            </w:tcBorders>
            <w:shd w:val="clear" w:color="auto" w:fill="FABF8F" w:themeFill="accent6" w:themeFillTint="99"/>
            <w:vAlign w:val="center"/>
            <w:hideMark/>
          </w:tcPr>
          <w:p w14:paraId="4CEFC003" w14:textId="77777777" w:rsidR="009F50C6" w:rsidRPr="00E27795" w:rsidRDefault="009F50C6" w:rsidP="00E27795">
            <w:pPr>
              <w:pStyle w:val="cuadroCabe"/>
              <w:spacing w:line="240" w:lineRule="auto"/>
              <w:jc w:val="left"/>
              <w:rPr>
                <w:sz w:val="16"/>
                <w:szCs w:val="16"/>
              </w:rPr>
            </w:pPr>
            <w:r w:rsidRPr="00E27795">
              <w:rPr>
                <w:sz w:val="16"/>
                <w:szCs w:val="16"/>
              </w:rPr>
              <w:t>Capítulo</w:t>
            </w:r>
          </w:p>
        </w:tc>
        <w:tc>
          <w:tcPr>
            <w:tcW w:w="659" w:type="pct"/>
            <w:tcBorders>
              <w:top w:val="single" w:sz="4" w:space="0" w:color="000000"/>
              <w:left w:val="nil"/>
              <w:bottom w:val="single" w:sz="4" w:space="0" w:color="000000"/>
              <w:right w:val="nil"/>
            </w:tcBorders>
            <w:shd w:val="clear" w:color="auto" w:fill="FABF8F" w:themeFill="accent6" w:themeFillTint="99"/>
            <w:vAlign w:val="center"/>
            <w:hideMark/>
          </w:tcPr>
          <w:p w14:paraId="728D6168" w14:textId="77777777" w:rsidR="0003647B" w:rsidRPr="00E27795" w:rsidRDefault="009F50C6" w:rsidP="00E27795">
            <w:pPr>
              <w:pStyle w:val="cuadroCabe"/>
              <w:spacing w:line="240" w:lineRule="auto"/>
              <w:jc w:val="right"/>
              <w:rPr>
                <w:sz w:val="16"/>
                <w:szCs w:val="16"/>
              </w:rPr>
            </w:pPr>
            <w:r w:rsidRPr="00E27795">
              <w:rPr>
                <w:sz w:val="16"/>
                <w:szCs w:val="16"/>
              </w:rPr>
              <w:t xml:space="preserve">Créditos </w:t>
            </w:r>
          </w:p>
          <w:p w14:paraId="24A6219C" w14:textId="65C931EE" w:rsidR="009F50C6" w:rsidRPr="00E27795" w:rsidRDefault="009F50C6" w:rsidP="00E27795">
            <w:pPr>
              <w:pStyle w:val="cuadroCabe"/>
              <w:spacing w:line="240" w:lineRule="auto"/>
              <w:jc w:val="right"/>
              <w:rPr>
                <w:sz w:val="16"/>
                <w:szCs w:val="16"/>
              </w:rPr>
            </w:pPr>
            <w:r w:rsidRPr="00E27795">
              <w:rPr>
                <w:sz w:val="16"/>
                <w:szCs w:val="16"/>
              </w:rPr>
              <w:t>definitivos</w:t>
            </w:r>
          </w:p>
        </w:tc>
        <w:tc>
          <w:tcPr>
            <w:tcW w:w="580" w:type="pct"/>
            <w:tcBorders>
              <w:top w:val="single" w:sz="4" w:space="0" w:color="000000"/>
              <w:left w:val="nil"/>
              <w:bottom w:val="single" w:sz="4" w:space="0" w:color="000000"/>
              <w:right w:val="nil"/>
            </w:tcBorders>
            <w:shd w:val="clear" w:color="auto" w:fill="FABF8F" w:themeFill="accent6" w:themeFillTint="99"/>
            <w:vAlign w:val="center"/>
            <w:hideMark/>
          </w:tcPr>
          <w:p w14:paraId="14643471" w14:textId="77777777" w:rsidR="009F50C6" w:rsidRPr="00E27795" w:rsidRDefault="009F50C6" w:rsidP="00E27795">
            <w:pPr>
              <w:pStyle w:val="cuadroCabe"/>
              <w:spacing w:line="240" w:lineRule="auto"/>
              <w:jc w:val="right"/>
              <w:rPr>
                <w:sz w:val="16"/>
                <w:szCs w:val="16"/>
              </w:rPr>
            </w:pPr>
            <w:r w:rsidRPr="00E27795">
              <w:rPr>
                <w:sz w:val="16"/>
                <w:szCs w:val="16"/>
              </w:rPr>
              <w:t>ORN 2020</w:t>
            </w:r>
          </w:p>
        </w:tc>
        <w:tc>
          <w:tcPr>
            <w:tcW w:w="566" w:type="pct"/>
            <w:tcBorders>
              <w:top w:val="single" w:sz="4" w:space="0" w:color="000000"/>
              <w:left w:val="nil"/>
              <w:bottom w:val="single" w:sz="4" w:space="0" w:color="000000"/>
              <w:right w:val="nil"/>
            </w:tcBorders>
            <w:shd w:val="clear" w:color="auto" w:fill="FABF8F" w:themeFill="accent6" w:themeFillTint="99"/>
            <w:vAlign w:val="center"/>
            <w:hideMark/>
          </w:tcPr>
          <w:p w14:paraId="633C9390" w14:textId="77777777" w:rsidR="009F50C6" w:rsidRPr="00E27795" w:rsidRDefault="009F50C6" w:rsidP="00E27795">
            <w:pPr>
              <w:pStyle w:val="cuadroCabe"/>
              <w:spacing w:line="240" w:lineRule="auto"/>
              <w:jc w:val="right"/>
              <w:rPr>
                <w:sz w:val="16"/>
                <w:szCs w:val="16"/>
              </w:rPr>
            </w:pPr>
            <w:r w:rsidRPr="00E27795">
              <w:rPr>
                <w:sz w:val="16"/>
                <w:szCs w:val="16"/>
              </w:rPr>
              <w:t>% s/ total gastos</w:t>
            </w:r>
          </w:p>
        </w:tc>
        <w:tc>
          <w:tcPr>
            <w:tcW w:w="543" w:type="pct"/>
            <w:tcBorders>
              <w:top w:val="single" w:sz="4" w:space="0" w:color="000000"/>
              <w:left w:val="nil"/>
              <w:bottom w:val="single" w:sz="4" w:space="0" w:color="000000"/>
              <w:right w:val="nil"/>
            </w:tcBorders>
            <w:shd w:val="clear" w:color="auto" w:fill="FABF8F" w:themeFill="accent6" w:themeFillTint="99"/>
            <w:vAlign w:val="center"/>
            <w:hideMark/>
          </w:tcPr>
          <w:p w14:paraId="25F5E437" w14:textId="77777777" w:rsidR="009F50C6" w:rsidRPr="00E27795" w:rsidRDefault="009F50C6" w:rsidP="00E27795">
            <w:pPr>
              <w:pStyle w:val="cuadroCabe"/>
              <w:spacing w:line="240" w:lineRule="auto"/>
              <w:jc w:val="right"/>
              <w:rPr>
                <w:sz w:val="16"/>
                <w:szCs w:val="16"/>
              </w:rPr>
            </w:pPr>
            <w:r w:rsidRPr="00E27795">
              <w:rPr>
                <w:sz w:val="16"/>
                <w:szCs w:val="16"/>
              </w:rPr>
              <w:t>%</w:t>
            </w:r>
            <w:r w:rsidRPr="00E27795">
              <w:rPr>
                <w:sz w:val="16"/>
                <w:szCs w:val="16"/>
              </w:rPr>
              <w:br/>
              <w:t>ejecución</w:t>
            </w:r>
          </w:p>
        </w:tc>
        <w:tc>
          <w:tcPr>
            <w:tcW w:w="668" w:type="pct"/>
            <w:tcBorders>
              <w:top w:val="single" w:sz="4" w:space="0" w:color="000000"/>
              <w:left w:val="nil"/>
              <w:bottom w:val="single" w:sz="4" w:space="0" w:color="000000"/>
              <w:right w:val="nil"/>
            </w:tcBorders>
            <w:shd w:val="clear" w:color="auto" w:fill="FABF8F" w:themeFill="accent6" w:themeFillTint="99"/>
            <w:vAlign w:val="center"/>
          </w:tcPr>
          <w:p w14:paraId="6540D0D8" w14:textId="2A1D5473" w:rsidR="009F50C6" w:rsidRPr="00E27795" w:rsidRDefault="009F50C6" w:rsidP="00E27795">
            <w:pPr>
              <w:pStyle w:val="cuadroCabe"/>
              <w:spacing w:line="240" w:lineRule="auto"/>
              <w:jc w:val="right"/>
              <w:rPr>
                <w:sz w:val="16"/>
                <w:szCs w:val="16"/>
              </w:rPr>
            </w:pPr>
            <w:r w:rsidRPr="00E27795">
              <w:rPr>
                <w:sz w:val="16"/>
                <w:szCs w:val="16"/>
              </w:rPr>
              <w:t>Var</w:t>
            </w:r>
            <w:r w:rsidR="00E27795">
              <w:rPr>
                <w:sz w:val="16"/>
                <w:szCs w:val="16"/>
              </w:rPr>
              <w:t>.</w:t>
            </w:r>
            <w:r w:rsidRPr="00E27795">
              <w:rPr>
                <w:sz w:val="16"/>
                <w:szCs w:val="16"/>
              </w:rPr>
              <w:t xml:space="preserve"> DRN 2020</w:t>
            </w:r>
            <w:r w:rsidR="002A2B5E" w:rsidRPr="00E27795">
              <w:rPr>
                <w:sz w:val="16"/>
                <w:szCs w:val="16"/>
              </w:rPr>
              <w:t>/</w:t>
            </w:r>
            <w:r w:rsidRPr="00E27795">
              <w:rPr>
                <w:sz w:val="16"/>
                <w:szCs w:val="16"/>
              </w:rPr>
              <w:t>19</w:t>
            </w:r>
          </w:p>
        </w:tc>
        <w:tc>
          <w:tcPr>
            <w:tcW w:w="561" w:type="pct"/>
            <w:tcBorders>
              <w:top w:val="single" w:sz="4" w:space="0" w:color="000000"/>
              <w:left w:val="nil"/>
              <w:bottom w:val="single" w:sz="4" w:space="0" w:color="000000"/>
              <w:right w:val="nil"/>
            </w:tcBorders>
            <w:shd w:val="clear" w:color="auto" w:fill="FABF8F" w:themeFill="accent6" w:themeFillTint="99"/>
            <w:vAlign w:val="center"/>
          </w:tcPr>
          <w:p w14:paraId="0298D786" w14:textId="734FDCCC" w:rsidR="009F50C6" w:rsidRPr="00E27795" w:rsidRDefault="009F50C6" w:rsidP="00E27795">
            <w:pPr>
              <w:pStyle w:val="cuadroCabe"/>
              <w:spacing w:line="240" w:lineRule="auto"/>
              <w:jc w:val="right"/>
              <w:rPr>
                <w:sz w:val="16"/>
                <w:szCs w:val="16"/>
              </w:rPr>
            </w:pPr>
            <w:r w:rsidRPr="00E27795">
              <w:rPr>
                <w:sz w:val="16"/>
                <w:szCs w:val="16"/>
              </w:rPr>
              <w:t>%</w:t>
            </w:r>
            <w:r w:rsidR="00E27795">
              <w:rPr>
                <w:sz w:val="16"/>
                <w:szCs w:val="16"/>
              </w:rPr>
              <w:t xml:space="preserve"> V</w:t>
            </w:r>
            <w:r w:rsidRPr="00E27795">
              <w:rPr>
                <w:sz w:val="16"/>
                <w:szCs w:val="16"/>
              </w:rPr>
              <w:t>ar.</w:t>
            </w:r>
            <w:r w:rsidR="00B72304" w:rsidRPr="00E27795">
              <w:rPr>
                <w:sz w:val="16"/>
                <w:szCs w:val="16"/>
              </w:rPr>
              <w:t xml:space="preserve"> 2020/2019</w:t>
            </w:r>
          </w:p>
        </w:tc>
      </w:tr>
      <w:tr w:rsidR="009F50C6" w:rsidRPr="00933A7F" w14:paraId="20799F41" w14:textId="77777777" w:rsidTr="004B1F4E">
        <w:trPr>
          <w:trHeight w:val="255"/>
        </w:trPr>
        <w:tc>
          <w:tcPr>
            <w:tcW w:w="1422" w:type="pct"/>
            <w:tcBorders>
              <w:top w:val="single" w:sz="4" w:space="0" w:color="000000"/>
              <w:left w:val="nil"/>
              <w:bottom w:val="single" w:sz="2" w:space="0" w:color="auto"/>
            </w:tcBorders>
            <w:shd w:val="clear" w:color="auto" w:fill="auto"/>
            <w:vAlign w:val="center"/>
            <w:hideMark/>
          </w:tcPr>
          <w:p w14:paraId="1B731DB6" w14:textId="6EA6D1D2" w:rsidR="009F50C6" w:rsidRPr="00933A7F" w:rsidRDefault="0003647B" w:rsidP="00E27795">
            <w:pPr>
              <w:pStyle w:val="cuatexto"/>
              <w:spacing w:line="240" w:lineRule="auto"/>
              <w:rPr>
                <w:color w:val="000000" w:themeColor="text1"/>
                <w:sz w:val="19"/>
                <w:szCs w:val="19"/>
                <w:lang w:val="es-ES" w:eastAsia="es-ES"/>
              </w:rPr>
            </w:pPr>
            <w:r w:rsidRPr="00933A7F">
              <w:rPr>
                <w:color w:val="000000" w:themeColor="text1"/>
                <w:sz w:val="19"/>
                <w:szCs w:val="19"/>
                <w:lang w:val="es-ES" w:eastAsia="es-ES"/>
              </w:rPr>
              <w:t xml:space="preserve">1 </w:t>
            </w:r>
            <w:r w:rsidR="009F50C6" w:rsidRPr="00933A7F">
              <w:rPr>
                <w:color w:val="000000" w:themeColor="text1"/>
                <w:sz w:val="19"/>
                <w:szCs w:val="19"/>
                <w:lang w:val="es-ES" w:eastAsia="es-ES"/>
              </w:rPr>
              <w:t>Gastos de personal</w:t>
            </w:r>
          </w:p>
        </w:tc>
        <w:tc>
          <w:tcPr>
            <w:tcW w:w="659" w:type="pct"/>
            <w:tcBorders>
              <w:top w:val="single" w:sz="4" w:space="0" w:color="auto"/>
              <w:left w:val="nil"/>
              <w:bottom w:val="single" w:sz="2" w:space="0" w:color="auto"/>
              <w:right w:val="nil"/>
            </w:tcBorders>
            <w:shd w:val="clear" w:color="auto" w:fill="auto"/>
            <w:vAlign w:val="center"/>
            <w:hideMark/>
          </w:tcPr>
          <w:p w14:paraId="2A478D4F" w14:textId="77777777" w:rsidR="009F50C6" w:rsidRPr="00933A7F" w:rsidRDefault="009F50C6" w:rsidP="00E27795">
            <w:pPr>
              <w:spacing w:after="0"/>
              <w:ind w:firstLine="0"/>
              <w:jc w:val="right"/>
              <w:rPr>
                <w:rFonts w:ascii="Arial Narrow" w:hAnsi="Arial Narrow" w:cs="Calibri"/>
                <w:sz w:val="19"/>
                <w:szCs w:val="19"/>
                <w:lang w:val="es-ES" w:eastAsia="es-ES"/>
              </w:rPr>
            </w:pPr>
            <w:r w:rsidRPr="00933A7F">
              <w:rPr>
                <w:rFonts w:ascii="Arial Narrow" w:hAnsi="Arial Narrow" w:cs="Calibri"/>
                <w:sz w:val="19"/>
                <w:szCs w:val="19"/>
              </w:rPr>
              <w:t>323,74</w:t>
            </w:r>
          </w:p>
        </w:tc>
        <w:tc>
          <w:tcPr>
            <w:tcW w:w="580" w:type="pct"/>
            <w:tcBorders>
              <w:top w:val="single" w:sz="4" w:space="0" w:color="auto"/>
              <w:left w:val="nil"/>
              <w:bottom w:val="single" w:sz="2" w:space="0" w:color="auto"/>
              <w:right w:val="nil"/>
            </w:tcBorders>
            <w:shd w:val="clear" w:color="auto" w:fill="auto"/>
            <w:vAlign w:val="center"/>
            <w:hideMark/>
          </w:tcPr>
          <w:p w14:paraId="1604E066"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310,96</w:t>
            </w:r>
          </w:p>
        </w:tc>
        <w:tc>
          <w:tcPr>
            <w:tcW w:w="566" w:type="pct"/>
            <w:tcBorders>
              <w:top w:val="single" w:sz="4" w:space="0" w:color="auto"/>
              <w:left w:val="nil"/>
              <w:bottom w:val="single" w:sz="2" w:space="0" w:color="auto"/>
              <w:right w:val="nil"/>
            </w:tcBorders>
            <w:shd w:val="clear" w:color="auto" w:fill="auto"/>
            <w:vAlign w:val="center"/>
            <w:hideMark/>
          </w:tcPr>
          <w:p w14:paraId="54217495" w14:textId="77777777" w:rsidR="009F50C6" w:rsidRPr="00933A7F" w:rsidRDefault="009F50C6" w:rsidP="00E27795">
            <w:pPr>
              <w:spacing w:after="0"/>
              <w:ind w:hanging="77"/>
              <w:jc w:val="right"/>
              <w:rPr>
                <w:rFonts w:ascii="Arial Narrow" w:hAnsi="Arial Narrow" w:cs="Calibri"/>
                <w:sz w:val="19"/>
                <w:szCs w:val="19"/>
              </w:rPr>
            </w:pPr>
            <w:r w:rsidRPr="00933A7F">
              <w:rPr>
                <w:rFonts w:ascii="Arial Narrow" w:hAnsi="Arial Narrow" w:cs="Calibri"/>
                <w:sz w:val="19"/>
                <w:szCs w:val="19"/>
              </w:rPr>
              <w:t>38,9</w:t>
            </w:r>
          </w:p>
        </w:tc>
        <w:tc>
          <w:tcPr>
            <w:tcW w:w="543" w:type="pct"/>
            <w:tcBorders>
              <w:top w:val="single" w:sz="4" w:space="0" w:color="auto"/>
              <w:left w:val="nil"/>
              <w:bottom w:val="single" w:sz="2" w:space="0" w:color="auto"/>
              <w:right w:val="nil"/>
            </w:tcBorders>
            <w:shd w:val="clear" w:color="auto" w:fill="auto"/>
            <w:vAlign w:val="center"/>
            <w:hideMark/>
          </w:tcPr>
          <w:p w14:paraId="22825591"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96</w:t>
            </w:r>
          </w:p>
        </w:tc>
        <w:tc>
          <w:tcPr>
            <w:tcW w:w="668" w:type="pct"/>
            <w:tcBorders>
              <w:top w:val="single" w:sz="4" w:space="0" w:color="auto"/>
              <w:left w:val="nil"/>
              <w:bottom w:val="single" w:sz="2" w:space="0" w:color="auto"/>
              <w:right w:val="nil"/>
            </w:tcBorders>
            <w:shd w:val="clear" w:color="auto" w:fill="auto"/>
            <w:vAlign w:val="center"/>
          </w:tcPr>
          <w:p w14:paraId="7D19628E" w14:textId="77777777" w:rsidR="009F50C6" w:rsidRPr="00933A7F" w:rsidRDefault="009F50C6" w:rsidP="00E27795">
            <w:pPr>
              <w:spacing w:after="0"/>
              <w:ind w:firstLine="0"/>
              <w:jc w:val="right"/>
              <w:rPr>
                <w:rFonts w:ascii="Arial Narrow" w:hAnsi="Arial Narrow" w:cs="Arial"/>
                <w:sz w:val="19"/>
                <w:szCs w:val="19"/>
                <w:lang w:val="es-ES" w:eastAsia="es-ES"/>
              </w:rPr>
            </w:pPr>
            <w:r w:rsidRPr="00933A7F">
              <w:rPr>
                <w:rFonts w:ascii="Arial Narrow" w:hAnsi="Arial Narrow" w:cs="Arial"/>
                <w:sz w:val="19"/>
                <w:szCs w:val="19"/>
              </w:rPr>
              <w:t>12</w:t>
            </w:r>
          </w:p>
        </w:tc>
        <w:tc>
          <w:tcPr>
            <w:tcW w:w="561" w:type="pct"/>
            <w:tcBorders>
              <w:top w:val="single" w:sz="4" w:space="0" w:color="auto"/>
              <w:left w:val="nil"/>
              <w:bottom w:val="single" w:sz="2" w:space="0" w:color="auto"/>
              <w:right w:val="nil"/>
            </w:tcBorders>
            <w:vAlign w:val="center"/>
          </w:tcPr>
          <w:p w14:paraId="51E6DB58" w14:textId="77777777" w:rsidR="009F50C6" w:rsidRPr="00933A7F" w:rsidRDefault="009F50C6" w:rsidP="00E27795">
            <w:pPr>
              <w:spacing w:after="0"/>
              <w:ind w:firstLine="0"/>
              <w:jc w:val="right"/>
              <w:rPr>
                <w:rFonts w:ascii="Arial Narrow" w:hAnsi="Arial Narrow" w:cs="Calibri"/>
                <w:sz w:val="19"/>
                <w:szCs w:val="19"/>
                <w:lang w:val="es-ES" w:eastAsia="es-ES"/>
              </w:rPr>
            </w:pPr>
            <w:r w:rsidRPr="00933A7F">
              <w:rPr>
                <w:rFonts w:ascii="Arial Narrow" w:hAnsi="Arial Narrow" w:cs="Calibri"/>
                <w:sz w:val="19"/>
                <w:szCs w:val="19"/>
              </w:rPr>
              <w:t>4</w:t>
            </w:r>
          </w:p>
        </w:tc>
      </w:tr>
      <w:tr w:rsidR="009F50C6" w:rsidRPr="00933A7F" w14:paraId="1C04FC21"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74DF43BF" w14:textId="2A69730E" w:rsidR="009F50C6" w:rsidRPr="00933A7F" w:rsidRDefault="0003647B" w:rsidP="00E27795">
            <w:pPr>
              <w:pStyle w:val="cuatexto"/>
              <w:spacing w:line="240" w:lineRule="auto"/>
              <w:rPr>
                <w:color w:val="000000" w:themeColor="text1"/>
                <w:sz w:val="19"/>
                <w:szCs w:val="19"/>
                <w:lang w:val="es-ES" w:eastAsia="es-ES"/>
              </w:rPr>
            </w:pPr>
            <w:r w:rsidRPr="00933A7F">
              <w:rPr>
                <w:color w:val="000000" w:themeColor="text1"/>
                <w:sz w:val="19"/>
                <w:szCs w:val="19"/>
                <w:lang w:val="es-ES" w:eastAsia="es-ES"/>
              </w:rPr>
              <w:t>2</w:t>
            </w:r>
            <w:r w:rsidR="009F50C6" w:rsidRPr="00933A7F">
              <w:rPr>
                <w:color w:val="000000" w:themeColor="text1"/>
                <w:sz w:val="19"/>
                <w:szCs w:val="19"/>
                <w:lang w:val="es-ES" w:eastAsia="es-ES"/>
              </w:rPr>
              <w:t xml:space="preserve"> Gastos corrientes en bienes y servicios</w:t>
            </w:r>
          </w:p>
        </w:tc>
        <w:tc>
          <w:tcPr>
            <w:tcW w:w="659" w:type="pct"/>
            <w:tcBorders>
              <w:top w:val="single" w:sz="2" w:space="0" w:color="auto"/>
              <w:left w:val="nil"/>
              <w:bottom w:val="single" w:sz="2" w:space="0" w:color="auto"/>
              <w:right w:val="nil"/>
            </w:tcBorders>
            <w:shd w:val="clear" w:color="auto" w:fill="auto"/>
            <w:vAlign w:val="center"/>
            <w:hideMark/>
          </w:tcPr>
          <w:p w14:paraId="3436ED00"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298,95</w:t>
            </w:r>
          </w:p>
        </w:tc>
        <w:tc>
          <w:tcPr>
            <w:tcW w:w="580" w:type="pct"/>
            <w:tcBorders>
              <w:top w:val="single" w:sz="2" w:space="0" w:color="auto"/>
              <w:left w:val="nil"/>
              <w:bottom w:val="single" w:sz="2" w:space="0" w:color="auto"/>
              <w:right w:val="nil"/>
            </w:tcBorders>
            <w:shd w:val="clear" w:color="auto" w:fill="auto"/>
            <w:vAlign w:val="center"/>
            <w:hideMark/>
          </w:tcPr>
          <w:p w14:paraId="3A2EE128"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255,79</w:t>
            </w:r>
          </w:p>
        </w:tc>
        <w:tc>
          <w:tcPr>
            <w:tcW w:w="566" w:type="pct"/>
            <w:tcBorders>
              <w:top w:val="single" w:sz="2" w:space="0" w:color="auto"/>
              <w:left w:val="nil"/>
              <w:bottom w:val="single" w:sz="2" w:space="0" w:color="auto"/>
              <w:right w:val="nil"/>
            </w:tcBorders>
            <w:shd w:val="clear" w:color="auto" w:fill="auto"/>
            <w:vAlign w:val="center"/>
            <w:hideMark/>
          </w:tcPr>
          <w:p w14:paraId="3380924D" w14:textId="77777777" w:rsidR="009F50C6" w:rsidRPr="00933A7F" w:rsidRDefault="009F50C6" w:rsidP="00E27795">
            <w:pPr>
              <w:spacing w:after="0"/>
              <w:ind w:hanging="77"/>
              <w:jc w:val="right"/>
              <w:rPr>
                <w:rFonts w:ascii="Arial Narrow" w:hAnsi="Arial Narrow" w:cs="Calibri"/>
                <w:sz w:val="19"/>
                <w:szCs w:val="19"/>
              </w:rPr>
            </w:pPr>
            <w:r w:rsidRPr="00933A7F">
              <w:rPr>
                <w:rFonts w:ascii="Arial Narrow" w:hAnsi="Arial Narrow" w:cs="Calibri"/>
                <w:sz w:val="19"/>
                <w:szCs w:val="19"/>
              </w:rPr>
              <w:t>32,0</w:t>
            </w:r>
          </w:p>
        </w:tc>
        <w:tc>
          <w:tcPr>
            <w:tcW w:w="543" w:type="pct"/>
            <w:tcBorders>
              <w:top w:val="single" w:sz="2" w:space="0" w:color="auto"/>
              <w:left w:val="nil"/>
              <w:bottom w:val="single" w:sz="2" w:space="0" w:color="auto"/>
              <w:right w:val="nil"/>
            </w:tcBorders>
            <w:shd w:val="clear" w:color="auto" w:fill="auto"/>
            <w:vAlign w:val="center"/>
            <w:hideMark/>
          </w:tcPr>
          <w:p w14:paraId="6679547C"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86</w:t>
            </w:r>
          </w:p>
        </w:tc>
        <w:tc>
          <w:tcPr>
            <w:tcW w:w="668" w:type="pct"/>
            <w:tcBorders>
              <w:top w:val="single" w:sz="2" w:space="0" w:color="auto"/>
              <w:left w:val="nil"/>
              <w:bottom w:val="single" w:sz="2" w:space="0" w:color="auto"/>
              <w:right w:val="nil"/>
            </w:tcBorders>
            <w:shd w:val="clear" w:color="auto" w:fill="auto"/>
            <w:vAlign w:val="center"/>
          </w:tcPr>
          <w:p w14:paraId="57AB01F2" w14:textId="77777777" w:rsidR="009F50C6" w:rsidRPr="00933A7F" w:rsidRDefault="009F50C6" w:rsidP="00E27795">
            <w:pPr>
              <w:spacing w:after="0"/>
              <w:ind w:firstLine="0"/>
              <w:jc w:val="right"/>
              <w:rPr>
                <w:rFonts w:ascii="Arial Narrow" w:hAnsi="Arial Narrow" w:cs="Arial"/>
                <w:sz w:val="19"/>
                <w:szCs w:val="19"/>
              </w:rPr>
            </w:pPr>
            <w:r w:rsidRPr="00933A7F">
              <w:rPr>
                <w:rFonts w:ascii="Arial Narrow" w:hAnsi="Arial Narrow" w:cs="Arial"/>
                <w:sz w:val="19"/>
                <w:szCs w:val="19"/>
              </w:rPr>
              <w:t>-27</w:t>
            </w:r>
          </w:p>
        </w:tc>
        <w:tc>
          <w:tcPr>
            <w:tcW w:w="561" w:type="pct"/>
            <w:tcBorders>
              <w:top w:val="single" w:sz="2" w:space="0" w:color="auto"/>
              <w:left w:val="nil"/>
              <w:bottom w:val="single" w:sz="2" w:space="0" w:color="auto"/>
              <w:right w:val="nil"/>
            </w:tcBorders>
            <w:vAlign w:val="center"/>
          </w:tcPr>
          <w:p w14:paraId="56768624"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-10</w:t>
            </w:r>
          </w:p>
        </w:tc>
      </w:tr>
      <w:tr w:rsidR="009F50C6" w:rsidRPr="00933A7F" w14:paraId="5967452D"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06494ACB" w14:textId="7FFA0361" w:rsidR="009F50C6" w:rsidRPr="00933A7F" w:rsidRDefault="0003647B" w:rsidP="00E27795">
            <w:pPr>
              <w:pStyle w:val="cuatexto"/>
              <w:spacing w:line="240" w:lineRule="auto"/>
              <w:rPr>
                <w:color w:val="000000" w:themeColor="text1"/>
                <w:sz w:val="19"/>
                <w:szCs w:val="19"/>
                <w:lang w:val="es-ES" w:eastAsia="es-ES"/>
              </w:rPr>
            </w:pPr>
            <w:r w:rsidRPr="00933A7F">
              <w:rPr>
                <w:color w:val="000000" w:themeColor="text1"/>
                <w:sz w:val="19"/>
                <w:szCs w:val="19"/>
                <w:lang w:val="es-ES" w:eastAsia="es-ES"/>
              </w:rPr>
              <w:t xml:space="preserve">3 </w:t>
            </w:r>
            <w:r w:rsidR="009F50C6" w:rsidRPr="00933A7F">
              <w:rPr>
                <w:color w:val="000000" w:themeColor="text1"/>
                <w:sz w:val="19"/>
                <w:szCs w:val="19"/>
                <w:lang w:val="es-ES" w:eastAsia="es-ES"/>
              </w:rPr>
              <w:t>Gastos financieros</w:t>
            </w:r>
          </w:p>
        </w:tc>
        <w:tc>
          <w:tcPr>
            <w:tcW w:w="659" w:type="pct"/>
            <w:tcBorders>
              <w:top w:val="single" w:sz="2" w:space="0" w:color="auto"/>
              <w:left w:val="nil"/>
              <w:bottom w:val="single" w:sz="2" w:space="0" w:color="auto"/>
              <w:right w:val="nil"/>
            </w:tcBorders>
            <w:shd w:val="clear" w:color="auto" w:fill="auto"/>
            <w:vAlign w:val="center"/>
            <w:hideMark/>
          </w:tcPr>
          <w:p w14:paraId="44C70831"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2,48</w:t>
            </w:r>
          </w:p>
        </w:tc>
        <w:tc>
          <w:tcPr>
            <w:tcW w:w="580" w:type="pct"/>
            <w:tcBorders>
              <w:top w:val="single" w:sz="2" w:space="0" w:color="auto"/>
              <w:left w:val="nil"/>
              <w:bottom w:val="single" w:sz="2" w:space="0" w:color="auto"/>
              <w:right w:val="nil"/>
            </w:tcBorders>
            <w:shd w:val="clear" w:color="auto" w:fill="auto"/>
            <w:vAlign w:val="center"/>
            <w:hideMark/>
          </w:tcPr>
          <w:p w14:paraId="22920D5B"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1,78</w:t>
            </w:r>
          </w:p>
        </w:tc>
        <w:tc>
          <w:tcPr>
            <w:tcW w:w="566" w:type="pct"/>
            <w:tcBorders>
              <w:top w:val="single" w:sz="2" w:space="0" w:color="auto"/>
              <w:left w:val="nil"/>
              <w:bottom w:val="single" w:sz="2" w:space="0" w:color="auto"/>
              <w:right w:val="nil"/>
            </w:tcBorders>
            <w:shd w:val="clear" w:color="auto" w:fill="auto"/>
            <w:vAlign w:val="center"/>
            <w:hideMark/>
          </w:tcPr>
          <w:p w14:paraId="58170F75" w14:textId="77777777" w:rsidR="009F50C6" w:rsidRPr="00933A7F" w:rsidRDefault="009F50C6" w:rsidP="00E27795">
            <w:pPr>
              <w:spacing w:after="0"/>
              <w:ind w:hanging="77"/>
              <w:jc w:val="right"/>
              <w:rPr>
                <w:rFonts w:ascii="Arial Narrow" w:hAnsi="Arial Narrow" w:cs="Calibri"/>
                <w:sz w:val="19"/>
                <w:szCs w:val="19"/>
              </w:rPr>
            </w:pPr>
            <w:r w:rsidRPr="00933A7F">
              <w:rPr>
                <w:rFonts w:ascii="Arial Narrow" w:hAnsi="Arial Narrow" w:cs="Calibri"/>
                <w:sz w:val="19"/>
                <w:szCs w:val="19"/>
              </w:rPr>
              <w:t>0,2</w:t>
            </w:r>
          </w:p>
        </w:tc>
        <w:tc>
          <w:tcPr>
            <w:tcW w:w="543" w:type="pct"/>
            <w:tcBorders>
              <w:top w:val="single" w:sz="2" w:space="0" w:color="auto"/>
              <w:left w:val="nil"/>
              <w:bottom w:val="single" w:sz="2" w:space="0" w:color="auto"/>
              <w:right w:val="nil"/>
            </w:tcBorders>
            <w:shd w:val="clear" w:color="auto" w:fill="auto"/>
            <w:vAlign w:val="center"/>
            <w:hideMark/>
          </w:tcPr>
          <w:p w14:paraId="07B8EC93"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72</w:t>
            </w:r>
          </w:p>
        </w:tc>
        <w:tc>
          <w:tcPr>
            <w:tcW w:w="668" w:type="pct"/>
            <w:tcBorders>
              <w:top w:val="single" w:sz="2" w:space="0" w:color="auto"/>
              <w:left w:val="nil"/>
              <w:bottom w:val="single" w:sz="2" w:space="0" w:color="auto"/>
              <w:right w:val="nil"/>
            </w:tcBorders>
            <w:shd w:val="clear" w:color="auto" w:fill="auto"/>
            <w:vAlign w:val="center"/>
          </w:tcPr>
          <w:p w14:paraId="5C587A8C" w14:textId="77777777" w:rsidR="009F50C6" w:rsidRPr="00933A7F" w:rsidRDefault="009F50C6" w:rsidP="00E27795">
            <w:pPr>
              <w:spacing w:after="0"/>
              <w:ind w:firstLine="0"/>
              <w:jc w:val="right"/>
              <w:rPr>
                <w:rFonts w:ascii="Arial Narrow" w:hAnsi="Arial Narrow" w:cs="Arial"/>
                <w:sz w:val="19"/>
                <w:szCs w:val="19"/>
              </w:rPr>
            </w:pPr>
            <w:r w:rsidRPr="00933A7F">
              <w:rPr>
                <w:rFonts w:ascii="Arial Narrow" w:hAnsi="Arial Narrow" w:cs="Arial"/>
                <w:sz w:val="19"/>
                <w:szCs w:val="19"/>
              </w:rPr>
              <w:t>0</w:t>
            </w:r>
          </w:p>
        </w:tc>
        <w:tc>
          <w:tcPr>
            <w:tcW w:w="561" w:type="pct"/>
            <w:tcBorders>
              <w:top w:val="single" w:sz="2" w:space="0" w:color="auto"/>
              <w:left w:val="nil"/>
              <w:bottom w:val="single" w:sz="2" w:space="0" w:color="auto"/>
              <w:right w:val="nil"/>
            </w:tcBorders>
            <w:vAlign w:val="center"/>
          </w:tcPr>
          <w:p w14:paraId="49624113"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9</w:t>
            </w:r>
          </w:p>
        </w:tc>
      </w:tr>
      <w:tr w:rsidR="009F50C6" w:rsidRPr="00933A7F" w14:paraId="232FA96D"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69D5AFEE" w14:textId="7353B724" w:rsidR="009F50C6" w:rsidRPr="00933A7F" w:rsidRDefault="0003647B" w:rsidP="00E27795">
            <w:pPr>
              <w:pStyle w:val="cuatexto"/>
              <w:spacing w:line="240" w:lineRule="auto"/>
              <w:rPr>
                <w:color w:val="000000" w:themeColor="text1"/>
                <w:sz w:val="19"/>
                <w:szCs w:val="19"/>
                <w:lang w:val="es-ES" w:eastAsia="es-ES"/>
              </w:rPr>
            </w:pPr>
            <w:r w:rsidRPr="00933A7F">
              <w:rPr>
                <w:color w:val="000000" w:themeColor="text1"/>
                <w:sz w:val="19"/>
                <w:szCs w:val="19"/>
                <w:lang w:val="es-ES" w:eastAsia="es-ES"/>
              </w:rPr>
              <w:t xml:space="preserve">4 </w:t>
            </w:r>
            <w:r w:rsidR="009F50C6" w:rsidRPr="00933A7F">
              <w:rPr>
                <w:color w:val="000000" w:themeColor="text1"/>
                <w:sz w:val="19"/>
                <w:szCs w:val="19"/>
                <w:lang w:val="es-ES" w:eastAsia="es-ES"/>
              </w:rPr>
              <w:t>Transferencias corrientes</w:t>
            </w:r>
          </w:p>
        </w:tc>
        <w:tc>
          <w:tcPr>
            <w:tcW w:w="659" w:type="pct"/>
            <w:tcBorders>
              <w:top w:val="single" w:sz="2" w:space="0" w:color="auto"/>
              <w:left w:val="nil"/>
              <w:bottom w:val="single" w:sz="2" w:space="0" w:color="auto"/>
              <w:right w:val="nil"/>
            </w:tcBorders>
            <w:shd w:val="clear" w:color="auto" w:fill="auto"/>
            <w:vAlign w:val="center"/>
            <w:hideMark/>
          </w:tcPr>
          <w:p w14:paraId="45CB1C78"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86,18</w:t>
            </w:r>
          </w:p>
        </w:tc>
        <w:tc>
          <w:tcPr>
            <w:tcW w:w="580" w:type="pct"/>
            <w:tcBorders>
              <w:top w:val="single" w:sz="2" w:space="0" w:color="auto"/>
              <w:left w:val="nil"/>
              <w:bottom w:val="single" w:sz="2" w:space="0" w:color="auto"/>
              <w:right w:val="nil"/>
            </w:tcBorders>
            <w:shd w:val="clear" w:color="auto" w:fill="auto"/>
            <w:vAlign w:val="center"/>
            <w:hideMark/>
          </w:tcPr>
          <w:p w14:paraId="1C100DB9"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76,43</w:t>
            </w:r>
          </w:p>
        </w:tc>
        <w:tc>
          <w:tcPr>
            <w:tcW w:w="566" w:type="pct"/>
            <w:tcBorders>
              <w:top w:val="single" w:sz="2" w:space="0" w:color="auto"/>
              <w:left w:val="nil"/>
              <w:bottom w:val="single" w:sz="2" w:space="0" w:color="auto"/>
              <w:right w:val="nil"/>
            </w:tcBorders>
            <w:shd w:val="clear" w:color="auto" w:fill="auto"/>
            <w:vAlign w:val="center"/>
            <w:hideMark/>
          </w:tcPr>
          <w:p w14:paraId="2EEB3BCA" w14:textId="77777777" w:rsidR="009F50C6" w:rsidRPr="00933A7F" w:rsidRDefault="009F50C6" w:rsidP="00E27795">
            <w:pPr>
              <w:spacing w:after="0"/>
              <w:ind w:hanging="77"/>
              <w:jc w:val="right"/>
              <w:rPr>
                <w:rFonts w:ascii="Arial Narrow" w:hAnsi="Arial Narrow" w:cs="Calibri"/>
                <w:sz w:val="19"/>
                <w:szCs w:val="19"/>
              </w:rPr>
            </w:pPr>
            <w:r w:rsidRPr="00933A7F">
              <w:rPr>
                <w:rFonts w:ascii="Arial Narrow" w:hAnsi="Arial Narrow" w:cs="Calibri"/>
                <w:sz w:val="19"/>
                <w:szCs w:val="19"/>
              </w:rPr>
              <w:t>9,6</w:t>
            </w:r>
          </w:p>
        </w:tc>
        <w:tc>
          <w:tcPr>
            <w:tcW w:w="543" w:type="pct"/>
            <w:tcBorders>
              <w:top w:val="single" w:sz="2" w:space="0" w:color="auto"/>
              <w:left w:val="nil"/>
              <w:bottom w:val="single" w:sz="2" w:space="0" w:color="auto"/>
              <w:right w:val="nil"/>
            </w:tcBorders>
            <w:shd w:val="clear" w:color="auto" w:fill="auto"/>
            <w:vAlign w:val="center"/>
            <w:hideMark/>
          </w:tcPr>
          <w:p w14:paraId="11617619"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89</w:t>
            </w:r>
          </w:p>
        </w:tc>
        <w:tc>
          <w:tcPr>
            <w:tcW w:w="668" w:type="pct"/>
            <w:tcBorders>
              <w:top w:val="single" w:sz="2" w:space="0" w:color="auto"/>
              <w:left w:val="nil"/>
              <w:bottom w:val="single" w:sz="2" w:space="0" w:color="auto"/>
              <w:right w:val="nil"/>
            </w:tcBorders>
            <w:shd w:val="clear" w:color="auto" w:fill="auto"/>
            <w:vAlign w:val="center"/>
          </w:tcPr>
          <w:p w14:paraId="62FC5C05" w14:textId="77777777" w:rsidR="009F50C6" w:rsidRPr="00933A7F" w:rsidRDefault="009F50C6" w:rsidP="00E27795">
            <w:pPr>
              <w:spacing w:after="0"/>
              <w:ind w:firstLine="0"/>
              <w:jc w:val="right"/>
              <w:rPr>
                <w:rFonts w:ascii="Arial Narrow" w:hAnsi="Arial Narrow" w:cs="Arial"/>
                <w:sz w:val="19"/>
                <w:szCs w:val="19"/>
              </w:rPr>
            </w:pPr>
            <w:r w:rsidRPr="00933A7F">
              <w:rPr>
                <w:rFonts w:ascii="Arial Narrow" w:hAnsi="Arial Narrow" w:cs="Arial"/>
                <w:sz w:val="19"/>
                <w:szCs w:val="19"/>
              </w:rPr>
              <w:t>5</w:t>
            </w:r>
          </w:p>
        </w:tc>
        <w:tc>
          <w:tcPr>
            <w:tcW w:w="561" w:type="pct"/>
            <w:tcBorders>
              <w:top w:val="single" w:sz="2" w:space="0" w:color="auto"/>
              <w:left w:val="nil"/>
              <w:bottom w:val="single" w:sz="2" w:space="0" w:color="auto"/>
              <w:right w:val="nil"/>
            </w:tcBorders>
            <w:vAlign w:val="center"/>
          </w:tcPr>
          <w:p w14:paraId="06631BD7"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6</w:t>
            </w:r>
          </w:p>
        </w:tc>
      </w:tr>
      <w:tr w:rsidR="009F50C6" w:rsidRPr="00933A7F" w14:paraId="72304480"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7683756A" w14:textId="63DC81C4" w:rsidR="009F50C6" w:rsidRPr="00933A7F" w:rsidRDefault="009F50C6" w:rsidP="00E27795">
            <w:pPr>
              <w:pStyle w:val="cuatexto"/>
              <w:spacing w:line="240" w:lineRule="auto"/>
              <w:rPr>
                <w:b/>
                <w:i/>
                <w:iCs/>
                <w:color w:val="000000" w:themeColor="text1"/>
                <w:sz w:val="19"/>
                <w:szCs w:val="19"/>
                <w:lang w:val="es-ES" w:eastAsia="es-ES"/>
              </w:rPr>
            </w:pPr>
            <w:r w:rsidRPr="00933A7F">
              <w:rPr>
                <w:b/>
                <w:i/>
                <w:iCs/>
                <w:color w:val="000000" w:themeColor="text1"/>
                <w:sz w:val="19"/>
                <w:szCs w:val="19"/>
                <w:lang w:val="es-ES" w:eastAsia="es-ES"/>
              </w:rPr>
              <w:t>Operaciones corrientes</w:t>
            </w:r>
          </w:p>
        </w:tc>
        <w:tc>
          <w:tcPr>
            <w:tcW w:w="659" w:type="pct"/>
            <w:tcBorders>
              <w:top w:val="single" w:sz="2" w:space="0" w:color="auto"/>
              <w:left w:val="nil"/>
              <w:bottom w:val="single" w:sz="2" w:space="0" w:color="auto"/>
              <w:right w:val="nil"/>
            </w:tcBorders>
            <w:shd w:val="clear" w:color="auto" w:fill="auto"/>
            <w:vAlign w:val="center"/>
            <w:hideMark/>
          </w:tcPr>
          <w:p w14:paraId="2C3C53E7"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711,35</w:t>
            </w:r>
          </w:p>
        </w:tc>
        <w:tc>
          <w:tcPr>
            <w:tcW w:w="580" w:type="pct"/>
            <w:tcBorders>
              <w:top w:val="single" w:sz="2" w:space="0" w:color="auto"/>
              <w:left w:val="nil"/>
              <w:bottom w:val="single" w:sz="2" w:space="0" w:color="auto"/>
              <w:right w:val="nil"/>
            </w:tcBorders>
            <w:shd w:val="clear" w:color="auto" w:fill="auto"/>
            <w:vAlign w:val="center"/>
            <w:hideMark/>
          </w:tcPr>
          <w:p w14:paraId="216B8A14"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644,95</w:t>
            </w:r>
          </w:p>
        </w:tc>
        <w:tc>
          <w:tcPr>
            <w:tcW w:w="566" w:type="pct"/>
            <w:tcBorders>
              <w:top w:val="single" w:sz="2" w:space="0" w:color="auto"/>
              <w:left w:val="nil"/>
              <w:bottom w:val="single" w:sz="2" w:space="0" w:color="auto"/>
              <w:right w:val="nil"/>
            </w:tcBorders>
            <w:shd w:val="clear" w:color="auto" w:fill="auto"/>
            <w:vAlign w:val="center"/>
            <w:hideMark/>
          </w:tcPr>
          <w:p w14:paraId="359CEDD8" w14:textId="77777777" w:rsidR="009F50C6" w:rsidRPr="00933A7F" w:rsidRDefault="009F50C6" w:rsidP="00E27795">
            <w:pPr>
              <w:spacing w:after="0"/>
              <w:ind w:hanging="77"/>
              <w:jc w:val="right"/>
              <w:rPr>
                <w:rFonts w:ascii="Arial Narrow" w:hAnsi="Arial Narrow" w:cs="Calibri"/>
                <w:b/>
                <w:bCs/>
                <w:i/>
                <w:iCs/>
                <w:sz w:val="19"/>
                <w:szCs w:val="19"/>
              </w:rPr>
            </w:pPr>
            <w:r w:rsidRPr="00933A7F">
              <w:rPr>
                <w:rFonts w:ascii="Arial Narrow" w:hAnsi="Arial Narrow" w:cs="Calibri"/>
                <w:b/>
                <w:bCs/>
                <w:i/>
                <w:iCs/>
                <w:sz w:val="19"/>
                <w:szCs w:val="19"/>
              </w:rPr>
              <w:t>80,7</w:t>
            </w:r>
          </w:p>
        </w:tc>
        <w:tc>
          <w:tcPr>
            <w:tcW w:w="543" w:type="pct"/>
            <w:tcBorders>
              <w:top w:val="single" w:sz="2" w:space="0" w:color="auto"/>
              <w:left w:val="nil"/>
              <w:bottom w:val="single" w:sz="2" w:space="0" w:color="auto"/>
              <w:right w:val="nil"/>
            </w:tcBorders>
            <w:shd w:val="clear" w:color="auto" w:fill="auto"/>
            <w:vAlign w:val="center"/>
            <w:hideMark/>
          </w:tcPr>
          <w:p w14:paraId="605D435F"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91</w:t>
            </w:r>
          </w:p>
        </w:tc>
        <w:tc>
          <w:tcPr>
            <w:tcW w:w="668" w:type="pct"/>
            <w:tcBorders>
              <w:top w:val="single" w:sz="2" w:space="0" w:color="auto"/>
              <w:left w:val="nil"/>
              <w:bottom w:val="single" w:sz="2" w:space="0" w:color="auto"/>
              <w:right w:val="nil"/>
            </w:tcBorders>
            <w:shd w:val="clear" w:color="auto" w:fill="auto"/>
            <w:vAlign w:val="center"/>
          </w:tcPr>
          <w:p w14:paraId="74EE6D6C" w14:textId="77777777" w:rsidR="009F50C6" w:rsidRPr="00933A7F" w:rsidRDefault="009F50C6" w:rsidP="00E27795">
            <w:pPr>
              <w:spacing w:after="0"/>
              <w:ind w:firstLine="0"/>
              <w:jc w:val="right"/>
              <w:rPr>
                <w:rFonts w:ascii="Arial Narrow" w:hAnsi="Arial Narrow" w:cs="Arial"/>
                <w:b/>
                <w:bCs/>
                <w:i/>
                <w:iCs/>
                <w:sz w:val="19"/>
                <w:szCs w:val="19"/>
              </w:rPr>
            </w:pPr>
            <w:r w:rsidRPr="00933A7F">
              <w:rPr>
                <w:rFonts w:ascii="Arial Narrow" w:hAnsi="Arial Narrow" w:cs="Arial"/>
                <w:b/>
                <w:bCs/>
                <w:i/>
                <w:iCs/>
                <w:sz w:val="19"/>
                <w:szCs w:val="19"/>
              </w:rPr>
              <w:t>-11</w:t>
            </w:r>
          </w:p>
        </w:tc>
        <w:tc>
          <w:tcPr>
            <w:tcW w:w="561" w:type="pct"/>
            <w:tcBorders>
              <w:top w:val="single" w:sz="2" w:space="0" w:color="auto"/>
              <w:left w:val="nil"/>
              <w:bottom w:val="single" w:sz="2" w:space="0" w:color="auto"/>
              <w:right w:val="nil"/>
            </w:tcBorders>
            <w:vAlign w:val="center"/>
          </w:tcPr>
          <w:p w14:paraId="79E8C73C"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-2</w:t>
            </w:r>
          </w:p>
        </w:tc>
      </w:tr>
      <w:tr w:rsidR="009F50C6" w:rsidRPr="00933A7F" w14:paraId="6D5F3EC8"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40C0DE82" w14:textId="45A2ACCA" w:rsidR="009F50C6" w:rsidRPr="00933A7F" w:rsidRDefault="0003647B" w:rsidP="00E27795">
            <w:pPr>
              <w:pStyle w:val="cuatexto"/>
              <w:spacing w:line="240" w:lineRule="auto"/>
              <w:rPr>
                <w:color w:val="000000" w:themeColor="text1"/>
                <w:sz w:val="19"/>
                <w:szCs w:val="19"/>
                <w:lang w:val="es-ES" w:eastAsia="es-ES"/>
              </w:rPr>
            </w:pPr>
            <w:r w:rsidRPr="00933A7F">
              <w:rPr>
                <w:color w:val="000000" w:themeColor="text1"/>
                <w:sz w:val="19"/>
                <w:szCs w:val="19"/>
                <w:lang w:val="es-ES" w:eastAsia="es-ES"/>
              </w:rPr>
              <w:t>5</w:t>
            </w:r>
            <w:r w:rsidR="009F50C6" w:rsidRPr="00933A7F">
              <w:rPr>
                <w:color w:val="000000" w:themeColor="text1"/>
                <w:sz w:val="19"/>
                <w:szCs w:val="19"/>
                <w:lang w:val="es-ES" w:eastAsia="es-ES"/>
              </w:rPr>
              <w:t xml:space="preserve"> Fondo de contingencia</w:t>
            </w:r>
          </w:p>
        </w:tc>
        <w:tc>
          <w:tcPr>
            <w:tcW w:w="659" w:type="pct"/>
            <w:tcBorders>
              <w:top w:val="single" w:sz="2" w:space="0" w:color="auto"/>
              <w:left w:val="nil"/>
              <w:bottom w:val="single" w:sz="2" w:space="0" w:color="auto"/>
              <w:right w:val="nil"/>
            </w:tcBorders>
            <w:shd w:val="clear" w:color="auto" w:fill="auto"/>
            <w:vAlign w:val="center"/>
            <w:hideMark/>
          </w:tcPr>
          <w:p w14:paraId="4224EC61"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0,47</w:t>
            </w:r>
          </w:p>
        </w:tc>
        <w:tc>
          <w:tcPr>
            <w:tcW w:w="580" w:type="pct"/>
            <w:tcBorders>
              <w:top w:val="single" w:sz="2" w:space="0" w:color="auto"/>
              <w:left w:val="nil"/>
              <w:bottom w:val="single" w:sz="2" w:space="0" w:color="auto"/>
              <w:right w:val="nil"/>
            </w:tcBorders>
            <w:shd w:val="clear" w:color="auto" w:fill="auto"/>
            <w:vAlign w:val="center"/>
            <w:hideMark/>
          </w:tcPr>
          <w:p w14:paraId="1D8D2633"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0,00</w:t>
            </w:r>
          </w:p>
        </w:tc>
        <w:tc>
          <w:tcPr>
            <w:tcW w:w="566" w:type="pct"/>
            <w:tcBorders>
              <w:top w:val="single" w:sz="2" w:space="0" w:color="auto"/>
              <w:left w:val="nil"/>
              <w:bottom w:val="single" w:sz="2" w:space="0" w:color="auto"/>
              <w:right w:val="nil"/>
            </w:tcBorders>
            <w:shd w:val="clear" w:color="auto" w:fill="auto"/>
            <w:vAlign w:val="center"/>
            <w:hideMark/>
          </w:tcPr>
          <w:p w14:paraId="4AFF27A7" w14:textId="77777777" w:rsidR="009F50C6" w:rsidRPr="00933A7F" w:rsidRDefault="009F50C6" w:rsidP="00E27795">
            <w:pPr>
              <w:spacing w:after="0"/>
              <w:ind w:hanging="77"/>
              <w:jc w:val="right"/>
              <w:rPr>
                <w:rFonts w:ascii="Arial Narrow" w:hAnsi="Arial Narrow" w:cs="Calibri"/>
                <w:sz w:val="19"/>
                <w:szCs w:val="19"/>
              </w:rPr>
            </w:pPr>
            <w:r w:rsidRPr="00933A7F">
              <w:rPr>
                <w:rFonts w:ascii="Arial Narrow" w:hAnsi="Arial Narrow" w:cs="Calibri"/>
                <w:sz w:val="19"/>
                <w:szCs w:val="19"/>
              </w:rPr>
              <w:t>0,0</w:t>
            </w:r>
          </w:p>
        </w:tc>
        <w:tc>
          <w:tcPr>
            <w:tcW w:w="543" w:type="pct"/>
            <w:tcBorders>
              <w:top w:val="single" w:sz="2" w:space="0" w:color="auto"/>
              <w:left w:val="nil"/>
              <w:bottom w:val="single" w:sz="2" w:space="0" w:color="auto"/>
              <w:right w:val="nil"/>
            </w:tcBorders>
            <w:shd w:val="clear" w:color="auto" w:fill="auto"/>
            <w:vAlign w:val="center"/>
            <w:hideMark/>
          </w:tcPr>
          <w:p w14:paraId="39A10331"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0</w:t>
            </w:r>
          </w:p>
        </w:tc>
        <w:tc>
          <w:tcPr>
            <w:tcW w:w="668" w:type="pct"/>
            <w:tcBorders>
              <w:top w:val="single" w:sz="2" w:space="0" w:color="auto"/>
              <w:left w:val="nil"/>
              <w:bottom w:val="single" w:sz="2" w:space="0" w:color="auto"/>
              <w:right w:val="nil"/>
            </w:tcBorders>
            <w:shd w:val="clear" w:color="auto" w:fill="auto"/>
            <w:vAlign w:val="center"/>
          </w:tcPr>
          <w:p w14:paraId="71043A40" w14:textId="77777777" w:rsidR="009F50C6" w:rsidRPr="00933A7F" w:rsidRDefault="009F50C6" w:rsidP="00E27795">
            <w:pPr>
              <w:spacing w:after="0"/>
              <w:ind w:firstLine="0"/>
              <w:jc w:val="right"/>
              <w:rPr>
                <w:rFonts w:ascii="Arial Narrow" w:hAnsi="Arial Narrow" w:cs="Arial"/>
                <w:sz w:val="19"/>
                <w:szCs w:val="19"/>
              </w:rPr>
            </w:pPr>
            <w:r w:rsidRPr="00933A7F">
              <w:rPr>
                <w:rFonts w:ascii="Arial Narrow" w:hAnsi="Arial Narrow" w:cs="Arial"/>
                <w:sz w:val="19"/>
                <w:szCs w:val="19"/>
              </w:rPr>
              <w:t>0</w:t>
            </w:r>
          </w:p>
        </w:tc>
        <w:tc>
          <w:tcPr>
            <w:tcW w:w="561" w:type="pct"/>
            <w:tcBorders>
              <w:top w:val="single" w:sz="2" w:space="0" w:color="auto"/>
              <w:left w:val="nil"/>
              <w:bottom w:val="single" w:sz="2" w:space="0" w:color="auto"/>
              <w:right w:val="nil"/>
            </w:tcBorders>
            <w:vAlign w:val="center"/>
          </w:tcPr>
          <w:p w14:paraId="4A3BA615"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w:t>
            </w:r>
          </w:p>
        </w:tc>
      </w:tr>
      <w:tr w:rsidR="009F50C6" w:rsidRPr="00933A7F" w14:paraId="2E7F8FCF"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79F85F9C" w14:textId="00D6AFE7" w:rsidR="009F50C6" w:rsidRPr="00933A7F" w:rsidRDefault="009F50C6" w:rsidP="00E27795">
            <w:pPr>
              <w:pStyle w:val="cuatexto"/>
              <w:spacing w:line="240" w:lineRule="auto"/>
              <w:rPr>
                <w:b/>
                <w:i/>
                <w:iCs/>
                <w:color w:val="000000" w:themeColor="text1"/>
                <w:sz w:val="19"/>
                <w:szCs w:val="19"/>
                <w:lang w:val="es-ES" w:eastAsia="es-ES"/>
              </w:rPr>
            </w:pPr>
            <w:r w:rsidRPr="00933A7F">
              <w:rPr>
                <w:b/>
                <w:i/>
                <w:iCs/>
                <w:color w:val="000000" w:themeColor="text1"/>
                <w:sz w:val="19"/>
                <w:szCs w:val="19"/>
                <w:lang w:val="es-ES" w:eastAsia="es-ES"/>
              </w:rPr>
              <w:t xml:space="preserve"> Fondo de contingencia</w:t>
            </w:r>
          </w:p>
        </w:tc>
        <w:tc>
          <w:tcPr>
            <w:tcW w:w="659" w:type="pct"/>
            <w:tcBorders>
              <w:top w:val="single" w:sz="2" w:space="0" w:color="auto"/>
              <w:left w:val="nil"/>
              <w:bottom w:val="single" w:sz="2" w:space="0" w:color="auto"/>
              <w:right w:val="nil"/>
            </w:tcBorders>
            <w:shd w:val="clear" w:color="auto" w:fill="auto"/>
            <w:vAlign w:val="center"/>
            <w:hideMark/>
          </w:tcPr>
          <w:p w14:paraId="4878E5AC"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0,47</w:t>
            </w:r>
          </w:p>
        </w:tc>
        <w:tc>
          <w:tcPr>
            <w:tcW w:w="580" w:type="pct"/>
            <w:tcBorders>
              <w:top w:val="single" w:sz="2" w:space="0" w:color="auto"/>
              <w:left w:val="nil"/>
              <w:bottom w:val="single" w:sz="2" w:space="0" w:color="auto"/>
              <w:right w:val="nil"/>
            </w:tcBorders>
            <w:shd w:val="clear" w:color="auto" w:fill="auto"/>
            <w:vAlign w:val="center"/>
            <w:hideMark/>
          </w:tcPr>
          <w:p w14:paraId="610FD704"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0,00</w:t>
            </w:r>
          </w:p>
        </w:tc>
        <w:tc>
          <w:tcPr>
            <w:tcW w:w="566" w:type="pct"/>
            <w:tcBorders>
              <w:top w:val="single" w:sz="2" w:space="0" w:color="auto"/>
              <w:left w:val="nil"/>
              <w:bottom w:val="single" w:sz="2" w:space="0" w:color="auto"/>
              <w:right w:val="nil"/>
            </w:tcBorders>
            <w:shd w:val="clear" w:color="auto" w:fill="auto"/>
            <w:vAlign w:val="center"/>
            <w:hideMark/>
          </w:tcPr>
          <w:p w14:paraId="37B8A4FF" w14:textId="77777777" w:rsidR="009F50C6" w:rsidRPr="00933A7F" w:rsidRDefault="009F50C6" w:rsidP="00E27795">
            <w:pPr>
              <w:spacing w:after="0"/>
              <w:ind w:hanging="77"/>
              <w:jc w:val="right"/>
              <w:rPr>
                <w:rFonts w:ascii="Arial Narrow" w:hAnsi="Arial Narrow" w:cs="Calibri"/>
                <w:b/>
                <w:bCs/>
                <w:i/>
                <w:iCs/>
                <w:sz w:val="19"/>
                <w:szCs w:val="19"/>
              </w:rPr>
            </w:pPr>
            <w:r w:rsidRPr="00933A7F">
              <w:rPr>
                <w:rFonts w:ascii="Arial Narrow" w:hAnsi="Arial Narrow" w:cs="Calibri"/>
                <w:b/>
                <w:bCs/>
                <w:i/>
                <w:iCs/>
                <w:sz w:val="19"/>
                <w:szCs w:val="19"/>
              </w:rPr>
              <w:t>0,0</w:t>
            </w:r>
          </w:p>
        </w:tc>
        <w:tc>
          <w:tcPr>
            <w:tcW w:w="543" w:type="pct"/>
            <w:tcBorders>
              <w:top w:val="single" w:sz="2" w:space="0" w:color="auto"/>
              <w:left w:val="nil"/>
              <w:bottom w:val="single" w:sz="2" w:space="0" w:color="auto"/>
              <w:right w:val="nil"/>
            </w:tcBorders>
            <w:shd w:val="clear" w:color="auto" w:fill="auto"/>
            <w:vAlign w:val="center"/>
            <w:hideMark/>
          </w:tcPr>
          <w:p w14:paraId="419E9DBC"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0</w:t>
            </w:r>
          </w:p>
        </w:tc>
        <w:tc>
          <w:tcPr>
            <w:tcW w:w="668" w:type="pct"/>
            <w:tcBorders>
              <w:top w:val="single" w:sz="2" w:space="0" w:color="auto"/>
              <w:left w:val="nil"/>
              <w:bottom w:val="single" w:sz="2" w:space="0" w:color="auto"/>
              <w:right w:val="nil"/>
            </w:tcBorders>
            <w:shd w:val="clear" w:color="auto" w:fill="auto"/>
            <w:vAlign w:val="center"/>
          </w:tcPr>
          <w:p w14:paraId="7D15F9A1" w14:textId="77777777" w:rsidR="009F50C6" w:rsidRPr="00933A7F" w:rsidRDefault="009F50C6" w:rsidP="00E27795">
            <w:pPr>
              <w:spacing w:after="0"/>
              <w:ind w:firstLine="0"/>
              <w:jc w:val="right"/>
              <w:rPr>
                <w:rFonts w:ascii="Arial Narrow" w:hAnsi="Arial Narrow" w:cs="Arial"/>
                <w:b/>
                <w:bCs/>
                <w:i/>
                <w:iCs/>
                <w:sz w:val="19"/>
                <w:szCs w:val="19"/>
              </w:rPr>
            </w:pPr>
            <w:r w:rsidRPr="00933A7F">
              <w:rPr>
                <w:rFonts w:ascii="Arial Narrow" w:hAnsi="Arial Narrow" w:cs="Arial"/>
                <w:b/>
                <w:bCs/>
                <w:i/>
                <w:iCs/>
                <w:sz w:val="19"/>
                <w:szCs w:val="19"/>
              </w:rPr>
              <w:t>0</w:t>
            </w:r>
          </w:p>
        </w:tc>
        <w:tc>
          <w:tcPr>
            <w:tcW w:w="561" w:type="pct"/>
            <w:tcBorders>
              <w:top w:val="single" w:sz="2" w:space="0" w:color="auto"/>
              <w:left w:val="nil"/>
              <w:bottom w:val="single" w:sz="2" w:space="0" w:color="auto"/>
              <w:right w:val="nil"/>
            </w:tcBorders>
            <w:vAlign w:val="center"/>
          </w:tcPr>
          <w:p w14:paraId="4F168881"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w:t>
            </w:r>
          </w:p>
        </w:tc>
      </w:tr>
      <w:tr w:rsidR="009F50C6" w:rsidRPr="00933A7F" w14:paraId="0B081923"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6EBCD4F5" w14:textId="7C8A9810" w:rsidR="009F50C6" w:rsidRPr="00933A7F" w:rsidRDefault="0003647B" w:rsidP="00E27795">
            <w:pPr>
              <w:pStyle w:val="cuatexto"/>
              <w:spacing w:line="240" w:lineRule="auto"/>
              <w:rPr>
                <w:color w:val="000000" w:themeColor="text1"/>
                <w:sz w:val="19"/>
                <w:szCs w:val="19"/>
                <w:lang w:val="es-ES" w:eastAsia="es-ES"/>
              </w:rPr>
            </w:pPr>
            <w:r w:rsidRPr="00933A7F">
              <w:rPr>
                <w:color w:val="000000" w:themeColor="text1"/>
                <w:sz w:val="19"/>
                <w:szCs w:val="19"/>
                <w:lang w:val="es-ES" w:eastAsia="es-ES"/>
              </w:rPr>
              <w:t xml:space="preserve">6 </w:t>
            </w:r>
            <w:r w:rsidR="009F50C6" w:rsidRPr="00933A7F">
              <w:rPr>
                <w:color w:val="000000" w:themeColor="text1"/>
                <w:sz w:val="19"/>
                <w:szCs w:val="19"/>
                <w:lang w:val="es-ES" w:eastAsia="es-ES"/>
              </w:rPr>
              <w:t>Inversiones reales</w:t>
            </w:r>
          </w:p>
        </w:tc>
        <w:tc>
          <w:tcPr>
            <w:tcW w:w="659" w:type="pct"/>
            <w:tcBorders>
              <w:top w:val="single" w:sz="2" w:space="0" w:color="auto"/>
              <w:left w:val="nil"/>
              <w:bottom w:val="single" w:sz="2" w:space="0" w:color="auto"/>
              <w:right w:val="nil"/>
            </w:tcBorders>
            <w:shd w:val="clear" w:color="auto" w:fill="auto"/>
            <w:vAlign w:val="center"/>
            <w:hideMark/>
          </w:tcPr>
          <w:p w14:paraId="5D42B642"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199,87</w:t>
            </w:r>
          </w:p>
        </w:tc>
        <w:tc>
          <w:tcPr>
            <w:tcW w:w="580" w:type="pct"/>
            <w:tcBorders>
              <w:top w:val="single" w:sz="2" w:space="0" w:color="auto"/>
              <w:left w:val="nil"/>
              <w:bottom w:val="single" w:sz="2" w:space="0" w:color="auto"/>
              <w:right w:val="nil"/>
            </w:tcBorders>
            <w:shd w:val="clear" w:color="auto" w:fill="auto"/>
            <w:vAlign w:val="center"/>
            <w:hideMark/>
          </w:tcPr>
          <w:p w14:paraId="6356FA89"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115,49</w:t>
            </w:r>
          </w:p>
        </w:tc>
        <w:tc>
          <w:tcPr>
            <w:tcW w:w="566" w:type="pct"/>
            <w:tcBorders>
              <w:top w:val="single" w:sz="2" w:space="0" w:color="auto"/>
              <w:left w:val="nil"/>
              <w:bottom w:val="single" w:sz="2" w:space="0" w:color="auto"/>
              <w:right w:val="nil"/>
            </w:tcBorders>
            <w:shd w:val="clear" w:color="auto" w:fill="auto"/>
            <w:vAlign w:val="center"/>
            <w:hideMark/>
          </w:tcPr>
          <w:p w14:paraId="1AD63D94" w14:textId="77777777" w:rsidR="009F50C6" w:rsidRPr="00933A7F" w:rsidRDefault="009F50C6" w:rsidP="00E27795">
            <w:pPr>
              <w:spacing w:after="0"/>
              <w:ind w:hanging="77"/>
              <w:jc w:val="right"/>
              <w:rPr>
                <w:rFonts w:ascii="Arial Narrow" w:hAnsi="Arial Narrow" w:cs="Calibri"/>
                <w:sz w:val="19"/>
                <w:szCs w:val="19"/>
              </w:rPr>
            </w:pPr>
            <w:r w:rsidRPr="00933A7F">
              <w:rPr>
                <w:rFonts w:ascii="Arial Narrow" w:hAnsi="Arial Narrow" w:cs="Calibri"/>
                <w:sz w:val="19"/>
                <w:szCs w:val="19"/>
              </w:rPr>
              <w:t>14,5</w:t>
            </w:r>
          </w:p>
        </w:tc>
        <w:tc>
          <w:tcPr>
            <w:tcW w:w="543" w:type="pct"/>
            <w:tcBorders>
              <w:top w:val="single" w:sz="2" w:space="0" w:color="auto"/>
              <w:left w:val="nil"/>
              <w:bottom w:val="single" w:sz="2" w:space="0" w:color="auto"/>
              <w:right w:val="nil"/>
            </w:tcBorders>
            <w:shd w:val="clear" w:color="auto" w:fill="auto"/>
            <w:vAlign w:val="center"/>
            <w:hideMark/>
          </w:tcPr>
          <w:p w14:paraId="28050825"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58</w:t>
            </w:r>
          </w:p>
        </w:tc>
        <w:tc>
          <w:tcPr>
            <w:tcW w:w="668" w:type="pct"/>
            <w:tcBorders>
              <w:top w:val="single" w:sz="2" w:space="0" w:color="auto"/>
              <w:left w:val="nil"/>
              <w:bottom w:val="single" w:sz="2" w:space="0" w:color="auto"/>
              <w:right w:val="nil"/>
            </w:tcBorders>
            <w:shd w:val="clear" w:color="auto" w:fill="auto"/>
            <w:vAlign w:val="center"/>
          </w:tcPr>
          <w:p w14:paraId="641641D1" w14:textId="77777777" w:rsidR="009F50C6" w:rsidRPr="00933A7F" w:rsidRDefault="009F50C6" w:rsidP="00E27795">
            <w:pPr>
              <w:spacing w:after="0"/>
              <w:ind w:firstLine="0"/>
              <w:jc w:val="right"/>
              <w:rPr>
                <w:rFonts w:ascii="Arial Narrow" w:hAnsi="Arial Narrow" w:cs="Arial"/>
                <w:sz w:val="19"/>
                <w:szCs w:val="19"/>
              </w:rPr>
            </w:pPr>
            <w:r w:rsidRPr="00933A7F">
              <w:rPr>
                <w:rFonts w:ascii="Arial Narrow" w:hAnsi="Arial Narrow" w:cs="Arial"/>
                <w:sz w:val="19"/>
                <w:szCs w:val="19"/>
              </w:rPr>
              <w:t>-67</w:t>
            </w:r>
          </w:p>
        </w:tc>
        <w:tc>
          <w:tcPr>
            <w:tcW w:w="561" w:type="pct"/>
            <w:tcBorders>
              <w:top w:val="single" w:sz="2" w:space="0" w:color="auto"/>
              <w:left w:val="nil"/>
              <w:bottom w:val="single" w:sz="2" w:space="0" w:color="auto"/>
              <w:right w:val="nil"/>
            </w:tcBorders>
            <w:vAlign w:val="center"/>
          </w:tcPr>
          <w:p w14:paraId="44E7C89D"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-37</w:t>
            </w:r>
          </w:p>
        </w:tc>
      </w:tr>
      <w:tr w:rsidR="009F50C6" w:rsidRPr="00933A7F" w14:paraId="0234236F"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50B90EFC" w14:textId="4A11114E" w:rsidR="009F50C6" w:rsidRPr="00933A7F" w:rsidRDefault="0003647B" w:rsidP="00E27795">
            <w:pPr>
              <w:pStyle w:val="cuatexto"/>
              <w:spacing w:line="240" w:lineRule="auto"/>
              <w:rPr>
                <w:color w:val="000000" w:themeColor="text1"/>
                <w:sz w:val="19"/>
                <w:szCs w:val="19"/>
                <w:lang w:val="es-ES" w:eastAsia="es-ES"/>
              </w:rPr>
            </w:pPr>
            <w:r w:rsidRPr="00933A7F">
              <w:rPr>
                <w:color w:val="000000" w:themeColor="text1"/>
                <w:sz w:val="19"/>
                <w:szCs w:val="19"/>
                <w:lang w:val="es-ES" w:eastAsia="es-ES"/>
              </w:rPr>
              <w:t xml:space="preserve">7 </w:t>
            </w:r>
            <w:r w:rsidR="009F50C6" w:rsidRPr="00933A7F">
              <w:rPr>
                <w:color w:val="000000" w:themeColor="text1"/>
                <w:sz w:val="19"/>
                <w:szCs w:val="19"/>
                <w:lang w:val="es-ES" w:eastAsia="es-ES"/>
              </w:rPr>
              <w:t>Transferencias de capital</w:t>
            </w:r>
          </w:p>
        </w:tc>
        <w:tc>
          <w:tcPr>
            <w:tcW w:w="659" w:type="pct"/>
            <w:tcBorders>
              <w:top w:val="single" w:sz="2" w:space="0" w:color="auto"/>
              <w:left w:val="nil"/>
              <w:bottom w:val="single" w:sz="2" w:space="0" w:color="auto"/>
              <w:right w:val="nil"/>
            </w:tcBorders>
            <w:shd w:val="clear" w:color="auto" w:fill="auto"/>
            <w:vAlign w:val="center"/>
            <w:hideMark/>
          </w:tcPr>
          <w:p w14:paraId="6680A705"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9,92</w:t>
            </w:r>
          </w:p>
        </w:tc>
        <w:tc>
          <w:tcPr>
            <w:tcW w:w="580" w:type="pct"/>
            <w:tcBorders>
              <w:top w:val="single" w:sz="2" w:space="0" w:color="auto"/>
              <w:left w:val="nil"/>
              <w:bottom w:val="single" w:sz="2" w:space="0" w:color="auto"/>
              <w:right w:val="nil"/>
            </w:tcBorders>
            <w:shd w:val="clear" w:color="auto" w:fill="auto"/>
            <w:vAlign w:val="center"/>
            <w:hideMark/>
          </w:tcPr>
          <w:p w14:paraId="709463F9"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8,10</w:t>
            </w:r>
          </w:p>
        </w:tc>
        <w:tc>
          <w:tcPr>
            <w:tcW w:w="566" w:type="pct"/>
            <w:tcBorders>
              <w:top w:val="single" w:sz="2" w:space="0" w:color="auto"/>
              <w:left w:val="nil"/>
              <w:bottom w:val="single" w:sz="2" w:space="0" w:color="auto"/>
              <w:right w:val="nil"/>
            </w:tcBorders>
            <w:shd w:val="clear" w:color="auto" w:fill="auto"/>
            <w:vAlign w:val="center"/>
            <w:hideMark/>
          </w:tcPr>
          <w:p w14:paraId="07CC3CA6" w14:textId="77777777" w:rsidR="009F50C6" w:rsidRPr="00933A7F" w:rsidRDefault="009F50C6" w:rsidP="00E27795">
            <w:pPr>
              <w:spacing w:after="0"/>
              <w:ind w:hanging="77"/>
              <w:jc w:val="right"/>
              <w:rPr>
                <w:rFonts w:ascii="Arial Narrow" w:hAnsi="Arial Narrow" w:cs="Calibri"/>
                <w:sz w:val="19"/>
                <w:szCs w:val="19"/>
              </w:rPr>
            </w:pPr>
            <w:r w:rsidRPr="00933A7F">
              <w:rPr>
                <w:rFonts w:ascii="Arial Narrow" w:hAnsi="Arial Narrow" w:cs="Calibri"/>
                <w:sz w:val="19"/>
                <w:szCs w:val="19"/>
              </w:rPr>
              <w:t>1,0</w:t>
            </w:r>
          </w:p>
        </w:tc>
        <w:tc>
          <w:tcPr>
            <w:tcW w:w="543" w:type="pct"/>
            <w:tcBorders>
              <w:top w:val="single" w:sz="2" w:space="0" w:color="auto"/>
              <w:left w:val="nil"/>
              <w:bottom w:val="single" w:sz="2" w:space="0" w:color="auto"/>
              <w:right w:val="nil"/>
            </w:tcBorders>
            <w:shd w:val="clear" w:color="auto" w:fill="auto"/>
            <w:vAlign w:val="center"/>
            <w:hideMark/>
          </w:tcPr>
          <w:p w14:paraId="413F6314"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82</w:t>
            </w:r>
          </w:p>
        </w:tc>
        <w:tc>
          <w:tcPr>
            <w:tcW w:w="668" w:type="pct"/>
            <w:tcBorders>
              <w:top w:val="single" w:sz="2" w:space="0" w:color="auto"/>
              <w:left w:val="nil"/>
              <w:bottom w:val="single" w:sz="2" w:space="0" w:color="auto"/>
              <w:right w:val="nil"/>
            </w:tcBorders>
            <w:shd w:val="clear" w:color="auto" w:fill="auto"/>
            <w:vAlign w:val="center"/>
          </w:tcPr>
          <w:p w14:paraId="37C8C7A3" w14:textId="77777777" w:rsidR="009F50C6" w:rsidRPr="00933A7F" w:rsidRDefault="009F50C6" w:rsidP="00E27795">
            <w:pPr>
              <w:spacing w:after="0"/>
              <w:ind w:firstLine="0"/>
              <w:jc w:val="right"/>
              <w:rPr>
                <w:rFonts w:ascii="Arial Narrow" w:hAnsi="Arial Narrow" w:cs="Arial"/>
                <w:sz w:val="19"/>
                <w:szCs w:val="19"/>
              </w:rPr>
            </w:pPr>
            <w:r w:rsidRPr="00933A7F">
              <w:rPr>
                <w:rFonts w:ascii="Arial Narrow" w:hAnsi="Arial Narrow" w:cs="Arial"/>
                <w:sz w:val="19"/>
                <w:szCs w:val="19"/>
              </w:rPr>
              <w:t>-9</w:t>
            </w:r>
          </w:p>
        </w:tc>
        <w:tc>
          <w:tcPr>
            <w:tcW w:w="561" w:type="pct"/>
            <w:tcBorders>
              <w:top w:val="single" w:sz="2" w:space="0" w:color="auto"/>
              <w:left w:val="nil"/>
              <w:bottom w:val="single" w:sz="2" w:space="0" w:color="auto"/>
              <w:right w:val="nil"/>
            </w:tcBorders>
            <w:vAlign w:val="center"/>
          </w:tcPr>
          <w:p w14:paraId="2C9F9C19"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-52</w:t>
            </w:r>
          </w:p>
        </w:tc>
      </w:tr>
      <w:tr w:rsidR="009F50C6" w:rsidRPr="00933A7F" w14:paraId="3D8A397F"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253FFD38" w14:textId="6D1B7944" w:rsidR="009F50C6" w:rsidRPr="00933A7F" w:rsidRDefault="009F50C6" w:rsidP="00E27795">
            <w:pPr>
              <w:pStyle w:val="cuatexto"/>
              <w:spacing w:line="240" w:lineRule="auto"/>
              <w:rPr>
                <w:b/>
                <w:i/>
                <w:iCs/>
                <w:color w:val="000000" w:themeColor="text1"/>
                <w:sz w:val="19"/>
                <w:szCs w:val="19"/>
                <w:lang w:val="es-ES" w:eastAsia="es-ES"/>
              </w:rPr>
            </w:pPr>
            <w:r w:rsidRPr="00933A7F">
              <w:rPr>
                <w:b/>
                <w:i/>
                <w:iCs/>
                <w:color w:val="000000" w:themeColor="text1"/>
                <w:sz w:val="19"/>
                <w:szCs w:val="19"/>
                <w:lang w:val="es-ES" w:eastAsia="es-ES"/>
              </w:rPr>
              <w:t>Operaciones de capital</w:t>
            </w:r>
          </w:p>
        </w:tc>
        <w:tc>
          <w:tcPr>
            <w:tcW w:w="659" w:type="pct"/>
            <w:tcBorders>
              <w:top w:val="single" w:sz="2" w:space="0" w:color="auto"/>
              <w:left w:val="nil"/>
              <w:bottom w:val="single" w:sz="2" w:space="0" w:color="auto"/>
              <w:right w:val="nil"/>
            </w:tcBorders>
            <w:shd w:val="clear" w:color="auto" w:fill="auto"/>
            <w:vAlign w:val="center"/>
            <w:hideMark/>
          </w:tcPr>
          <w:p w14:paraId="22E2010C"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209,78</w:t>
            </w:r>
          </w:p>
        </w:tc>
        <w:tc>
          <w:tcPr>
            <w:tcW w:w="580" w:type="pct"/>
            <w:tcBorders>
              <w:top w:val="single" w:sz="2" w:space="0" w:color="auto"/>
              <w:left w:val="nil"/>
              <w:bottom w:val="single" w:sz="2" w:space="0" w:color="auto"/>
              <w:right w:val="nil"/>
            </w:tcBorders>
            <w:shd w:val="clear" w:color="auto" w:fill="auto"/>
            <w:vAlign w:val="center"/>
            <w:hideMark/>
          </w:tcPr>
          <w:p w14:paraId="534F0093"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123,59</w:t>
            </w:r>
          </w:p>
        </w:tc>
        <w:tc>
          <w:tcPr>
            <w:tcW w:w="566" w:type="pct"/>
            <w:tcBorders>
              <w:top w:val="single" w:sz="2" w:space="0" w:color="auto"/>
              <w:left w:val="nil"/>
              <w:bottom w:val="single" w:sz="2" w:space="0" w:color="auto"/>
              <w:right w:val="nil"/>
            </w:tcBorders>
            <w:shd w:val="clear" w:color="auto" w:fill="auto"/>
            <w:vAlign w:val="center"/>
            <w:hideMark/>
          </w:tcPr>
          <w:p w14:paraId="18D5F1BA" w14:textId="77777777" w:rsidR="009F50C6" w:rsidRPr="00933A7F" w:rsidRDefault="009F50C6" w:rsidP="00E27795">
            <w:pPr>
              <w:spacing w:after="0"/>
              <w:ind w:hanging="77"/>
              <w:jc w:val="right"/>
              <w:rPr>
                <w:rFonts w:ascii="Arial Narrow" w:hAnsi="Arial Narrow" w:cs="Calibri"/>
                <w:b/>
                <w:bCs/>
                <w:i/>
                <w:iCs/>
                <w:sz w:val="19"/>
                <w:szCs w:val="19"/>
              </w:rPr>
            </w:pPr>
            <w:r w:rsidRPr="00933A7F">
              <w:rPr>
                <w:rFonts w:ascii="Arial Narrow" w:hAnsi="Arial Narrow" w:cs="Calibri"/>
                <w:b/>
                <w:bCs/>
                <w:i/>
                <w:iCs/>
                <w:sz w:val="19"/>
                <w:szCs w:val="19"/>
              </w:rPr>
              <w:t>15,5</w:t>
            </w:r>
          </w:p>
        </w:tc>
        <w:tc>
          <w:tcPr>
            <w:tcW w:w="543" w:type="pct"/>
            <w:tcBorders>
              <w:top w:val="single" w:sz="2" w:space="0" w:color="auto"/>
              <w:left w:val="nil"/>
              <w:bottom w:val="single" w:sz="2" w:space="0" w:color="auto"/>
              <w:right w:val="nil"/>
            </w:tcBorders>
            <w:shd w:val="clear" w:color="auto" w:fill="auto"/>
            <w:vAlign w:val="center"/>
            <w:hideMark/>
          </w:tcPr>
          <w:p w14:paraId="62A73CBE"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59</w:t>
            </w:r>
          </w:p>
        </w:tc>
        <w:tc>
          <w:tcPr>
            <w:tcW w:w="668" w:type="pct"/>
            <w:tcBorders>
              <w:top w:val="single" w:sz="2" w:space="0" w:color="auto"/>
              <w:left w:val="nil"/>
              <w:bottom w:val="single" w:sz="2" w:space="0" w:color="auto"/>
              <w:right w:val="nil"/>
            </w:tcBorders>
            <w:shd w:val="clear" w:color="auto" w:fill="auto"/>
            <w:vAlign w:val="center"/>
          </w:tcPr>
          <w:p w14:paraId="44D22C80" w14:textId="77777777" w:rsidR="009F50C6" w:rsidRPr="00933A7F" w:rsidRDefault="009F50C6" w:rsidP="00E27795">
            <w:pPr>
              <w:spacing w:after="0"/>
              <w:ind w:firstLine="0"/>
              <w:jc w:val="right"/>
              <w:rPr>
                <w:rFonts w:ascii="Arial Narrow" w:hAnsi="Arial Narrow" w:cs="Arial"/>
                <w:b/>
                <w:bCs/>
                <w:i/>
                <w:iCs/>
                <w:sz w:val="19"/>
                <w:szCs w:val="19"/>
              </w:rPr>
            </w:pPr>
            <w:r w:rsidRPr="00933A7F">
              <w:rPr>
                <w:rFonts w:ascii="Arial Narrow" w:hAnsi="Arial Narrow" w:cs="Arial"/>
                <w:b/>
                <w:bCs/>
                <w:i/>
                <w:iCs/>
                <w:sz w:val="19"/>
                <w:szCs w:val="19"/>
              </w:rPr>
              <w:t>-76</w:t>
            </w:r>
          </w:p>
        </w:tc>
        <w:tc>
          <w:tcPr>
            <w:tcW w:w="561" w:type="pct"/>
            <w:tcBorders>
              <w:top w:val="single" w:sz="2" w:space="0" w:color="auto"/>
              <w:left w:val="nil"/>
              <w:bottom w:val="single" w:sz="2" w:space="0" w:color="auto"/>
              <w:right w:val="nil"/>
            </w:tcBorders>
            <w:vAlign w:val="center"/>
          </w:tcPr>
          <w:p w14:paraId="4E01FE6B"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-38</w:t>
            </w:r>
          </w:p>
        </w:tc>
      </w:tr>
      <w:tr w:rsidR="009F50C6" w:rsidRPr="00933A7F" w14:paraId="7F43043E"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7ACC82D1" w14:textId="51D30A84" w:rsidR="009F50C6" w:rsidRPr="00933A7F" w:rsidRDefault="0003647B" w:rsidP="00E27795">
            <w:pPr>
              <w:pStyle w:val="cuatexto"/>
              <w:spacing w:line="240" w:lineRule="auto"/>
              <w:rPr>
                <w:color w:val="000000" w:themeColor="text1"/>
                <w:sz w:val="19"/>
                <w:szCs w:val="19"/>
                <w:lang w:val="es-ES" w:eastAsia="es-ES"/>
              </w:rPr>
            </w:pPr>
            <w:r w:rsidRPr="00933A7F">
              <w:rPr>
                <w:color w:val="000000" w:themeColor="text1"/>
                <w:sz w:val="19"/>
                <w:szCs w:val="19"/>
                <w:lang w:val="es-ES" w:eastAsia="es-ES"/>
              </w:rPr>
              <w:t xml:space="preserve">8 </w:t>
            </w:r>
            <w:r w:rsidR="009F50C6" w:rsidRPr="00933A7F">
              <w:rPr>
                <w:color w:val="000000" w:themeColor="text1"/>
                <w:sz w:val="19"/>
                <w:szCs w:val="19"/>
                <w:lang w:val="es-ES" w:eastAsia="es-ES"/>
              </w:rPr>
              <w:t>Activos financieros</w:t>
            </w:r>
          </w:p>
        </w:tc>
        <w:tc>
          <w:tcPr>
            <w:tcW w:w="659" w:type="pct"/>
            <w:tcBorders>
              <w:top w:val="single" w:sz="2" w:space="0" w:color="auto"/>
              <w:left w:val="nil"/>
              <w:bottom w:val="single" w:sz="2" w:space="0" w:color="auto"/>
              <w:right w:val="nil"/>
            </w:tcBorders>
            <w:shd w:val="clear" w:color="auto" w:fill="auto"/>
            <w:vAlign w:val="center"/>
            <w:hideMark/>
          </w:tcPr>
          <w:p w14:paraId="12C38949"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1,63</w:t>
            </w:r>
          </w:p>
        </w:tc>
        <w:tc>
          <w:tcPr>
            <w:tcW w:w="580" w:type="pct"/>
            <w:tcBorders>
              <w:top w:val="single" w:sz="2" w:space="0" w:color="auto"/>
              <w:left w:val="nil"/>
              <w:bottom w:val="single" w:sz="2" w:space="0" w:color="auto"/>
              <w:right w:val="nil"/>
            </w:tcBorders>
            <w:shd w:val="clear" w:color="auto" w:fill="auto"/>
            <w:vAlign w:val="center"/>
            <w:hideMark/>
          </w:tcPr>
          <w:p w14:paraId="727664A6"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2,09</w:t>
            </w:r>
          </w:p>
        </w:tc>
        <w:tc>
          <w:tcPr>
            <w:tcW w:w="566" w:type="pct"/>
            <w:tcBorders>
              <w:top w:val="single" w:sz="2" w:space="0" w:color="auto"/>
              <w:left w:val="nil"/>
              <w:bottom w:val="single" w:sz="2" w:space="0" w:color="auto"/>
              <w:right w:val="nil"/>
            </w:tcBorders>
            <w:shd w:val="clear" w:color="auto" w:fill="auto"/>
            <w:vAlign w:val="center"/>
            <w:hideMark/>
          </w:tcPr>
          <w:p w14:paraId="430017CF" w14:textId="77777777" w:rsidR="009F50C6" w:rsidRPr="00933A7F" w:rsidRDefault="009F50C6" w:rsidP="00E27795">
            <w:pPr>
              <w:spacing w:after="0"/>
              <w:ind w:hanging="77"/>
              <w:jc w:val="right"/>
              <w:rPr>
                <w:rFonts w:ascii="Arial Narrow" w:hAnsi="Arial Narrow" w:cs="Calibri"/>
                <w:sz w:val="19"/>
                <w:szCs w:val="19"/>
              </w:rPr>
            </w:pPr>
            <w:r w:rsidRPr="00933A7F">
              <w:rPr>
                <w:rFonts w:ascii="Arial Narrow" w:hAnsi="Arial Narrow" w:cs="Calibri"/>
                <w:sz w:val="19"/>
                <w:szCs w:val="19"/>
              </w:rPr>
              <w:t>0,3</w:t>
            </w:r>
          </w:p>
        </w:tc>
        <w:tc>
          <w:tcPr>
            <w:tcW w:w="543" w:type="pct"/>
            <w:tcBorders>
              <w:top w:val="single" w:sz="2" w:space="0" w:color="auto"/>
              <w:left w:val="nil"/>
              <w:bottom w:val="single" w:sz="2" w:space="0" w:color="auto"/>
              <w:right w:val="nil"/>
            </w:tcBorders>
            <w:shd w:val="clear" w:color="auto" w:fill="auto"/>
            <w:vAlign w:val="center"/>
            <w:hideMark/>
          </w:tcPr>
          <w:p w14:paraId="759E426D"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128</w:t>
            </w:r>
          </w:p>
        </w:tc>
        <w:tc>
          <w:tcPr>
            <w:tcW w:w="668" w:type="pct"/>
            <w:tcBorders>
              <w:top w:val="single" w:sz="2" w:space="0" w:color="auto"/>
              <w:left w:val="nil"/>
              <w:bottom w:val="single" w:sz="2" w:space="0" w:color="auto"/>
              <w:right w:val="nil"/>
            </w:tcBorders>
            <w:shd w:val="clear" w:color="auto" w:fill="auto"/>
            <w:vAlign w:val="center"/>
          </w:tcPr>
          <w:p w14:paraId="536754D2" w14:textId="77777777" w:rsidR="009F50C6" w:rsidRPr="00933A7F" w:rsidRDefault="009F50C6" w:rsidP="00E27795">
            <w:pPr>
              <w:spacing w:after="0"/>
              <w:ind w:firstLine="0"/>
              <w:jc w:val="right"/>
              <w:rPr>
                <w:rFonts w:ascii="Arial Narrow" w:hAnsi="Arial Narrow" w:cs="Arial"/>
                <w:sz w:val="19"/>
                <w:szCs w:val="19"/>
              </w:rPr>
            </w:pPr>
            <w:r w:rsidRPr="00933A7F">
              <w:rPr>
                <w:rFonts w:ascii="Arial Narrow" w:hAnsi="Arial Narrow" w:cs="Arial"/>
                <w:sz w:val="19"/>
                <w:szCs w:val="19"/>
              </w:rPr>
              <w:t>1</w:t>
            </w:r>
          </w:p>
        </w:tc>
        <w:tc>
          <w:tcPr>
            <w:tcW w:w="561" w:type="pct"/>
            <w:tcBorders>
              <w:top w:val="single" w:sz="2" w:space="0" w:color="auto"/>
              <w:left w:val="nil"/>
              <w:bottom w:val="single" w:sz="2" w:space="0" w:color="auto"/>
              <w:right w:val="nil"/>
            </w:tcBorders>
            <w:vAlign w:val="center"/>
          </w:tcPr>
          <w:p w14:paraId="3E2DD4A1"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39</w:t>
            </w:r>
          </w:p>
        </w:tc>
      </w:tr>
      <w:tr w:rsidR="009F50C6" w:rsidRPr="00933A7F" w14:paraId="14BA214F"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4906C3F8" w14:textId="0291D5DD" w:rsidR="009F50C6" w:rsidRPr="00933A7F" w:rsidRDefault="0003647B" w:rsidP="00E27795">
            <w:pPr>
              <w:pStyle w:val="cuatexto"/>
              <w:spacing w:line="240" w:lineRule="auto"/>
              <w:rPr>
                <w:color w:val="000000" w:themeColor="text1"/>
                <w:sz w:val="19"/>
                <w:szCs w:val="19"/>
                <w:lang w:val="es-ES" w:eastAsia="es-ES"/>
              </w:rPr>
            </w:pPr>
            <w:r w:rsidRPr="00933A7F">
              <w:rPr>
                <w:color w:val="000000" w:themeColor="text1"/>
                <w:sz w:val="19"/>
                <w:szCs w:val="19"/>
                <w:lang w:val="es-ES" w:eastAsia="es-ES"/>
              </w:rPr>
              <w:t xml:space="preserve">9 </w:t>
            </w:r>
            <w:r w:rsidR="009F50C6" w:rsidRPr="00933A7F">
              <w:rPr>
                <w:color w:val="000000" w:themeColor="text1"/>
                <w:sz w:val="19"/>
                <w:szCs w:val="19"/>
                <w:lang w:val="es-ES" w:eastAsia="es-ES"/>
              </w:rPr>
              <w:t>Pasivos financieros</w:t>
            </w:r>
          </w:p>
        </w:tc>
        <w:tc>
          <w:tcPr>
            <w:tcW w:w="659" w:type="pct"/>
            <w:tcBorders>
              <w:top w:val="single" w:sz="2" w:space="0" w:color="auto"/>
              <w:left w:val="nil"/>
              <w:bottom w:val="single" w:sz="2" w:space="0" w:color="auto"/>
              <w:right w:val="nil"/>
            </w:tcBorders>
            <w:shd w:val="clear" w:color="auto" w:fill="auto"/>
            <w:vAlign w:val="center"/>
            <w:hideMark/>
          </w:tcPr>
          <w:p w14:paraId="2398EE44"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28,97</w:t>
            </w:r>
          </w:p>
        </w:tc>
        <w:tc>
          <w:tcPr>
            <w:tcW w:w="580" w:type="pct"/>
            <w:tcBorders>
              <w:top w:val="single" w:sz="2" w:space="0" w:color="auto"/>
              <w:left w:val="nil"/>
              <w:bottom w:val="single" w:sz="2" w:space="0" w:color="auto"/>
              <w:right w:val="nil"/>
            </w:tcBorders>
            <w:shd w:val="clear" w:color="auto" w:fill="auto"/>
            <w:vAlign w:val="center"/>
            <w:hideMark/>
          </w:tcPr>
          <w:p w14:paraId="3CF97321"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28,55</w:t>
            </w:r>
          </w:p>
        </w:tc>
        <w:tc>
          <w:tcPr>
            <w:tcW w:w="566" w:type="pct"/>
            <w:tcBorders>
              <w:top w:val="single" w:sz="2" w:space="0" w:color="auto"/>
              <w:left w:val="nil"/>
              <w:bottom w:val="single" w:sz="2" w:space="0" w:color="auto"/>
              <w:right w:val="nil"/>
            </w:tcBorders>
            <w:shd w:val="clear" w:color="auto" w:fill="auto"/>
            <w:vAlign w:val="center"/>
            <w:hideMark/>
          </w:tcPr>
          <w:p w14:paraId="48C29D51" w14:textId="77777777" w:rsidR="009F50C6" w:rsidRPr="00933A7F" w:rsidRDefault="009F50C6" w:rsidP="00E27795">
            <w:pPr>
              <w:spacing w:after="0"/>
              <w:ind w:hanging="77"/>
              <w:jc w:val="right"/>
              <w:rPr>
                <w:rFonts w:ascii="Arial Narrow" w:hAnsi="Arial Narrow" w:cs="Calibri"/>
                <w:sz w:val="19"/>
                <w:szCs w:val="19"/>
              </w:rPr>
            </w:pPr>
            <w:r w:rsidRPr="00933A7F">
              <w:rPr>
                <w:rFonts w:ascii="Arial Narrow" w:hAnsi="Arial Narrow" w:cs="Calibri"/>
                <w:sz w:val="19"/>
                <w:szCs w:val="19"/>
              </w:rPr>
              <w:t>3,6</w:t>
            </w:r>
          </w:p>
        </w:tc>
        <w:tc>
          <w:tcPr>
            <w:tcW w:w="543" w:type="pct"/>
            <w:tcBorders>
              <w:top w:val="single" w:sz="2" w:space="0" w:color="auto"/>
              <w:left w:val="nil"/>
              <w:bottom w:val="single" w:sz="2" w:space="0" w:color="auto"/>
              <w:right w:val="nil"/>
            </w:tcBorders>
            <w:shd w:val="clear" w:color="auto" w:fill="auto"/>
            <w:vAlign w:val="center"/>
            <w:hideMark/>
          </w:tcPr>
          <w:p w14:paraId="6D1A0E94"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99</w:t>
            </w:r>
          </w:p>
        </w:tc>
        <w:tc>
          <w:tcPr>
            <w:tcW w:w="668" w:type="pct"/>
            <w:tcBorders>
              <w:top w:val="single" w:sz="2" w:space="0" w:color="auto"/>
              <w:left w:val="nil"/>
              <w:bottom w:val="single" w:sz="2" w:space="0" w:color="auto"/>
              <w:right w:val="nil"/>
            </w:tcBorders>
            <w:shd w:val="clear" w:color="auto" w:fill="auto"/>
            <w:vAlign w:val="center"/>
          </w:tcPr>
          <w:p w14:paraId="1BAE4206" w14:textId="77777777" w:rsidR="009F50C6" w:rsidRPr="00933A7F" w:rsidRDefault="009F50C6" w:rsidP="00E27795">
            <w:pPr>
              <w:spacing w:after="0"/>
              <w:ind w:firstLine="0"/>
              <w:jc w:val="right"/>
              <w:rPr>
                <w:rFonts w:ascii="Arial Narrow" w:hAnsi="Arial Narrow" w:cs="Arial"/>
                <w:sz w:val="19"/>
                <w:szCs w:val="19"/>
              </w:rPr>
            </w:pPr>
            <w:r w:rsidRPr="00933A7F">
              <w:rPr>
                <w:rFonts w:ascii="Arial Narrow" w:hAnsi="Arial Narrow" w:cs="Arial"/>
                <w:sz w:val="19"/>
                <w:szCs w:val="19"/>
              </w:rPr>
              <w:t>0</w:t>
            </w:r>
          </w:p>
        </w:tc>
        <w:tc>
          <w:tcPr>
            <w:tcW w:w="561" w:type="pct"/>
            <w:tcBorders>
              <w:top w:val="single" w:sz="2" w:space="0" w:color="auto"/>
              <w:left w:val="nil"/>
              <w:bottom w:val="single" w:sz="2" w:space="0" w:color="auto"/>
              <w:right w:val="nil"/>
            </w:tcBorders>
            <w:vAlign w:val="center"/>
          </w:tcPr>
          <w:p w14:paraId="07279635" w14:textId="77777777" w:rsidR="009F50C6" w:rsidRPr="00933A7F" w:rsidRDefault="009F50C6" w:rsidP="00E27795">
            <w:pPr>
              <w:spacing w:after="0"/>
              <w:ind w:firstLine="0"/>
              <w:jc w:val="right"/>
              <w:rPr>
                <w:rFonts w:ascii="Arial Narrow" w:hAnsi="Arial Narrow" w:cs="Calibri"/>
                <w:sz w:val="19"/>
                <w:szCs w:val="19"/>
              </w:rPr>
            </w:pPr>
            <w:r w:rsidRPr="00933A7F">
              <w:rPr>
                <w:rFonts w:ascii="Arial Narrow" w:hAnsi="Arial Narrow" w:cs="Calibri"/>
                <w:sz w:val="19"/>
                <w:szCs w:val="19"/>
              </w:rPr>
              <w:t>-1</w:t>
            </w:r>
          </w:p>
        </w:tc>
      </w:tr>
      <w:tr w:rsidR="009F50C6" w:rsidRPr="00933A7F" w14:paraId="6D8C159C" w14:textId="77777777" w:rsidTr="004B1F4E">
        <w:trPr>
          <w:trHeight w:val="255"/>
        </w:trPr>
        <w:tc>
          <w:tcPr>
            <w:tcW w:w="1422" w:type="pct"/>
            <w:tcBorders>
              <w:top w:val="single" w:sz="2" w:space="0" w:color="auto"/>
              <w:left w:val="nil"/>
              <w:bottom w:val="single" w:sz="4" w:space="0" w:color="auto"/>
            </w:tcBorders>
            <w:shd w:val="clear" w:color="auto" w:fill="auto"/>
            <w:vAlign w:val="center"/>
            <w:hideMark/>
          </w:tcPr>
          <w:p w14:paraId="439C9410" w14:textId="223E95C8" w:rsidR="009F50C6" w:rsidRPr="00933A7F" w:rsidRDefault="009F50C6" w:rsidP="00E27795">
            <w:pPr>
              <w:pStyle w:val="cuatexto"/>
              <w:spacing w:line="240" w:lineRule="auto"/>
              <w:rPr>
                <w:b/>
                <w:i/>
                <w:iCs/>
                <w:color w:val="000000" w:themeColor="text1"/>
                <w:sz w:val="19"/>
                <w:szCs w:val="19"/>
                <w:lang w:val="es-ES" w:eastAsia="es-ES"/>
              </w:rPr>
            </w:pPr>
            <w:r w:rsidRPr="00933A7F">
              <w:rPr>
                <w:b/>
                <w:i/>
                <w:iCs/>
                <w:color w:val="000000" w:themeColor="text1"/>
                <w:sz w:val="19"/>
                <w:szCs w:val="19"/>
                <w:lang w:val="es-ES" w:eastAsia="es-ES"/>
              </w:rPr>
              <w:t>Operaciones financieras</w:t>
            </w:r>
          </w:p>
        </w:tc>
        <w:tc>
          <w:tcPr>
            <w:tcW w:w="659" w:type="pct"/>
            <w:tcBorders>
              <w:top w:val="single" w:sz="2" w:space="0" w:color="auto"/>
              <w:left w:val="nil"/>
              <w:bottom w:val="single" w:sz="4" w:space="0" w:color="auto"/>
              <w:right w:val="nil"/>
            </w:tcBorders>
            <w:shd w:val="clear" w:color="auto" w:fill="auto"/>
            <w:vAlign w:val="center"/>
            <w:hideMark/>
          </w:tcPr>
          <w:p w14:paraId="68E904C6"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30,60</w:t>
            </w:r>
          </w:p>
        </w:tc>
        <w:tc>
          <w:tcPr>
            <w:tcW w:w="580" w:type="pct"/>
            <w:tcBorders>
              <w:top w:val="single" w:sz="2" w:space="0" w:color="auto"/>
              <w:left w:val="nil"/>
              <w:bottom w:val="single" w:sz="4" w:space="0" w:color="auto"/>
              <w:right w:val="nil"/>
            </w:tcBorders>
            <w:shd w:val="clear" w:color="auto" w:fill="auto"/>
            <w:vAlign w:val="center"/>
            <w:hideMark/>
          </w:tcPr>
          <w:p w14:paraId="4E690D66"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30,64</w:t>
            </w:r>
          </w:p>
        </w:tc>
        <w:tc>
          <w:tcPr>
            <w:tcW w:w="566" w:type="pct"/>
            <w:tcBorders>
              <w:top w:val="single" w:sz="2" w:space="0" w:color="auto"/>
              <w:left w:val="nil"/>
              <w:bottom w:val="single" w:sz="4" w:space="0" w:color="auto"/>
              <w:right w:val="nil"/>
            </w:tcBorders>
            <w:shd w:val="clear" w:color="auto" w:fill="auto"/>
            <w:vAlign w:val="center"/>
            <w:hideMark/>
          </w:tcPr>
          <w:p w14:paraId="2F33EA5B" w14:textId="77777777" w:rsidR="009F50C6" w:rsidRPr="00933A7F" w:rsidRDefault="009F50C6" w:rsidP="00E27795">
            <w:pPr>
              <w:spacing w:after="0"/>
              <w:ind w:hanging="77"/>
              <w:jc w:val="right"/>
              <w:rPr>
                <w:rFonts w:ascii="Arial Narrow" w:hAnsi="Arial Narrow" w:cs="Calibri"/>
                <w:b/>
                <w:bCs/>
                <w:i/>
                <w:iCs/>
                <w:sz w:val="19"/>
                <w:szCs w:val="19"/>
              </w:rPr>
            </w:pPr>
            <w:r w:rsidRPr="00933A7F">
              <w:rPr>
                <w:rFonts w:ascii="Arial Narrow" w:hAnsi="Arial Narrow" w:cs="Calibri"/>
                <w:b/>
                <w:bCs/>
                <w:i/>
                <w:iCs/>
                <w:sz w:val="19"/>
                <w:szCs w:val="19"/>
              </w:rPr>
              <w:t>3,8</w:t>
            </w:r>
          </w:p>
        </w:tc>
        <w:tc>
          <w:tcPr>
            <w:tcW w:w="543" w:type="pct"/>
            <w:tcBorders>
              <w:top w:val="single" w:sz="2" w:space="0" w:color="auto"/>
              <w:bottom w:val="single" w:sz="4" w:space="0" w:color="auto"/>
            </w:tcBorders>
            <w:shd w:val="clear" w:color="auto" w:fill="auto"/>
            <w:vAlign w:val="center"/>
            <w:hideMark/>
          </w:tcPr>
          <w:p w14:paraId="75B278E7"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100</w:t>
            </w:r>
          </w:p>
        </w:tc>
        <w:tc>
          <w:tcPr>
            <w:tcW w:w="668" w:type="pct"/>
            <w:tcBorders>
              <w:top w:val="single" w:sz="2" w:space="0" w:color="auto"/>
              <w:left w:val="nil"/>
              <w:bottom w:val="single" w:sz="4" w:space="0" w:color="auto"/>
              <w:right w:val="nil"/>
            </w:tcBorders>
            <w:shd w:val="clear" w:color="auto" w:fill="auto"/>
            <w:vAlign w:val="center"/>
          </w:tcPr>
          <w:p w14:paraId="5AD51992" w14:textId="77777777" w:rsidR="009F50C6" w:rsidRPr="00933A7F" w:rsidRDefault="009F50C6" w:rsidP="00E27795">
            <w:pPr>
              <w:spacing w:after="0"/>
              <w:ind w:firstLine="0"/>
              <w:jc w:val="right"/>
              <w:rPr>
                <w:rFonts w:ascii="Arial Narrow" w:hAnsi="Arial Narrow" w:cs="Arial"/>
                <w:b/>
                <w:bCs/>
                <w:i/>
                <w:iCs/>
                <w:sz w:val="19"/>
                <w:szCs w:val="19"/>
              </w:rPr>
            </w:pPr>
            <w:r w:rsidRPr="00933A7F">
              <w:rPr>
                <w:rFonts w:ascii="Arial Narrow" w:hAnsi="Arial Narrow" w:cs="Arial"/>
                <w:b/>
                <w:bCs/>
                <w:i/>
                <w:iCs/>
                <w:sz w:val="19"/>
                <w:szCs w:val="19"/>
              </w:rPr>
              <w:t>0</w:t>
            </w:r>
          </w:p>
        </w:tc>
        <w:tc>
          <w:tcPr>
            <w:tcW w:w="561" w:type="pct"/>
            <w:tcBorders>
              <w:top w:val="single" w:sz="2" w:space="0" w:color="auto"/>
              <w:left w:val="nil"/>
              <w:bottom w:val="single" w:sz="4" w:space="0" w:color="auto"/>
              <w:right w:val="nil"/>
            </w:tcBorders>
            <w:vAlign w:val="center"/>
          </w:tcPr>
          <w:p w14:paraId="3C42E65B" w14:textId="77777777" w:rsidR="009F50C6" w:rsidRPr="00933A7F" w:rsidRDefault="009F50C6" w:rsidP="00E27795">
            <w:pPr>
              <w:spacing w:after="0"/>
              <w:ind w:firstLine="0"/>
              <w:jc w:val="right"/>
              <w:rPr>
                <w:rFonts w:ascii="Arial Narrow" w:hAnsi="Arial Narrow" w:cs="Calibri"/>
                <w:b/>
                <w:bCs/>
                <w:i/>
                <w:iCs/>
                <w:sz w:val="19"/>
                <w:szCs w:val="19"/>
              </w:rPr>
            </w:pPr>
            <w:r w:rsidRPr="00933A7F">
              <w:rPr>
                <w:rFonts w:ascii="Arial Narrow" w:hAnsi="Arial Narrow" w:cs="Calibri"/>
                <w:b/>
                <w:bCs/>
                <w:i/>
                <w:iCs/>
                <w:sz w:val="19"/>
                <w:szCs w:val="19"/>
              </w:rPr>
              <w:t>1</w:t>
            </w:r>
          </w:p>
        </w:tc>
      </w:tr>
      <w:tr w:rsidR="0003647B" w:rsidRPr="00E27795" w14:paraId="3A8B1C85" w14:textId="77777777" w:rsidTr="004B1F4E">
        <w:trPr>
          <w:trHeight w:val="255"/>
        </w:trPr>
        <w:tc>
          <w:tcPr>
            <w:tcW w:w="1422" w:type="pct"/>
            <w:tcBorders>
              <w:top w:val="single" w:sz="4" w:space="0" w:color="auto"/>
              <w:left w:val="nil"/>
              <w:bottom w:val="single" w:sz="4" w:space="0" w:color="000000"/>
              <w:right w:val="nil"/>
            </w:tcBorders>
            <w:shd w:val="clear" w:color="auto" w:fill="FABF8F" w:themeFill="accent6" w:themeFillTint="99"/>
            <w:vAlign w:val="center"/>
            <w:hideMark/>
          </w:tcPr>
          <w:p w14:paraId="3225F8BC" w14:textId="77777777" w:rsidR="009F50C6" w:rsidRPr="00E27795" w:rsidRDefault="009F50C6" w:rsidP="00E27795">
            <w:pPr>
              <w:pStyle w:val="cuadroCabe"/>
              <w:spacing w:line="240" w:lineRule="auto"/>
              <w:rPr>
                <w:sz w:val="16"/>
                <w:szCs w:val="16"/>
              </w:rPr>
            </w:pPr>
            <w:r w:rsidRPr="00E27795">
              <w:rPr>
                <w:sz w:val="16"/>
                <w:szCs w:val="16"/>
              </w:rPr>
              <w:t xml:space="preserve"> Total</w:t>
            </w:r>
          </w:p>
        </w:tc>
        <w:tc>
          <w:tcPr>
            <w:tcW w:w="659" w:type="pct"/>
            <w:tcBorders>
              <w:top w:val="single" w:sz="4" w:space="0" w:color="auto"/>
              <w:left w:val="nil"/>
              <w:bottom w:val="single" w:sz="4" w:space="0" w:color="000000"/>
              <w:right w:val="nil"/>
            </w:tcBorders>
            <w:shd w:val="clear" w:color="auto" w:fill="FABF8F" w:themeFill="accent6" w:themeFillTint="99"/>
            <w:vAlign w:val="center"/>
            <w:hideMark/>
          </w:tcPr>
          <w:p w14:paraId="75C40FE6" w14:textId="77777777" w:rsidR="009F50C6" w:rsidRPr="00E27795" w:rsidRDefault="009F50C6" w:rsidP="00E27795">
            <w:pPr>
              <w:pStyle w:val="cuadroCabe"/>
              <w:spacing w:line="240" w:lineRule="auto"/>
              <w:jc w:val="right"/>
              <w:rPr>
                <w:sz w:val="16"/>
                <w:szCs w:val="16"/>
              </w:rPr>
            </w:pPr>
            <w:r w:rsidRPr="00E27795">
              <w:rPr>
                <w:sz w:val="16"/>
                <w:szCs w:val="16"/>
              </w:rPr>
              <w:t>952,21</w:t>
            </w:r>
          </w:p>
        </w:tc>
        <w:tc>
          <w:tcPr>
            <w:tcW w:w="580" w:type="pct"/>
            <w:tcBorders>
              <w:top w:val="single" w:sz="4" w:space="0" w:color="auto"/>
              <w:left w:val="nil"/>
              <w:bottom w:val="single" w:sz="4" w:space="0" w:color="000000"/>
              <w:right w:val="nil"/>
            </w:tcBorders>
            <w:shd w:val="clear" w:color="auto" w:fill="FABF8F" w:themeFill="accent6" w:themeFillTint="99"/>
            <w:vAlign w:val="center"/>
            <w:hideMark/>
          </w:tcPr>
          <w:p w14:paraId="7DA2CEF5" w14:textId="77777777" w:rsidR="009F50C6" w:rsidRPr="00E27795" w:rsidRDefault="009F50C6" w:rsidP="00E27795">
            <w:pPr>
              <w:pStyle w:val="cuadroCabe"/>
              <w:spacing w:line="240" w:lineRule="auto"/>
              <w:jc w:val="right"/>
              <w:rPr>
                <w:sz w:val="16"/>
                <w:szCs w:val="16"/>
              </w:rPr>
            </w:pPr>
            <w:r w:rsidRPr="00E27795">
              <w:rPr>
                <w:sz w:val="16"/>
                <w:szCs w:val="16"/>
              </w:rPr>
              <w:t>799,18</w:t>
            </w:r>
          </w:p>
        </w:tc>
        <w:tc>
          <w:tcPr>
            <w:tcW w:w="566" w:type="pct"/>
            <w:tcBorders>
              <w:top w:val="single" w:sz="4" w:space="0" w:color="auto"/>
              <w:left w:val="nil"/>
              <w:bottom w:val="single" w:sz="4" w:space="0" w:color="000000"/>
              <w:right w:val="nil"/>
            </w:tcBorders>
            <w:shd w:val="clear" w:color="auto" w:fill="FABF8F" w:themeFill="accent6" w:themeFillTint="99"/>
            <w:vAlign w:val="center"/>
            <w:hideMark/>
          </w:tcPr>
          <w:p w14:paraId="69EA7620" w14:textId="77777777" w:rsidR="009F50C6" w:rsidRPr="00E27795" w:rsidRDefault="009F50C6" w:rsidP="00E27795">
            <w:pPr>
              <w:pStyle w:val="cuadroCabe"/>
              <w:spacing w:line="240" w:lineRule="auto"/>
              <w:jc w:val="right"/>
              <w:rPr>
                <w:sz w:val="16"/>
                <w:szCs w:val="16"/>
              </w:rPr>
            </w:pPr>
            <w:r w:rsidRPr="00E27795">
              <w:rPr>
                <w:sz w:val="16"/>
                <w:szCs w:val="16"/>
              </w:rPr>
              <w:t>100</w:t>
            </w:r>
          </w:p>
        </w:tc>
        <w:tc>
          <w:tcPr>
            <w:tcW w:w="543" w:type="pct"/>
            <w:tcBorders>
              <w:top w:val="single" w:sz="4" w:space="0" w:color="auto"/>
              <w:left w:val="nil"/>
              <w:bottom w:val="single" w:sz="4" w:space="0" w:color="000000"/>
              <w:right w:val="nil"/>
            </w:tcBorders>
            <w:shd w:val="clear" w:color="auto" w:fill="FABF8F" w:themeFill="accent6" w:themeFillTint="99"/>
            <w:vAlign w:val="center"/>
            <w:hideMark/>
          </w:tcPr>
          <w:p w14:paraId="62C2A3D5" w14:textId="77777777" w:rsidR="009F50C6" w:rsidRPr="00E27795" w:rsidRDefault="009F50C6" w:rsidP="00E27795">
            <w:pPr>
              <w:pStyle w:val="cuadroCabe"/>
              <w:spacing w:line="240" w:lineRule="auto"/>
              <w:jc w:val="right"/>
              <w:rPr>
                <w:sz w:val="16"/>
                <w:szCs w:val="16"/>
              </w:rPr>
            </w:pPr>
            <w:r w:rsidRPr="00E27795">
              <w:rPr>
                <w:sz w:val="16"/>
                <w:szCs w:val="16"/>
              </w:rPr>
              <w:t>84</w:t>
            </w:r>
          </w:p>
        </w:tc>
        <w:tc>
          <w:tcPr>
            <w:tcW w:w="668" w:type="pct"/>
            <w:tcBorders>
              <w:top w:val="single" w:sz="4" w:space="0" w:color="auto"/>
              <w:left w:val="nil"/>
              <w:bottom w:val="single" w:sz="4" w:space="0" w:color="000000"/>
              <w:right w:val="nil"/>
            </w:tcBorders>
            <w:shd w:val="clear" w:color="auto" w:fill="FABF8F" w:themeFill="accent6" w:themeFillTint="99"/>
            <w:vAlign w:val="center"/>
          </w:tcPr>
          <w:p w14:paraId="60140608" w14:textId="77777777" w:rsidR="009F50C6" w:rsidRPr="00E27795" w:rsidRDefault="009F50C6" w:rsidP="00E27795">
            <w:pPr>
              <w:pStyle w:val="cuadroCabe"/>
              <w:spacing w:line="240" w:lineRule="auto"/>
              <w:jc w:val="right"/>
              <w:rPr>
                <w:sz w:val="16"/>
                <w:szCs w:val="16"/>
              </w:rPr>
            </w:pPr>
            <w:r w:rsidRPr="00E27795">
              <w:rPr>
                <w:sz w:val="16"/>
                <w:szCs w:val="16"/>
              </w:rPr>
              <w:t>-86</w:t>
            </w:r>
          </w:p>
        </w:tc>
        <w:tc>
          <w:tcPr>
            <w:tcW w:w="561" w:type="pct"/>
            <w:tcBorders>
              <w:top w:val="single" w:sz="4" w:space="0" w:color="auto"/>
              <w:left w:val="nil"/>
              <w:bottom w:val="single" w:sz="4" w:space="0" w:color="000000"/>
              <w:right w:val="nil"/>
            </w:tcBorders>
            <w:shd w:val="clear" w:color="auto" w:fill="FABF8F" w:themeFill="accent6" w:themeFillTint="99"/>
            <w:vAlign w:val="center"/>
          </w:tcPr>
          <w:p w14:paraId="7B385112" w14:textId="77777777" w:rsidR="009F50C6" w:rsidRPr="00E27795" w:rsidRDefault="009F50C6" w:rsidP="00E27795">
            <w:pPr>
              <w:pStyle w:val="cuadroCabe"/>
              <w:spacing w:line="240" w:lineRule="auto"/>
              <w:jc w:val="right"/>
              <w:rPr>
                <w:sz w:val="16"/>
                <w:szCs w:val="16"/>
              </w:rPr>
            </w:pPr>
            <w:r w:rsidRPr="00E27795">
              <w:rPr>
                <w:sz w:val="16"/>
                <w:szCs w:val="16"/>
              </w:rPr>
              <w:t>-10</w:t>
            </w:r>
          </w:p>
        </w:tc>
      </w:tr>
    </w:tbl>
    <w:p w14:paraId="25454B17" w14:textId="77777777" w:rsidR="00BC201A" w:rsidRPr="0003647B" w:rsidRDefault="00BC201A" w:rsidP="0003647B">
      <w:pPr>
        <w:pStyle w:val="texto"/>
        <w:spacing w:before="60" w:after="40"/>
        <w:ind w:firstLine="0"/>
        <w:rPr>
          <w:rFonts w:ascii="Arial" w:hAnsi="Arial" w:cs="Arial"/>
          <w:i/>
          <w:color w:val="000000" w:themeColor="text1"/>
          <w:sz w:val="14"/>
          <w:szCs w:val="14"/>
        </w:rPr>
      </w:pPr>
      <w:r w:rsidRPr="00CE2ACA">
        <w:rPr>
          <w:rFonts w:ascii="Arial" w:hAnsi="Arial" w:cs="Arial"/>
          <w:color w:val="000000" w:themeColor="text1"/>
          <w:sz w:val="14"/>
          <w:szCs w:val="14"/>
        </w:rPr>
        <w:t>(*) Incluye las entidades locales y sus organismos autónomos dependientes, pero no sociedades públicas, fundaciones públicas ni consorcios</w:t>
      </w:r>
      <w:r w:rsidRPr="0003647B">
        <w:rPr>
          <w:rFonts w:ascii="Arial" w:hAnsi="Arial" w:cs="Arial"/>
          <w:i/>
          <w:color w:val="000000" w:themeColor="text1"/>
          <w:sz w:val="14"/>
          <w:szCs w:val="14"/>
        </w:rPr>
        <w:t>.</w:t>
      </w:r>
    </w:p>
    <w:p w14:paraId="05D1F343" w14:textId="77777777" w:rsidR="00345C6C" w:rsidRPr="00B81E61" w:rsidRDefault="00345C6C" w:rsidP="00345C6C">
      <w:pPr>
        <w:pStyle w:val="texto"/>
        <w:spacing w:after="40"/>
        <w:rPr>
          <w:color w:val="000000" w:themeColor="text1"/>
          <w:sz w:val="20"/>
          <w:szCs w:val="20"/>
        </w:rPr>
      </w:pPr>
    </w:p>
    <w:p w14:paraId="626DF5C1" w14:textId="77777777" w:rsidR="00B11B1E" w:rsidRDefault="00345C6C" w:rsidP="0003647B">
      <w:pPr>
        <w:pStyle w:val="texto"/>
        <w:rPr>
          <w:color w:val="000000" w:themeColor="text1"/>
        </w:rPr>
      </w:pPr>
      <w:r w:rsidRPr="00B81E61">
        <w:rPr>
          <w:color w:val="000000" w:themeColor="text1"/>
        </w:rPr>
        <w:lastRenderedPageBreak/>
        <w:t>Los créditos d</w:t>
      </w:r>
      <w:r w:rsidR="00B11B1E">
        <w:rPr>
          <w:color w:val="000000" w:themeColor="text1"/>
        </w:rPr>
        <w:t>efinitivos para el ejercicio 2020</w:t>
      </w:r>
      <w:r w:rsidRPr="00B81E61">
        <w:rPr>
          <w:color w:val="000000" w:themeColor="text1"/>
        </w:rPr>
        <w:t xml:space="preserve"> ascendieron a </w:t>
      </w:r>
      <w:r w:rsidR="00B11B1E">
        <w:rPr>
          <w:color w:val="000000" w:themeColor="text1"/>
        </w:rPr>
        <w:t>952,21</w:t>
      </w:r>
      <w:r w:rsidRPr="00B81E61">
        <w:rPr>
          <w:color w:val="000000" w:themeColor="text1"/>
        </w:rPr>
        <w:t xml:space="preserve"> millones y se ejecutaron en un 8</w:t>
      </w:r>
      <w:r w:rsidR="00B11B1E">
        <w:rPr>
          <w:color w:val="000000" w:themeColor="text1"/>
        </w:rPr>
        <w:t>4</w:t>
      </w:r>
      <w:r w:rsidRPr="00B81E61">
        <w:rPr>
          <w:color w:val="000000" w:themeColor="text1"/>
        </w:rPr>
        <w:t xml:space="preserve"> por ciento. </w:t>
      </w:r>
      <w:r w:rsidR="00B11B1E">
        <w:rPr>
          <w:color w:val="000000" w:themeColor="text1"/>
        </w:rPr>
        <w:t>Los gastos corrientes presentan un grado de ejecución del 91 por ciento, mientras que los de capital se ejecutaron en un 59 por ciento y los de operaciones financieras, en su totalidad.</w:t>
      </w:r>
    </w:p>
    <w:p w14:paraId="2F79D198" w14:textId="7795F848" w:rsidR="00B11B1E" w:rsidRDefault="00B11B1E" w:rsidP="0003647B">
      <w:pPr>
        <w:pStyle w:val="texto"/>
        <w:rPr>
          <w:color w:val="000000" w:themeColor="text1"/>
        </w:rPr>
      </w:pPr>
      <w:r>
        <w:rPr>
          <w:color w:val="000000" w:themeColor="text1"/>
        </w:rPr>
        <w:t>El gasto del sector público local en 2020 sumó un total de 799,18 millones, de los que el 39 y el 32 por ciento corresponden a gasto</w:t>
      </w:r>
      <w:r w:rsidR="008E43F9">
        <w:rPr>
          <w:color w:val="000000" w:themeColor="text1"/>
        </w:rPr>
        <w:t xml:space="preserve"> de personal y gasto en </w:t>
      </w:r>
      <w:r>
        <w:rPr>
          <w:color w:val="000000" w:themeColor="text1"/>
        </w:rPr>
        <w:t xml:space="preserve">bienes corrientes y servicios, respectivamente, destacando también el </w:t>
      </w:r>
      <w:r w:rsidR="00846D14">
        <w:rPr>
          <w:color w:val="000000" w:themeColor="text1"/>
        </w:rPr>
        <w:t>correspondiente a</w:t>
      </w:r>
      <w:r>
        <w:rPr>
          <w:color w:val="000000" w:themeColor="text1"/>
        </w:rPr>
        <w:t xml:space="preserve"> inversiones reales, que supone un 1</w:t>
      </w:r>
      <w:r w:rsidR="00BC201A">
        <w:rPr>
          <w:color w:val="000000" w:themeColor="text1"/>
        </w:rPr>
        <w:t>5</w:t>
      </w:r>
      <w:r>
        <w:rPr>
          <w:color w:val="000000" w:themeColor="text1"/>
        </w:rPr>
        <w:t xml:space="preserve"> por ciento del total.</w:t>
      </w:r>
    </w:p>
    <w:p w14:paraId="6F6A7DF2" w14:textId="05EED3DC" w:rsidR="00B11B1E" w:rsidRDefault="00B11B1E" w:rsidP="0003647B">
      <w:pPr>
        <w:pStyle w:val="texto"/>
        <w:rPr>
          <w:color w:val="000000" w:themeColor="text1"/>
        </w:rPr>
      </w:pPr>
      <w:r>
        <w:rPr>
          <w:color w:val="000000" w:themeColor="text1"/>
        </w:rPr>
        <w:t xml:space="preserve">El gasto total se ha reducido en un diez por ciento con respecto al ejercicio anterior, equivalente a 86 millones, debido principalmente a la reducción del gasto en inversiones reales, que se reduce en un 37 por ciento, equivalente a 67 millones. </w:t>
      </w:r>
    </w:p>
    <w:p w14:paraId="1BB13ECE" w14:textId="640E2F3C" w:rsidR="008E43F9" w:rsidRDefault="008433A0" w:rsidP="0003647B">
      <w:pPr>
        <w:pStyle w:val="texto"/>
        <w:rPr>
          <w:color w:val="000000" w:themeColor="text1"/>
        </w:rPr>
      </w:pPr>
      <w:r>
        <w:rPr>
          <w:color w:val="000000" w:themeColor="text1"/>
        </w:rPr>
        <w:t xml:space="preserve">Del total de gastos, el 85 por ciento corresponde a municipios, el 13 por ciento a mancomunidades y agrupaciones y el </w:t>
      </w:r>
      <w:r w:rsidR="00846D14">
        <w:rPr>
          <w:color w:val="000000" w:themeColor="text1"/>
        </w:rPr>
        <w:t xml:space="preserve">dos </w:t>
      </w:r>
      <w:r>
        <w:rPr>
          <w:color w:val="000000" w:themeColor="text1"/>
        </w:rPr>
        <w:t xml:space="preserve">por </w:t>
      </w:r>
      <w:proofErr w:type="gramStart"/>
      <w:r>
        <w:rPr>
          <w:color w:val="000000" w:themeColor="text1"/>
        </w:rPr>
        <w:t>ciento restante</w:t>
      </w:r>
      <w:proofErr w:type="gramEnd"/>
      <w:r>
        <w:rPr>
          <w:color w:val="000000" w:themeColor="text1"/>
        </w:rPr>
        <w:t>, a los concejos, distribución similar a</w:t>
      </w:r>
      <w:r w:rsidR="008E43F9">
        <w:rPr>
          <w:color w:val="000000" w:themeColor="text1"/>
        </w:rPr>
        <w:t xml:space="preserve"> la del ejercicio anterior</w:t>
      </w:r>
      <w:r w:rsidR="00B11B1E">
        <w:rPr>
          <w:color w:val="000000" w:themeColor="text1"/>
        </w:rPr>
        <w:t>.</w:t>
      </w:r>
      <w:r>
        <w:rPr>
          <w:color w:val="000000" w:themeColor="text1"/>
        </w:rPr>
        <w:t xml:space="preserve"> </w:t>
      </w:r>
    </w:p>
    <w:p w14:paraId="636EA2ED" w14:textId="4F096C97" w:rsidR="00B11B1E" w:rsidRDefault="008433A0" w:rsidP="0003647B">
      <w:pPr>
        <w:pStyle w:val="texto"/>
        <w:rPr>
          <w:color w:val="000000" w:themeColor="text1"/>
        </w:rPr>
      </w:pPr>
      <w:r>
        <w:rPr>
          <w:color w:val="000000" w:themeColor="text1"/>
        </w:rPr>
        <w:t>A pesar de que no afecte muy significativamente a la distribu</w:t>
      </w:r>
      <w:r w:rsidR="008E43F9">
        <w:rPr>
          <w:color w:val="000000" w:themeColor="text1"/>
        </w:rPr>
        <w:t xml:space="preserve">ción del gasto, cabe señalar la disparidad existente en la </w:t>
      </w:r>
      <w:r>
        <w:rPr>
          <w:color w:val="000000" w:themeColor="text1"/>
        </w:rPr>
        <w:t xml:space="preserve">variación interanual de los gastos en ayuntamientos, mancomunidades y concejos: disminuyen un siete, un 18 y un 51 por ciento, respectivamente, lo que se relaciona con la distinta estructura del gasto en cada </w:t>
      </w:r>
      <w:r w:rsidR="00846D14">
        <w:rPr>
          <w:color w:val="000000" w:themeColor="text1"/>
        </w:rPr>
        <w:t xml:space="preserve">tipo </w:t>
      </w:r>
      <w:r>
        <w:rPr>
          <w:color w:val="000000" w:themeColor="text1"/>
        </w:rPr>
        <w:t>de entidad local.</w:t>
      </w:r>
    </w:p>
    <w:p w14:paraId="266D3B3C" w14:textId="5F76BE44" w:rsidR="00B11B1E" w:rsidRDefault="00051F60" w:rsidP="004B1F4E">
      <w:pPr>
        <w:pStyle w:val="texto"/>
        <w:spacing w:after="0"/>
        <w:rPr>
          <w:color w:val="000000" w:themeColor="text1"/>
        </w:rPr>
      </w:pPr>
      <w:r>
        <w:rPr>
          <w:color w:val="000000" w:themeColor="text1"/>
        </w:rPr>
        <w:t>El gasto total del Sector Público Local en 2020 consolidado con las tres sociedades citadas anteriormente asciend</w:t>
      </w:r>
      <w:r w:rsidR="001B2567">
        <w:rPr>
          <w:color w:val="000000" w:themeColor="text1"/>
        </w:rPr>
        <w:t>e a un total de 877,62 millones, según se detalla a continuación:</w:t>
      </w:r>
    </w:p>
    <w:p w14:paraId="741C3E02" w14:textId="56ACCD8A" w:rsidR="007B465C" w:rsidRPr="0003647B" w:rsidRDefault="00271C18" w:rsidP="007B465C">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(Millones)</w:t>
      </w:r>
    </w:p>
    <w:tbl>
      <w:tblPr>
        <w:tblW w:w="8739" w:type="dxa"/>
        <w:tblInd w:w="70" w:type="dxa"/>
        <w:tblCellMar>
          <w:left w:w="70" w:type="dxa"/>
          <w:right w:w="70" w:type="dxa"/>
        </w:tblCellMar>
        <w:tblLook w:val="04A0" w:firstRow="1" w:lastRow="0" w:firstColumn="1" w:lastColumn="0" w:noHBand="0" w:noVBand="1"/>
      </w:tblPr>
      <w:tblGrid>
        <w:gridCol w:w="2330"/>
        <w:gridCol w:w="1413"/>
        <w:gridCol w:w="216"/>
        <w:gridCol w:w="1480"/>
        <w:gridCol w:w="1579"/>
        <w:gridCol w:w="197"/>
        <w:gridCol w:w="6"/>
        <w:gridCol w:w="1518"/>
      </w:tblGrid>
      <w:tr w:rsidR="00B763E1" w:rsidRPr="00271C18" w14:paraId="3FC049C8" w14:textId="77777777" w:rsidTr="00A42B4F">
        <w:trPr>
          <w:trHeight w:val="284"/>
        </w:trPr>
        <w:tc>
          <w:tcPr>
            <w:tcW w:w="2330" w:type="dxa"/>
            <w:tcBorders>
              <w:top w:val="single" w:sz="4" w:space="0" w:color="000000"/>
              <w:left w:val="nil"/>
              <w:bottom w:val="nil"/>
              <w:right w:val="nil"/>
            </w:tcBorders>
            <w:shd w:val="clear" w:color="auto" w:fill="FABF8F" w:themeFill="accent6" w:themeFillTint="99"/>
            <w:vAlign w:val="center"/>
          </w:tcPr>
          <w:p w14:paraId="47863E2B" w14:textId="77777777" w:rsidR="00B763E1" w:rsidRPr="00271C18" w:rsidRDefault="00B763E1" w:rsidP="00271C18">
            <w:pPr>
              <w:pStyle w:val="cuadroCabe"/>
              <w:rPr>
                <w:sz w:val="16"/>
                <w:szCs w:val="16"/>
              </w:rPr>
            </w:pPr>
            <w:r w:rsidRPr="00271C18">
              <w:rPr>
                <w:sz w:val="16"/>
                <w:szCs w:val="16"/>
              </w:rPr>
              <w:t>GASTOS 2020</w:t>
            </w:r>
          </w:p>
        </w:tc>
        <w:tc>
          <w:tcPr>
            <w:tcW w:w="1413" w:type="dxa"/>
            <w:vMerge w:val="restart"/>
            <w:tcBorders>
              <w:top w:val="single" w:sz="4" w:space="0" w:color="000000"/>
              <w:left w:val="nil"/>
              <w:right w:val="nil"/>
            </w:tcBorders>
            <w:shd w:val="clear" w:color="auto" w:fill="FABF8F" w:themeFill="accent6" w:themeFillTint="99"/>
            <w:vAlign w:val="center"/>
          </w:tcPr>
          <w:p w14:paraId="040BDB81" w14:textId="41BFF21B" w:rsidR="00B763E1" w:rsidRPr="00271C18" w:rsidRDefault="00B763E1" w:rsidP="00271C18">
            <w:pPr>
              <w:pStyle w:val="cuadroCabe"/>
              <w:jc w:val="right"/>
              <w:rPr>
                <w:sz w:val="16"/>
                <w:szCs w:val="16"/>
              </w:rPr>
            </w:pPr>
            <w:r w:rsidRPr="00271C18">
              <w:rPr>
                <w:sz w:val="16"/>
                <w:szCs w:val="16"/>
              </w:rPr>
              <w:t>Sin consolidar sociedades</w:t>
            </w:r>
          </w:p>
        </w:tc>
        <w:tc>
          <w:tcPr>
            <w:tcW w:w="3478" w:type="dxa"/>
            <w:gridSpan w:val="5"/>
            <w:tcBorders>
              <w:top w:val="single" w:sz="4" w:space="0" w:color="000000"/>
              <w:left w:val="nil"/>
              <w:bottom w:val="nil"/>
              <w:right w:val="nil"/>
            </w:tcBorders>
            <w:shd w:val="clear" w:color="auto" w:fill="FABF8F" w:themeFill="accent6" w:themeFillTint="99"/>
            <w:vAlign w:val="center"/>
          </w:tcPr>
          <w:p w14:paraId="2131857B" w14:textId="1EE14141" w:rsidR="00B763E1" w:rsidRPr="00271C18" w:rsidRDefault="00B763E1" w:rsidP="00271C18">
            <w:pPr>
              <w:pStyle w:val="cuadroCabe"/>
              <w:jc w:val="center"/>
              <w:rPr>
                <w:sz w:val="16"/>
                <w:szCs w:val="16"/>
              </w:rPr>
            </w:pPr>
            <w:r w:rsidRPr="00271C18">
              <w:rPr>
                <w:sz w:val="16"/>
                <w:szCs w:val="16"/>
              </w:rPr>
              <w:t>Consolidado</w:t>
            </w:r>
            <w:r w:rsidR="007B465C" w:rsidRPr="00271C18">
              <w:rPr>
                <w:sz w:val="16"/>
                <w:szCs w:val="16"/>
              </w:rPr>
              <w:t xml:space="preserve"> c</w:t>
            </w:r>
            <w:r w:rsidRPr="00271C18">
              <w:rPr>
                <w:sz w:val="16"/>
                <w:szCs w:val="16"/>
              </w:rPr>
              <w:t>on 3 sociedades</w:t>
            </w:r>
          </w:p>
        </w:tc>
        <w:tc>
          <w:tcPr>
            <w:tcW w:w="1518" w:type="dxa"/>
            <w:tcBorders>
              <w:top w:val="single" w:sz="4" w:space="0" w:color="000000"/>
              <w:left w:val="nil"/>
              <w:right w:val="nil"/>
            </w:tcBorders>
            <w:shd w:val="clear" w:color="auto" w:fill="FABF8F" w:themeFill="accent6" w:themeFillTint="99"/>
            <w:vAlign w:val="center"/>
          </w:tcPr>
          <w:p w14:paraId="7254F177" w14:textId="0CDB120D" w:rsidR="00B763E1" w:rsidRPr="00271C18" w:rsidRDefault="00B763E1" w:rsidP="00271C18">
            <w:pPr>
              <w:pStyle w:val="cuadroCabe"/>
              <w:jc w:val="right"/>
              <w:rPr>
                <w:sz w:val="16"/>
                <w:szCs w:val="16"/>
              </w:rPr>
            </w:pPr>
            <w:r w:rsidRPr="00271C18">
              <w:rPr>
                <w:sz w:val="16"/>
                <w:szCs w:val="16"/>
              </w:rPr>
              <w:t>Efecto</w:t>
            </w:r>
          </w:p>
        </w:tc>
      </w:tr>
      <w:tr w:rsidR="008433A0" w:rsidRPr="00271C18" w14:paraId="4CDBD2E4" w14:textId="77777777" w:rsidTr="00A42B4F">
        <w:trPr>
          <w:trHeight w:val="284"/>
        </w:trPr>
        <w:tc>
          <w:tcPr>
            <w:tcW w:w="2330" w:type="dxa"/>
            <w:tcBorders>
              <w:top w:val="single" w:sz="4" w:space="0" w:color="000000"/>
              <w:left w:val="nil"/>
              <w:bottom w:val="nil"/>
              <w:right w:val="nil"/>
            </w:tcBorders>
            <w:shd w:val="clear" w:color="auto" w:fill="FABF8F" w:themeFill="accent6" w:themeFillTint="99"/>
            <w:vAlign w:val="center"/>
            <w:hideMark/>
          </w:tcPr>
          <w:p w14:paraId="4EDB58B2" w14:textId="77777777" w:rsidR="008433A0" w:rsidRPr="00271C18" w:rsidRDefault="008433A0" w:rsidP="00271C18">
            <w:pPr>
              <w:pStyle w:val="cuadroCabe"/>
              <w:rPr>
                <w:sz w:val="16"/>
                <w:szCs w:val="16"/>
              </w:rPr>
            </w:pPr>
            <w:r w:rsidRPr="00271C18">
              <w:rPr>
                <w:sz w:val="16"/>
                <w:szCs w:val="16"/>
              </w:rPr>
              <w:t>Capítulo</w:t>
            </w:r>
          </w:p>
        </w:tc>
        <w:tc>
          <w:tcPr>
            <w:tcW w:w="1413" w:type="dxa"/>
            <w:vMerge/>
            <w:tcBorders>
              <w:left w:val="nil"/>
              <w:bottom w:val="nil"/>
              <w:right w:val="nil"/>
            </w:tcBorders>
            <w:shd w:val="clear" w:color="auto" w:fill="FABF8F" w:themeFill="accent6" w:themeFillTint="99"/>
            <w:vAlign w:val="center"/>
            <w:hideMark/>
          </w:tcPr>
          <w:p w14:paraId="4FE672BD" w14:textId="77777777" w:rsidR="008433A0" w:rsidRPr="00271C18" w:rsidRDefault="008433A0" w:rsidP="00271C18">
            <w:pPr>
              <w:pStyle w:val="cuadroCabe"/>
              <w:rPr>
                <w:sz w:val="16"/>
                <w:szCs w:val="16"/>
              </w:rPr>
            </w:pPr>
          </w:p>
        </w:tc>
        <w:tc>
          <w:tcPr>
            <w:tcW w:w="216" w:type="dxa"/>
            <w:tcBorders>
              <w:top w:val="single" w:sz="4" w:space="0" w:color="000000"/>
              <w:left w:val="nil"/>
              <w:bottom w:val="nil"/>
              <w:right w:val="nil"/>
            </w:tcBorders>
            <w:shd w:val="clear" w:color="auto" w:fill="FABF8F" w:themeFill="accent6" w:themeFillTint="99"/>
            <w:vAlign w:val="center"/>
            <w:hideMark/>
          </w:tcPr>
          <w:p w14:paraId="56CCA0D7" w14:textId="77777777" w:rsidR="008433A0" w:rsidRPr="00271C18" w:rsidRDefault="008433A0" w:rsidP="00271C18">
            <w:pPr>
              <w:pStyle w:val="cuadroCabe"/>
              <w:rPr>
                <w:sz w:val="16"/>
                <w:szCs w:val="16"/>
              </w:rPr>
            </w:pPr>
            <w:r w:rsidRPr="00271C18">
              <w:rPr>
                <w:sz w:val="16"/>
                <w:szCs w:val="16"/>
              </w:rPr>
              <w:t> </w:t>
            </w:r>
          </w:p>
        </w:tc>
        <w:tc>
          <w:tcPr>
            <w:tcW w:w="1480" w:type="dxa"/>
            <w:tcBorders>
              <w:top w:val="single" w:sz="4" w:space="0" w:color="000000"/>
              <w:left w:val="nil"/>
              <w:bottom w:val="nil"/>
              <w:right w:val="nil"/>
            </w:tcBorders>
            <w:shd w:val="clear" w:color="auto" w:fill="FABF8F" w:themeFill="accent6" w:themeFillTint="99"/>
            <w:vAlign w:val="center"/>
            <w:hideMark/>
          </w:tcPr>
          <w:p w14:paraId="03432C54" w14:textId="565B551C" w:rsidR="008433A0" w:rsidRPr="00271C18" w:rsidRDefault="008433A0" w:rsidP="00271C18">
            <w:pPr>
              <w:pStyle w:val="cuadroCabe"/>
              <w:jc w:val="right"/>
              <w:rPr>
                <w:sz w:val="16"/>
                <w:szCs w:val="16"/>
              </w:rPr>
            </w:pPr>
            <w:r w:rsidRPr="00271C18">
              <w:rPr>
                <w:sz w:val="16"/>
                <w:szCs w:val="16"/>
              </w:rPr>
              <w:t>Gastos</w:t>
            </w:r>
            <w:r w:rsidR="00C349E7" w:rsidRPr="00271C18">
              <w:rPr>
                <w:sz w:val="16"/>
                <w:szCs w:val="16"/>
              </w:rPr>
              <w:t xml:space="preserve"> </w:t>
            </w:r>
            <w:r w:rsidRPr="00271C18">
              <w:rPr>
                <w:sz w:val="16"/>
                <w:szCs w:val="16"/>
              </w:rPr>
              <w:t>2020</w:t>
            </w:r>
          </w:p>
        </w:tc>
        <w:tc>
          <w:tcPr>
            <w:tcW w:w="1579" w:type="dxa"/>
            <w:tcBorders>
              <w:top w:val="single" w:sz="4" w:space="0" w:color="000000"/>
              <w:left w:val="nil"/>
              <w:bottom w:val="nil"/>
              <w:right w:val="nil"/>
            </w:tcBorders>
            <w:shd w:val="clear" w:color="auto" w:fill="FABF8F" w:themeFill="accent6" w:themeFillTint="99"/>
            <w:vAlign w:val="center"/>
            <w:hideMark/>
          </w:tcPr>
          <w:p w14:paraId="43084C49" w14:textId="1313DB92" w:rsidR="008433A0" w:rsidRPr="00271C18" w:rsidRDefault="008433A0" w:rsidP="00271C18">
            <w:pPr>
              <w:pStyle w:val="cuadroCabe"/>
              <w:jc w:val="right"/>
              <w:rPr>
                <w:sz w:val="16"/>
                <w:szCs w:val="16"/>
              </w:rPr>
            </w:pPr>
            <w:r w:rsidRPr="00271C18">
              <w:rPr>
                <w:sz w:val="16"/>
                <w:szCs w:val="16"/>
              </w:rPr>
              <w:t>% s/ total</w:t>
            </w:r>
            <w:r w:rsidR="00C349E7" w:rsidRPr="00271C18">
              <w:rPr>
                <w:sz w:val="16"/>
                <w:szCs w:val="16"/>
              </w:rPr>
              <w:t xml:space="preserve"> </w:t>
            </w:r>
            <w:r w:rsidRPr="00271C18">
              <w:rPr>
                <w:sz w:val="16"/>
                <w:szCs w:val="16"/>
              </w:rPr>
              <w:t>gastos</w:t>
            </w:r>
          </w:p>
        </w:tc>
        <w:tc>
          <w:tcPr>
            <w:tcW w:w="197" w:type="dxa"/>
            <w:tcBorders>
              <w:top w:val="single" w:sz="4" w:space="0" w:color="000000"/>
              <w:left w:val="nil"/>
              <w:bottom w:val="nil"/>
              <w:right w:val="nil"/>
            </w:tcBorders>
            <w:shd w:val="clear" w:color="auto" w:fill="FABF8F" w:themeFill="accent6" w:themeFillTint="99"/>
            <w:vAlign w:val="center"/>
            <w:hideMark/>
          </w:tcPr>
          <w:p w14:paraId="30636816" w14:textId="77777777" w:rsidR="008433A0" w:rsidRPr="00271C18" w:rsidRDefault="008433A0" w:rsidP="00271C18">
            <w:pPr>
              <w:pStyle w:val="cuadroCabe"/>
              <w:rPr>
                <w:sz w:val="16"/>
                <w:szCs w:val="16"/>
              </w:rPr>
            </w:pPr>
            <w:r w:rsidRPr="00271C18">
              <w:rPr>
                <w:sz w:val="16"/>
                <w:szCs w:val="16"/>
              </w:rPr>
              <w:t> </w:t>
            </w:r>
          </w:p>
        </w:tc>
        <w:tc>
          <w:tcPr>
            <w:tcW w:w="1524" w:type="dxa"/>
            <w:gridSpan w:val="2"/>
            <w:tcBorders>
              <w:left w:val="nil"/>
              <w:bottom w:val="single" w:sz="4" w:space="0" w:color="000000"/>
              <w:right w:val="nil"/>
            </w:tcBorders>
            <w:shd w:val="clear" w:color="auto" w:fill="FABF8F" w:themeFill="accent6" w:themeFillTint="99"/>
            <w:vAlign w:val="center"/>
            <w:hideMark/>
          </w:tcPr>
          <w:p w14:paraId="709CDD1F" w14:textId="5678F7E1" w:rsidR="008433A0" w:rsidRPr="00271C18" w:rsidRDefault="00271C18" w:rsidP="00271C18">
            <w:pPr>
              <w:pStyle w:val="cuadroCabe"/>
              <w:jc w:val="right"/>
              <w:rPr>
                <w:sz w:val="16"/>
                <w:szCs w:val="16"/>
              </w:rPr>
            </w:pPr>
            <w:r>
              <w:rPr>
                <w:sz w:val="16"/>
                <w:szCs w:val="16"/>
              </w:rPr>
              <w:t>consolidación</w:t>
            </w:r>
          </w:p>
        </w:tc>
      </w:tr>
      <w:tr w:rsidR="008433A0" w:rsidRPr="00933A7F" w14:paraId="6B747CA9" w14:textId="77777777" w:rsidTr="00A42B4F">
        <w:trPr>
          <w:trHeight w:val="284"/>
        </w:trPr>
        <w:tc>
          <w:tcPr>
            <w:tcW w:w="2330" w:type="dxa"/>
            <w:tcBorders>
              <w:top w:val="single" w:sz="4" w:space="0" w:color="auto"/>
              <w:left w:val="nil"/>
              <w:bottom w:val="single" w:sz="2" w:space="0" w:color="auto"/>
              <w:right w:val="nil"/>
            </w:tcBorders>
            <w:shd w:val="clear" w:color="auto" w:fill="auto"/>
            <w:vAlign w:val="center"/>
            <w:hideMark/>
          </w:tcPr>
          <w:p w14:paraId="28364C92" w14:textId="2CF87172" w:rsidR="008433A0" w:rsidRPr="00933A7F" w:rsidRDefault="007B465C" w:rsidP="007B465C">
            <w:pPr>
              <w:pStyle w:val="cuatexto"/>
              <w:spacing w:line="240" w:lineRule="auto"/>
              <w:rPr>
                <w:szCs w:val="20"/>
                <w:lang w:val="es-ES" w:eastAsia="es-ES"/>
              </w:rPr>
            </w:pPr>
            <w:r w:rsidRPr="00933A7F">
              <w:rPr>
                <w:szCs w:val="20"/>
                <w:lang w:val="es-ES" w:eastAsia="es-ES"/>
              </w:rPr>
              <w:t xml:space="preserve">1 </w:t>
            </w:r>
            <w:r w:rsidR="008433A0" w:rsidRPr="00933A7F">
              <w:rPr>
                <w:szCs w:val="20"/>
                <w:lang w:val="es-ES" w:eastAsia="es-ES"/>
              </w:rPr>
              <w:t>Gastos de personal</w:t>
            </w:r>
          </w:p>
        </w:tc>
        <w:tc>
          <w:tcPr>
            <w:tcW w:w="1413" w:type="dxa"/>
            <w:tcBorders>
              <w:top w:val="single" w:sz="4" w:space="0" w:color="auto"/>
              <w:left w:val="nil"/>
              <w:bottom w:val="single" w:sz="2" w:space="0" w:color="auto"/>
              <w:right w:val="nil"/>
            </w:tcBorders>
            <w:shd w:val="clear" w:color="auto" w:fill="auto"/>
            <w:vAlign w:val="center"/>
            <w:hideMark/>
          </w:tcPr>
          <w:p w14:paraId="46244B6A"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310,96</w:t>
            </w:r>
          </w:p>
        </w:tc>
        <w:tc>
          <w:tcPr>
            <w:tcW w:w="216" w:type="dxa"/>
            <w:tcBorders>
              <w:top w:val="single" w:sz="4" w:space="0" w:color="000000"/>
              <w:left w:val="nil"/>
              <w:bottom w:val="single" w:sz="2" w:space="0" w:color="auto"/>
              <w:right w:val="nil"/>
            </w:tcBorders>
            <w:shd w:val="clear" w:color="auto" w:fill="auto"/>
            <w:vAlign w:val="center"/>
            <w:hideMark/>
          </w:tcPr>
          <w:p w14:paraId="796DFB32" w14:textId="2BA364A0" w:rsidR="008433A0" w:rsidRPr="00933A7F" w:rsidRDefault="008433A0" w:rsidP="00271C18">
            <w:pPr>
              <w:pStyle w:val="cuatexto"/>
              <w:spacing w:line="240" w:lineRule="auto"/>
              <w:jc w:val="right"/>
              <w:rPr>
                <w:szCs w:val="20"/>
                <w:lang w:val="es-ES" w:eastAsia="es-ES"/>
              </w:rPr>
            </w:pPr>
          </w:p>
        </w:tc>
        <w:tc>
          <w:tcPr>
            <w:tcW w:w="1480" w:type="dxa"/>
            <w:tcBorders>
              <w:top w:val="single" w:sz="4" w:space="0" w:color="auto"/>
              <w:left w:val="nil"/>
              <w:bottom w:val="single" w:sz="2" w:space="0" w:color="auto"/>
              <w:right w:val="nil"/>
            </w:tcBorders>
            <w:shd w:val="clear" w:color="auto" w:fill="auto"/>
            <w:vAlign w:val="center"/>
            <w:hideMark/>
          </w:tcPr>
          <w:p w14:paraId="0B4A9744"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342,99</w:t>
            </w:r>
          </w:p>
        </w:tc>
        <w:tc>
          <w:tcPr>
            <w:tcW w:w="1579" w:type="dxa"/>
            <w:tcBorders>
              <w:top w:val="single" w:sz="4" w:space="0" w:color="auto"/>
              <w:left w:val="nil"/>
              <w:bottom w:val="single" w:sz="2" w:space="0" w:color="auto"/>
              <w:right w:val="nil"/>
            </w:tcBorders>
            <w:shd w:val="clear" w:color="auto" w:fill="auto"/>
            <w:vAlign w:val="center"/>
            <w:hideMark/>
          </w:tcPr>
          <w:p w14:paraId="4799C6F9" w14:textId="77777777" w:rsidR="008433A0" w:rsidRPr="00933A7F" w:rsidRDefault="008433A0" w:rsidP="00271C18">
            <w:pPr>
              <w:pStyle w:val="cuatexto"/>
              <w:spacing w:line="240" w:lineRule="auto"/>
              <w:jc w:val="right"/>
              <w:rPr>
                <w:szCs w:val="20"/>
                <w:lang w:val="es-ES" w:eastAsia="es-ES"/>
              </w:rPr>
            </w:pPr>
            <w:r w:rsidRPr="00933A7F">
              <w:rPr>
                <w:szCs w:val="20"/>
                <w:lang w:val="es-ES" w:eastAsia="es-ES"/>
              </w:rPr>
              <w:t>39,1</w:t>
            </w:r>
          </w:p>
        </w:tc>
        <w:tc>
          <w:tcPr>
            <w:tcW w:w="197" w:type="dxa"/>
            <w:tcBorders>
              <w:top w:val="single" w:sz="4" w:space="0" w:color="000000"/>
              <w:left w:val="nil"/>
              <w:bottom w:val="single" w:sz="2" w:space="0" w:color="auto"/>
              <w:right w:val="nil"/>
            </w:tcBorders>
            <w:shd w:val="clear" w:color="auto" w:fill="auto"/>
            <w:vAlign w:val="center"/>
            <w:hideMark/>
          </w:tcPr>
          <w:p w14:paraId="71730BEE" w14:textId="365810BD" w:rsidR="008433A0" w:rsidRPr="00933A7F" w:rsidRDefault="008433A0" w:rsidP="00271C18">
            <w:pPr>
              <w:pStyle w:val="cuatexto"/>
              <w:spacing w:line="240" w:lineRule="auto"/>
              <w:jc w:val="right"/>
              <w:rPr>
                <w:szCs w:val="20"/>
                <w:lang w:val="es-ES" w:eastAsia="es-ES"/>
              </w:rPr>
            </w:pPr>
          </w:p>
        </w:tc>
        <w:tc>
          <w:tcPr>
            <w:tcW w:w="1524" w:type="dxa"/>
            <w:gridSpan w:val="2"/>
            <w:tcBorders>
              <w:top w:val="nil"/>
              <w:left w:val="nil"/>
              <w:bottom w:val="single" w:sz="2" w:space="0" w:color="auto"/>
              <w:right w:val="nil"/>
            </w:tcBorders>
            <w:shd w:val="clear" w:color="auto" w:fill="auto"/>
            <w:vAlign w:val="center"/>
            <w:hideMark/>
          </w:tcPr>
          <w:p w14:paraId="659DA29E"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32,03</w:t>
            </w:r>
          </w:p>
        </w:tc>
      </w:tr>
      <w:tr w:rsidR="008433A0" w:rsidRPr="00933A7F" w14:paraId="02B330B4"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6EDF437F" w14:textId="6A463ED2" w:rsidR="008433A0" w:rsidRPr="00933A7F" w:rsidRDefault="007B465C" w:rsidP="007B465C">
            <w:pPr>
              <w:pStyle w:val="cuatexto"/>
              <w:spacing w:line="240" w:lineRule="auto"/>
              <w:rPr>
                <w:szCs w:val="20"/>
                <w:lang w:val="es-ES" w:eastAsia="es-ES"/>
              </w:rPr>
            </w:pPr>
            <w:r w:rsidRPr="00933A7F">
              <w:rPr>
                <w:szCs w:val="20"/>
                <w:lang w:val="es-ES" w:eastAsia="es-ES"/>
              </w:rPr>
              <w:t>2</w:t>
            </w:r>
            <w:r w:rsidR="008433A0" w:rsidRPr="00933A7F">
              <w:rPr>
                <w:szCs w:val="20"/>
                <w:lang w:val="es-ES" w:eastAsia="es-ES"/>
              </w:rPr>
              <w:t xml:space="preserve"> Gastos en bienes corrientes y servicios</w:t>
            </w:r>
          </w:p>
        </w:tc>
        <w:tc>
          <w:tcPr>
            <w:tcW w:w="1413" w:type="dxa"/>
            <w:tcBorders>
              <w:top w:val="single" w:sz="2" w:space="0" w:color="auto"/>
              <w:left w:val="nil"/>
              <w:bottom w:val="single" w:sz="2" w:space="0" w:color="auto"/>
              <w:right w:val="nil"/>
            </w:tcBorders>
            <w:shd w:val="clear" w:color="auto" w:fill="auto"/>
            <w:vAlign w:val="center"/>
            <w:hideMark/>
          </w:tcPr>
          <w:p w14:paraId="062D52C1"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255,79</w:t>
            </w:r>
          </w:p>
        </w:tc>
        <w:tc>
          <w:tcPr>
            <w:tcW w:w="216" w:type="dxa"/>
            <w:tcBorders>
              <w:top w:val="single" w:sz="2" w:space="0" w:color="auto"/>
              <w:left w:val="nil"/>
              <w:bottom w:val="single" w:sz="2" w:space="0" w:color="auto"/>
              <w:right w:val="nil"/>
            </w:tcBorders>
            <w:shd w:val="clear" w:color="auto" w:fill="auto"/>
            <w:vAlign w:val="center"/>
            <w:hideMark/>
          </w:tcPr>
          <w:p w14:paraId="13CC7415" w14:textId="6B86E87E"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258E056C"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288,81</w:t>
            </w:r>
          </w:p>
        </w:tc>
        <w:tc>
          <w:tcPr>
            <w:tcW w:w="1579" w:type="dxa"/>
            <w:tcBorders>
              <w:top w:val="single" w:sz="2" w:space="0" w:color="auto"/>
              <w:left w:val="nil"/>
              <w:bottom w:val="single" w:sz="2" w:space="0" w:color="auto"/>
              <w:right w:val="nil"/>
            </w:tcBorders>
            <w:shd w:val="clear" w:color="auto" w:fill="auto"/>
            <w:vAlign w:val="center"/>
            <w:hideMark/>
          </w:tcPr>
          <w:p w14:paraId="5472D820" w14:textId="77777777" w:rsidR="008433A0" w:rsidRPr="00933A7F" w:rsidRDefault="008433A0" w:rsidP="00271C18">
            <w:pPr>
              <w:pStyle w:val="cuatexto"/>
              <w:spacing w:line="240" w:lineRule="auto"/>
              <w:jc w:val="right"/>
              <w:rPr>
                <w:szCs w:val="20"/>
                <w:lang w:val="es-ES" w:eastAsia="es-ES"/>
              </w:rPr>
            </w:pPr>
            <w:r w:rsidRPr="00933A7F">
              <w:rPr>
                <w:szCs w:val="20"/>
                <w:lang w:val="es-ES" w:eastAsia="es-ES"/>
              </w:rPr>
              <w:t>32,9</w:t>
            </w:r>
          </w:p>
        </w:tc>
        <w:tc>
          <w:tcPr>
            <w:tcW w:w="197" w:type="dxa"/>
            <w:tcBorders>
              <w:top w:val="single" w:sz="2" w:space="0" w:color="auto"/>
              <w:left w:val="nil"/>
              <w:bottom w:val="single" w:sz="2" w:space="0" w:color="auto"/>
              <w:right w:val="nil"/>
            </w:tcBorders>
            <w:shd w:val="clear" w:color="auto" w:fill="auto"/>
            <w:vAlign w:val="center"/>
            <w:hideMark/>
          </w:tcPr>
          <w:p w14:paraId="54DA1FF0" w14:textId="31920EB4"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4F080BA2"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33,02</w:t>
            </w:r>
          </w:p>
        </w:tc>
      </w:tr>
      <w:tr w:rsidR="008433A0" w:rsidRPr="00933A7F" w14:paraId="23FA0B21"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2F601D9E" w14:textId="1C3B8F23" w:rsidR="008433A0" w:rsidRPr="00933A7F" w:rsidRDefault="007B465C" w:rsidP="007B465C">
            <w:pPr>
              <w:pStyle w:val="cuatexto"/>
              <w:spacing w:line="240" w:lineRule="auto"/>
              <w:rPr>
                <w:szCs w:val="20"/>
                <w:lang w:val="es-ES" w:eastAsia="es-ES"/>
              </w:rPr>
            </w:pPr>
            <w:r w:rsidRPr="00933A7F">
              <w:rPr>
                <w:szCs w:val="20"/>
                <w:lang w:val="es-ES" w:eastAsia="es-ES"/>
              </w:rPr>
              <w:t xml:space="preserve">3 </w:t>
            </w:r>
            <w:r w:rsidR="008433A0" w:rsidRPr="00933A7F">
              <w:rPr>
                <w:szCs w:val="20"/>
                <w:lang w:val="es-ES" w:eastAsia="es-ES"/>
              </w:rPr>
              <w:t>Gastos financieros</w:t>
            </w:r>
          </w:p>
        </w:tc>
        <w:tc>
          <w:tcPr>
            <w:tcW w:w="1413" w:type="dxa"/>
            <w:tcBorders>
              <w:top w:val="single" w:sz="2" w:space="0" w:color="auto"/>
              <w:left w:val="nil"/>
              <w:bottom w:val="single" w:sz="2" w:space="0" w:color="auto"/>
              <w:right w:val="nil"/>
            </w:tcBorders>
            <w:shd w:val="clear" w:color="auto" w:fill="auto"/>
            <w:vAlign w:val="center"/>
            <w:hideMark/>
          </w:tcPr>
          <w:p w14:paraId="155D0108"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1,78</w:t>
            </w:r>
          </w:p>
        </w:tc>
        <w:tc>
          <w:tcPr>
            <w:tcW w:w="216" w:type="dxa"/>
            <w:tcBorders>
              <w:top w:val="single" w:sz="2" w:space="0" w:color="auto"/>
              <w:left w:val="nil"/>
              <w:bottom w:val="single" w:sz="2" w:space="0" w:color="auto"/>
              <w:right w:val="nil"/>
            </w:tcBorders>
            <w:shd w:val="clear" w:color="auto" w:fill="auto"/>
            <w:vAlign w:val="center"/>
            <w:hideMark/>
          </w:tcPr>
          <w:p w14:paraId="2BFD5717" w14:textId="4B4ADCA4"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3102D643"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1,78</w:t>
            </w:r>
          </w:p>
        </w:tc>
        <w:tc>
          <w:tcPr>
            <w:tcW w:w="1579" w:type="dxa"/>
            <w:tcBorders>
              <w:top w:val="single" w:sz="2" w:space="0" w:color="auto"/>
              <w:left w:val="nil"/>
              <w:bottom w:val="single" w:sz="2" w:space="0" w:color="auto"/>
              <w:right w:val="nil"/>
            </w:tcBorders>
            <w:shd w:val="clear" w:color="auto" w:fill="auto"/>
            <w:vAlign w:val="center"/>
            <w:hideMark/>
          </w:tcPr>
          <w:p w14:paraId="54E29810" w14:textId="77777777" w:rsidR="008433A0" w:rsidRPr="00933A7F" w:rsidRDefault="008433A0" w:rsidP="00271C18">
            <w:pPr>
              <w:pStyle w:val="cuatexto"/>
              <w:spacing w:line="240" w:lineRule="auto"/>
              <w:jc w:val="right"/>
              <w:rPr>
                <w:szCs w:val="20"/>
                <w:lang w:val="es-ES" w:eastAsia="es-ES"/>
              </w:rPr>
            </w:pPr>
            <w:r w:rsidRPr="00933A7F">
              <w:rPr>
                <w:szCs w:val="20"/>
                <w:lang w:val="es-ES" w:eastAsia="es-ES"/>
              </w:rPr>
              <w:t>0,2</w:t>
            </w:r>
          </w:p>
        </w:tc>
        <w:tc>
          <w:tcPr>
            <w:tcW w:w="197" w:type="dxa"/>
            <w:tcBorders>
              <w:top w:val="single" w:sz="2" w:space="0" w:color="auto"/>
              <w:left w:val="nil"/>
              <w:bottom w:val="single" w:sz="2" w:space="0" w:color="auto"/>
              <w:right w:val="nil"/>
            </w:tcBorders>
            <w:shd w:val="clear" w:color="auto" w:fill="auto"/>
            <w:vAlign w:val="center"/>
            <w:hideMark/>
          </w:tcPr>
          <w:p w14:paraId="13F081D8" w14:textId="11FF63D6"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0CB201C1"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0,00</w:t>
            </w:r>
          </w:p>
        </w:tc>
      </w:tr>
      <w:tr w:rsidR="008433A0" w:rsidRPr="00933A7F" w14:paraId="0B472C2C"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4A89A570" w14:textId="5C6A41D2" w:rsidR="008433A0" w:rsidRPr="00933A7F" w:rsidRDefault="007B465C" w:rsidP="007B465C">
            <w:pPr>
              <w:pStyle w:val="cuatexto"/>
              <w:spacing w:line="240" w:lineRule="auto"/>
              <w:rPr>
                <w:szCs w:val="20"/>
                <w:lang w:val="es-ES" w:eastAsia="es-ES"/>
              </w:rPr>
            </w:pPr>
            <w:r w:rsidRPr="00933A7F">
              <w:rPr>
                <w:szCs w:val="20"/>
                <w:lang w:val="es-ES" w:eastAsia="es-ES"/>
              </w:rPr>
              <w:t xml:space="preserve">4 </w:t>
            </w:r>
            <w:r w:rsidR="008433A0" w:rsidRPr="00933A7F">
              <w:rPr>
                <w:szCs w:val="20"/>
                <w:lang w:val="es-ES" w:eastAsia="es-ES"/>
              </w:rPr>
              <w:t>Transferencias corrientes</w:t>
            </w:r>
          </w:p>
        </w:tc>
        <w:tc>
          <w:tcPr>
            <w:tcW w:w="1413" w:type="dxa"/>
            <w:tcBorders>
              <w:top w:val="single" w:sz="2" w:space="0" w:color="auto"/>
              <w:left w:val="nil"/>
              <w:bottom w:val="single" w:sz="2" w:space="0" w:color="auto"/>
              <w:right w:val="nil"/>
            </w:tcBorders>
            <w:shd w:val="clear" w:color="auto" w:fill="auto"/>
            <w:vAlign w:val="center"/>
            <w:hideMark/>
          </w:tcPr>
          <w:p w14:paraId="1D9C9939"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76,43</w:t>
            </w:r>
          </w:p>
        </w:tc>
        <w:tc>
          <w:tcPr>
            <w:tcW w:w="216" w:type="dxa"/>
            <w:tcBorders>
              <w:top w:val="single" w:sz="2" w:space="0" w:color="auto"/>
              <w:left w:val="nil"/>
              <w:bottom w:val="single" w:sz="2" w:space="0" w:color="auto"/>
              <w:right w:val="nil"/>
            </w:tcBorders>
            <w:shd w:val="clear" w:color="auto" w:fill="auto"/>
            <w:vAlign w:val="center"/>
            <w:hideMark/>
          </w:tcPr>
          <w:p w14:paraId="1BAEE9E3" w14:textId="0DA5BD92"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204F7C90"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76,07</w:t>
            </w:r>
          </w:p>
        </w:tc>
        <w:tc>
          <w:tcPr>
            <w:tcW w:w="1579" w:type="dxa"/>
            <w:tcBorders>
              <w:top w:val="single" w:sz="2" w:space="0" w:color="auto"/>
              <w:left w:val="nil"/>
              <w:bottom w:val="single" w:sz="2" w:space="0" w:color="auto"/>
              <w:right w:val="nil"/>
            </w:tcBorders>
            <w:shd w:val="clear" w:color="auto" w:fill="auto"/>
            <w:vAlign w:val="center"/>
            <w:hideMark/>
          </w:tcPr>
          <w:p w14:paraId="246A64A6" w14:textId="77777777" w:rsidR="008433A0" w:rsidRPr="00933A7F" w:rsidRDefault="008433A0" w:rsidP="00271C18">
            <w:pPr>
              <w:pStyle w:val="cuatexto"/>
              <w:spacing w:line="240" w:lineRule="auto"/>
              <w:jc w:val="right"/>
              <w:rPr>
                <w:szCs w:val="20"/>
                <w:lang w:val="es-ES" w:eastAsia="es-ES"/>
              </w:rPr>
            </w:pPr>
            <w:r w:rsidRPr="00933A7F">
              <w:rPr>
                <w:szCs w:val="20"/>
                <w:lang w:val="es-ES" w:eastAsia="es-ES"/>
              </w:rPr>
              <w:t>8,7</w:t>
            </w:r>
          </w:p>
        </w:tc>
        <w:tc>
          <w:tcPr>
            <w:tcW w:w="197" w:type="dxa"/>
            <w:tcBorders>
              <w:top w:val="single" w:sz="2" w:space="0" w:color="auto"/>
              <w:left w:val="nil"/>
              <w:bottom w:val="single" w:sz="2" w:space="0" w:color="auto"/>
              <w:right w:val="nil"/>
            </w:tcBorders>
            <w:shd w:val="clear" w:color="auto" w:fill="auto"/>
            <w:vAlign w:val="center"/>
            <w:hideMark/>
          </w:tcPr>
          <w:p w14:paraId="20A400F5" w14:textId="2A663FB0"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4EC589E0"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0,36</w:t>
            </w:r>
          </w:p>
        </w:tc>
      </w:tr>
      <w:tr w:rsidR="008433A0" w:rsidRPr="00933A7F" w14:paraId="5F0505EE"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447646A3" w14:textId="31B4E18D" w:rsidR="008433A0" w:rsidRPr="00933A7F" w:rsidRDefault="008433A0" w:rsidP="007B465C">
            <w:pPr>
              <w:pStyle w:val="cuatexto"/>
              <w:spacing w:line="240" w:lineRule="auto"/>
              <w:rPr>
                <w:b/>
                <w:bCs/>
                <w:i/>
                <w:iCs/>
                <w:szCs w:val="20"/>
                <w:lang w:val="es-ES" w:eastAsia="es-ES"/>
              </w:rPr>
            </w:pPr>
            <w:r w:rsidRPr="00933A7F">
              <w:rPr>
                <w:b/>
                <w:bCs/>
                <w:i/>
                <w:iCs/>
                <w:szCs w:val="20"/>
                <w:lang w:val="es-ES" w:eastAsia="es-ES"/>
              </w:rPr>
              <w:t xml:space="preserve"> Operaciones corrientes</w:t>
            </w:r>
          </w:p>
        </w:tc>
        <w:tc>
          <w:tcPr>
            <w:tcW w:w="1413" w:type="dxa"/>
            <w:tcBorders>
              <w:top w:val="single" w:sz="2" w:space="0" w:color="auto"/>
              <w:left w:val="nil"/>
              <w:bottom w:val="single" w:sz="2" w:space="0" w:color="auto"/>
              <w:right w:val="nil"/>
            </w:tcBorders>
            <w:shd w:val="clear" w:color="auto" w:fill="auto"/>
            <w:vAlign w:val="center"/>
            <w:hideMark/>
          </w:tcPr>
          <w:p w14:paraId="0880ACF7" w14:textId="77777777" w:rsidR="008433A0" w:rsidRPr="00933A7F" w:rsidRDefault="008433A0" w:rsidP="00271C18">
            <w:pPr>
              <w:pStyle w:val="cuatexto"/>
              <w:spacing w:line="240" w:lineRule="auto"/>
              <w:jc w:val="right"/>
              <w:rPr>
                <w:b/>
                <w:bCs/>
                <w:i/>
                <w:iCs/>
                <w:color w:val="000000"/>
                <w:szCs w:val="20"/>
                <w:lang w:val="es-ES" w:eastAsia="es-ES"/>
              </w:rPr>
            </w:pPr>
            <w:r w:rsidRPr="00933A7F">
              <w:rPr>
                <w:b/>
                <w:bCs/>
                <w:i/>
                <w:iCs/>
                <w:color w:val="000000"/>
                <w:szCs w:val="20"/>
                <w:lang w:val="es-ES" w:eastAsia="es-ES"/>
              </w:rPr>
              <w:t>644,95</w:t>
            </w:r>
          </w:p>
        </w:tc>
        <w:tc>
          <w:tcPr>
            <w:tcW w:w="216" w:type="dxa"/>
            <w:tcBorders>
              <w:top w:val="single" w:sz="2" w:space="0" w:color="auto"/>
              <w:left w:val="nil"/>
              <w:bottom w:val="single" w:sz="2" w:space="0" w:color="auto"/>
              <w:right w:val="nil"/>
            </w:tcBorders>
            <w:shd w:val="clear" w:color="auto" w:fill="auto"/>
            <w:vAlign w:val="center"/>
            <w:hideMark/>
          </w:tcPr>
          <w:p w14:paraId="4B7839B9" w14:textId="2FA61EE0" w:rsidR="008433A0" w:rsidRPr="00933A7F" w:rsidRDefault="008433A0" w:rsidP="00271C18">
            <w:pPr>
              <w:pStyle w:val="cuatexto"/>
              <w:spacing w:line="240" w:lineRule="auto"/>
              <w:jc w:val="right"/>
              <w:rPr>
                <w:color w:val="000000"/>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5E4B5EAC" w14:textId="77777777" w:rsidR="008433A0" w:rsidRPr="00933A7F" w:rsidRDefault="008433A0" w:rsidP="00271C18">
            <w:pPr>
              <w:pStyle w:val="cuatexto"/>
              <w:spacing w:line="240" w:lineRule="auto"/>
              <w:jc w:val="right"/>
              <w:rPr>
                <w:b/>
                <w:bCs/>
                <w:i/>
                <w:iCs/>
                <w:color w:val="000000"/>
                <w:szCs w:val="20"/>
                <w:lang w:val="es-ES" w:eastAsia="es-ES"/>
              </w:rPr>
            </w:pPr>
            <w:r w:rsidRPr="00933A7F">
              <w:rPr>
                <w:b/>
                <w:bCs/>
                <w:i/>
                <w:iCs/>
                <w:color w:val="000000"/>
                <w:szCs w:val="20"/>
                <w:lang w:val="es-ES" w:eastAsia="es-ES"/>
              </w:rPr>
              <w:t>709,64</w:t>
            </w:r>
          </w:p>
        </w:tc>
        <w:tc>
          <w:tcPr>
            <w:tcW w:w="1579" w:type="dxa"/>
            <w:tcBorders>
              <w:top w:val="single" w:sz="2" w:space="0" w:color="auto"/>
              <w:left w:val="nil"/>
              <w:bottom w:val="single" w:sz="2" w:space="0" w:color="auto"/>
              <w:right w:val="nil"/>
            </w:tcBorders>
            <w:shd w:val="clear" w:color="auto" w:fill="auto"/>
            <w:vAlign w:val="center"/>
            <w:hideMark/>
          </w:tcPr>
          <w:p w14:paraId="0C7BDEFA" w14:textId="77777777" w:rsidR="008433A0" w:rsidRPr="00933A7F" w:rsidRDefault="008433A0" w:rsidP="00271C18">
            <w:pPr>
              <w:pStyle w:val="cuatexto"/>
              <w:spacing w:line="240" w:lineRule="auto"/>
              <w:jc w:val="right"/>
              <w:rPr>
                <w:b/>
                <w:bCs/>
                <w:i/>
                <w:iCs/>
                <w:szCs w:val="20"/>
                <w:lang w:val="es-ES" w:eastAsia="es-ES"/>
              </w:rPr>
            </w:pPr>
            <w:r w:rsidRPr="00933A7F">
              <w:rPr>
                <w:b/>
                <w:bCs/>
                <w:i/>
                <w:iCs/>
                <w:szCs w:val="20"/>
                <w:lang w:val="es-ES" w:eastAsia="es-ES"/>
              </w:rPr>
              <w:t>80,9</w:t>
            </w:r>
          </w:p>
        </w:tc>
        <w:tc>
          <w:tcPr>
            <w:tcW w:w="197" w:type="dxa"/>
            <w:tcBorders>
              <w:top w:val="single" w:sz="2" w:space="0" w:color="auto"/>
              <w:left w:val="nil"/>
              <w:bottom w:val="single" w:sz="2" w:space="0" w:color="auto"/>
              <w:right w:val="nil"/>
            </w:tcBorders>
            <w:shd w:val="clear" w:color="auto" w:fill="auto"/>
            <w:vAlign w:val="center"/>
            <w:hideMark/>
          </w:tcPr>
          <w:p w14:paraId="0725E548" w14:textId="12FB4C59" w:rsidR="008433A0" w:rsidRPr="00933A7F" w:rsidRDefault="008433A0" w:rsidP="00271C18">
            <w:pPr>
              <w:pStyle w:val="cuatexto"/>
              <w:spacing w:line="240" w:lineRule="auto"/>
              <w:jc w:val="right"/>
              <w:rPr>
                <w:color w:val="000000"/>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53D9A112" w14:textId="77777777" w:rsidR="008433A0" w:rsidRPr="00933A7F" w:rsidRDefault="008433A0" w:rsidP="00271C18">
            <w:pPr>
              <w:pStyle w:val="cuatexto"/>
              <w:spacing w:line="240" w:lineRule="auto"/>
              <w:jc w:val="right"/>
              <w:rPr>
                <w:b/>
                <w:bCs/>
                <w:color w:val="000000"/>
                <w:szCs w:val="20"/>
                <w:lang w:val="es-ES" w:eastAsia="es-ES"/>
              </w:rPr>
            </w:pPr>
            <w:r w:rsidRPr="00933A7F">
              <w:rPr>
                <w:b/>
                <w:bCs/>
                <w:color w:val="000000"/>
                <w:szCs w:val="20"/>
                <w:lang w:val="es-ES" w:eastAsia="es-ES"/>
              </w:rPr>
              <w:t>64,69</w:t>
            </w:r>
          </w:p>
        </w:tc>
      </w:tr>
      <w:tr w:rsidR="008433A0" w:rsidRPr="00933A7F" w14:paraId="112737BB"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5EC165DC" w14:textId="3D7B0E21" w:rsidR="008433A0" w:rsidRPr="00933A7F" w:rsidRDefault="007B465C" w:rsidP="007B465C">
            <w:pPr>
              <w:pStyle w:val="cuatexto"/>
              <w:spacing w:line="240" w:lineRule="auto"/>
              <w:rPr>
                <w:color w:val="000000"/>
                <w:szCs w:val="20"/>
                <w:lang w:val="es-ES" w:eastAsia="es-ES"/>
              </w:rPr>
            </w:pPr>
            <w:r w:rsidRPr="00933A7F">
              <w:rPr>
                <w:color w:val="000000"/>
                <w:szCs w:val="20"/>
                <w:lang w:val="es-ES" w:eastAsia="es-ES"/>
              </w:rPr>
              <w:t xml:space="preserve">5 </w:t>
            </w:r>
            <w:r w:rsidR="008433A0" w:rsidRPr="00933A7F">
              <w:rPr>
                <w:color w:val="000000"/>
                <w:szCs w:val="20"/>
                <w:lang w:val="es-ES" w:eastAsia="es-ES"/>
              </w:rPr>
              <w:t>Fondo de contingencia</w:t>
            </w:r>
          </w:p>
        </w:tc>
        <w:tc>
          <w:tcPr>
            <w:tcW w:w="1413" w:type="dxa"/>
            <w:tcBorders>
              <w:top w:val="single" w:sz="2" w:space="0" w:color="auto"/>
              <w:left w:val="nil"/>
              <w:bottom w:val="single" w:sz="2" w:space="0" w:color="auto"/>
              <w:right w:val="nil"/>
            </w:tcBorders>
            <w:shd w:val="clear" w:color="auto" w:fill="auto"/>
            <w:vAlign w:val="center"/>
            <w:hideMark/>
          </w:tcPr>
          <w:p w14:paraId="3C6D8010"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0,00</w:t>
            </w:r>
          </w:p>
        </w:tc>
        <w:tc>
          <w:tcPr>
            <w:tcW w:w="216" w:type="dxa"/>
            <w:tcBorders>
              <w:top w:val="single" w:sz="2" w:space="0" w:color="auto"/>
              <w:left w:val="nil"/>
              <w:bottom w:val="single" w:sz="2" w:space="0" w:color="auto"/>
              <w:right w:val="nil"/>
            </w:tcBorders>
            <w:shd w:val="clear" w:color="auto" w:fill="auto"/>
            <w:vAlign w:val="center"/>
            <w:hideMark/>
          </w:tcPr>
          <w:p w14:paraId="4FD6C92B" w14:textId="4DACA50F" w:rsidR="008433A0" w:rsidRPr="00933A7F" w:rsidRDefault="008433A0" w:rsidP="00271C18">
            <w:pPr>
              <w:pStyle w:val="cuatexto"/>
              <w:spacing w:line="240" w:lineRule="auto"/>
              <w:jc w:val="right"/>
              <w:rPr>
                <w:b/>
                <w:bCs/>
                <w:i/>
                <w:iCs/>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7DF04AE9"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0,00</w:t>
            </w:r>
          </w:p>
        </w:tc>
        <w:tc>
          <w:tcPr>
            <w:tcW w:w="1579" w:type="dxa"/>
            <w:tcBorders>
              <w:top w:val="single" w:sz="2" w:space="0" w:color="auto"/>
              <w:left w:val="nil"/>
              <w:bottom w:val="single" w:sz="2" w:space="0" w:color="auto"/>
              <w:right w:val="nil"/>
            </w:tcBorders>
            <w:shd w:val="clear" w:color="auto" w:fill="auto"/>
            <w:vAlign w:val="center"/>
            <w:hideMark/>
          </w:tcPr>
          <w:p w14:paraId="0676DA1D" w14:textId="77777777" w:rsidR="008433A0" w:rsidRPr="00933A7F" w:rsidRDefault="008433A0" w:rsidP="00271C18">
            <w:pPr>
              <w:pStyle w:val="cuatexto"/>
              <w:spacing w:line="240" w:lineRule="auto"/>
              <w:jc w:val="right"/>
              <w:rPr>
                <w:szCs w:val="20"/>
                <w:lang w:val="es-ES" w:eastAsia="es-ES"/>
              </w:rPr>
            </w:pPr>
            <w:r w:rsidRPr="00933A7F">
              <w:rPr>
                <w:szCs w:val="20"/>
                <w:lang w:val="es-ES" w:eastAsia="es-ES"/>
              </w:rPr>
              <w:t>0,0</w:t>
            </w:r>
          </w:p>
        </w:tc>
        <w:tc>
          <w:tcPr>
            <w:tcW w:w="197" w:type="dxa"/>
            <w:tcBorders>
              <w:top w:val="single" w:sz="2" w:space="0" w:color="auto"/>
              <w:left w:val="nil"/>
              <w:bottom w:val="single" w:sz="2" w:space="0" w:color="auto"/>
              <w:right w:val="nil"/>
            </w:tcBorders>
            <w:shd w:val="clear" w:color="auto" w:fill="auto"/>
            <w:vAlign w:val="center"/>
            <w:hideMark/>
          </w:tcPr>
          <w:p w14:paraId="189A3B9E" w14:textId="73450929" w:rsidR="008433A0" w:rsidRPr="00933A7F" w:rsidRDefault="008433A0" w:rsidP="00271C18">
            <w:pPr>
              <w:pStyle w:val="cuatexto"/>
              <w:spacing w:line="240" w:lineRule="auto"/>
              <w:jc w:val="right"/>
              <w:rPr>
                <w:b/>
                <w:bCs/>
                <w:i/>
                <w:iCs/>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6FEDCEE6"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0,00</w:t>
            </w:r>
          </w:p>
        </w:tc>
      </w:tr>
      <w:tr w:rsidR="008433A0" w:rsidRPr="00933A7F" w14:paraId="3ED0F72A"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2891C33F" w14:textId="35EC315F" w:rsidR="008433A0" w:rsidRPr="00933A7F" w:rsidRDefault="008433A0" w:rsidP="007B465C">
            <w:pPr>
              <w:pStyle w:val="cuatexto"/>
              <w:spacing w:line="240" w:lineRule="auto"/>
              <w:rPr>
                <w:b/>
                <w:bCs/>
                <w:i/>
                <w:iCs/>
                <w:szCs w:val="20"/>
                <w:lang w:val="es-ES" w:eastAsia="es-ES"/>
              </w:rPr>
            </w:pPr>
            <w:r w:rsidRPr="00933A7F">
              <w:rPr>
                <w:b/>
                <w:bCs/>
                <w:i/>
                <w:iCs/>
                <w:szCs w:val="20"/>
                <w:lang w:val="es-ES" w:eastAsia="es-ES"/>
              </w:rPr>
              <w:t xml:space="preserve"> Fondo de </w:t>
            </w:r>
            <w:r w:rsidR="002F17A2" w:rsidRPr="00933A7F">
              <w:rPr>
                <w:b/>
                <w:bCs/>
                <w:i/>
                <w:iCs/>
                <w:szCs w:val="20"/>
                <w:lang w:val="es-ES" w:eastAsia="es-ES"/>
              </w:rPr>
              <w:t>contingencia</w:t>
            </w:r>
          </w:p>
        </w:tc>
        <w:tc>
          <w:tcPr>
            <w:tcW w:w="1413" w:type="dxa"/>
            <w:tcBorders>
              <w:top w:val="single" w:sz="2" w:space="0" w:color="auto"/>
              <w:left w:val="nil"/>
              <w:bottom w:val="single" w:sz="2" w:space="0" w:color="auto"/>
              <w:right w:val="nil"/>
            </w:tcBorders>
            <w:shd w:val="clear" w:color="auto" w:fill="auto"/>
            <w:vAlign w:val="center"/>
            <w:hideMark/>
          </w:tcPr>
          <w:p w14:paraId="7AFC1835" w14:textId="77777777" w:rsidR="008433A0" w:rsidRPr="00933A7F" w:rsidRDefault="008433A0" w:rsidP="00271C18">
            <w:pPr>
              <w:pStyle w:val="cuatexto"/>
              <w:spacing w:line="240" w:lineRule="auto"/>
              <w:jc w:val="right"/>
              <w:rPr>
                <w:b/>
                <w:bCs/>
                <w:i/>
                <w:iCs/>
                <w:color w:val="000000"/>
                <w:szCs w:val="20"/>
                <w:lang w:val="es-ES" w:eastAsia="es-ES"/>
              </w:rPr>
            </w:pPr>
            <w:r w:rsidRPr="00933A7F">
              <w:rPr>
                <w:b/>
                <w:bCs/>
                <w:i/>
                <w:iCs/>
                <w:color w:val="000000"/>
                <w:szCs w:val="20"/>
                <w:lang w:val="es-ES" w:eastAsia="es-ES"/>
              </w:rPr>
              <w:t>0,00</w:t>
            </w:r>
          </w:p>
        </w:tc>
        <w:tc>
          <w:tcPr>
            <w:tcW w:w="216" w:type="dxa"/>
            <w:tcBorders>
              <w:top w:val="single" w:sz="2" w:space="0" w:color="auto"/>
              <w:left w:val="nil"/>
              <w:bottom w:val="single" w:sz="2" w:space="0" w:color="auto"/>
              <w:right w:val="nil"/>
            </w:tcBorders>
            <w:shd w:val="clear" w:color="auto" w:fill="auto"/>
            <w:vAlign w:val="center"/>
            <w:hideMark/>
          </w:tcPr>
          <w:p w14:paraId="34399EAB" w14:textId="3A7D6C7F"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2188D1E0" w14:textId="77777777" w:rsidR="008433A0" w:rsidRPr="00933A7F" w:rsidRDefault="008433A0" w:rsidP="00271C18">
            <w:pPr>
              <w:pStyle w:val="cuatexto"/>
              <w:spacing w:line="240" w:lineRule="auto"/>
              <w:jc w:val="right"/>
              <w:rPr>
                <w:b/>
                <w:bCs/>
                <w:i/>
                <w:iCs/>
                <w:color w:val="000000"/>
                <w:szCs w:val="20"/>
                <w:lang w:val="es-ES" w:eastAsia="es-ES"/>
              </w:rPr>
            </w:pPr>
            <w:r w:rsidRPr="00933A7F">
              <w:rPr>
                <w:b/>
                <w:bCs/>
                <w:i/>
                <w:iCs/>
                <w:color w:val="000000"/>
                <w:szCs w:val="20"/>
                <w:lang w:val="es-ES" w:eastAsia="es-ES"/>
              </w:rPr>
              <w:t>0,00</w:t>
            </w:r>
          </w:p>
        </w:tc>
        <w:tc>
          <w:tcPr>
            <w:tcW w:w="1579" w:type="dxa"/>
            <w:tcBorders>
              <w:top w:val="single" w:sz="2" w:space="0" w:color="auto"/>
              <w:left w:val="nil"/>
              <w:bottom w:val="single" w:sz="2" w:space="0" w:color="auto"/>
              <w:right w:val="nil"/>
            </w:tcBorders>
            <w:shd w:val="clear" w:color="auto" w:fill="auto"/>
            <w:vAlign w:val="center"/>
            <w:hideMark/>
          </w:tcPr>
          <w:p w14:paraId="18E84A5B" w14:textId="77777777" w:rsidR="008433A0" w:rsidRPr="00933A7F" w:rsidRDefault="008433A0" w:rsidP="00271C18">
            <w:pPr>
              <w:pStyle w:val="cuatexto"/>
              <w:spacing w:line="240" w:lineRule="auto"/>
              <w:jc w:val="right"/>
              <w:rPr>
                <w:b/>
                <w:bCs/>
                <w:i/>
                <w:iCs/>
                <w:szCs w:val="20"/>
                <w:lang w:val="es-ES" w:eastAsia="es-ES"/>
              </w:rPr>
            </w:pPr>
            <w:r w:rsidRPr="00933A7F">
              <w:rPr>
                <w:b/>
                <w:bCs/>
                <w:i/>
                <w:iCs/>
                <w:szCs w:val="20"/>
                <w:lang w:val="es-ES" w:eastAsia="es-ES"/>
              </w:rPr>
              <w:t>0,0</w:t>
            </w:r>
          </w:p>
        </w:tc>
        <w:tc>
          <w:tcPr>
            <w:tcW w:w="197" w:type="dxa"/>
            <w:tcBorders>
              <w:top w:val="single" w:sz="2" w:space="0" w:color="auto"/>
              <w:left w:val="nil"/>
              <w:bottom w:val="single" w:sz="2" w:space="0" w:color="auto"/>
              <w:right w:val="nil"/>
            </w:tcBorders>
            <w:shd w:val="clear" w:color="auto" w:fill="auto"/>
            <w:vAlign w:val="center"/>
            <w:hideMark/>
          </w:tcPr>
          <w:p w14:paraId="22793F94" w14:textId="78B80EB0"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2088E549" w14:textId="77777777" w:rsidR="008433A0" w:rsidRPr="00933A7F" w:rsidRDefault="008433A0" w:rsidP="00271C18">
            <w:pPr>
              <w:pStyle w:val="cuatexto"/>
              <w:spacing w:line="240" w:lineRule="auto"/>
              <w:jc w:val="right"/>
              <w:rPr>
                <w:b/>
                <w:bCs/>
                <w:color w:val="000000"/>
                <w:szCs w:val="20"/>
                <w:lang w:val="es-ES" w:eastAsia="es-ES"/>
              </w:rPr>
            </w:pPr>
            <w:r w:rsidRPr="00933A7F">
              <w:rPr>
                <w:b/>
                <w:bCs/>
                <w:color w:val="000000"/>
                <w:szCs w:val="20"/>
                <w:lang w:val="es-ES" w:eastAsia="es-ES"/>
              </w:rPr>
              <w:t>0,00</w:t>
            </w:r>
          </w:p>
        </w:tc>
      </w:tr>
      <w:tr w:rsidR="008433A0" w:rsidRPr="00933A7F" w14:paraId="3E9E7783"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71A6D155" w14:textId="3A4F59CC" w:rsidR="008433A0" w:rsidRPr="00933A7F" w:rsidRDefault="007B465C" w:rsidP="007B465C">
            <w:pPr>
              <w:pStyle w:val="cuatexto"/>
              <w:spacing w:line="240" w:lineRule="auto"/>
              <w:rPr>
                <w:szCs w:val="20"/>
                <w:lang w:val="es-ES" w:eastAsia="es-ES"/>
              </w:rPr>
            </w:pPr>
            <w:r w:rsidRPr="00933A7F">
              <w:rPr>
                <w:szCs w:val="20"/>
                <w:lang w:val="es-ES" w:eastAsia="es-ES"/>
              </w:rPr>
              <w:t>6</w:t>
            </w:r>
            <w:r w:rsidR="008433A0" w:rsidRPr="00933A7F">
              <w:rPr>
                <w:szCs w:val="20"/>
                <w:lang w:val="es-ES" w:eastAsia="es-ES"/>
              </w:rPr>
              <w:t xml:space="preserve"> Inversiones reales</w:t>
            </w:r>
          </w:p>
        </w:tc>
        <w:tc>
          <w:tcPr>
            <w:tcW w:w="1413" w:type="dxa"/>
            <w:tcBorders>
              <w:top w:val="single" w:sz="2" w:space="0" w:color="auto"/>
              <w:left w:val="nil"/>
              <w:bottom w:val="single" w:sz="2" w:space="0" w:color="auto"/>
              <w:right w:val="nil"/>
            </w:tcBorders>
            <w:shd w:val="clear" w:color="auto" w:fill="auto"/>
            <w:vAlign w:val="center"/>
            <w:hideMark/>
          </w:tcPr>
          <w:p w14:paraId="27B9AA3C"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115,49</w:t>
            </w:r>
          </w:p>
        </w:tc>
        <w:tc>
          <w:tcPr>
            <w:tcW w:w="216" w:type="dxa"/>
            <w:tcBorders>
              <w:top w:val="single" w:sz="2" w:space="0" w:color="auto"/>
              <w:left w:val="nil"/>
              <w:bottom w:val="single" w:sz="2" w:space="0" w:color="auto"/>
              <w:right w:val="nil"/>
            </w:tcBorders>
            <w:shd w:val="clear" w:color="auto" w:fill="auto"/>
            <w:vAlign w:val="center"/>
            <w:hideMark/>
          </w:tcPr>
          <w:p w14:paraId="18C4791F" w14:textId="48186BE0" w:rsidR="008433A0" w:rsidRPr="00933A7F" w:rsidRDefault="008433A0" w:rsidP="00271C18">
            <w:pPr>
              <w:pStyle w:val="cuatexto"/>
              <w:spacing w:line="240" w:lineRule="auto"/>
              <w:jc w:val="right"/>
              <w:rPr>
                <w:color w:val="000000"/>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44674C04"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129,24</w:t>
            </w:r>
          </w:p>
        </w:tc>
        <w:tc>
          <w:tcPr>
            <w:tcW w:w="1579" w:type="dxa"/>
            <w:tcBorders>
              <w:top w:val="single" w:sz="2" w:space="0" w:color="auto"/>
              <w:left w:val="nil"/>
              <w:bottom w:val="single" w:sz="2" w:space="0" w:color="auto"/>
              <w:right w:val="nil"/>
            </w:tcBorders>
            <w:shd w:val="clear" w:color="auto" w:fill="auto"/>
            <w:vAlign w:val="center"/>
            <w:hideMark/>
          </w:tcPr>
          <w:p w14:paraId="49DC004E" w14:textId="77777777" w:rsidR="008433A0" w:rsidRPr="00933A7F" w:rsidRDefault="008433A0" w:rsidP="00271C18">
            <w:pPr>
              <w:pStyle w:val="cuatexto"/>
              <w:spacing w:line="240" w:lineRule="auto"/>
              <w:jc w:val="right"/>
              <w:rPr>
                <w:szCs w:val="20"/>
                <w:lang w:val="es-ES" w:eastAsia="es-ES"/>
              </w:rPr>
            </w:pPr>
            <w:r w:rsidRPr="00933A7F">
              <w:rPr>
                <w:szCs w:val="20"/>
                <w:lang w:val="es-ES" w:eastAsia="es-ES"/>
              </w:rPr>
              <w:t>14,7</w:t>
            </w:r>
          </w:p>
        </w:tc>
        <w:tc>
          <w:tcPr>
            <w:tcW w:w="197" w:type="dxa"/>
            <w:tcBorders>
              <w:top w:val="single" w:sz="2" w:space="0" w:color="auto"/>
              <w:left w:val="nil"/>
              <w:bottom w:val="single" w:sz="2" w:space="0" w:color="auto"/>
              <w:right w:val="nil"/>
            </w:tcBorders>
            <w:shd w:val="clear" w:color="auto" w:fill="auto"/>
            <w:vAlign w:val="center"/>
            <w:hideMark/>
          </w:tcPr>
          <w:p w14:paraId="18049BC9" w14:textId="6BEF469D" w:rsidR="008433A0" w:rsidRPr="00933A7F" w:rsidRDefault="008433A0" w:rsidP="00271C18">
            <w:pPr>
              <w:pStyle w:val="cuatexto"/>
              <w:spacing w:line="240" w:lineRule="auto"/>
              <w:jc w:val="right"/>
              <w:rPr>
                <w:color w:val="000000"/>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03D933A2"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13,75</w:t>
            </w:r>
          </w:p>
        </w:tc>
      </w:tr>
      <w:tr w:rsidR="008433A0" w:rsidRPr="00933A7F" w14:paraId="3789227B"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605BB621" w14:textId="6D2002EF" w:rsidR="008433A0" w:rsidRPr="00933A7F" w:rsidRDefault="007B465C" w:rsidP="007B465C">
            <w:pPr>
              <w:pStyle w:val="cuatexto"/>
              <w:spacing w:line="240" w:lineRule="auto"/>
              <w:rPr>
                <w:color w:val="000000"/>
                <w:szCs w:val="20"/>
                <w:lang w:val="es-ES" w:eastAsia="es-ES"/>
              </w:rPr>
            </w:pPr>
            <w:r w:rsidRPr="00933A7F">
              <w:rPr>
                <w:color w:val="000000"/>
                <w:szCs w:val="20"/>
                <w:lang w:val="es-ES" w:eastAsia="es-ES"/>
              </w:rPr>
              <w:t xml:space="preserve">7 </w:t>
            </w:r>
            <w:r w:rsidR="008433A0" w:rsidRPr="00933A7F">
              <w:rPr>
                <w:color w:val="000000"/>
                <w:szCs w:val="20"/>
                <w:lang w:val="es-ES" w:eastAsia="es-ES"/>
              </w:rPr>
              <w:t>Transferencias de capital</w:t>
            </w:r>
          </w:p>
        </w:tc>
        <w:tc>
          <w:tcPr>
            <w:tcW w:w="1413" w:type="dxa"/>
            <w:tcBorders>
              <w:top w:val="single" w:sz="2" w:space="0" w:color="auto"/>
              <w:left w:val="nil"/>
              <w:bottom w:val="single" w:sz="2" w:space="0" w:color="auto"/>
              <w:right w:val="nil"/>
            </w:tcBorders>
            <w:shd w:val="clear" w:color="auto" w:fill="auto"/>
            <w:vAlign w:val="center"/>
            <w:hideMark/>
          </w:tcPr>
          <w:p w14:paraId="3966EC27"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8,10</w:t>
            </w:r>
          </w:p>
        </w:tc>
        <w:tc>
          <w:tcPr>
            <w:tcW w:w="216" w:type="dxa"/>
            <w:tcBorders>
              <w:top w:val="single" w:sz="2" w:space="0" w:color="auto"/>
              <w:left w:val="nil"/>
              <w:bottom w:val="single" w:sz="2" w:space="0" w:color="auto"/>
              <w:right w:val="nil"/>
            </w:tcBorders>
            <w:shd w:val="clear" w:color="auto" w:fill="auto"/>
            <w:vAlign w:val="center"/>
            <w:hideMark/>
          </w:tcPr>
          <w:p w14:paraId="3C7E57AE" w14:textId="5574F7DC" w:rsidR="008433A0" w:rsidRPr="00933A7F" w:rsidRDefault="008433A0" w:rsidP="00271C18">
            <w:pPr>
              <w:pStyle w:val="cuatexto"/>
              <w:spacing w:line="240" w:lineRule="auto"/>
              <w:jc w:val="right"/>
              <w:rPr>
                <w:b/>
                <w:bCs/>
                <w:i/>
                <w:iCs/>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55F67AF0"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8,10</w:t>
            </w:r>
          </w:p>
        </w:tc>
        <w:tc>
          <w:tcPr>
            <w:tcW w:w="1579" w:type="dxa"/>
            <w:tcBorders>
              <w:top w:val="single" w:sz="2" w:space="0" w:color="auto"/>
              <w:left w:val="nil"/>
              <w:bottom w:val="single" w:sz="2" w:space="0" w:color="auto"/>
              <w:right w:val="nil"/>
            </w:tcBorders>
            <w:shd w:val="clear" w:color="auto" w:fill="auto"/>
            <w:vAlign w:val="center"/>
            <w:hideMark/>
          </w:tcPr>
          <w:p w14:paraId="6BD72306" w14:textId="77777777" w:rsidR="008433A0" w:rsidRPr="00933A7F" w:rsidRDefault="008433A0" w:rsidP="00271C18">
            <w:pPr>
              <w:pStyle w:val="cuatexto"/>
              <w:spacing w:line="240" w:lineRule="auto"/>
              <w:jc w:val="right"/>
              <w:rPr>
                <w:szCs w:val="20"/>
                <w:lang w:val="es-ES" w:eastAsia="es-ES"/>
              </w:rPr>
            </w:pPr>
            <w:r w:rsidRPr="00933A7F">
              <w:rPr>
                <w:szCs w:val="20"/>
                <w:lang w:val="es-ES" w:eastAsia="es-ES"/>
              </w:rPr>
              <w:t>0,9</w:t>
            </w:r>
          </w:p>
        </w:tc>
        <w:tc>
          <w:tcPr>
            <w:tcW w:w="197" w:type="dxa"/>
            <w:tcBorders>
              <w:top w:val="single" w:sz="2" w:space="0" w:color="auto"/>
              <w:left w:val="nil"/>
              <w:bottom w:val="single" w:sz="2" w:space="0" w:color="auto"/>
              <w:right w:val="nil"/>
            </w:tcBorders>
            <w:shd w:val="clear" w:color="auto" w:fill="auto"/>
            <w:vAlign w:val="center"/>
            <w:hideMark/>
          </w:tcPr>
          <w:p w14:paraId="37679537" w14:textId="03559276" w:rsidR="008433A0" w:rsidRPr="00933A7F" w:rsidRDefault="008433A0" w:rsidP="00271C18">
            <w:pPr>
              <w:pStyle w:val="cuatexto"/>
              <w:spacing w:line="240" w:lineRule="auto"/>
              <w:jc w:val="right"/>
              <w:rPr>
                <w:b/>
                <w:bCs/>
                <w:i/>
                <w:iCs/>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1BD43886"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0,00</w:t>
            </w:r>
          </w:p>
        </w:tc>
      </w:tr>
      <w:tr w:rsidR="008433A0" w:rsidRPr="00933A7F" w14:paraId="07919164"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22FC8C32" w14:textId="10958D96" w:rsidR="008433A0" w:rsidRPr="00933A7F" w:rsidRDefault="008433A0" w:rsidP="007B465C">
            <w:pPr>
              <w:pStyle w:val="cuatexto"/>
              <w:spacing w:line="240" w:lineRule="auto"/>
              <w:rPr>
                <w:b/>
                <w:bCs/>
                <w:i/>
                <w:iCs/>
                <w:szCs w:val="20"/>
                <w:lang w:val="es-ES" w:eastAsia="es-ES"/>
              </w:rPr>
            </w:pPr>
            <w:r w:rsidRPr="00933A7F">
              <w:rPr>
                <w:b/>
                <w:bCs/>
                <w:i/>
                <w:iCs/>
                <w:szCs w:val="20"/>
                <w:lang w:val="es-ES" w:eastAsia="es-ES"/>
              </w:rPr>
              <w:t xml:space="preserve"> Operaciones de capital</w:t>
            </w:r>
          </w:p>
        </w:tc>
        <w:tc>
          <w:tcPr>
            <w:tcW w:w="1413" w:type="dxa"/>
            <w:tcBorders>
              <w:top w:val="single" w:sz="2" w:space="0" w:color="auto"/>
              <w:left w:val="nil"/>
              <w:bottom w:val="single" w:sz="2" w:space="0" w:color="auto"/>
              <w:right w:val="nil"/>
            </w:tcBorders>
            <w:shd w:val="clear" w:color="auto" w:fill="auto"/>
            <w:vAlign w:val="center"/>
            <w:hideMark/>
          </w:tcPr>
          <w:p w14:paraId="4D9B26E4" w14:textId="77777777" w:rsidR="008433A0" w:rsidRPr="00933A7F" w:rsidRDefault="008433A0" w:rsidP="00271C18">
            <w:pPr>
              <w:pStyle w:val="cuatexto"/>
              <w:spacing w:line="240" w:lineRule="auto"/>
              <w:jc w:val="right"/>
              <w:rPr>
                <w:b/>
                <w:bCs/>
                <w:i/>
                <w:iCs/>
                <w:color w:val="000000"/>
                <w:szCs w:val="20"/>
                <w:lang w:val="es-ES" w:eastAsia="es-ES"/>
              </w:rPr>
            </w:pPr>
            <w:r w:rsidRPr="00933A7F">
              <w:rPr>
                <w:b/>
                <w:bCs/>
                <w:i/>
                <w:iCs/>
                <w:color w:val="000000"/>
                <w:szCs w:val="20"/>
                <w:lang w:val="es-ES" w:eastAsia="es-ES"/>
              </w:rPr>
              <w:t>123,59</w:t>
            </w:r>
          </w:p>
        </w:tc>
        <w:tc>
          <w:tcPr>
            <w:tcW w:w="216" w:type="dxa"/>
            <w:tcBorders>
              <w:top w:val="single" w:sz="2" w:space="0" w:color="auto"/>
              <w:left w:val="nil"/>
              <w:bottom w:val="single" w:sz="2" w:space="0" w:color="auto"/>
              <w:right w:val="nil"/>
            </w:tcBorders>
            <w:shd w:val="clear" w:color="auto" w:fill="auto"/>
            <w:vAlign w:val="center"/>
            <w:hideMark/>
          </w:tcPr>
          <w:p w14:paraId="542FD2AB" w14:textId="04E05CB0"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49B1BBCB" w14:textId="77777777" w:rsidR="008433A0" w:rsidRPr="00933A7F" w:rsidRDefault="008433A0" w:rsidP="00271C18">
            <w:pPr>
              <w:pStyle w:val="cuatexto"/>
              <w:spacing w:line="240" w:lineRule="auto"/>
              <w:jc w:val="right"/>
              <w:rPr>
                <w:b/>
                <w:bCs/>
                <w:i/>
                <w:iCs/>
                <w:color w:val="000000"/>
                <w:szCs w:val="20"/>
                <w:lang w:val="es-ES" w:eastAsia="es-ES"/>
              </w:rPr>
            </w:pPr>
            <w:r w:rsidRPr="00933A7F">
              <w:rPr>
                <w:b/>
                <w:bCs/>
                <w:i/>
                <w:iCs/>
                <w:color w:val="000000"/>
                <w:szCs w:val="20"/>
                <w:lang w:val="es-ES" w:eastAsia="es-ES"/>
              </w:rPr>
              <w:t>137,33</w:t>
            </w:r>
          </w:p>
        </w:tc>
        <w:tc>
          <w:tcPr>
            <w:tcW w:w="1579" w:type="dxa"/>
            <w:tcBorders>
              <w:top w:val="single" w:sz="2" w:space="0" w:color="auto"/>
              <w:left w:val="nil"/>
              <w:bottom w:val="single" w:sz="2" w:space="0" w:color="auto"/>
              <w:right w:val="nil"/>
            </w:tcBorders>
            <w:shd w:val="clear" w:color="auto" w:fill="auto"/>
            <w:vAlign w:val="center"/>
            <w:hideMark/>
          </w:tcPr>
          <w:p w14:paraId="427E3423" w14:textId="77777777" w:rsidR="008433A0" w:rsidRPr="00933A7F" w:rsidRDefault="008433A0" w:rsidP="00271C18">
            <w:pPr>
              <w:pStyle w:val="cuatexto"/>
              <w:spacing w:line="240" w:lineRule="auto"/>
              <w:jc w:val="right"/>
              <w:rPr>
                <w:b/>
                <w:bCs/>
                <w:i/>
                <w:iCs/>
                <w:szCs w:val="20"/>
                <w:lang w:val="es-ES" w:eastAsia="es-ES"/>
              </w:rPr>
            </w:pPr>
            <w:r w:rsidRPr="00933A7F">
              <w:rPr>
                <w:b/>
                <w:bCs/>
                <w:i/>
                <w:iCs/>
                <w:szCs w:val="20"/>
                <w:lang w:val="es-ES" w:eastAsia="es-ES"/>
              </w:rPr>
              <w:t>15,6</w:t>
            </w:r>
          </w:p>
        </w:tc>
        <w:tc>
          <w:tcPr>
            <w:tcW w:w="197" w:type="dxa"/>
            <w:tcBorders>
              <w:top w:val="single" w:sz="2" w:space="0" w:color="auto"/>
              <w:left w:val="nil"/>
              <w:bottom w:val="single" w:sz="2" w:space="0" w:color="auto"/>
              <w:right w:val="nil"/>
            </w:tcBorders>
            <w:shd w:val="clear" w:color="auto" w:fill="auto"/>
            <w:vAlign w:val="center"/>
            <w:hideMark/>
          </w:tcPr>
          <w:p w14:paraId="7EA2F0F0" w14:textId="2E5078AC"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4C02194E" w14:textId="77777777" w:rsidR="008433A0" w:rsidRPr="00933A7F" w:rsidRDefault="008433A0" w:rsidP="00271C18">
            <w:pPr>
              <w:pStyle w:val="cuatexto"/>
              <w:spacing w:line="240" w:lineRule="auto"/>
              <w:jc w:val="right"/>
              <w:rPr>
                <w:b/>
                <w:bCs/>
                <w:color w:val="000000"/>
                <w:szCs w:val="20"/>
                <w:lang w:val="es-ES" w:eastAsia="es-ES"/>
              </w:rPr>
            </w:pPr>
            <w:r w:rsidRPr="00933A7F">
              <w:rPr>
                <w:b/>
                <w:bCs/>
                <w:color w:val="000000"/>
                <w:szCs w:val="20"/>
                <w:lang w:val="es-ES" w:eastAsia="es-ES"/>
              </w:rPr>
              <w:t>13,75</w:t>
            </w:r>
          </w:p>
        </w:tc>
      </w:tr>
      <w:tr w:rsidR="008433A0" w:rsidRPr="00933A7F" w14:paraId="1E33EFD5"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76836AD0" w14:textId="02E03EC2" w:rsidR="008433A0" w:rsidRPr="00933A7F" w:rsidRDefault="007B465C" w:rsidP="007B465C">
            <w:pPr>
              <w:pStyle w:val="cuatexto"/>
              <w:spacing w:line="240" w:lineRule="auto"/>
              <w:rPr>
                <w:szCs w:val="20"/>
                <w:lang w:val="es-ES" w:eastAsia="es-ES"/>
              </w:rPr>
            </w:pPr>
            <w:r w:rsidRPr="00933A7F">
              <w:rPr>
                <w:szCs w:val="20"/>
                <w:lang w:val="es-ES" w:eastAsia="es-ES"/>
              </w:rPr>
              <w:t xml:space="preserve">8 </w:t>
            </w:r>
            <w:r w:rsidR="008433A0" w:rsidRPr="00933A7F">
              <w:rPr>
                <w:szCs w:val="20"/>
                <w:lang w:val="es-ES" w:eastAsia="es-ES"/>
              </w:rPr>
              <w:t>Activos financieros</w:t>
            </w:r>
          </w:p>
        </w:tc>
        <w:tc>
          <w:tcPr>
            <w:tcW w:w="1413" w:type="dxa"/>
            <w:tcBorders>
              <w:top w:val="single" w:sz="2" w:space="0" w:color="auto"/>
              <w:left w:val="nil"/>
              <w:bottom w:val="single" w:sz="2" w:space="0" w:color="auto"/>
              <w:right w:val="nil"/>
            </w:tcBorders>
            <w:shd w:val="clear" w:color="auto" w:fill="auto"/>
            <w:vAlign w:val="center"/>
            <w:hideMark/>
          </w:tcPr>
          <w:p w14:paraId="2AA5A453"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2,09</w:t>
            </w:r>
          </w:p>
        </w:tc>
        <w:tc>
          <w:tcPr>
            <w:tcW w:w="216" w:type="dxa"/>
            <w:tcBorders>
              <w:top w:val="single" w:sz="2" w:space="0" w:color="auto"/>
              <w:left w:val="nil"/>
              <w:bottom w:val="single" w:sz="2" w:space="0" w:color="auto"/>
              <w:right w:val="nil"/>
            </w:tcBorders>
            <w:shd w:val="clear" w:color="auto" w:fill="auto"/>
            <w:vAlign w:val="center"/>
            <w:hideMark/>
          </w:tcPr>
          <w:p w14:paraId="2F9DDA3F" w14:textId="603222D1"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55CA7169"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2,09</w:t>
            </w:r>
          </w:p>
        </w:tc>
        <w:tc>
          <w:tcPr>
            <w:tcW w:w="1579" w:type="dxa"/>
            <w:tcBorders>
              <w:top w:val="single" w:sz="2" w:space="0" w:color="auto"/>
              <w:left w:val="nil"/>
              <w:bottom w:val="single" w:sz="2" w:space="0" w:color="auto"/>
              <w:right w:val="nil"/>
            </w:tcBorders>
            <w:shd w:val="clear" w:color="auto" w:fill="auto"/>
            <w:vAlign w:val="center"/>
            <w:hideMark/>
          </w:tcPr>
          <w:p w14:paraId="526DB0C5" w14:textId="77777777" w:rsidR="008433A0" w:rsidRPr="00933A7F" w:rsidRDefault="008433A0" w:rsidP="00271C18">
            <w:pPr>
              <w:pStyle w:val="cuatexto"/>
              <w:spacing w:line="240" w:lineRule="auto"/>
              <w:jc w:val="right"/>
              <w:rPr>
                <w:szCs w:val="20"/>
                <w:lang w:val="es-ES" w:eastAsia="es-ES"/>
              </w:rPr>
            </w:pPr>
            <w:r w:rsidRPr="00933A7F">
              <w:rPr>
                <w:szCs w:val="20"/>
                <w:lang w:val="es-ES" w:eastAsia="es-ES"/>
              </w:rPr>
              <w:t>0,2</w:t>
            </w:r>
          </w:p>
        </w:tc>
        <w:tc>
          <w:tcPr>
            <w:tcW w:w="197" w:type="dxa"/>
            <w:tcBorders>
              <w:top w:val="single" w:sz="2" w:space="0" w:color="auto"/>
              <w:left w:val="nil"/>
              <w:bottom w:val="single" w:sz="2" w:space="0" w:color="auto"/>
              <w:right w:val="nil"/>
            </w:tcBorders>
            <w:shd w:val="clear" w:color="auto" w:fill="auto"/>
            <w:vAlign w:val="center"/>
            <w:hideMark/>
          </w:tcPr>
          <w:p w14:paraId="5523576C" w14:textId="7E6E9EF0"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47DDAC9D"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0,00</w:t>
            </w:r>
          </w:p>
        </w:tc>
      </w:tr>
      <w:tr w:rsidR="008433A0" w:rsidRPr="00933A7F" w14:paraId="33587F64"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49848E54" w14:textId="2375BCBC" w:rsidR="008433A0" w:rsidRPr="00933A7F" w:rsidRDefault="007B465C" w:rsidP="007B465C">
            <w:pPr>
              <w:pStyle w:val="cuatexto"/>
              <w:spacing w:line="240" w:lineRule="auto"/>
              <w:rPr>
                <w:szCs w:val="20"/>
                <w:lang w:val="es-ES" w:eastAsia="es-ES"/>
              </w:rPr>
            </w:pPr>
            <w:r w:rsidRPr="00933A7F">
              <w:rPr>
                <w:szCs w:val="20"/>
                <w:lang w:val="es-ES" w:eastAsia="es-ES"/>
              </w:rPr>
              <w:t>9</w:t>
            </w:r>
            <w:r w:rsidR="008433A0" w:rsidRPr="00933A7F">
              <w:rPr>
                <w:szCs w:val="20"/>
                <w:lang w:val="es-ES" w:eastAsia="es-ES"/>
              </w:rPr>
              <w:t xml:space="preserve"> Pasivos financieros</w:t>
            </w:r>
          </w:p>
        </w:tc>
        <w:tc>
          <w:tcPr>
            <w:tcW w:w="1413" w:type="dxa"/>
            <w:tcBorders>
              <w:top w:val="single" w:sz="2" w:space="0" w:color="auto"/>
              <w:left w:val="nil"/>
              <w:bottom w:val="single" w:sz="2" w:space="0" w:color="auto"/>
              <w:right w:val="nil"/>
            </w:tcBorders>
            <w:shd w:val="clear" w:color="auto" w:fill="auto"/>
            <w:vAlign w:val="center"/>
            <w:hideMark/>
          </w:tcPr>
          <w:p w14:paraId="7D54FF15"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28,55</w:t>
            </w:r>
          </w:p>
        </w:tc>
        <w:tc>
          <w:tcPr>
            <w:tcW w:w="216" w:type="dxa"/>
            <w:tcBorders>
              <w:top w:val="single" w:sz="2" w:space="0" w:color="auto"/>
              <w:left w:val="nil"/>
              <w:bottom w:val="single" w:sz="2" w:space="0" w:color="auto"/>
              <w:right w:val="nil"/>
            </w:tcBorders>
            <w:shd w:val="clear" w:color="auto" w:fill="auto"/>
            <w:vAlign w:val="center"/>
            <w:hideMark/>
          </w:tcPr>
          <w:p w14:paraId="40CACF46" w14:textId="74D4566B" w:rsidR="008433A0" w:rsidRPr="00933A7F" w:rsidRDefault="008433A0" w:rsidP="00271C18">
            <w:pPr>
              <w:pStyle w:val="cuatexto"/>
              <w:spacing w:line="240" w:lineRule="auto"/>
              <w:jc w:val="right"/>
              <w:rPr>
                <w:b/>
                <w:bCs/>
                <w:i/>
                <w:iCs/>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3F7E9A01"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28,55</w:t>
            </w:r>
          </w:p>
        </w:tc>
        <w:tc>
          <w:tcPr>
            <w:tcW w:w="1579" w:type="dxa"/>
            <w:tcBorders>
              <w:top w:val="single" w:sz="2" w:space="0" w:color="auto"/>
              <w:left w:val="nil"/>
              <w:bottom w:val="single" w:sz="2" w:space="0" w:color="auto"/>
              <w:right w:val="nil"/>
            </w:tcBorders>
            <w:shd w:val="clear" w:color="auto" w:fill="auto"/>
            <w:vAlign w:val="center"/>
            <w:hideMark/>
          </w:tcPr>
          <w:p w14:paraId="76E6EF94" w14:textId="77777777" w:rsidR="008433A0" w:rsidRPr="00933A7F" w:rsidRDefault="008433A0" w:rsidP="00271C18">
            <w:pPr>
              <w:pStyle w:val="cuatexto"/>
              <w:spacing w:line="240" w:lineRule="auto"/>
              <w:jc w:val="right"/>
              <w:rPr>
                <w:szCs w:val="20"/>
                <w:lang w:val="es-ES" w:eastAsia="es-ES"/>
              </w:rPr>
            </w:pPr>
            <w:r w:rsidRPr="00933A7F">
              <w:rPr>
                <w:szCs w:val="20"/>
                <w:lang w:val="es-ES" w:eastAsia="es-ES"/>
              </w:rPr>
              <w:t>3,3</w:t>
            </w:r>
          </w:p>
        </w:tc>
        <w:tc>
          <w:tcPr>
            <w:tcW w:w="197" w:type="dxa"/>
            <w:tcBorders>
              <w:top w:val="single" w:sz="2" w:space="0" w:color="auto"/>
              <w:left w:val="nil"/>
              <w:bottom w:val="single" w:sz="2" w:space="0" w:color="auto"/>
              <w:right w:val="nil"/>
            </w:tcBorders>
            <w:shd w:val="clear" w:color="auto" w:fill="auto"/>
            <w:vAlign w:val="center"/>
            <w:hideMark/>
          </w:tcPr>
          <w:p w14:paraId="1481EB18" w14:textId="1104432E" w:rsidR="008433A0" w:rsidRPr="00933A7F" w:rsidRDefault="008433A0" w:rsidP="00271C18">
            <w:pPr>
              <w:pStyle w:val="cuatexto"/>
              <w:spacing w:line="240" w:lineRule="auto"/>
              <w:jc w:val="right"/>
              <w:rPr>
                <w:b/>
                <w:bCs/>
                <w:i/>
                <w:iCs/>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5724A19A" w14:textId="77777777" w:rsidR="008433A0" w:rsidRPr="00933A7F" w:rsidRDefault="008433A0" w:rsidP="00271C18">
            <w:pPr>
              <w:pStyle w:val="cuatexto"/>
              <w:spacing w:line="240" w:lineRule="auto"/>
              <w:jc w:val="right"/>
              <w:rPr>
                <w:color w:val="000000"/>
                <w:szCs w:val="20"/>
                <w:lang w:val="es-ES" w:eastAsia="es-ES"/>
              </w:rPr>
            </w:pPr>
            <w:r w:rsidRPr="00933A7F">
              <w:rPr>
                <w:color w:val="000000"/>
                <w:szCs w:val="20"/>
                <w:lang w:val="es-ES" w:eastAsia="es-ES"/>
              </w:rPr>
              <w:t>0,00</w:t>
            </w:r>
          </w:p>
        </w:tc>
      </w:tr>
      <w:tr w:rsidR="008433A0" w:rsidRPr="00933A7F" w14:paraId="7C0C369A" w14:textId="77777777" w:rsidTr="00A42B4F">
        <w:trPr>
          <w:trHeight w:val="284"/>
        </w:trPr>
        <w:tc>
          <w:tcPr>
            <w:tcW w:w="2330" w:type="dxa"/>
            <w:tcBorders>
              <w:top w:val="single" w:sz="2" w:space="0" w:color="auto"/>
              <w:left w:val="nil"/>
              <w:bottom w:val="single" w:sz="4" w:space="0" w:color="000000"/>
              <w:right w:val="nil"/>
            </w:tcBorders>
            <w:shd w:val="clear" w:color="auto" w:fill="auto"/>
            <w:vAlign w:val="center"/>
            <w:hideMark/>
          </w:tcPr>
          <w:p w14:paraId="651BEF20" w14:textId="158C50DC" w:rsidR="008433A0" w:rsidRPr="00933A7F" w:rsidRDefault="008433A0" w:rsidP="007B465C">
            <w:pPr>
              <w:pStyle w:val="cuatexto"/>
              <w:spacing w:line="240" w:lineRule="auto"/>
              <w:rPr>
                <w:b/>
                <w:bCs/>
                <w:i/>
                <w:iCs/>
                <w:szCs w:val="20"/>
                <w:lang w:val="es-ES" w:eastAsia="es-ES"/>
              </w:rPr>
            </w:pPr>
            <w:r w:rsidRPr="00933A7F">
              <w:rPr>
                <w:b/>
                <w:bCs/>
                <w:i/>
                <w:iCs/>
                <w:szCs w:val="20"/>
                <w:lang w:val="es-ES" w:eastAsia="es-ES"/>
              </w:rPr>
              <w:t>Operaciones financieras</w:t>
            </w:r>
          </w:p>
        </w:tc>
        <w:tc>
          <w:tcPr>
            <w:tcW w:w="1413" w:type="dxa"/>
            <w:tcBorders>
              <w:top w:val="single" w:sz="2" w:space="0" w:color="auto"/>
              <w:left w:val="nil"/>
              <w:bottom w:val="single" w:sz="4" w:space="0" w:color="auto"/>
              <w:right w:val="nil"/>
            </w:tcBorders>
            <w:shd w:val="clear" w:color="auto" w:fill="auto"/>
            <w:vAlign w:val="center"/>
            <w:hideMark/>
          </w:tcPr>
          <w:p w14:paraId="7BB1899F" w14:textId="77777777" w:rsidR="008433A0" w:rsidRPr="00933A7F" w:rsidRDefault="008433A0" w:rsidP="00271C18">
            <w:pPr>
              <w:pStyle w:val="cuatexto"/>
              <w:spacing w:line="240" w:lineRule="auto"/>
              <w:jc w:val="right"/>
              <w:rPr>
                <w:b/>
                <w:bCs/>
                <w:i/>
                <w:iCs/>
                <w:color w:val="000000"/>
                <w:szCs w:val="20"/>
                <w:lang w:val="es-ES" w:eastAsia="es-ES"/>
              </w:rPr>
            </w:pPr>
            <w:r w:rsidRPr="00933A7F">
              <w:rPr>
                <w:b/>
                <w:bCs/>
                <w:i/>
                <w:iCs/>
                <w:color w:val="000000"/>
                <w:szCs w:val="20"/>
                <w:lang w:val="es-ES" w:eastAsia="es-ES"/>
              </w:rPr>
              <w:t>30,64</w:t>
            </w:r>
          </w:p>
        </w:tc>
        <w:tc>
          <w:tcPr>
            <w:tcW w:w="216" w:type="dxa"/>
            <w:tcBorders>
              <w:top w:val="single" w:sz="2" w:space="0" w:color="auto"/>
              <w:left w:val="nil"/>
              <w:bottom w:val="single" w:sz="4" w:space="0" w:color="auto"/>
              <w:right w:val="nil"/>
            </w:tcBorders>
            <w:shd w:val="clear" w:color="auto" w:fill="auto"/>
            <w:vAlign w:val="center"/>
            <w:hideMark/>
          </w:tcPr>
          <w:p w14:paraId="64F98149" w14:textId="6B91FC5F" w:rsidR="008433A0" w:rsidRPr="00933A7F" w:rsidRDefault="008433A0" w:rsidP="00271C18">
            <w:pPr>
              <w:pStyle w:val="cuatexto"/>
              <w:spacing w:line="240" w:lineRule="auto"/>
              <w:jc w:val="right"/>
              <w:rPr>
                <w:b/>
                <w:bCs/>
                <w:i/>
                <w:iCs/>
                <w:szCs w:val="20"/>
                <w:lang w:val="es-ES" w:eastAsia="es-ES"/>
              </w:rPr>
            </w:pPr>
          </w:p>
        </w:tc>
        <w:tc>
          <w:tcPr>
            <w:tcW w:w="1480" w:type="dxa"/>
            <w:tcBorders>
              <w:top w:val="single" w:sz="2" w:space="0" w:color="auto"/>
              <w:left w:val="nil"/>
              <w:bottom w:val="single" w:sz="4" w:space="0" w:color="auto"/>
              <w:right w:val="nil"/>
            </w:tcBorders>
            <w:shd w:val="clear" w:color="auto" w:fill="auto"/>
            <w:vAlign w:val="center"/>
            <w:hideMark/>
          </w:tcPr>
          <w:p w14:paraId="52E1B658" w14:textId="77777777" w:rsidR="008433A0" w:rsidRPr="00933A7F" w:rsidRDefault="008433A0" w:rsidP="00271C18">
            <w:pPr>
              <w:pStyle w:val="cuatexto"/>
              <w:spacing w:line="240" w:lineRule="auto"/>
              <w:jc w:val="right"/>
              <w:rPr>
                <w:b/>
                <w:bCs/>
                <w:i/>
                <w:iCs/>
                <w:color w:val="000000"/>
                <w:szCs w:val="20"/>
                <w:lang w:val="es-ES" w:eastAsia="es-ES"/>
              </w:rPr>
            </w:pPr>
            <w:r w:rsidRPr="00933A7F">
              <w:rPr>
                <w:b/>
                <w:bCs/>
                <w:i/>
                <w:iCs/>
                <w:color w:val="000000"/>
                <w:szCs w:val="20"/>
                <w:lang w:val="es-ES" w:eastAsia="es-ES"/>
              </w:rPr>
              <w:t>30,64</w:t>
            </w:r>
          </w:p>
        </w:tc>
        <w:tc>
          <w:tcPr>
            <w:tcW w:w="1579" w:type="dxa"/>
            <w:tcBorders>
              <w:top w:val="single" w:sz="2" w:space="0" w:color="auto"/>
              <w:left w:val="nil"/>
              <w:bottom w:val="single" w:sz="4" w:space="0" w:color="000000"/>
              <w:right w:val="nil"/>
            </w:tcBorders>
            <w:shd w:val="clear" w:color="auto" w:fill="auto"/>
            <w:vAlign w:val="center"/>
            <w:hideMark/>
          </w:tcPr>
          <w:p w14:paraId="381D2C3B" w14:textId="77777777" w:rsidR="008433A0" w:rsidRPr="00933A7F" w:rsidRDefault="008433A0" w:rsidP="00271C18">
            <w:pPr>
              <w:pStyle w:val="cuatexto"/>
              <w:spacing w:line="240" w:lineRule="auto"/>
              <w:jc w:val="right"/>
              <w:rPr>
                <w:b/>
                <w:bCs/>
                <w:i/>
                <w:iCs/>
                <w:szCs w:val="20"/>
                <w:lang w:val="es-ES" w:eastAsia="es-ES"/>
              </w:rPr>
            </w:pPr>
            <w:r w:rsidRPr="00933A7F">
              <w:rPr>
                <w:b/>
                <w:bCs/>
                <w:i/>
                <w:iCs/>
                <w:szCs w:val="20"/>
                <w:lang w:val="es-ES" w:eastAsia="es-ES"/>
              </w:rPr>
              <w:t>3,5</w:t>
            </w:r>
          </w:p>
        </w:tc>
        <w:tc>
          <w:tcPr>
            <w:tcW w:w="197" w:type="dxa"/>
            <w:tcBorders>
              <w:top w:val="single" w:sz="2" w:space="0" w:color="auto"/>
              <w:left w:val="nil"/>
              <w:bottom w:val="nil"/>
              <w:right w:val="nil"/>
            </w:tcBorders>
            <w:shd w:val="clear" w:color="auto" w:fill="auto"/>
            <w:noWrap/>
            <w:vAlign w:val="center"/>
            <w:hideMark/>
          </w:tcPr>
          <w:p w14:paraId="52369A3D" w14:textId="77777777" w:rsidR="008433A0" w:rsidRPr="00933A7F" w:rsidRDefault="008433A0" w:rsidP="00271C18">
            <w:pPr>
              <w:pStyle w:val="cuatexto"/>
              <w:spacing w:line="240" w:lineRule="auto"/>
              <w:jc w:val="right"/>
              <w:rPr>
                <w:b/>
                <w:bCs/>
                <w:i/>
                <w:iCs/>
                <w:szCs w:val="20"/>
                <w:lang w:val="es-ES" w:eastAsia="es-ES"/>
              </w:rPr>
            </w:pPr>
          </w:p>
        </w:tc>
        <w:tc>
          <w:tcPr>
            <w:tcW w:w="1524" w:type="dxa"/>
            <w:gridSpan w:val="2"/>
            <w:tcBorders>
              <w:top w:val="single" w:sz="2" w:space="0" w:color="auto"/>
              <w:left w:val="nil"/>
              <w:bottom w:val="single" w:sz="4" w:space="0" w:color="000000"/>
              <w:right w:val="nil"/>
            </w:tcBorders>
            <w:shd w:val="clear" w:color="auto" w:fill="auto"/>
            <w:vAlign w:val="center"/>
            <w:hideMark/>
          </w:tcPr>
          <w:p w14:paraId="13C808F4" w14:textId="77777777" w:rsidR="008433A0" w:rsidRPr="00933A7F" w:rsidRDefault="008433A0" w:rsidP="00271C18">
            <w:pPr>
              <w:pStyle w:val="cuatexto"/>
              <w:spacing w:line="240" w:lineRule="auto"/>
              <w:jc w:val="right"/>
              <w:rPr>
                <w:b/>
                <w:bCs/>
                <w:color w:val="000000"/>
                <w:szCs w:val="20"/>
                <w:lang w:val="es-ES" w:eastAsia="es-ES"/>
              </w:rPr>
            </w:pPr>
            <w:r w:rsidRPr="00933A7F">
              <w:rPr>
                <w:b/>
                <w:bCs/>
                <w:color w:val="000000"/>
                <w:szCs w:val="20"/>
                <w:lang w:val="es-ES" w:eastAsia="es-ES"/>
              </w:rPr>
              <w:t>0,00</w:t>
            </w:r>
          </w:p>
        </w:tc>
      </w:tr>
      <w:tr w:rsidR="008433A0" w:rsidRPr="00271C18" w14:paraId="40B74234" w14:textId="77777777" w:rsidTr="00A42B4F">
        <w:trPr>
          <w:trHeight w:val="284"/>
        </w:trPr>
        <w:tc>
          <w:tcPr>
            <w:tcW w:w="2330" w:type="dxa"/>
            <w:tcBorders>
              <w:top w:val="nil"/>
              <w:left w:val="nil"/>
              <w:bottom w:val="single" w:sz="4" w:space="0" w:color="000000"/>
              <w:right w:val="nil"/>
            </w:tcBorders>
            <w:shd w:val="clear" w:color="auto" w:fill="FABF8F" w:themeFill="accent6" w:themeFillTint="99"/>
            <w:vAlign w:val="center"/>
            <w:hideMark/>
          </w:tcPr>
          <w:p w14:paraId="7B97BA76" w14:textId="77777777" w:rsidR="008433A0" w:rsidRPr="00271C18" w:rsidRDefault="008433A0" w:rsidP="00271C18">
            <w:pPr>
              <w:pStyle w:val="cuadroCabe"/>
            </w:pPr>
            <w:r w:rsidRPr="00271C18">
              <w:t xml:space="preserve"> Total</w:t>
            </w:r>
          </w:p>
        </w:tc>
        <w:tc>
          <w:tcPr>
            <w:tcW w:w="1413" w:type="dxa"/>
            <w:tcBorders>
              <w:top w:val="nil"/>
              <w:left w:val="nil"/>
              <w:bottom w:val="single" w:sz="4" w:space="0" w:color="000000"/>
              <w:right w:val="nil"/>
            </w:tcBorders>
            <w:shd w:val="clear" w:color="auto" w:fill="FABF8F" w:themeFill="accent6" w:themeFillTint="99"/>
            <w:vAlign w:val="center"/>
            <w:hideMark/>
          </w:tcPr>
          <w:p w14:paraId="06D93F46" w14:textId="77777777" w:rsidR="008433A0" w:rsidRPr="00271C18" w:rsidRDefault="008433A0" w:rsidP="00271C18">
            <w:pPr>
              <w:pStyle w:val="cuadroCabe"/>
              <w:jc w:val="right"/>
            </w:pPr>
            <w:r w:rsidRPr="00271C18">
              <w:t>799,18</w:t>
            </w:r>
          </w:p>
        </w:tc>
        <w:tc>
          <w:tcPr>
            <w:tcW w:w="216" w:type="dxa"/>
            <w:tcBorders>
              <w:top w:val="nil"/>
              <w:left w:val="nil"/>
              <w:bottom w:val="single" w:sz="4" w:space="0" w:color="000000"/>
              <w:right w:val="nil"/>
            </w:tcBorders>
            <w:shd w:val="clear" w:color="auto" w:fill="FABF8F" w:themeFill="accent6" w:themeFillTint="99"/>
            <w:vAlign w:val="center"/>
            <w:hideMark/>
          </w:tcPr>
          <w:p w14:paraId="575D2463" w14:textId="5A8BBF59" w:rsidR="008433A0" w:rsidRPr="00271C18" w:rsidRDefault="008433A0" w:rsidP="00271C18">
            <w:pPr>
              <w:pStyle w:val="cuadroCabe"/>
              <w:jc w:val="right"/>
            </w:pPr>
          </w:p>
        </w:tc>
        <w:tc>
          <w:tcPr>
            <w:tcW w:w="1480" w:type="dxa"/>
            <w:tcBorders>
              <w:top w:val="nil"/>
              <w:left w:val="nil"/>
              <w:bottom w:val="single" w:sz="4" w:space="0" w:color="000000"/>
              <w:right w:val="nil"/>
            </w:tcBorders>
            <w:shd w:val="clear" w:color="auto" w:fill="FABF8F" w:themeFill="accent6" w:themeFillTint="99"/>
            <w:vAlign w:val="center"/>
            <w:hideMark/>
          </w:tcPr>
          <w:p w14:paraId="2B49E081" w14:textId="77777777" w:rsidR="008433A0" w:rsidRPr="00271C18" w:rsidRDefault="008433A0" w:rsidP="00271C18">
            <w:pPr>
              <w:pStyle w:val="cuadroCabe"/>
              <w:jc w:val="right"/>
            </w:pPr>
            <w:r w:rsidRPr="00271C18">
              <w:t>877,62</w:t>
            </w:r>
          </w:p>
        </w:tc>
        <w:tc>
          <w:tcPr>
            <w:tcW w:w="1579" w:type="dxa"/>
            <w:tcBorders>
              <w:top w:val="nil"/>
              <w:left w:val="nil"/>
              <w:bottom w:val="single" w:sz="4" w:space="0" w:color="000000"/>
              <w:right w:val="nil"/>
            </w:tcBorders>
            <w:shd w:val="clear" w:color="auto" w:fill="FABF8F" w:themeFill="accent6" w:themeFillTint="99"/>
            <w:vAlign w:val="center"/>
            <w:hideMark/>
          </w:tcPr>
          <w:p w14:paraId="4C3675FA" w14:textId="77777777" w:rsidR="008433A0" w:rsidRPr="00271C18" w:rsidRDefault="008433A0" w:rsidP="00271C18">
            <w:pPr>
              <w:pStyle w:val="cuadroCabe"/>
              <w:jc w:val="right"/>
            </w:pPr>
            <w:r w:rsidRPr="00271C18">
              <w:t>100</w:t>
            </w:r>
          </w:p>
        </w:tc>
        <w:tc>
          <w:tcPr>
            <w:tcW w:w="197" w:type="dxa"/>
            <w:tcBorders>
              <w:top w:val="single" w:sz="4" w:space="0" w:color="auto"/>
              <w:left w:val="nil"/>
              <w:bottom w:val="single" w:sz="4" w:space="0" w:color="auto"/>
              <w:right w:val="nil"/>
            </w:tcBorders>
            <w:shd w:val="clear" w:color="auto" w:fill="FABF8F" w:themeFill="accent6" w:themeFillTint="99"/>
            <w:noWrap/>
            <w:vAlign w:val="center"/>
            <w:hideMark/>
          </w:tcPr>
          <w:p w14:paraId="6058CBBD" w14:textId="3E389678" w:rsidR="008433A0" w:rsidRPr="00271C18" w:rsidRDefault="008433A0" w:rsidP="00271C18">
            <w:pPr>
              <w:pStyle w:val="cuadroCabe"/>
              <w:jc w:val="right"/>
            </w:pPr>
          </w:p>
        </w:tc>
        <w:tc>
          <w:tcPr>
            <w:tcW w:w="1524" w:type="dxa"/>
            <w:gridSpan w:val="2"/>
            <w:tcBorders>
              <w:top w:val="nil"/>
              <w:left w:val="nil"/>
              <w:bottom w:val="single" w:sz="4" w:space="0" w:color="000000"/>
              <w:right w:val="nil"/>
            </w:tcBorders>
            <w:shd w:val="clear" w:color="auto" w:fill="FABF8F" w:themeFill="accent6" w:themeFillTint="99"/>
            <w:vAlign w:val="center"/>
            <w:hideMark/>
          </w:tcPr>
          <w:p w14:paraId="498CFC48" w14:textId="77777777" w:rsidR="008433A0" w:rsidRPr="00271C18" w:rsidRDefault="008433A0" w:rsidP="00271C18">
            <w:pPr>
              <w:pStyle w:val="cuadroCabe"/>
              <w:jc w:val="right"/>
            </w:pPr>
            <w:r w:rsidRPr="00271C18">
              <w:t>78,44</w:t>
            </w:r>
          </w:p>
        </w:tc>
      </w:tr>
    </w:tbl>
    <w:p w14:paraId="5B300285" w14:textId="108AF96A" w:rsidR="00051F60" w:rsidRDefault="00751965" w:rsidP="00345C6C">
      <w:pPr>
        <w:pStyle w:val="texto"/>
        <w:rPr>
          <w:color w:val="000000" w:themeColor="text1"/>
        </w:rPr>
      </w:pPr>
      <w:r>
        <w:rPr>
          <w:color w:val="000000" w:themeColor="text1"/>
        </w:rPr>
        <w:lastRenderedPageBreak/>
        <w:t>El efecto de la consolidación asciende 7</w:t>
      </w:r>
      <w:r w:rsidR="00051F60" w:rsidRPr="00751965">
        <w:rPr>
          <w:color w:val="000000" w:themeColor="text1"/>
        </w:rPr>
        <w:t>8,44 millones, de los que el 42 y el 41 por ciento corresponden, respectivamente, a gasto en bienes corrientes y servicios y a personal, mientras que las inversiones</w:t>
      </w:r>
      <w:r w:rsidR="00051F60">
        <w:rPr>
          <w:color w:val="000000" w:themeColor="text1"/>
        </w:rPr>
        <w:t xml:space="preserve"> reales representan el 1</w:t>
      </w:r>
      <w:r w:rsidR="008E43F9">
        <w:rPr>
          <w:color w:val="000000" w:themeColor="text1"/>
        </w:rPr>
        <w:t>8</w:t>
      </w:r>
      <w:r w:rsidR="00051F60">
        <w:rPr>
          <w:color w:val="000000" w:themeColor="text1"/>
        </w:rPr>
        <w:t xml:space="preserve"> por ciento. </w:t>
      </w:r>
    </w:p>
    <w:p w14:paraId="5BDD84DA" w14:textId="0D6EF2D4" w:rsidR="00051F60" w:rsidRDefault="00051F60" w:rsidP="004B1F4E">
      <w:pPr>
        <w:pStyle w:val="texto"/>
        <w:spacing w:after="0"/>
        <w:rPr>
          <w:color w:val="000000" w:themeColor="text1"/>
        </w:rPr>
      </w:pPr>
      <w:r>
        <w:rPr>
          <w:color w:val="000000" w:themeColor="text1"/>
        </w:rPr>
        <w:t xml:space="preserve">En la tabla siguiente se muestra la clasificación funcional del gasto. Dada la información disponible, la comparativa interanual se efectúa sin incluir las sociedades dependientes de las mancomunidades y, adicionalmente, se ofrecen los datos de 2020 incluyendo la consolidación de las tres sociedades citadas anteriormente. </w:t>
      </w:r>
    </w:p>
    <w:p w14:paraId="03AEC81C" w14:textId="084C1EA8" w:rsidR="00C349E7" w:rsidRPr="0003647B" w:rsidRDefault="008E6423" w:rsidP="00C349E7">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C349E7">
        <w:rPr>
          <w:rFonts w:ascii="Arial Narrow" w:hAnsi="Arial Narrow"/>
          <w:color w:val="000000" w:themeColor="text1"/>
          <w:sz w:val="18"/>
          <w:szCs w:val="18"/>
        </w:rPr>
        <w:t>Millones</w:t>
      </w:r>
      <w:r>
        <w:rPr>
          <w:rFonts w:ascii="Arial Narrow" w:hAnsi="Arial Narrow"/>
          <w:color w:val="000000" w:themeColor="text1"/>
          <w:sz w:val="18"/>
          <w:szCs w:val="18"/>
        </w:rPr>
        <w:t>)</w:t>
      </w:r>
    </w:p>
    <w:tbl>
      <w:tblPr>
        <w:tblW w:w="8932"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2124"/>
        <w:gridCol w:w="1133"/>
        <w:gridCol w:w="854"/>
        <w:gridCol w:w="981"/>
        <w:gridCol w:w="861"/>
        <w:gridCol w:w="1003"/>
        <w:gridCol w:w="982"/>
        <w:gridCol w:w="994"/>
      </w:tblGrid>
      <w:tr w:rsidR="008E6423" w:rsidRPr="00933A7F" w14:paraId="4727F2A3" w14:textId="77777777" w:rsidTr="008E6423">
        <w:trPr>
          <w:trHeight w:val="227"/>
          <w:jc w:val="center"/>
        </w:trPr>
        <w:tc>
          <w:tcPr>
            <w:tcW w:w="2124" w:type="dxa"/>
            <w:vMerge w:val="restart"/>
            <w:shd w:val="clear" w:color="auto" w:fill="FABF8F" w:themeFill="accent6" w:themeFillTint="99"/>
            <w:vAlign w:val="center"/>
          </w:tcPr>
          <w:p w14:paraId="5C3E858C" w14:textId="5CAFEA41" w:rsidR="008E6423" w:rsidRPr="008E6423" w:rsidRDefault="008E6423" w:rsidP="008E6423">
            <w:pPr>
              <w:pStyle w:val="cuadroCabe"/>
              <w:spacing w:line="240" w:lineRule="auto"/>
            </w:pPr>
            <w:r w:rsidRPr="008E6423">
              <w:t>Función</w:t>
            </w:r>
          </w:p>
        </w:tc>
        <w:tc>
          <w:tcPr>
            <w:tcW w:w="4832" w:type="dxa"/>
            <w:gridSpan w:val="5"/>
            <w:tcBorders>
              <w:right w:val="single" w:sz="2" w:space="0" w:color="auto"/>
            </w:tcBorders>
            <w:shd w:val="clear" w:color="auto" w:fill="FABF8F" w:themeFill="accent6" w:themeFillTint="99"/>
            <w:vAlign w:val="center"/>
          </w:tcPr>
          <w:p w14:paraId="65962A58" w14:textId="77777777" w:rsidR="008E6423" w:rsidRPr="008E6423" w:rsidRDefault="008E6423" w:rsidP="008E6423">
            <w:pPr>
              <w:pStyle w:val="cuadroCabe"/>
              <w:spacing w:line="240" w:lineRule="auto"/>
              <w:jc w:val="center"/>
              <w:rPr>
                <w:sz w:val="16"/>
                <w:szCs w:val="16"/>
              </w:rPr>
            </w:pPr>
            <w:r w:rsidRPr="008E6423">
              <w:rPr>
                <w:sz w:val="16"/>
                <w:szCs w:val="16"/>
              </w:rPr>
              <w:t>Sin consolidar sociedades</w:t>
            </w:r>
          </w:p>
        </w:tc>
        <w:tc>
          <w:tcPr>
            <w:tcW w:w="1976" w:type="dxa"/>
            <w:gridSpan w:val="2"/>
            <w:tcBorders>
              <w:left w:val="single" w:sz="2" w:space="0" w:color="auto"/>
            </w:tcBorders>
            <w:shd w:val="clear" w:color="auto" w:fill="FABF8F" w:themeFill="accent6" w:themeFillTint="99"/>
            <w:vAlign w:val="center"/>
          </w:tcPr>
          <w:p w14:paraId="63B4D016" w14:textId="496E7E8E" w:rsidR="008E6423" w:rsidRDefault="008E6423" w:rsidP="008E6423">
            <w:pPr>
              <w:pStyle w:val="cuadroCabe"/>
              <w:spacing w:line="240" w:lineRule="auto"/>
              <w:jc w:val="center"/>
              <w:rPr>
                <w:sz w:val="16"/>
                <w:szCs w:val="16"/>
              </w:rPr>
            </w:pPr>
            <w:r w:rsidRPr="008E6423">
              <w:rPr>
                <w:sz w:val="16"/>
                <w:szCs w:val="16"/>
              </w:rPr>
              <w:t>Consolidado</w:t>
            </w:r>
            <w:r w:rsidR="00CF0526">
              <w:rPr>
                <w:sz w:val="16"/>
                <w:szCs w:val="16"/>
              </w:rPr>
              <w:t xml:space="preserve"> con</w:t>
            </w:r>
          </w:p>
          <w:p w14:paraId="4CE34DAE" w14:textId="05E9F52C" w:rsidR="008E6423" w:rsidRPr="008E6423" w:rsidRDefault="008E6423" w:rsidP="008E6423">
            <w:pPr>
              <w:pStyle w:val="cuadroCabe"/>
              <w:spacing w:line="240" w:lineRule="auto"/>
              <w:jc w:val="center"/>
              <w:rPr>
                <w:sz w:val="16"/>
                <w:szCs w:val="16"/>
                <w:highlight w:val="yellow"/>
              </w:rPr>
            </w:pPr>
            <w:r w:rsidRPr="008E6423">
              <w:rPr>
                <w:sz w:val="16"/>
                <w:szCs w:val="16"/>
              </w:rPr>
              <w:t>3</w:t>
            </w:r>
            <w:r w:rsidR="00CF0526">
              <w:rPr>
                <w:sz w:val="16"/>
                <w:szCs w:val="16"/>
              </w:rPr>
              <w:t xml:space="preserve"> </w:t>
            </w:r>
            <w:r w:rsidRPr="008E6423">
              <w:rPr>
                <w:sz w:val="16"/>
                <w:szCs w:val="16"/>
              </w:rPr>
              <w:t>sociedades</w:t>
            </w:r>
          </w:p>
        </w:tc>
      </w:tr>
      <w:tr w:rsidR="008E6423" w:rsidRPr="00933A7F" w14:paraId="76BE90E4" w14:textId="77777777" w:rsidTr="008E6423">
        <w:trPr>
          <w:trHeight w:val="227"/>
          <w:jc w:val="center"/>
        </w:trPr>
        <w:tc>
          <w:tcPr>
            <w:tcW w:w="2124" w:type="dxa"/>
            <w:vMerge/>
            <w:shd w:val="clear" w:color="auto" w:fill="FABF8F" w:themeFill="accent6" w:themeFillTint="99"/>
            <w:vAlign w:val="center"/>
            <w:hideMark/>
          </w:tcPr>
          <w:p w14:paraId="62943CAA" w14:textId="614CDC65" w:rsidR="008E6423" w:rsidRPr="00933A7F" w:rsidRDefault="008E6423" w:rsidP="008E6423">
            <w:pPr>
              <w:pStyle w:val="cuadroCabe"/>
              <w:spacing w:line="240" w:lineRule="auto"/>
              <w:rPr>
                <w:rFonts w:ascii="Arial Narrow" w:hAnsi="Arial Narrow"/>
                <w:sz w:val="20"/>
                <w:szCs w:val="20"/>
              </w:rPr>
            </w:pPr>
          </w:p>
        </w:tc>
        <w:tc>
          <w:tcPr>
            <w:tcW w:w="1133" w:type="dxa"/>
            <w:shd w:val="clear" w:color="auto" w:fill="FABF8F" w:themeFill="accent6" w:themeFillTint="99"/>
            <w:vAlign w:val="center"/>
            <w:hideMark/>
          </w:tcPr>
          <w:p w14:paraId="6BE843B6" w14:textId="77777777" w:rsidR="008E6423" w:rsidRPr="00933A7F" w:rsidRDefault="008E6423" w:rsidP="008E6423">
            <w:pPr>
              <w:pStyle w:val="cuadroCabe"/>
              <w:spacing w:line="240" w:lineRule="auto"/>
              <w:jc w:val="right"/>
              <w:rPr>
                <w:rFonts w:ascii="Arial Narrow" w:hAnsi="Arial Narrow"/>
                <w:sz w:val="20"/>
                <w:szCs w:val="20"/>
              </w:rPr>
            </w:pPr>
            <w:r w:rsidRPr="00933A7F">
              <w:rPr>
                <w:rFonts w:ascii="Arial Narrow" w:hAnsi="Arial Narrow"/>
                <w:sz w:val="20"/>
                <w:szCs w:val="20"/>
              </w:rPr>
              <w:t>Importe 2019</w:t>
            </w:r>
          </w:p>
        </w:tc>
        <w:tc>
          <w:tcPr>
            <w:tcW w:w="854" w:type="dxa"/>
            <w:shd w:val="clear" w:color="auto" w:fill="FABF8F" w:themeFill="accent6" w:themeFillTint="99"/>
            <w:vAlign w:val="center"/>
            <w:hideMark/>
          </w:tcPr>
          <w:p w14:paraId="487A83EB" w14:textId="77777777" w:rsidR="008E6423" w:rsidRPr="008E6423" w:rsidRDefault="008E6423" w:rsidP="008E6423">
            <w:pPr>
              <w:pStyle w:val="cuadroCabe"/>
              <w:spacing w:line="240" w:lineRule="auto"/>
              <w:jc w:val="right"/>
              <w:rPr>
                <w:sz w:val="16"/>
                <w:szCs w:val="16"/>
              </w:rPr>
            </w:pPr>
            <w:r w:rsidRPr="008E6423">
              <w:rPr>
                <w:sz w:val="16"/>
                <w:szCs w:val="16"/>
              </w:rPr>
              <w:t>Importe 2020</w:t>
            </w:r>
          </w:p>
        </w:tc>
        <w:tc>
          <w:tcPr>
            <w:tcW w:w="981" w:type="dxa"/>
            <w:shd w:val="clear" w:color="auto" w:fill="FABF8F" w:themeFill="accent6" w:themeFillTint="99"/>
            <w:vAlign w:val="center"/>
            <w:hideMark/>
          </w:tcPr>
          <w:p w14:paraId="1F23B04E" w14:textId="77777777" w:rsidR="008E6423" w:rsidRPr="008E6423" w:rsidRDefault="008E6423" w:rsidP="008E6423">
            <w:pPr>
              <w:pStyle w:val="cuadroCabe"/>
              <w:spacing w:line="240" w:lineRule="auto"/>
              <w:jc w:val="right"/>
              <w:rPr>
                <w:sz w:val="16"/>
                <w:szCs w:val="16"/>
              </w:rPr>
            </w:pPr>
            <w:r w:rsidRPr="008E6423">
              <w:rPr>
                <w:sz w:val="16"/>
                <w:szCs w:val="16"/>
              </w:rPr>
              <w:t>% s/Gasto total 2020</w:t>
            </w:r>
          </w:p>
        </w:tc>
        <w:tc>
          <w:tcPr>
            <w:tcW w:w="861" w:type="dxa"/>
            <w:shd w:val="clear" w:color="auto" w:fill="FABF8F" w:themeFill="accent6" w:themeFillTint="99"/>
            <w:vAlign w:val="center"/>
            <w:hideMark/>
          </w:tcPr>
          <w:p w14:paraId="372F6353" w14:textId="77777777" w:rsidR="008E6423" w:rsidRPr="008E6423" w:rsidRDefault="008E6423" w:rsidP="008E6423">
            <w:pPr>
              <w:pStyle w:val="cuadroCabe"/>
              <w:spacing w:line="240" w:lineRule="auto"/>
              <w:jc w:val="right"/>
              <w:rPr>
                <w:sz w:val="16"/>
                <w:szCs w:val="16"/>
              </w:rPr>
            </w:pPr>
            <w:r w:rsidRPr="008E6423">
              <w:rPr>
                <w:sz w:val="16"/>
                <w:szCs w:val="16"/>
              </w:rPr>
              <w:t xml:space="preserve">% </w:t>
            </w:r>
            <w:proofErr w:type="spellStart"/>
            <w:r w:rsidRPr="008E6423">
              <w:rPr>
                <w:sz w:val="16"/>
                <w:szCs w:val="16"/>
              </w:rPr>
              <w:t>var</w:t>
            </w:r>
            <w:proofErr w:type="spellEnd"/>
            <w:r w:rsidRPr="008E6423">
              <w:rPr>
                <w:sz w:val="16"/>
                <w:szCs w:val="16"/>
              </w:rPr>
              <w:t>. 2020/19</w:t>
            </w:r>
          </w:p>
        </w:tc>
        <w:tc>
          <w:tcPr>
            <w:tcW w:w="1003" w:type="dxa"/>
            <w:tcBorders>
              <w:right w:val="single" w:sz="2" w:space="0" w:color="auto"/>
            </w:tcBorders>
            <w:shd w:val="clear" w:color="auto" w:fill="FABF8F" w:themeFill="accent6" w:themeFillTint="99"/>
            <w:vAlign w:val="center"/>
          </w:tcPr>
          <w:p w14:paraId="647F06EE" w14:textId="77777777" w:rsidR="008E6423" w:rsidRPr="008E6423" w:rsidRDefault="008E6423" w:rsidP="008E6423">
            <w:pPr>
              <w:pStyle w:val="cuadroCabe"/>
              <w:spacing w:line="240" w:lineRule="auto"/>
              <w:jc w:val="right"/>
              <w:rPr>
                <w:sz w:val="16"/>
                <w:szCs w:val="16"/>
              </w:rPr>
            </w:pPr>
            <w:r w:rsidRPr="008E6423">
              <w:rPr>
                <w:sz w:val="16"/>
                <w:szCs w:val="16"/>
              </w:rPr>
              <w:t>Variación</w:t>
            </w:r>
          </w:p>
          <w:p w14:paraId="30022977" w14:textId="02A372D1" w:rsidR="008E6423" w:rsidRPr="008E6423" w:rsidRDefault="008E6423" w:rsidP="008E6423">
            <w:pPr>
              <w:pStyle w:val="cuadroCabe"/>
              <w:spacing w:line="240" w:lineRule="auto"/>
              <w:jc w:val="right"/>
              <w:rPr>
                <w:sz w:val="16"/>
                <w:szCs w:val="16"/>
              </w:rPr>
            </w:pPr>
            <w:r w:rsidRPr="008E6423">
              <w:rPr>
                <w:sz w:val="16"/>
                <w:szCs w:val="16"/>
              </w:rPr>
              <w:t>absoluta</w:t>
            </w:r>
          </w:p>
        </w:tc>
        <w:tc>
          <w:tcPr>
            <w:tcW w:w="982" w:type="dxa"/>
            <w:tcBorders>
              <w:left w:val="single" w:sz="2" w:space="0" w:color="auto"/>
            </w:tcBorders>
            <w:shd w:val="clear" w:color="auto" w:fill="FABF8F" w:themeFill="accent6" w:themeFillTint="99"/>
            <w:vAlign w:val="center"/>
          </w:tcPr>
          <w:p w14:paraId="5DFD8A8D" w14:textId="77777777" w:rsidR="008E6423" w:rsidRPr="008E6423" w:rsidRDefault="008E6423" w:rsidP="008E6423">
            <w:pPr>
              <w:pStyle w:val="cuadroCabe"/>
              <w:spacing w:line="240" w:lineRule="auto"/>
              <w:jc w:val="right"/>
              <w:rPr>
                <w:sz w:val="16"/>
                <w:szCs w:val="16"/>
              </w:rPr>
            </w:pPr>
            <w:r w:rsidRPr="008E6423">
              <w:rPr>
                <w:sz w:val="16"/>
                <w:szCs w:val="16"/>
              </w:rPr>
              <w:t>Importe 2020</w:t>
            </w:r>
          </w:p>
        </w:tc>
        <w:tc>
          <w:tcPr>
            <w:tcW w:w="993" w:type="dxa"/>
            <w:shd w:val="clear" w:color="auto" w:fill="FABF8F" w:themeFill="accent6" w:themeFillTint="99"/>
            <w:vAlign w:val="center"/>
          </w:tcPr>
          <w:p w14:paraId="62B938A2" w14:textId="77777777" w:rsidR="008E6423" w:rsidRPr="008E6423" w:rsidRDefault="008E6423" w:rsidP="008E6423">
            <w:pPr>
              <w:pStyle w:val="cuadroCabe"/>
              <w:spacing w:line="240" w:lineRule="auto"/>
              <w:jc w:val="right"/>
              <w:rPr>
                <w:sz w:val="16"/>
                <w:szCs w:val="16"/>
              </w:rPr>
            </w:pPr>
            <w:r w:rsidRPr="008E6423">
              <w:rPr>
                <w:sz w:val="16"/>
                <w:szCs w:val="16"/>
              </w:rPr>
              <w:t>% s/Gasto total 2020</w:t>
            </w:r>
          </w:p>
        </w:tc>
      </w:tr>
      <w:tr w:rsidR="00051F60" w:rsidRPr="00933A7F" w14:paraId="6AF87DE0" w14:textId="77777777" w:rsidTr="008E6423">
        <w:trPr>
          <w:trHeight w:val="227"/>
          <w:jc w:val="center"/>
        </w:trPr>
        <w:tc>
          <w:tcPr>
            <w:tcW w:w="2124" w:type="dxa"/>
            <w:tcBorders>
              <w:bottom w:val="single" w:sz="2" w:space="0" w:color="auto"/>
            </w:tcBorders>
            <w:shd w:val="clear" w:color="auto" w:fill="auto"/>
            <w:vAlign w:val="center"/>
            <w:hideMark/>
          </w:tcPr>
          <w:p w14:paraId="07C96634" w14:textId="77777777" w:rsidR="00051F60" w:rsidRPr="00933A7F" w:rsidRDefault="00051F60" w:rsidP="008E6423">
            <w:pPr>
              <w:pStyle w:val="cuatexto"/>
              <w:spacing w:line="240" w:lineRule="auto"/>
              <w:rPr>
                <w:szCs w:val="20"/>
              </w:rPr>
            </w:pPr>
            <w:r w:rsidRPr="00933A7F">
              <w:rPr>
                <w:szCs w:val="20"/>
              </w:rPr>
              <w:t>Bienestar comunitario</w:t>
            </w:r>
          </w:p>
        </w:tc>
        <w:tc>
          <w:tcPr>
            <w:tcW w:w="1133" w:type="dxa"/>
            <w:tcBorders>
              <w:bottom w:val="single" w:sz="2" w:space="0" w:color="auto"/>
            </w:tcBorders>
            <w:shd w:val="clear" w:color="auto" w:fill="auto"/>
            <w:vAlign w:val="center"/>
          </w:tcPr>
          <w:p w14:paraId="5462979B" w14:textId="77777777" w:rsidR="00051F60" w:rsidRPr="00933A7F" w:rsidRDefault="00051F60" w:rsidP="008E6423">
            <w:pPr>
              <w:pStyle w:val="cuatexto"/>
              <w:spacing w:line="240" w:lineRule="auto"/>
              <w:jc w:val="right"/>
              <w:rPr>
                <w:szCs w:val="20"/>
              </w:rPr>
            </w:pPr>
            <w:r w:rsidRPr="00933A7F">
              <w:rPr>
                <w:szCs w:val="20"/>
              </w:rPr>
              <w:t>139,18</w:t>
            </w:r>
          </w:p>
        </w:tc>
        <w:tc>
          <w:tcPr>
            <w:tcW w:w="854" w:type="dxa"/>
            <w:tcBorders>
              <w:bottom w:val="single" w:sz="2" w:space="0" w:color="auto"/>
            </w:tcBorders>
            <w:shd w:val="clear" w:color="auto" w:fill="auto"/>
            <w:vAlign w:val="center"/>
          </w:tcPr>
          <w:p w14:paraId="655EF06B" w14:textId="77777777" w:rsidR="00051F60" w:rsidRPr="00933A7F" w:rsidRDefault="00051F60" w:rsidP="008E6423">
            <w:pPr>
              <w:pStyle w:val="cuatexto"/>
              <w:spacing w:line="240" w:lineRule="auto"/>
              <w:jc w:val="right"/>
              <w:rPr>
                <w:szCs w:val="20"/>
              </w:rPr>
            </w:pPr>
            <w:r w:rsidRPr="00933A7F">
              <w:rPr>
                <w:szCs w:val="20"/>
              </w:rPr>
              <w:t>105,37</w:t>
            </w:r>
          </w:p>
        </w:tc>
        <w:tc>
          <w:tcPr>
            <w:tcW w:w="981" w:type="dxa"/>
            <w:tcBorders>
              <w:bottom w:val="single" w:sz="2" w:space="0" w:color="auto"/>
            </w:tcBorders>
            <w:shd w:val="clear" w:color="auto" w:fill="auto"/>
            <w:vAlign w:val="center"/>
          </w:tcPr>
          <w:p w14:paraId="063A3448" w14:textId="77777777" w:rsidR="00051F60" w:rsidRPr="00933A7F" w:rsidRDefault="00051F60" w:rsidP="008E6423">
            <w:pPr>
              <w:pStyle w:val="cuatexto"/>
              <w:spacing w:line="240" w:lineRule="auto"/>
              <w:jc w:val="right"/>
              <w:rPr>
                <w:szCs w:val="20"/>
              </w:rPr>
            </w:pPr>
            <w:r w:rsidRPr="00933A7F">
              <w:rPr>
                <w:szCs w:val="20"/>
              </w:rPr>
              <w:t>13</w:t>
            </w:r>
          </w:p>
        </w:tc>
        <w:tc>
          <w:tcPr>
            <w:tcW w:w="861" w:type="dxa"/>
            <w:tcBorders>
              <w:bottom w:val="single" w:sz="2" w:space="0" w:color="auto"/>
            </w:tcBorders>
            <w:shd w:val="clear" w:color="auto" w:fill="auto"/>
            <w:vAlign w:val="center"/>
          </w:tcPr>
          <w:p w14:paraId="01F467DB" w14:textId="77777777" w:rsidR="00051F60" w:rsidRPr="00933A7F" w:rsidRDefault="00051F60" w:rsidP="008E6423">
            <w:pPr>
              <w:pStyle w:val="cuatexto"/>
              <w:spacing w:line="240" w:lineRule="auto"/>
              <w:jc w:val="right"/>
              <w:rPr>
                <w:szCs w:val="20"/>
              </w:rPr>
            </w:pPr>
            <w:r w:rsidRPr="00933A7F">
              <w:rPr>
                <w:szCs w:val="20"/>
              </w:rPr>
              <w:t>-24</w:t>
            </w:r>
          </w:p>
        </w:tc>
        <w:tc>
          <w:tcPr>
            <w:tcW w:w="1003" w:type="dxa"/>
            <w:tcBorders>
              <w:bottom w:val="single" w:sz="2" w:space="0" w:color="auto"/>
              <w:right w:val="single" w:sz="2" w:space="0" w:color="auto"/>
            </w:tcBorders>
            <w:vAlign w:val="center"/>
          </w:tcPr>
          <w:p w14:paraId="1840EACB" w14:textId="77777777" w:rsidR="00051F60" w:rsidRPr="00933A7F" w:rsidRDefault="00051F60" w:rsidP="008E6423">
            <w:pPr>
              <w:pStyle w:val="cuatexto"/>
              <w:spacing w:line="240" w:lineRule="auto"/>
              <w:jc w:val="right"/>
              <w:rPr>
                <w:szCs w:val="20"/>
              </w:rPr>
            </w:pPr>
            <w:r w:rsidRPr="00933A7F">
              <w:rPr>
                <w:szCs w:val="20"/>
              </w:rPr>
              <w:t>-34</w:t>
            </w:r>
          </w:p>
        </w:tc>
        <w:tc>
          <w:tcPr>
            <w:tcW w:w="982" w:type="dxa"/>
            <w:tcBorders>
              <w:left w:val="single" w:sz="2" w:space="0" w:color="auto"/>
              <w:bottom w:val="single" w:sz="2" w:space="0" w:color="auto"/>
            </w:tcBorders>
            <w:vAlign w:val="center"/>
          </w:tcPr>
          <w:p w14:paraId="0D7C2400" w14:textId="77777777" w:rsidR="00051F60" w:rsidRPr="00933A7F" w:rsidRDefault="00051F60" w:rsidP="008E6423">
            <w:pPr>
              <w:pStyle w:val="cuatexto"/>
              <w:spacing w:line="240" w:lineRule="auto"/>
              <w:jc w:val="right"/>
              <w:rPr>
                <w:rFonts w:cs="Calibri"/>
                <w:szCs w:val="20"/>
              </w:rPr>
            </w:pPr>
            <w:r w:rsidRPr="00933A7F">
              <w:rPr>
                <w:rFonts w:cs="Calibri"/>
                <w:szCs w:val="20"/>
              </w:rPr>
              <w:t>168,11</w:t>
            </w:r>
          </w:p>
        </w:tc>
        <w:tc>
          <w:tcPr>
            <w:tcW w:w="993" w:type="dxa"/>
            <w:tcBorders>
              <w:bottom w:val="single" w:sz="2" w:space="0" w:color="auto"/>
            </w:tcBorders>
            <w:vAlign w:val="center"/>
          </w:tcPr>
          <w:p w14:paraId="6E7DCB98" w14:textId="77777777" w:rsidR="00051F60" w:rsidRPr="00933A7F" w:rsidRDefault="00051F60" w:rsidP="008E6423">
            <w:pPr>
              <w:pStyle w:val="cuatexto"/>
              <w:spacing w:line="240" w:lineRule="auto"/>
              <w:jc w:val="right"/>
              <w:rPr>
                <w:rFonts w:cs="Calibri"/>
                <w:szCs w:val="20"/>
              </w:rPr>
            </w:pPr>
            <w:r w:rsidRPr="00933A7F">
              <w:rPr>
                <w:rFonts w:cs="Calibri"/>
                <w:szCs w:val="20"/>
              </w:rPr>
              <w:t>19</w:t>
            </w:r>
          </w:p>
        </w:tc>
      </w:tr>
      <w:tr w:rsidR="00051F60" w:rsidRPr="00933A7F" w14:paraId="76C0E5B1" w14:textId="77777777" w:rsidTr="008E6423">
        <w:trPr>
          <w:trHeight w:val="227"/>
          <w:jc w:val="center"/>
        </w:trPr>
        <w:tc>
          <w:tcPr>
            <w:tcW w:w="2124" w:type="dxa"/>
            <w:shd w:val="clear" w:color="auto" w:fill="auto"/>
            <w:vAlign w:val="center"/>
            <w:hideMark/>
          </w:tcPr>
          <w:p w14:paraId="5A01FDB9" w14:textId="2CFEEE32" w:rsidR="00051F60" w:rsidRPr="00933A7F" w:rsidRDefault="00051F60" w:rsidP="008E6423">
            <w:pPr>
              <w:pStyle w:val="cuatexto"/>
              <w:spacing w:line="240" w:lineRule="auto"/>
              <w:rPr>
                <w:szCs w:val="20"/>
              </w:rPr>
            </w:pPr>
            <w:r w:rsidRPr="00933A7F">
              <w:rPr>
                <w:szCs w:val="20"/>
              </w:rPr>
              <w:t>Servicios carácter gene</w:t>
            </w:r>
            <w:r w:rsidR="00681E7B" w:rsidRPr="00933A7F">
              <w:rPr>
                <w:szCs w:val="20"/>
              </w:rPr>
              <w:t>.</w:t>
            </w:r>
          </w:p>
        </w:tc>
        <w:tc>
          <w:tcPr>
            <w:tcW w:w="1133" w:type="dxa"/>
            <w:shd w:val="clear" w:color="auto" w:fill="auto"/>
            <w:vAlign w:val="center"/>
          </w:tcPr>
          <w:p w14:paraId="196F8C15" w14:textId="77777777" w:rsidR="00051F60" w:rsidRPr="00933A7F" w:rsidRDefault="00051F60" w:rsidP="008E6423">
            <w:pPr>
              <w:pStyle w:val="cuatexto"/>
              <w:spacing w:line="240" w:lineRule="auto"/>
              <w:jc w:val="right"/>
              <w:rPr>
                <w:szCs w:val="20"/>
              </w:rPr>
            </w:pPr>
            <w:r w:rsidRPr="00933A7F">
              <w:rPr>
                <w:szCs w:val="20"/>
              </w:rPr>
              <w:t>96,25</w:t>
            </w:r>
          </w:p>
        </w:tc>
        <w:tc>
          <w:tcPr>
            <w:tcW w:w="854" w:type="dxa"/>
            <w:shd w:val="clear" w:color="auto" w:fill="auto"/>
            <w:vAlign w:val="center"/>
          </w:tcPr>
          <w:p w14:paraId="675DCE5A" w14:textId="77777777" w:rsidR="00051F60" w:rsidRPr="00933A7F" w:rsidRDefault="00051F60" w:rsidP="008E6423">
            <w:pPr>
              <w:pStyle w:val="cuatexto"/>
              <w:spacing w:line="240" w:lineRule="auto"/>
              <w:jc w:val="right"/>
              <w:rPr>
                <w:szCs w:val="20"/>
              </w:rPr>
            </w:pPr>
            <w:r w:rsidRPr="00933A7F">
              <w:rPr>
                <w:szCs w:val="20"/>
              </w:rPr>
              <w:t>96,26</w:t>
            </w:r>
          </w:p>
        </w:tc>
        <w:tc>
          <w:tcPr>
            <w:tcW w:w="981" w:type="dxa"/>
            <w:shd w:val="clear" w:color="auto" w:fill="auto"/>
            <w:vAlign w:val="center"/>
          </w:tcPr>
          <w:p w14:paraId="14C252E7" w14:textId="77777777" w:rsidR="00051F60" w:rsidRPr="00933A7F" w:rsidRDefault="00051F60" w:rsidP="008E6423">
            <w:pPr>
              <w:pStyle w:val="cuatexto"/>
              <w:spacing w:line="240" w:lineRule="auto"/>
              <w:jc w:val="right"/>
              <w:rPr>
                <w:szCs w:val="20"/>
              </w:rPr>
            </w:pPr>
            <w:r w:rsidRPr="00933A7F">
              <w:rPr>
                <w:szCs w:val="20"/>
              </w:rPr>
              <w:t>12</w:t>
            </w:r>
          </w:p>
        </w:tc>
        <w:tc>
          <w:tcPr>
            <w:tcW w:w="861" w:type="dxa"/>
            <w:shd w:val="clear" w:color="auto" w:fill="auto"/>
            <w:vAlign w:val="center"/>
          </w:tcPr>
          <w:p w14:paraId="7DF31339" w14:textId="77777777" w:rsidR="00051F60" w:rsidRPr="00933A7F" w:rsidRDefault="00051F60" w:rsidP="008E6423">
            <w:pPr>
              <w:pStyle w:val="cuatexto"/>
              <w:spacing w:line="240" w:lineRule="auto"/>
              <w:jc w:val="right"/>
              <w:rPr>
                <w:szCs w:val="20"/>
              </w:rPr>
            </w:pPr>
            <w:r w:rsidRPr="00933A7F">
              <w:rPr>
                <w:szCs w:val="20"/>
              </w:rPr>
              <w:t>0</w:t>
            </w:r>
          </w:p>
        </w:tc>
        <w:tc>
          <w:tcPr>
            <w:tcW w:w="1003" w:type="dxa"/>
            <w:tcBorders>
              <w:right w:val="single" w:sz="2" w:space="0" w:color="auto"/>
            </w:tcBorders>
            <w:vAlign w:val="center"/>
          </w:tcPr>
          <w:p w14:paraId="71357175" w14:textId="77777777" w:rsidR="00051F60" w:rsidRPr="00933A7F" w:rsidRDefault="00051F60" w:rsidP="008E6423">
            <w:pPr>
              <w:pStyle w:val="cuatexto"/>
              <w:spacing w:line="240" w:lineRule="auto"/>
              <w:jc w:val="right"/>
              <w:rPr>
                <w:szCs w:val="20"/>
              </w:rPr>
            </w:pPr>
            <w:r w:rsidRPr="00933A7F">
              <w:rPr>
                <w:szCs w:val="20"/>
              </w:rPr>
              <w:t>0</w:t>
            </w:r>
          </w:p>
        </w:tc>
        <w:tc>
          <w:tcPr>
            <w:tcW w:w="982" w:type="dxa"/>
            <w:tcBorders>
              <w:left w:val="single" w:sz="2" w:space="0" w:color="auto"/>
            </w:tcBorders>
            <w:vAlign w:val="center"/>
          </w:tcPr>
          <w:p w14:paraId="2A4E8A2B" w14:textId="77777777" w:rsidR="00051F60" w:rsidRPr="00933A7F" w:rsidRDefault="00051F60" w:rsidP="008E6423">
            <w:pPr>
              <w:pStyle w:val="cuatexto"/>
              <w:spacing w:line="240" w:lineRule="auto"/>
              <w:jc w:val="right"/>
              <w:rPr>
                <w:rFonts w:cs="Calibri"/>
                <w:szCs w:val="20"/>
              </w:rPr>
            </w:pPr>
            <w:r w:rsidRPr="00933A7F">
              <w:rPr>
                <w:rFonts w:cs="Calibri"/>
                <w:szCs w:val="20"/>
              </w:rPr>
              <w:t>107,09</w:t>
            </w:r>
          </w:p>
        </w:tc>
        <w:tc>
          <w:tcPr>
            <w:tcW w:w="993" w:type="dxa"/>
            <w:vAlign w:val="center"/>
          </w:tcPr>
          <w:p w14:paraId="2217666B" w14:textId="77777777" w:rsidR="00051F60" w:rsidRPr="00933A7F" w:rsidRDefault="00051F60" w:rsidP="008E6423">
            <w:pPr>
              <w:pStyle w:val="cuatexto"/>
              <w:spacing w:line="240" w:lineRule="auto"/>
              <w:jc w:val="right"/>
              <w:rPr>
                <w:rFonts w:cs="Calibri"/>
                <w:szCs w:val="20"/>
              </w:rPr>
            </w:pPr>
            <w:r w:rsidRPr="00933A7F">
              <w:rPr>
                <w:rFonts w:cs="Calibri"/>
                <w:szCs w:val="20"/>
              </w:rPr>
              <w:t>12</w:t>
            </w:r>
          </w:p>
        </w:tc>
      </w:tr>
      <w:tr w:rsidR="00051F60" w:rsidRPr="00933A7F" w14:paraId="5A0EE7D2" w14:textId="77777777" w:rsidTr="008E6423">
        <w:trPr>
          <w:trHeight w:val="227"/>
          <w:jc w:val="center"/>
        </w:trPr>
        <w:tc>
          <w:tcPr>
            <w:tcW w:w="2124" w:type="dxa"/>
            <w:shd w:val="clear" w:color="auto" w:fill="auto"/>
            <w:vAlign w:val="center"/>
            <w:hideMark/>
          </w:tcPr>
          <w:p w14:paraId="6138BACC" w14:textId="77777777" w:rsidR="00051F60" w:rsidRPr="00933A7F" w:rsidRDefault="00051F60" w:rsidP="008E6423">
            <w:pPr>
              <w:pStyle w:val="cuatexto"/>
              <w:spacing w:line="240" w:lineRule="auto"/>
              <w:rPr>
                <w:szCs w:val="20"/>
              </w:rPr>
            </w:pPr>
            <w:proofErr w:type="gramStart"/>
            <w:r w:rsidRPr="00933A7F">
              <w:rPr>
                <w:szCs w:val="20"/>
              </w:rPr>
              <w:t>Servicios sociales y promoción social</w:t>
            </w:r>
            <w:proofErr w:type="gramEnd"/>
          </w:p>
        </w:tc>
        <w:tc>
          <w:tcPr>
            <w:tcW w:w="1133" w:type="dxa"/>
            <w:shd w:val="clear" w:color="auto" w:fill="auto"/>
            <w:vAlign w:val="center"/>
          </w:tcPr>
          <w:p w14:paraId="58631BEB" w14:textId="77777777" w:rsidR="00051F60" w:rsidRPr="00933A7F" w:rsidRDefault="00051F60" w:rsidP="008E6423">
            <w:pPr>
              <w:pStyle w:val="cuatexto"/>
              <w:spacing w:line="240" w:lineRule="auto"/>
              <w:jc w:val="right"/>
              <w:rPr>
                <w:szCs w:val="20"/>
              </w:rPr>
            </w:pPr>
            <w:r w:rsidRPr="00933A7F">
              <w:rPr>
                <w:szCs w:val="20"/>
              </w:rPr>
              <w:t>71,44</w:t>
            </w:r>
          </w:p>
        </w:tc>
        <w:tc>
          <w:tcPr>
            <w:tcW w:w="854" w:type="dxa"/>
            <w:shd w:val="clear" w:color="auto" w:fill="auto"/>
            <w:vAlign w:val="center"/>
          </w:tcPr>
          <w:p w14:paraId="6D32F137" w14:textId="77777777" w:rsidR="00051F60" w:rsidRPr="00933A7F" w:rsidRDefault="00051F60" w:rsidP="008E6423">
            <w:pPr>
              <w:pStyle w:val="cuatexto"/>
              <w:spacing w:line="240" w:lineRule="auto"/>
              <w:jc w:val="right"/>
              <w:rPr>
                <w:szCs w:val="20"/>
              </w:rPr>
            </w:pPr>
            <w:r w:rsidRPr="00933A7F">
              <w:rPr>
                <w:szCs w:val="20"/>
              </w:rPr>
              <w:t>75,81</w:t>
            </w:r>
          </w:p>
        </w:tc>
        <w:tc>
          <w:tcPr>
            <w:tcW w:w="981" w:type="dxa"/>
            <w:shd w:val="clear" w:color="auto" w:fill="auto"/>
            <w:vAlign w:val="center"/>
          </w:tcPr>
          <w:p w14:paraId="565CCBEE" w14:textId="77777777" w:rsidR="00051F60" w:rsidRPr="00933A7F" w:rsidRDefault="00051F60" w:rsidP="008E6423">
            <w:pPr>
              <w:pStyle w:val="cuatexto"/>
              <w:spacing w:line="240" w:lineRule="auto"/>
              <w:jc w:val="right"/>
              <w:rPr>
                <w:szCs w:val="20"/>
              </w:rPr>
            </w:pPr>
            <w:r w:rsidRPr="00933A7F">
              <w:rPr>
                <w:szCs w:val="20"/>
              </w:rPr>
              <w:t>9</w:t>
            </w:r>
          </w:p>
        </w:tc>
        <w:tc>
          <w:tcPr>
            <w:tcW w:w="861" w:type="dxa"/>
            <w:shd w:val="clear" w:color="auto" w:fill="auto"/>
            <w:vAlign w:val="center"/>
          </w:tcPr>
          <w:p w14:paraId="41085A87" w14:textId="77777777" w:rsidR="00051F60" w:rsidRPr="00933A7F" w:rsidRDefault="00051F60" w:rsidP="008E6423">
            <w:pPr>
              <w:pStyle w:val="cuatexto"/>
              <w:spacing w:line="240" w:lineRule="auto"/>
              <w:jc w:val="right"/>
              <w:rPr>
                <w:szCs w:val="20"/>
              </w:rPr>
            </w:pPr>
            <w:r w:rsidRPr="00933A7F">
              <w:rPr>
                <w:szCs w:val="20"/>
              </w:rPr>
              <w:t>6</w:t>
            </w:r>
          </w:p>
        </w:tc>
        <w:tc>
          <w:tcPr>
            <w:tcW w:w="1003" w:type="dxa"/>
            <w:tcBorders>
              <w:right w:val="single" w:sz="2" w:space="0" w:color="auto"/>
            </w:tcBorders>
            <w:vAlign w:val="center"/>
          </w:tcPr>
          <w:p w14:paraId="7885CA8D" w14:textId="77777777" w:rsidR="00051F60" w:rsidRPr="00933A7F" w:rsidRDefault="00051F60" w:rsidP="008E6423">
            <w:pPr>
              <w:pStyle w:val="cuatexto"/>
              <w:spacing w:line="240" w:lineRule="auto"/>
              <w:jc w:val="right"/>
              <w:rPr>
                <w:szCs w:val="20"/>
              </w:rPr>
            </w:pPr>
            <w:r w:rsidRPr="00933A7F">
              <w:rPr>
                <w:szCs w:val="20"/>
              </w:rPr>
              <w:t>4</w:t>
            </w:r>
          </w:p>
        </w:tc>
        <w:tc>
          <w:tcPr>
            <w:tcW w:w="982" w:type="dxa"/>
            <w:tcBorders>
              <w:left w:val="single" w:sz="2" w:space="0" w:color="auto"/>
            </w:tcBorders>
            <w:vAlign w:val="center"/>
          </w:tcPr>
          <w:p w14:paraId="3FB87770" w14:textId="77777777" w:rsidR="00051F60" w:rsidRPr="00933A7F" w:rsidRDefault="00051F60" w:rsidP="008E6423">
            <w:pPr>
              <w:pStyle w:val="cuatexto"/>
              <w:spacing w:line="240" w:lineRule="auto"/>
              <w:jc w:val="right"/>
              <w:rPr>
                <w:rFonts w:cs="Calibri"/>
                <w:szCs w:val="20"/>
              </w:rPr>
            </w:pPr>
            <w:r w:rsidRPr="00933A7F">
              <w:rPr>
                <w:rFonts w:cs="Calibri"/>
                <w:szCs w:val="20"/>
              </w:rPr>
              <w:t>75,81</w:t>
            </w:r>
          </w:p>
        </w:tc>
        <w:tc>
          <w:tcPr>
            <w:tcW w:w="993" w:type="dxa"/>
            <w:vAlign w:val="center"/>
          </w:tcPr>
          <w:p w14:paraId="22CAD30A" w14:textId="77777777" w:rsidR="00051F60" w:rsidRPr="00933A7F" w:rsidRDefault="00051F60" w:rsidP="008E6423">
            <w:pPr>
              <w:pStyle w:val="cuatexto"/>
              <w:spacing w:line="240" w:lineRule="auto"/>
              <w:jc w:val="right"/>
              <w:rPr>
                <w:rFonts w:cs="Calibri"/>
                <w:szCs w:val="20"/>
              </w:rPr>
            </w:pPr>
            <w:r w:rsidRPr="00933A7F">
              <w:rPr>
                <w:rFonts w:cs="Calibri"/>
                <w:szCs w:val="20"/>
              </w:rPr>
              <w:t>9</w:t>
            </w:r>
          </w:p>
        </w:tc>
      </w:tr>
      <w:tr w:rsidR="00051F60" w:rsidRPr="00933A7F" w14:paraId="4B329F59" w14:textId="77777777" w:rsidTr="008E6423">
        <w:trPr>
          <w:trHeight w:val="227"/>
          <w:jc w:val="center"/>
        </w:trPr>
        <w:tc>
          <w:tcPr>
            <w:tcW w:w="2124" w:type="dxa"/>
            <w:shd w:val="clear" w:color="auto" w:fill="auto"/>
            <w:vAlign w:val="center"/>
            <w:hideMark/>
          </w:tcPr>
          <w:p w14:paraId="08E03E2E" w14:textId="77777777" w:rsidR="00051F60" w:rsidRPr="00933A7F" w:rsidRDefault="00051F60" w:rsidP="008E6423">
            <w:pPr>
              <w:pStyle w:val="cuatexto"/>
              <w:spacing w:line="240" w:lineRule="auto"/>
              <w:rPr>
                <w:szCs w:val="20"/>
              </w:rPr>
            </w:pPr>
            <w:r w:rsidRPr="00933A7F">
              <w:rPr>
                <w:szCs w:val="20"/>
              </w:rPr>
              <w:t>Educación</w:t>
            </w:r>
          </w:p>
        </w:tc>
        <w:tc>
          <w:tcPr>
            <w:tcW w:w="1133" w:type="dxa"/>
            <w:shd w:val="clear" w:color="auto" w:fill="auto"/>
            <w:vAlign w:val="center"/>
          </w:tcPr>
          <w:p w14:paraId="1DBE2ADA" w14:textId="77777777" w:rsidR="00051F60" w:rsidRPr="00933A7F" w:rsidRDefault="00051F60" w:rsidP="008E6423">
            <w:pPr>
              <w:pStyle w:val="cuatexto"/>
              <w:spacing w:line="240" w:lineRule="auto"/>
              <w:jc w:val="right"/>
              <w:rPr>
                <w:szCs w:val="20"/>
              </w:rPr>
            </w:pPr>
            <w:r w:rsidRPr="00933A7F">
              <w:rPr>
                <w:szCs w:val="20"/>
              </w:rPr>
              <w:t>73,86</w:t>
            </w:r>
          </w:p>
        </w:tc>
        <w:tc>
          <w:tcPr>
            <w:tcW w:w="854" w:type="dxa"/>
            <w:shd w:val="clear" w:color="auto" w:fill="auto"/>
            <w:vAlign w:val="center"/>
          </w:tcPr>
          <w:p w14:paraId="237EB341" w14:textId="77777777" w:rsidR="00051F60" w:rsidRPr="00933A7F" w:rsidRDefault="00051F60" w:rsidP="008E6423">
            <w:pPr>
              <w:pStyle w:val="cuatexto"/>
              <w:spacing w:line="240" w:lineRule="auto"/>
              <w:jc w:val="right"/>
              <w:rPr>
                <w:szCs w:val="20"/>
              </w:rPr>
            </w:pPr>
            <w:r w:rsidRPr="00933A7F">
              <w:rPr>
                <w:szCs w:val="20"/>
              </w:rPr>
              <w:t>71,68</w:t>
            </w:r>
          </w:p>
        </w:tc>
        <w:tc>
          <w:tcPr>
            <w:tcW w:w="981" w:type="dxa"/>
            <w:shd w:val="clear" w:color="auto" w:fill="auto"/>
            <w:vAlign w:val="center"/>
          </w:tcPr>
          <w:p w14:paraId="4EAF9815" w14:textId="77777777" w:rsidR="00051F60" w:rsidRPr="00933A7F" w:rsidRDefault="00051F60" w:rsidP="008E6423">
            <w:pPr>
              <w:pStyle w:val="cuatexto"/>
              <w:spacing w:line="240" w:lineRule="auto"/>
              <w:jc w:val="right"/>
              <w:rPr>
                <w:szCs w:val="20"/>
              </w:rPr>
            </w:pPr>
            <w:r w:rsidRPr="00933A7F">
              <w:rPr>
                <w:szCs w:val="20"/>
              </w:rPr>
              <w:t>9</w:t>
            </w:r>
          </w:p>
        </w:tc>
        <w:tc>
          <w:tcPr>
            <w:tcW w:w="861" w:type="dxa"/>
            <w:shd w:val="clear" w:color="auto" w:fill="auto"/>
            <w:vAlign w:val="center"/>
          </w:tcPr>
          <w:p w14:paraId="416A44CE" w14:textId="77777777" w:rsidR="00051F60" w:rsidRPr="00933A7F" w:rsidRDefault="00051F60" w:rsidP="008E6423">
            <w:pPr>
              <w:pStyle w:val="cuatexto"/>
              <w:spacing w:line="240" w:lineRule="auto"/>
              <w:jc w:val="right"/>
              <w:rPr>
                <w:szCs w:val="20"/>
              </w:rPr>
            </w:pPr>
            <w:r w:rsidRPr="00933A7F">
              <w:rPr>
                <w:szCs w:val="20"/>
              </w:rPr>
              <w:t>-3</w:t>
            </w:r>
          </w:p>
        </w:tc>
        <w:tc>
          <w:tcPr>
            <w:tcW w:w="1003" w:type="dxa"/>
            <w:tcBorders>
              <w:right w:val="single" w:sz="2" w:space="0" w:color="auto"/>
            </w:tcBorders>
            <w:vAlign w:val="center"/>
          </w:tcPr>
          <w:p w14:paraId="24DE713F" w14:textId="77777777" w:rsidR="00051F60" w:rsidRPr="00933A7F" w:rsidRDefault="00051F60" w:rsidP="008E6423">
            <w:pPr>
              <w:pStyle w:val="cuatexto"/>
              <w:spacing w:line="240" w:lineRule="auto"/>
              <w:jc w:val="right"/>
              <w:rPr>
                <w:szCs w:val="20"/>
              </w:rPr>
            </w:pPr>
            <w:r w:rsidRPr="00933A7F">
              <w:rPr>
                <w:szCs w:val="20"/>
              </w:rPr>
              <w:t>-2</w:t>
            </w:r>
          </w:p>
        </w:tc>
        <w:tc>
          <w:tcPr>
            <w:tcW w:w="982" w:type="dxa"/>
            <w:tcBorders>
              <w:left w:val="single" w:sz="2" w:space="0" w:color="auto"/>
            </w:tcBorders>
            <w:vAlign w:val="center"/>
          </w:tcPr>
          <w:p w14:paraId="04AB52A2" w14:textId="77777777" w:rsidR="00051F60" w:rsidRPr="00933A7F" w:rsidRDefault="00051F60" w:rsidP="008E6423">
            <w:pPr>
              <w:pStyle w:val="cuatexto"/>
              <w:spacing w:line="240" w:lineRule="auto"/>
              <w:jc w:val="right"/>
              <w:rPr>
                <w:rFonts w:cs="Calibri"/>
                <w:szCs w:val="20"/>
              </w:rPr>
            </w:pPr>
            <w:r w:rsidRPr="00933A7F">
              <w:rPr>
                <w:rFonts w:cs="Calibri"/>
                <w:szCs w:val="20"/>
              </w:rPr>
              <w:t>71,68</w:t>
            </w:r>
          </w:p>
        </w:tc>
        <w:tc>
          <w:tcPr>
            <w:tcW w:w="993" w:type="dxa"/>
            <w:vAlign w:val="center"/>
          </w:tcPr>
          <w:p w14:paraId="3B8DD509" w14:textId="77777777" w:rsidR="00051F60" w:rsidRPr="00933A7F" w:rsidRDefault="00051F60" w:rsidP="008E6423">
            <w:pPr>
              <w:pStyle w:val="cuatexto"/>
              <w:spacing w:line="240" w:lineRule="auto"/>
              <w:jc w:val="right"/>
              <w:rPr>
                <w:rFonts w:cs="Calibri"/>
                <w:szCs w:val="20"/>
              </w:rPr>
            </w:pPr>
            <w:r w:rsidRPr="00933A7F">
              <w:rPr>
                <w:rFonts w:cs="Calibri"/>
                <w:szCs w:val="20"/>
              </w:rPr>
              <w:t>8</w:t>
            </w:r>
          </w:p>
        </w:tc>
      </w:tr>
      <w:tr w:rsidR="00051F60" w:rsidRPr="00933A7F" w14:paraId="1D203468" w14:textId="77777777" w:rsidTr="008E6423">
        <w:trPr>
          <w:trHeight w:val="227"/>
          <w:jc w:val="center"/>
        </w:trPr>
        <w:tc>
          <w:tcPr>
            <w:tcW w:w="2124" w:type="dxa"/>
            <w:shd w:val="clear" w:color="auto" w:fill="auto"/>
            <w:vAlign w:val="center"/>
            <w:hideMark/>
          </w:tcPr>
          <w:p w14:paraId="7017F471" w14:textId="77777777" w:rsidR="00051F60" w:rsidRPr="00933A7F" w:rsidRDefault="00051F60" w:rsidP="008E6423">
            <w:pPr>
              <w:pStyle w:val="cuatexto"/>
              <w:spacing w:line="240" w:lineRule="auto"/>
              <w:rPr>
                <w:szCs w:val="20"/>
              </w:rPr>
            </w:pPr>
            <w:r w:rsidRPr="00933A7F">
              <w:rPr>
                <w:szCs w:val="20"/>
              </w:rPr>
              <w:t>Vivienda y urbanismo</w:t>
            </w:r>
          </w:p>
        </w:tc>
        <w:tc>
          <w:tcPr>
            <w:tcW w:w="1133" w:type="dxa"/>
            <w:shd w:val="clear" w:color="auto" w:fill="auto"/>
            <w:vAlign w:val="center"/>
          </w:tcPr>
          <w:p w14:paraId="62098E75" w14:textId="77777777" w:rsidR="00051F60" w:rsidRPr="00933A7F" w:rsidRDefault="00051F60" w:rsidP="008E6423">
            <w:pPr>
              <w:pStyle w:val="cuatexto"/>
              <w:spacing w:line="240" w:lineRule="auto"/>
              <w:jc w:val="right"/>
              <w:rPr>
                <w:szCs w:val="20"/>
              </w:rPr>
            </w:pPr>
            <w:r w:rsidRPr="00933A7F">
              <w:rPr>
                <w:szCs w:val="20"/>
              </w:rPr>
              <w:t>89,06</w:t>
            </w:r>
          </w:p>
        </w:tc>
        <w:tc>
          <w:tcPr>
            <w:tcW w:w="854" w:type="dxa"/>
            <w:shd w:val="clear" w:color="auto" w:fill="auto"/>
            <w:vAlign w:val="center"/>
          </w:tcPr>
          <w:p w14:paraId="23AAFEA4" w14:textId="77777777" w:rsidR="00051F60" w:rsidRPr="00933A7F" w:rsidRDefault="00051F60" w:rsidP="008E6423">
            <w:pPr>
              <w:pStyle w:val="cuatexto"/>
              <w:spacing w:line="240" w:lineRule="auto"/>
              <w:jc w:val="right"/>
              <w:rPr>
                <w:szCs w:val="20"/>
              </w:rPr>
            </w:pPr>
            <w:r w:rsidRPr="00933A7F">
              <w:rPr>
                <w:szCs w:val="20"/>
              </w:rPr>
              <w:t>69,91</w:t>
            </w:r>
          </w:p>
        </w:tc>
        <w:tc>
          <w:tcPr>
            <w:tcW w:w="981" w:type="dxa"/>
            <w:shd w:val="clear" w:color="auto" w:fill="auto"/>
            <w:vAlign w:val="center"/>
          </w:tcPr>
          <w:p w14:paraId="71F78EC6" w14:textId="77777777" w:rsidR="00051F60" w:rsidRPr="00933A7F" w:rsidRDefault="00051F60" w:rsidP="008E6423">
            <w:pPr>
              <w:pStyle w:val="cuatexto"/>
              <w:spacing w:line="240" w:lineRule="auto"/>
              <w:jc w:val="right"/>
              <w:rPr>
                <w:szCs w:val="20"/>
              </w:rPr>
            </w:pPr>
            <w:r w:rsidRPr="00933A7F">
              <w:rPr>
                <w:szCs w:val="20"/>
              </w:rPr>
              <w:t>9</w:t>
            </w:r>
          </w:p>
        </w:tc>
        <w:tc>
          <w:tcPr>
            <w:tcW w:w="861" w:type="dxa"/>
            <w:shd w:val="clear" w:color="auto" w:fill="auto"/>
            <w:vAlign w:val="center"/>
          </w:tcPr>
          <w:p w14:paraId="412D40C9" w14:textId="77777777" w:rsidR="00051F60" w:rsidRPr="00933A7F" w:rsidRDefault="00051F60" w:rsidP="008E6423">
            <w:pPr>
              <w:pStyle w:val="cuatexto"/>
              <w:spacing w:line="240" w:lineRule="auto"/>
              <w:jc w:val="right"/>
              <w:rPr>
                <w:szCs w:val="20"/>
              </w:rPr>
            </w:pPr>
            <w:r w:rsidRPr="00933A7F">
              <w:rPr>
                <w:szCs w:val="20"/>
              </w:rPr>
              <w:t>-22</w:t>
            </w:r>
          </w:p>
        </w:tc>
        <w:tc>
          <w:tcPr>
            <w:tcW w:w="1003" w:type="dxa"/>
            <w:tcBorders>
              <w:right w:val="single" w:sz="2" w:space="0" w:color="auto"/>
            </w:tcBorders>
            <w:vAlign w:val="center"/>
          </w:tcPr>
          <w:p w14:paraId="001B266E" w14:textId="77777777" w:rsidR="00051F60" w:rsidRPr="00933A7F" w:rsidRDefault="00051F60" w:rsidP="008E6423">
            <w:pPr>
              <w:pStyle w:val="cuatexto"/>
              <w:spacing w:line="240" w:lineRule="auto"/>
              <w:jc w:val="right"/>
              <w:rPr>
                <w:szCs w:val="20"/>
              </w:rPr>
            </w:pPr>
            <w:r w:rsidRPr="00933A7F">
              <w:rPr>
                <w:szCs w:val="20"/>
              </w:rPr>
              <w:t>-19</w:t>
            </w:r>
          </w:p>
        </w:tc>
        <w:tc>
          <w:tcPr>
            <w:tcW w:w="982" w:type="dxa"/>
            <w:tcBorders>
              <w:left w:val="single" w:sz="2" w:space="0" w:color="auto"/>
            </w:tcBorders>
            <w:vAlign w:val="center"/>
          </w:tcPr>
          <w:p w14:paraId="2C9E0169" w14:textId="77777777" w:rsidR="00051F60" w:rsidRPr="00933A7F" w:rsidRDefault="00051F60" w:rsidP="008E6423">
            <w:pPr>
              <w:pStyle w:val="cuatexto"/>
              <w:spacing w:line="240" w:lineRule="auto"/>
              <w:jc w:val="right"/>
              <w:rPr>
                <w:rFonts w:cs="Calibri"/>
                <w:szCs w:val="20"/>
              </w:rPr>
            </w:pPr>
            <w:r w:rsidRPr="00933A7F">
              <w:rPr>
                <w:rFonts w:cs="Calibri"/>
                <w:szCs w:val="20"/>
              </w:rPr>
              <w:t>70,26</w:t>
            </w:r>
          </w:p>
        </w:tc>
        <w:tc>
          <w:tcPr>
            <w:tcW w:w="993" w:type="dxa"/>
            <w:vAlign w:val="center"/>
          </w:tcPr>
          <w:p w14:paraId="44A8DC82" w14:textId="77777777" w:rsidR="00051F60" w:rsidRPr="00933A7F" w:rsidRDefault="00051F60" w:rsidP="008E6423">
            <w:pPr>
              <w:pStyle w:val="cuatexto"/>
              <w:spacing w:line="240" w:lineRule="auto"/>
              <w:jc w:val="right"/>
              <w:rPr>
                <w:rFonts w:cs="Calibri"/>
                <w:szCs w:val="20"/>
              </w:rPr>
            </w:pPr>
            <w:r w:rsidRPr="00933A7F">
              <w:rPr>
                <w:rFonts w:cs="Calibri"/>
                <w:szCs w:val="20"/>
              </w:rPr>
              <w:t>8</w:t>
            </w:r>
          </w:p>
        </w:tc>
      </w:tr>
      <w:tr w:rsidR="00051F60" w:rsidRPr="00933A7F" w14:paraId="42E135A2" w14:textId="77777777" w:rsidTr="008E6423">
        <w:trPr>
          <w:trHeight w:val="227"/>
          <w:jc w:val="center"/>
        </w:trPr>
        <w:tc>
          <w:tcPr>
            <w:tcW w:w="2124" w:type="dxa"/>
            <w:shd w:val="clear" w:color="auto" w:fill="auto"/>
            <w:vAlign w:val="center"/>
            <w:hideMark/>
          </w:tcPr>
          <w:p w14:paraId="778730B3" w14:textId="77777777" w:rsidR="00051F60" w:rsidRPr="00933A7F" w:rsidRDefault="00051F60" w:rsidP="008E6423">
            <w:pPr>
              <w:pStyle w:val="cuatexto"/>
              <w:spacing w:line="240" w:lineRule="auto"/>
              <w:rPr>
                <w:szCs w:val="20"/>
              </w:rPr>
            </w:pPr>
            <w:r w:rsidRPr="00933A7F">
              <w:rPr>
                <w:szCs w:val="20"/>
              </w:rPr>
              <w:t>Seguridad y movilidad ciudadana</w:t>
            </w:r>
          </w:p>
        </w:tc>
        <w:tc>
          <w:tcPr>
            <w:tcW w:w="1133" w:type="dxa"/>
            <w:shd w:val="clear" w:color="auto" w:fill="auto"/>
            <w:vAlign w:val="center"/>
          </w:tcPr>
          <w:p w14:paraId="186448B4" w14:textId="77777777" w:rsidR="00051F60" w:rsidRPr="00933A7F" w:rsidRDefault="00051F60" w:rsidP="008E6423">
            <w:pPr>
              <w:pStyle w:val="cuatexto"/>
              <w:spacing w:line="240" w:lineRule="auto"/>
              <w:jc w:val="right"/>
              <w:rPr>
                <w:szCs w:val="20"/>
              </w:rPr>
            </w:pPr>
            <w:r w:rsidRPr="00933A7F">
              <w:rPr>
                <w:szCs w:val="20"/>
              </w:rPr>
              <w:t>56,03</w:t>
            </w:r>
          </w:p>
        </w:tc>
        <w:tc>
          <w:tcPr>
            <w:tcW w:w="854" w:type="dxa"/>
            <w:shd w:val="clear" w:color="auto" w:fill="auto"/>
            <w:vAlign w:val="center"/>
          </w:tcPr>
          <w:p w14:paraId="5A45D6AA" w14:textId="77777777" w:rsidR="00051F60" w:rsidRPr="00933A7F" w:rsidRDefault="00051F60" w:rsidP="008E6423">
            <w:pPr>
              <w:pStyle w:val="cuatexto"/>
              <w:spacing w:line="240" w:lineRule="auto"/>
              <w:jc w:val="right"/>
              <w:rPr>
                <w:szCs w:val="20"/>
              </w:rPr>
            </w:pPr>
            <w:r w:rsidRPr="00933A7F">
              <w:rPr>
                <w:szCs w:val="20"/>
              </w:rPr>
              <w:t>57,40</w:t>
            </w:r>
          </w:p>
        </w:tc>
        <w:tc>
          <w:tcPr>
            <w:tcW w:w="981" w:type="dxa"/>
            <w:shd w:val="clear" w:color="auto" w:fill="auto"/>
            <w:vAlign w:val="center"/>
          </w:tcPr>
          <w:p w14:paraId="44491737" w14:textId="77777777" w:rsidR="00051F60" w:rsidRPr="00933A7F" w:rsidRDefault="00051F60" w:rsidP="008E6423">
            <w:pPr>
              <w:pStyle w:val="cuatexto"/>
              <w:spacing w:line="240" w:lineRule="auto"/>
              <w:jc w:val="right"/>
              <w:rPr>
                <w:szCs w:val="20"/>
              </w:rPr>
            </w:pPr>
            <w:r w:rsidRPr="00933A7F">
              <w:rPr>
                <w:szCs w:val="20"/>
              </w:rPr>
              <w:t>7</w:t>
            </w:r>
          </w:p>
        </w:tc>
        <w:tc>
          <w:tcPr>
            <w:tcW w:w="861" w:type="dxa"/>
            <w:shd w:val="clear" w:color="auto" w:fill="auto"/>
            <w:vAlign w:val="center"/>
          </w:tcPr>
          <w:p w14:paraId="430C828E" w14:textId="77777777" w:rsidR="00051F60" w:rsidRPr="00933A7F" w:rsidRDefault="00051F60" w:rsidP="008E6423">
            <w:pPr>
              <w:pStyle w:val="cuatexto"/>
              <w:spacing w:line="240" w:lineRule="auto"/>
              <w:jc w:val="right"/>
              <w:rPr>
                <w:szCs w:val="20"/>
              </w:rPr>
            </w:pPr>
            <w:r w:rsidRPr="00933A7F">
              <w:rPr>
                <w:szCs w:val="20"/>
              </w:rPr>
              <w:t>2</w:t>
            </w:r>
          </w:p>
        </w:tc>
        <w:tc>
          <w:tcPr>
            <w:tcW w:w="1003" w:type="dxa"/>
            <w:tcBorders>
              <w:right w:val="single" w:sz="2" w:space="0" w:color="auto"/>
            </w:tcBorders>
            <w:vAlign w:val="center"/>
          </w:tcPr>
          <w:p w14:paraId="51F958CD" w14:textId="77777777" w:rsidR="00051F60" w:rsidRPr="00933A7F" w:rsidRDefault="00051F60" w:rsidP="008E6423">
            <w:pPr>
              <w:pStyle w:val="cuatexto"/>
              <w:spacing w:line="240" w:lineRule="auto"/>
              <w:jc w:val="right"/>
              <w:rPr>
                <w:szCs w:val="20"/>
              </w:rPr>
            </w:pPr>
            <w:r w:rsidRPr="00933A7F">
              <w:rPr>
                <w:szCs w:val="20"/>
              </w:rPr>
              <w:t>1</w:t>
            </w:r>
          </w:p>
        </w:tc>
        <w:tc>
          <w:tcPr>
            <w:tcW w:w="982" w:type="dxa"/>
            <w:tcBorders>
              <w:left w:val="single" w:sz="2" w:space="0" w:color="auto"/>
            </w:tcBorders>
            <w:vAlign w:val="center"/>
          </w:tcPr>
          <w:p w14:paraId="65D09ACB" w14:textId="77777777" w:rsidR="00051F60" w:rsidRPr="00933A7F" w:rsidRDefault="00051F60" w:rsidP="008E6423">
            <w:pPr>
              <w:pStyle w:val="cuatexto"/>
              <w:spacing w:line="240" w:lineRule="auto"/>
              <w:jc w:val="right"/>
              <w:rPr>
                <w:rFonts w:cs="Calibri"/>
                <w:szCs w:val="20"/>
              </w:rPr>
            </w:pPr>
            <w:r w:rsidRPr="00933A7F">
              <w:rPr>
                <w:rFonts w:cs="Calibri"/>
                <w:szCs w:val="20"/>
              </w:rPr>
              <w:t>57,40</w:t>
            </w:r>
          </w:p>
        </w:tc>
        <w:tc>
          <w:tcPr>
            <w:tcW w:w="993" w:type="dxa"/>
            <w:vAlign w:val="center"/>
          </w:tcPr>
          <w:p w14:paraId="0ECF5449" w14:textId="77777777" w:rsidR="00051F60" w:rsidRPr="00933A7F" w:rsidRDefault="00051F60" w:rsidP="008E6423">
            <w:pPr>
              <w:pStyle w:val="cuatexto"/>
              <w:spacing w:line="240" w:lineRule="auto"/>
              <w:jc w:val="right"/>
              <w:rPr>
                <w:rFonts w:cs="Calibri"/>
                <w:szCs w:val="20"/>
              </w:rPr>
            </w:pPr>
            <w:r w:rsidRPr="00933A7F">
              <w:rPr>
                <w:rFonts w:cs="Calibri"/>
                <w:szCs w:val="20"/>
              </w:rPr>
              <w:t>7</w:t>
            </w:r>
          </w:p>
        </w:tc>
      </w:tr>
      <w:tr w:rsidR="00051F60" w:rsidRPr="00933A7F" w14:paraId="0246A2B7" w14:textId="77777777" w:rsidTr="008E6423">
        <w:trPr>
          <w:trHeight w:val="227"/>
          <w:jc w:val="center"/>
        </w:trPr>
        <w:tc>
          <w:tcPr>
            <w:tcW w:w="2124" w:type="dxa"/>
            <w:shd w:val="clear" w:color="auto" w:fill="auto"/>
            <w:vAlign w:val="center"/>
            <w:hideMark/>
          </w:tcPr>
          <w:p w14:paraId="54D35BC5" w14:textId="77777777" w:rsidR="00051F60" w:rsidRPr="00933A7F" w:rsidRDefault="00051F60" w:rsidP="008E6423">
            <w:pPr>
              <w:pStyle w:val="cuatexto"/>
              <w:spacing w:line="240" w:lineRule="auto"/>
              <w:rPr>
                <w:szCs w:val="20"/>
              </w:rPr>
            </w:pPr>
            <w:r w:rsidRPr="00933A7F">
              <w:rPr>
                <w:szCs w:val="20"/>
              </w:rPr>
              <w:t>Deporte</w:t>
            </w:r>
          </w:p>
        </w:tc>
        <w:tc>
          <w:tcPr>
            <w:tcW w:w="1133" w:type="dxa"/>
            <w:shd w:val="clear" w:color="auto" w:fill="auto"/>
            <w:vAlign w:val="center"/>
          </w:tcPr>
          <w:p w14:paraId="4B747F30" w14:textId="77777777" w:rsidR="00051F60" w:rsidRPr="00933A7F" w:rsidRDefault="00051F60" w:rsidP="008E6423">
            <w:pPr>
              <w:pStyle w:val="cuatexto"/>
              <w:spacing w:line="240" w:lineRule="auto"/>
              <w:jc w:val="right"/>
              <w:rPr>
                <w:szCs w:val="20"/>
              </w:rPr>
            </w:pPr>
            <w:r w:rsidRPr="00933A7F">
              <w:rPr>
                <w:szCs w:val="20"/>
              </w:rPr>
              <w:t>64,36</w:t>
            </w:r>
          </w:p>
        </w:tc>
        <w:tc>
          <w:tcPr>
            <w:tcW w:w="854" w:type="dxa"/>
            <w:shd w:val="clear" w:color="auto" w:fill="auto"/>
            <w:vAlign w:val="center"/>
          </w:tcPr>
          <w:p w14:paraId="4F40407C" w14:textId="77777777" w:rsidR="00051F60" w:rsidRPr="00933A7F" w:rsidRDefault="00051F60" w:rsidP="008E6423">
            <w:pPr>
              <w:pStyle w:val="cuatexto"/>
              <w:spacing w:line="240" w:lineRule="auto"/>
              <w:jc w:val="right"/>
              <w:rPr>
                <w:szCs w:val="20"/>
              </w:rPr>
            </w:pPr>
            <w:r w:rsidRPr="00933A7F">
              <w:rPr>
                <w:szCs w:val="20"/>
              </w:rPr>
              <w:t>57,24</w:t>
            </w:r>
          </w:p>
        </w:tc>
        <w:tc>
          <w:tcPr>
            <w:tcW w:w="981" w:type="dxa"/>
            <w:shd w:val="clear" w:color="auto" w:fill="auto"/>
            <w:vAlign w:val="center"/>
          </w:tcPr>
          <w:p w14:paraId="6EF6AC09" w14:textId="77777777" w:rsidR="00051F60" w:rsidRPr="00933A7F" w:rsidRDefault="00051F60" w:rsidP="008E6423">
            <w:pPr>
              <w:pStyle w:val="cuatexto"/>
              <w:spacing w:line="240" w:lineRule="auto"/>
              <w:jc w:val="right"/>
              <w:rPr>
                <w:szCs w:val="20"/>
              </w:rPr>
            </w:pPr>
            <w:r w:rsidRPr="00933A7F">
              <w:rPr>
                <w:szCs w:val="20"/>
              </w:rPr>
              <w:t>7</w:t>
            </w:r>
          </w:p>
        </w:tc>
        <w:tc>
          <w:tcPr>
            <w:tcW w:w="861" w:type="dxa"/>
            <w:shd w:val="clear" w:color="auto" w:fill="auto"/>
            <w:vAlign w:val="center"/>
          </w:tcPr>
          <w:p w14:paraId="0832D10E" w14:textId="77777777" w:rsidR="00051F60" w:rsidRPr="00933A7F" w:rsidRDefault="00051F60" w:rsidP="008E6423">
            <w:pPr>
              <w:pStyle w:val="cuatexto"/>
              <w:spacing w:line="240" w:lineRule="auto"/>
              <w:jc w:val="right"/>
              <w:rPr>
                <w:szCs w:val="20"/>
              </w:rPr>
            </w:pPr>
            <w:r w:rsidRPr="00933A7F">
              <w:rPr>
                <w:szCs w:val="20"/>
              </w:rPr>
              <w:t>-11</w:t>
            </w:r>
          </w:p>
        </w:tc>
        <w:tc>
          <w:tcPr>
            <w:tcW w:w="1003" w:type="dxa"/>
            <w:tcBorders>
              <w:right w:val="single" w:sz="2" w:space="0" w:color="auto"/>
            </w:tcBorders>
            <w:vAlign w:val="center"/>
          </w:tcPr>
          <w:p w14:paraId="208ABC43" w14:textId="77777777" w:rsidR="00051F60" w:rsidRPr="00933A7F" w:rsidRDefault="00051F60" w:rsidP="008E6423">
            <w:pPr>
              <w:pStyle w:val="cuatexto"/>
              <w:spacing w:line="240" w:lineRule="auto"/>
              <w:jc w:val="right"/>
              <w:rPr>
                <w:szCs w:val="20"/>
              </w:rPr>
            </w:pPr>
            <w:r w:rsidRPr="00933A7F">
              <w:rPr>
                <w:szCs w:val="20"/>
              </w:rPr>
              <w:t>-7</w:t>
            </w:r>
          </w:p>
        </w:tc>
        <w:tc>
          <w:tcPr>
            <w:tcW w:w="982" w:type="dxa"/>
            <w:tcBorders>
              <w:left w:val="single" w:sz="2" w:space="0" w:color="auto"/>
            </w:tcBorders>
            <w:vAlign w:val="center"/>
          </w:tcPr>
          <w:p w14:paraId="05651655" w14:textId="77777777" w:rsidR="00051F60" w:rsidRPr="00933A7F" w:rsidRDefault="00051F60" w:rsidP="008E6423">
            <w:pPr>
              <w:pStyle w:val="cuatexto"/>
              <w:spacing w:line="240" w:lineRule="auto"/>
              <w:jc w:val="right"/>
              <w:rPr>
                <w:rFonts w:cs="Calibri"/>
                <w:szCs w:val="20"/>
              </w:rPr>
            </w:pPr>
            <w:r w:rsidRPr="00933A7F">
              <w:rPr>
                <w:rFonts w:cs="Calibri"/>
                <w:szCs w:val="20"/>
              </w:rPr>
              <w:t>57,24</w:t>
            </w:r>
          </w:p>
        </w:tc>
        <w:tc>
          <w:tcPr>
            <w:tcW w:w="993" w:type="dxa"/>
            <w:vAlign w:val="center"/>
          </w:tcPr>
          <w:p w14:paraId="12167301" w14:textId="77777777" w:rsidR="00051F60" w:rsidRPr="00933A7F" w:rsidRDefault="00051F60" w:rsidP="008E6423">
            <w:pPr>
              <w:pStyle w:val="cuatexto"/>
              <w:spacing w:line="240" w:lineRule="auto"/>
              <w:jc w:val="right"/>
              <w:rPr>
                <w:rFonts w:cs="Calibri"/>
                <w:szCs w:val="20"/>
              </w:rPr>
            </w:pPr>
            <w:r w:rsidRPr="00933A7F">
              <w:rPr>
                <w:rFonts w:cs="Calibri"/>
                <w:szCs w:val="20"/>
              </w:rPr>
              <w:t>7</w:t>
            </w:r>
          </w:p>
        </w:tc>
      </w:tr>
      <w:tr w:rsidR="00051F60" w:rsidRPr="00933A7F" w14:paraId="1592810C" w14:textId="77777777" w:rsidTr="008E6423">
        <w:trPr>
          <w:trHeight w:val="227"/>
          <w:jc w:val="center"/>
        </w:trPr>
        <w:tc>
          <w:tcPr>
            <w:tcW w:w="2124" w:type="dxa"/>
            <w:shd w:val="clear" w:color="auto" w:fill="auto"/>
            <w:vAlign w:val="center"/>
            <w:hideMark/>
          </w:tcPr>
          <w:p w14:paraId="6ADD068B" w14:textId="77777777" w:rsidR="00051F60" w:rsidRPr="00933A7F" w:rsidRDefault="00051F60" w:rsidP="008E6423">
            <w:pPr>
              <w:pStyle w:val="cuatexto"/>
              <w:spacing w:line="240" w:lineRule="auto"/>
              <w:rPr>
                <w:szCs w:val="20"/>
              </w:rPr>
            </w:pPr>
            <w:r w:rsidRPr="00933A7F">
              <w:rPr>
                <w:szCs w:val="20"/>
              </w:rPr>
              <w:t>Pensiones</w:t>
            </w:r>
          </w:p>
        </w:tc>
        <w:tc>
          <w:tcPr>
            <w:tcW w:w="1133" w:type="dxa"/>
            <w:shd w:val="clear" w:color="auto" w:fill="auto"/>
            <w:vAlign w:val="center"/>
          </w:tcPr>
          <w:p w14:paraId="3C50E7F4" w14:textId="77777777" w:rsidR="00051F60" w:rsidRPr="00933A7F" w:rsidRDefault="00051F60" w:rsidP="008E6423">
            <w:pPr>
              <w:pStyle w:val="cuatexto"/>
              <w:spacing w:line="240" w:lineRule="auto"/>
              <w:jc w:val="right"/>
              <w:rPr>
                <w:szCs w:val="20"/>
              </w:rPr>
            </w:pPr>
            <w:r w:rsidRPr="00933A7F">
              <w:rPr>
                <w:szCs w:val="20"/>
              </w:rPr>
              <w:t>51,92</w:t>
            </w:r>
          </w:p>
        </w:tc>
        <w:tc>
          <w:tcPr>
            <w:tcW w:w="854" w:type="dxa"/>
            <w:shd w:val="clear" w:color="auto" w:fill="auto"/>
            <w:vAlign w:val="center"/>
          </w:tcPr>
          <w:p w14:paraId="06DF43F3" w14:textId="77777777" w:rsidR="00051F60" w:rsidRPr="00933A7F" w:rsidRDefault="00051F60" w:rsidP="008E6423">
            <w:pPr>
              <w:pStyle w:val="cuatexto"/>
              <w:spacing w:line="240" w:lineRule="auto"/>
              <w:jc w:val="right"/>
              <w:rPr>
                <w:szCs w:val="20"/>
              </w:rPr>
            </w:pPr>
            <w:r w:rsidRPr="00933A7F">
              <w:rPr>
                <w:szCs w:val="20"/>
              </w:rPr>
              <w:t>53,45</w:t>
            </w:r>
          </w:p>
        </w:tc>
        <w:tc>
          <w:tcPr>
            <w:tcW w:w="981" w:type="dxa"/>
            <w:shd w:val="clear" w:color="auto" w:fill="auto"/>
            <w:vAlign w:val="center"/>
          </w:tcPr>
          <w:p w14:paraId="3E3E7F9E" w14:textId="77777777" w:rsidR="00051F60" w:rsidRPr="00933A7F" w:rsidRDefault="00051F60" w:rsidP="008E6423">
            <w:pPr>
              <w:pStyle w:val="cuatexto"/>
              <w:spacing w:line="240" w:lineRule="auto"/>
              <w:jc w:val="right"/>
              <w:rPr>
                <w:szCs w:val="20"/>
              </w:rPr>
            </w:pPr>
            <w:r w:rsidRPr="00933A7F">
              <w:rPr>
                <w:szCs w:val="20"/>
              </w:rPr>
              <w:t>7</w:t>
            </w:r>
          </w:p>
        </w:tc>
        <w:tc>
          <w:tcPr>
            <w:tcW w:w="861" w:type="dxa"/>
            <w:shd w:val="clear" w:color="auto" w:fill="auto"/>
            <w:vAlign w:val="center"/>
          </w:tcPr>
          <w:p w14:paraId="7EB2AF08" w14:textId="77777777" w:rsidR="00051F60" w:rsidRPr="00933A7F" w:rsidRDefault="00051F60" w:rsidP="008E6423">
            <w:pPr>
              <w:pStyle w:val="cuatexto"/>
              <w:spacing w:line="240" w:lineRule="auto"/>
              <w:jc w:val="right"/>
              <w:rPr>
                <w:szCs w:val="20"/>
              </w:rPr>
            </w:pPr>
            <w:r w:rsidRPr="00933A7F">
              <w:rPr>
                <w:szCs w:val="20"/>
              </w:rPr>
              <w:t>3</w:t>
            </w:r>
          </w:p>
        </w:tc>
        <w:tc>
          <w:tcPr>
            <w:tcW w:w="1003" w:type="dxa"/>
            <w:tcBorders>
              <w:right w:val="single" w:sz="2" w:space="0" w:color="auto"/>
            </w:tcBorders>
            <w:vAlign w:val="center"/>
          </w:tcPr>
          <w:p w14:paraId="27F1AF8F" w14:textId="77777777" w:rsidR="00051F60" w:rsidRPr="00933A7F" w:rsidRDefault="00051F60" w:rsidP="008E6423">
            <w:pPr>
              <w:pStyle w:val="cuatexto"/>
              <w:spacing w:line="240" w:lineRule="auto"/>
              <w:jc w:val="right"/>
              <w:rPr>
                <w:szCs w:val="20"/>
              </w:rPr>
            </w:pPr>
            <w:r w:rsidRPr="00933A7F">
              <w:rPr>
                <w:szCs w:val="20"/>
              </w:rPr>
              <w:t>2</w:t>
            </w:r>
          </w:p>
        </w:tc>
        <w:tc>
          <w:tcPr>
            <w:tcW w:w="982" w:type="dxa"/>
            <w:tcBorders>
              <w:left w:val="single" w:sz="2" w:space="0" w:color="auto"/>
            </w:tcBorders>
            <w:vAlign w:val="center"/>
          </w:tcPr>
          <w:p w14:paraId="7DE8B8EB" w14:textId="77777777" w:rsidR="00051F60" w:rsidRPr="00933A7F" w:rsidRDefault="00051F60" w:rsidP="008E6423">
            <w:pPr>
              <w:pStyle w:val="cuatexto"/>
              <w:spacing w:line="240" w:lineRule="auto"/>
              <w:jc w:val="right"/>
              <w:rPr>
                <w:rFonts w:cs="Calibri"/>
                <w:szCs w:val="20"/>
              </w:rPr>
            </w:pPr>
            <w:r w:rsidRPr="00933A7F">
              <w:rPr>
                <w:rFonts w:cs="Calibri"/>
                <w:szCs w:val="20"/>
              </w:rPr>
              <w:t>53,45</w:t>
            </w:r>
          </w:p>
        </w:tc>
        <w:tc>
          <w:tcPr>
            <w:tcW w:w="993" w:type="dxa"/>
            <w:vAlign w:val="center"/>
          </w:tcPr>
          <w:p w14:paraId="640B0382" w14:textId="77777777" w:rsidR="00051F60" w:rsidRPr="00933A7F" w:rsidRDefault="00051F60" w:rsidP="008E6423">
            <w:pPr>
              <w:pStyle w:val="cuatexto"/>
              <w:spacing w:line="240" w:lineRule="auto"/>
              <w:jc w:val="right"/>
              <w:rPr>
                <w:rFonts w:cs="Calibri"/>
                <w:szCs w:val="20"/>
              </w:rPr>
            </w:pPr>
            <w:r w:rsidRPr="00933A7F">
              <w:rPr>
                <w:rFonts w:cs="Calibri"/>
                <w:szCs w:val="20"/>
              </w:rPr>
              <w:t>6</w:t>
            </w:r>
          </w:p>
        </w:tc>
      </w:tr>
      <w:tr w:rsidR="00051F60" w:rsidRPr="00933A7F" w14:paraId="59A9D617" w14:textId="77777777" w:rsidTr="008E6423">
        <w:trPr>
          <w:trHeight w:val="227"/>
          <w:jc w:val="center"/>
        </w:trPr>
        <w:tc>
          <w:tcPr>
            <w:tcW w:w="2124" w:type="dxa"/>
            <w:shd w:val="clear" w:color="auto" w:fill="auto"/>
            <w:vAlign w:val="center"/>
            <w:hideMark/>
          </w:tcPr>
          <w:p w14:paraId="306D75A3" w14:textId="77777777" w:rsidR="00051F60" w:rsidRPr="00933A7F" w:rsidRDefault="00051F60" w:rsidP="008E6423">
            <w:pPr>
              <w:pStyle w:val="cuatexto"/>
              <w:spacing w:line="240" w:lineRule="auto"/>
              <w:rPr>
                <w:szCs w:val="20"/>
              </w:rPr>
            </w:pPr>
            <w:r w:rsidRPr="00933A7F">
              <w:rPr>
                <w:szCs w:val="20"/>
              </w:rPr>
              <w:t>Cultura</w:t>
            </w:r>
          </w:p>
        </w:tc>
        <w:tc>
          <w:tcPr>
            <w:tcW w:w="1133" w:type="dxa"/>
            <w:shd w:val="clear" w:color="auto" w:fill="auto"/>
            <w:vAlign w:val="center"/>
          </w:tcPr>
          <w:p w14:paraId="7246C49B" w14:textId="77777777" w:rsidR="00051F60" w:rsidRPr="00933A7F" w:rsidRDefault="00051F60" w:rsidP="008E6423">
            <w:pPr>
              <w:pStyle w:val="cuatexto"/>
              <w:spacing w:line="240" w:lineRule="auto"/>
              <w:jc w:val="right"/>
              <w:rPr>
                <w:szCs w:val="20"/>
              </w:rPr>
            </w:pPr>
            <w:r w:rsidRPr="00933A7F">
              <w:rPr>
                <w:szCs w:val="20"/>
              </w:rPr>
              <w:t>69,15</w:t>
            </w:r>
          </w:p>
        </w:tc>
        <w:tc>
          <w:tcPr>
            <w:tcW w:w="854" w:type="dxa"/>
            <w:shd w:val="clear" w:color="auto" w:fill="auto"/>
            <w:vAlign w:val="center"/>
          </w:tcPr>
          <w:p w14:paraId="1FF158B6" w14:textId="77777777" w:rsidR="00051F60" w:rsidRPr="00933A7F" w:rsidRDefault="00051F60" w:rsidP="008E6423">
            <w:pPr>
              <w:pStyle w:val="cuatexto"/>
              <w:spacing w:line="240" w:lineRule="auto"/>
              <w:jc w:val="right"/>
              <w:rPr>
                <w:szCs w:val="20"/>
              </w:rPr>
            </w:pPr>
            <w:r w:rsidRPr="00933A7F">
              <w:rPr>
                <w:szCs w:val="20"/>
              </w:rPr>
              <w:t>44,57</w:t>
            </w:r>
          </w:p>
        </w:tc>
        <w:tc>
          <w:tcPr>
            <w:tcW w:w="981" w:type="dxa"/>
            <w:shd w:val="clear" w:color="auto" w:fill="auto"/>
            <w:vAlign w:val="center"/>
          </w:tcPr>
          <w:p w14:paraId="08E4EEE6" w14:textId="77777777" w:rsidR="00051F60" w:rsidRPr="00933A7F" w:rsidRDefault="00051F60" w:rsidP="008E6423">
            <w:pPr>
              <w:pStyle w:val="cuatexto"/>
              <w:spacing w:line="240" w:lineRule="auto"/>
              <w:jc w:val="right"/>
              <w:rPr>
                <w:szCs w:val="20"/>
              </w:rPr>
            </w:pPr>
            <w:r w:rsidRPr="00933A7F">
              <w:rPr>
                <w:szCs w:val="20"/>
              </w:rPr>
              <w:t>6</w:t>
            </w:r>
          </w:p>
        </w:tc>
        <w:tc>
          <w:tcPr>
            <w:tcW w:w="861" w:type="dxa"/>
            <w:shd w:val="clear" w:color="auto" w:fill="auto"/>
            <w:vAlign w:val="center"/>
          </w:tcPr>
          <w:p w14:paraId="51ADAA8C" w14:textId="77777777" w:rsidR="00051F60" w:rsidRPr="00933A7F" w:rsidRDefault="00051F60" w:rsidP="008E6423">
            <w:pPr>
              <w:pStyle w:val="cuatexto"/>
              <w:spacing w:line="240" w:lineRule="auto"/>
              <w:jc w:val="right"/>
              <w:rPr>
                <w:szCs w:val="20"/>
              </w:rPr>
            </w:pPr>
            <w:r w:rsidRPr="00933A7F">
              <w:rPr>
                <w:szCs w:val="20"/>
              </w:rPr>
              <w:t>-36</w:t>
            </w:r>
          </w:p>
        </w:tc>
        <w:tc>
          <w:tcPr>
            <w:tcW w:w="1003" w:type="dxa"/>
            <w:tcBorders>
              <w:right w:val="single" w:sz="2" w:space="0" w:color="auto"/>
            </w:tcBorders>
            <w:vAlign w:val="center"/>
          </w:tcPr>
          <w:p w14:paraId="0E749128" w14:textId="77777777" w:rsidR="00051F60" w:rsidRPr="00933A7F" w:rsidRDefault="00051F60" w:rsidP="008E6423">
            <w:pPr>
              <w:pStyle w:val="cuatexto"/>
              <w:spacing w:line="240" w:lineRule="auto"/>
              <w:jc w:val="right"/>
              <w:rPr>
                <w:szCs w:val="20"/>
              </w:rPr>
            </w:pPr>
            <w:r w:rsidRPr="00933A7F">
              <w:rPr>
                <w:szCs w:val="20"/>
              </w:rPr>
              <w:t>-25</w:t>
            </w:r>
          </w:p>
        </w:tc>
        <w:tc>
          <w:tcPr>
            <w:tcW w:w="982" w:type="dxa"/>
            <w:tcBorders>
              <w:left w:val="single" w:sz="2" w:space="0" w:color="auto"/>
            </w:tcBorders>
            <w:vAlign w:val="center"/>
          </w:tcPr>
          <w:p w14:paraId="28F16C45" w14:textId="77777777" w:rsidR="00051F60" w:rsidRPr="00933A7F" w:rsidRDefault="00051F60" w:rsidP="008E6423">
            <w:pPr>
              <w:pStyle w:val="cuatexto"/>
              <w:spacing w:line="240" w:lineRule="auto"/>
              <w:jc w:val="right"/>
              <w:rPr>
                <w:rFonts w:cs="Calibri"/>
                <w:szCs w:val="20"/>
              </w:rPr>
            </w:pPr>
            <w:r w:rsidRPr="00933A7F">
              <w:rPr>
                <w:rFonts w:cs="Calibri"/>
                <w:szCs w:val="20"/>
              </w:rPr>
              <w:t>44,57</w:t>
            </w:r>
          </w:p>
        </w:tc>
        <w:tc>
          <w:tcPr>
            <w:tcW w:w="993" w:type="dxa"/>
            <w:vAlign w:val="center"/>
          </w:tcPr>
          <w:p w14:paraId="50D36A82" w14:textId="77777777" w:rsidR="00051F60" w:rsidRPr="00933A7F" w:rsidRDefault="00051F60" w:rsidP="008E6423">
            <w:pPr>
              <w:pStyle w:val="cuatexto"/>
              <w:spacing w:line="240" w:lineRule="auto"/>
              <w:jc w:val="right"/>
              <w:rPr>
                <w:rFonts w:cs="Calibri"/>
                <w:szCs w:val="20"/>
              </w:rPr>
            </w:pPr>
            <w:r w:rsidRPr="00933A7F">
              <w:rPr>
                <w:rFonts w:cs="Calibri"/>
                <w:szCs w:val="20"/>
              </w:rPr>
              <w:t>5</w:t>
            </w:r>
          </w:p>
        </w:tc>
      </w:tr>
      <w:tr w:rsidR="00051F60" w:rsidRPr="00933A7F" w14:paraId="4F12EDAB" w14:textId="77777777" w:rsidTr="008E6423">
        <w:trPr>
          <w:trHeight w:val="227"/>
          <w:jc w:val="center"/>
        </w:trPr>
        <w:tc>
          <w:tcPr>
            <w:tcW w:w="2124" w:type="dxa"/>
            <w:shd w:val="clear" w:color="auto" w:fill="auto"/>
            <w:vAlign w:val="center"/>
            <w:hideMark/>
          </w:tcPr>
          <w:p w14:paraId="63871A87" w14:textId="77777777" w:rsidR="00051F60" w:rsidRPr="00933A7F" w:rsidRDefault="00051F60" w:rsidP="008E6423">
            <w:pPr>
              <w:pStyle w:val="cuatexto"/>
              <w:spacing w:line="240" w:lineRule="auto"/>
              <w:rPr>
                <w:szCs w:val="20"/>
              </w:rPr>
            </w:pPr>
            <w:r w:rsidRPr="00933A7F">
              <w:rPr>
                <w:szCs w:val="20"/>
              </w:rPr>
              <w:t>Deuda pública</w:t>
            </w:r>
          </w:p>
        </w:tc>
        <w:tc>
          <w:tcPr>
            <w:tcW w:w="1133" w:type="dxa"/>
            <w:shd w:val="clear" w:color="auto" w:fill="auto"/>
            <w:vAlign w:val="center"/>
          </w:tcPr>
          <w:p w14:paraId="511195A4" w14:textId="77777777" w:rsidR="00051F60" w:rsidRPr="00933A7F" w:rsidRDefault="00051F60" w:rsidP="008E6423">
            <w:pPr>
              <w:pStyle w:val="cuatexto"/>
              <w:spacing w:line="240" w:lineRule="auto"/>
              <w:jc w:val="right"/>
              <w:rPr>
                <w:szCs w:val="20"/>
              </w:rPr>
            </w:pPr>
            <w:r w:rsidRPr="00933A7F">
              <w:rPr>
                <w:szCs w:val="20"/>
              </w:rPr>
              <w:t>29,03</w:t>
            </w:r>
          </w:p>
        </w:tc>
        <w:tc>
          <w:tcPr>
            <w:tcW w:w="854" w:type="dxa"/>
            <w:shd w:val="clear" w:color="auto" w:fill="auto"/>
            <w:vAlign w:val="center"/>
          </w:tcPr>
          <w:p w14:paraId="2AA6A44C" w14:textId="77777777" w:rsidR="00051F60" w:rsidRPr="00933A7F" w:rsidRDefault="00051F60" w:rsidP="008E6423">
            <w:pPr>
              <w:pStyle w:val="cuatexto"/>
              <w:spacing w:line="240" w:lineRule="auto"/>
              <w:jc w:val="right"/>
              <w:rPr>
                <w:szCs w:val="20"/>
              </w:rPr>
            </w:pPr>
            <w:r w:rsidRPr="00933A7F">
              <w:rPr>
                <w:szCs w:val="20"/>
              </w:rPr>
              <w:t>29,24</w:t>
            </w:r>
          </w:p>
        </w:tc>
        <w:tc>
          <w:tcPr>
            <w:tcW w:w="981" w:type="dxa"/>
            <w:shd w:val="clear" w:color="auto" w:fill="auto"/>
            <w:vAlign w:val="center"/>
          </w:tcPr>
          <w:p w14:paraId="55F9CAC7" w14:textId="77777777" w:rsidR="00051F60" w:rsidRPr="00933A7F" w:rsidRDefault="00051F60" w:rsidP="008E6423">
            <w:pPr>
              <w:pStyle w:val="cuatexto"/>
              <w:spacing w:line="240" w:lineRule="auto"/>
              <w:jc w:val="right"/>
              <w:rPr>
                <w:szCs w:val="20"/>
              </w:rPr>
            </w:pPr>
            <w:r w:rsidRPr="00933A7F">
              <w:rPr>
                <w:szCs w:val="20"/>
              </w:rPr>
              <w:t>4</w:t>
            </w:r>
          </w:p>
        </w:tc>
        <w:tc>
          <w:tcPr>
            <w:tcW w:w="861" w:type="dxa"/>
            <w:shd w:val="clear" w:color="auto" w:fill="auto"/>
            <w:vAlign w:val="center"/>
          </w:tcPr>
          <w:p w14:paraId="6AE525F5" w14:textId="77777777" w:rsidR="00051F60" w:rsidRPr="00933A7F" w:rsidRDefault="00051F60" w:rsidP="008E6423">
            <w:pPr>
              <w:pStyle w:val="cuatexto"/>
              <w:spacing w:line="240" w:lineRule="auto"/>
              <w:jc w:val="right"/>
              <w:rPr>
                <w:szCs w:val="20"/>
              </w:rPr>
            </w:pPr>
            <w:r w:rsidRPr="00933A7F">
              <w:rPr>
                <w:szCs w:val="20"/>
              </w:rPr>
              <w:t>1</w:t>
            </w:r>
          </w:p>
        </w:tc>
        <w:tc>
          <w:tcPr>
            <w:tcW w:w="1003" w:type="dxa"/>
            <w:tcBorders>
              <w:right w:val="single" w:sz="2" w:space="0" w:color="auto"/>
            </w:tcBorders>
            <w:vAlign w:val="center"/>
          </w:tcPr>
          <w:p w14:paraId="73EE16E5" w14:textId="77777777" w:rsidR="00051F60" w:rsidRPr="00933A7F" w:rsidRDefault="00051F60" w:rsidP="008E6423">
            <w:pPr>
              <w:pStyle w:val="cuatexto"/>
              <w:spacing w:line="240" w:lineRule="auto"/>
              <w:jc w:val="right"/>
              <w:rPr>
                <w:szCs w:val="20"/>
              </w:rPr>
            </w:pPr>
            <w:r w:rsidRPr="00933A7F">
              <w:rPr>
                <w:szCs w:val="20"/>
              </w:rPr>
              <w:t>0</w:t>
            </w:r>
          </w:p>
        </w:tc>
        <w:tc>
          <w:tcPr>
            <w:tcW w:w="982" w:type="dxa"/>
            <w:tcBorders>
              <w:left w:val="single" w:sz="2" w:space="0" w:color="auto"/>
            </w:tcBorders>
            <w:vAlign w:val="center"/>
          </w:tcPr>
          <w:p w14:paraId="0FF148CE" w14:textId="77777777" w:rsidR="00051F60" w:rsidRPr="00933A7F" w:rsidRDefault="00051F60" w:rsidP="008E6423">
            <w:pPr>
              <w:pStyle w:val="cuatexto"/>
              <w:spacing w:line="240" w:lineRule="auto"/>
              <w:jc w:val="right"/>
              <w:rPr>
                <w:rFonts w:cs="Calibri"/>
                <w:szCs w:val="20"/>
              </w:rPr>
            </w:pPr>
            <w:r w:rsidRPr="00933A7F">
              <w:rPr>
                <w:rFonts w:cs="Calibri"/>
                <w:szCs w:val="20"/>
              </w:rPr>
              <w:t>29,24</w:t>
            </w:r>
          </w:p>
        </w:tc>
        <w:tc>
          <w:tcPr>
            <w:tcW w:w="993" w:type="dxa"/>
            <w:vAlign w:val="center"/>
          </w:tcPr>
          <w:p w14:paraId="3682B2D2" w14:textId="77777777" w:rsidR="00051F60" w:rsidRPr="00933A7F" w:rsidRDefault="00051F60" w:rsidP="008E6423">
            <w:pPr>
              <w:pStyle w:val="cuatexto"/>
              <w:spacing w:line="240" w:lineRule="auto"/>
              <w:jc w:val="right"/>
              <w:rPr>
                <w:rFonts w:cs="Calibri"/>
                <w:szCs w:val="20"/>
              </w:rPr>
            </w:pPr>
            <w:r w:rsidRPr="00933A7F">
              <w:rPr>
                <w:rFonts w:cs="Calibri"/>
                <w:szCs w:val="20"/>
              </w:rPr>
              <w:t>3</w:t>
            </w:r>
          </w:p>
        </w:tc>
      </w:tr>
      <w:tr w:rsidR="00051F60" w:rsidRPr="00933A7F" w14:paraId="51D93150" w14:textId="77777777" w:rsidTr="008E6423">
        <w:trPr>
          <w:trHeight w:val="227"/>
          <w:jc w:val="center"/>
        </w:trPr>
        <w:tc>
          <w:tcPr>
            <w:tcW w:w="2124" w:type="dxa"/>
            <w:shd w:val="clear" w:color="auto" w:fill="auto"/>
            <w:vAlign w:val="center"/>
            <w:hideMark/>
          </w:tcPr>
          <w:p w14:paraId="2434889F" w14:textId="77777777" w:rsidR="00051F60" w:rsidRPr="00933A7F" w:rsidRDefault="00051F60" w:rsidP="008E6423">
            <w:pPr>
              <w:pStyle w:val="cuatexto"/>
              <w:spacing w:line="240" w:lineRule="auto"/>
              <w:rPr>
                <w:szCs w:val="20"/>
              </w:rPr>
            </w:pPr>
            <w:r w:rsidRPr="00933A7F">
              <w:rPr>
                <w:szCs w:val="20"/>
              </w:rPr>
              <w:t>Transporte público</w:t>
            </w:r>
          </w:p>
        </w:tc>
        <w:tc>
          <w:tcPr>
            <w:tcW w:w="1133" w:type="dxa"/>
            <w:shd w:val="clear" w:color="auto" w:fill="auto"/>
            <w:vAlign w:val="center"/>
          </w:tcPr>
          <w:p w14:paraId="0E6A0AE4" w14:textId="77777777" w:rsidR="00051F60" w:rsidRPr="00933A7F" w:rsidRDefault="00051F60" w:rsidP="008E6423">
            <w:pPr>
              <w:pStyle w:val="cuatexto"/>
              <w:spacing w:line="240" w:lineRule="auto"/>
              <w:jc w:val="right"/>
              <w:rPr>
                <w:szCs w:val="20"/>
              </w:rPr>
            </w:pPr>
            <w:r w:rsidRPr="00933A7F">
              <w:rPr>
                <w:szCs w:val="20"/>
              </w:rPr>
              <w:t>22,66</w:t>
            </w:r>
          </w:p>
        </w:tc>
        <w:tc>
          <w:tcPr>
            <w:tcW w:w="854" w:type="dxa"/>
            <w:shd w:val="clear" w:color="auto" w:fill="auto"/>
            <w:vAlign w:val="center"/>
          </w:tcPr>
          <w:p w14:paraId="1530791D" w14:textId="77777777" w:rsidR="00051F60" w:rsidRPr="00933A7F" w:rsidRDefault="00051F60" w:rsidP="008E6423">
            <w:pPr>
              <w:pStyle w:val="cuatexto"/>
              <w:spacing w:line="240" w:lineRule="auto"/>
              <w:jc w:val="right"/>
              <w:rPr>
                <w:szCs w:val="20"/>
              </w:rPr>
            </w:pPr>
            <w:r w:rsidRPr="00933A7F">
              <w:rPr>
                <w:szCs w:val="20"/>
              </w:rPr>
              <w:t>23,81</w:t>
            </w:r>
          </w:p>
        </w:tc>
        <w:tc>
          <w:tcPr>
            <w:tcW w:w="981" w:type="dxa"/>
            <w:shd w:val="clear" w:color="auto" w:fill="auto"/>
            <w:vAlign w:val="center"/>
          </w:tcPr>
          <w:p w14:paraId="7FA30E6B" w14:textId="77777777" w:rsidR="00051F60" w:rsidRPr="00933A7F" w:rsidRDefault="00051F60" w:rsidP="008E6423">
            <w:pPr>
              <w:pStyle w:val="cuatexto"/>
              <w:spacing w:line="240" w:lineRule="auto"/>
              <w:jc w:val="right"/>
              <w:rPr>
                <w:szCs w:val="20"/>
              </w:rPr>
            </w:pPr>
            <w:r w:rsidRPr="00933A7F">
              <w:rPr>
                <w:szCs w:val="20"/>
              </w:rPr>
              <w:t>3</w:t>
            </w:r>
          </w:p>
        </w:tc>
        <w:tc>
          <w:tcPr>
            <w:tcW w:w="861" w:type="dxa"/>
            <w:shd w:val="clear" w:color="auto" w:fill="auto"/>
            <w:vAlign w:val="center"/>
          </w:tcPr>
          <w:p w14:paraId="2D6D2A9D" w14:textId="77777777" w:rsidR="00051F60" w:rsidRPr="00933A7F" w:rsidRDefault="00051F60" w:rsidP="008E6423">
            <w:pPr>
              <w:pStyle w:val="cuatexto"/>
              <w:spacing w:line="240" w:lineRule="auto"/>
              <w:jc w:val="right"/>
              <w:rPr>
                <w:szCs w:val="20"/>
              </w:rPr>
            </w:pPr>
            <w:r w:rsidRPr="00933A7F">
              <w:rPr>
                <w:szCs w:val="20"/>
              </w:rPr>
              <w:t>5</w:t>
            </w:r>
          </w:p>
        </w:tc>
        <w:tc>
          <w:tcPr>
            <w:tcW w:w="1003" w:type="dxa"/>
            <w:tcBorders>
              <w:right w:val="single" w:sz="2" w:space="0" w:color="auto"/>
            </w:tcBorders>
            <w:vAlign w:val="center"/>
          </w:tcPr>
          <w:p w14:paraId="500899BB" w14:textId="77777777" w:rsidR="00051F60" w:rsidRPr="00933A7F" w:rsidRDefault="00051F60" w:rsidP="008E6423">
            <w:pPr>
              <w:pStyle w:val="cuatexto"/>
              <w:spacing w:line="240" w:lineRule="auto"/>
              <w:jc w:val="right"/>
              <w:rPr>
                <w:szCs w:val="20"/>
              </w:rPr>
            </w:pPr>
            <w:r w:rsidRPr="00933A7F">
              <w:rPr>
                <w:szCs w:val="20"/>
              </w:rPr>
              <w:t>1</w:t>
            </w:r>
          </w:p>
        </w:tc>
        <w:tc>
          <w:tcPr>
            <w:tcW w:w="982" w:type="dxa"/>
            <w:tcBorders>
              <w:left w:val="single" w:sz="2" w:space="0" w:color="auto"/>
            </w:tcBorders>
            <w:vAlign w:val="center"/>
          </w:tcPr>
          <w:p w14:paraId="74FE8CD2" w14:textId="77777777" w:rsidR="00051F60" w:rsidRPr="00933A7F" w:rsidRDefault="00051F60" w:rsidP="008E6423">
            <w:pPr>
              <w:pStyle w:val="cuatexto"/>
              <w:spacing w:line="240" w:lineRule="auto"/>
              <w:jc w:val="right"/>
              <w:rPr>
                <w:rFonts w:cs="Calibri"/>
                <w:szCs w:val="20"/>
              </w:rPr>
            </w:pPr>
            <w:r w:rsidRPr="00933A7F">
              <w:rPr>
                <w:rFonts w:cs="Calibri"/>
                <w:szCs w:val="20"/>
              </w:rPr>
              <w:t>23,33</w:t>
            </w:r>
          </w:p>
        </w:tc>
        <w:tc>
          <w:tcPr>
            <w:tcW w:w="993" w:type="dxa"/>
            <w:vAlign w:val="center"/>
          </w:tcPr>
          <w:p w14:paraId="646D5816" w14:textId="77777777" w:rsidR="00051F60" w:rsidRPr="00933A7F" w:rsidRDefault="00051F60" w:rsidP="008E6423">
            <w:pPr>
              <w:pStyle w:val="cuatexto"/>
              <w:spacing w:line="240" w:lineRule="auto"/>
              <w:jc w:val="right"/>
              <w:rPr>
                <w:rFonts w:cs="Calibri"/>
                <w:szCs w:val="20"/>
              </w:rPr>
            </w:pPr>
            <w:r w:rsidRPr="00933A7F">
              <w:rPr>
                <w:rFonts w:cs="Calibri"/>
                <w:szCs w:val="20"/>
              </w:rPr>
              <w:t>3</w:t>
            </w:r>
          </w:p>
        </w:tc>
      </w:tr>
      <w:tr w:rsidR="00051F60" w:rsidRPr="00933A7F" w14:paraId="7228B46F" w14:textId="77777777" w:rsidTr="008E6423">
        <w:trPr>
          <w:trHeight w:val="227"/>
          <w:jc w:val="center"/>
        </w:trPr>
        <w:tc>
          <w:tcPr>
            <w:tcW w:w="2124" w:type="dxa"/>
            <w:shd w:val="clear" w:color="auto" w:fill="auto"/>
            <w:vAlign w:val="center"/>
            <w:hideMark/>
          </w:tcPr>
          <w:p w14:paraId="1445A46E" w14:textId="77777777" w:rsidR="00051F60" w:rsidRPr="00933A7F" w:rsidRDefault="00051F60" w:rsidP="008E6423">
            <w:pPr>
              <w:pStyle w:val="cuatexto"/>
              <w:spacing w:line="240" w:lineRule="auto"/>
              <w:rPr>
                <w:szCs w:val="20"/>
              </w:rPr>
            </w:pPr>
            <w:r w:rsidRPr="00933A7F">
              <w:rPr>
                <w:szCs w:val="20"/>
              </w:rPr>
              <w:t>Otras</w:t>
            </w:r>
          </w:p>
        </w:tc>
        <w:tc>
          <w:tcPr>
            <w:tcW w:w="1133" w:type="dxa"/>
            <w:shd w:val="clear" w:color="auto" w:fill="auto"/>
            <w:vAlign w:val="center"/>
          </w:tcPr>
          <w:p w14:paraId="4EC1C5AF" w14:textId="77777777" w:rsidR="00051F60" w:rsidRPr="00933A7F" w:rsidRDefault="00051F60" w:rsidP="008E6423">
            <w:pPr>
              <w:pStyle w:val="cuatexto"/>
              <w:spacing w:line="240" w:lineRule="auto"/>
              <w:jc w:val="right"/>
              <w:rPr>
                <w:szCs w:val="20"/>
              </w:rPr>
            </w:pPr>
            <w:r w:rsidRPr="00933A7F">
              <w:rPr>
                <w:szCs w:val="20"/>
              </w:rPr>
              <w:t>122,42</w:t>
            </w:r>
          </w:p>
        </w:tc>
        <w:tc>
          <w:tcPr>
            <w:tcW w:w="854" w:type="dxa"/>
            <w:shd w:val="clear" w:color="auto" w:fill="auto"/>
            <w:vAlign w:val="center"/>
          </w:tcPr>
          <w:p w14:paraId="7AC9AD7A" w14:textId="77777777" w:rsidR="00051F60" w:rsidRPr="00933A7F" w:rsidRDefault="00051F60" w:rsidP="008E6423">
            <w:pPr>
              <w:pStyle w:val="cuatexto"/>
              <w:spacing w:line="240" w:lineRule="auto"/>
              <w:jc w:val="right"/>
              <w:rPr>
                <w:szCs w:val="20"/>
              </w:rPr>
            </w:pPr>
            <w:r w:rsidRPr="00933A7F">
              <w:rPr>
                <w:szCs w:val="20"/>
              </w:rPr>
              <w:t>114,45</w:t>
            </w:r>
          </w:p>
        </w:tc>
        <w:tc>
          <w:tcPr>
            <w:tcW w:w="981" w:type="dxa"/>
            <w:shd w:val="clear" w:color="auto" w:fill="auto"/>
            <w:vAlign w:val="center"/>
          </w:tcPr>
          <w:p w14:paraId="26111888" w14:textId="77777777" w:rsidR="00051F60" w:rsidRPr="00933A7F" w:rsidRDefault="00051F60" w:rsidP="008E6423">
            <w:pPr>
              <w:pStyle w:val="cuatexto"/>
              <w:spacing w:line="240" w:lineRule="auto"/>
              <w:jc w:val="right"/>
              <w:rPr>
                <w:szCs w:val="20"/>
              </w:rPr>
            </w:pPr>
            <w:r w:rsidRPr="00933A7F">
              <w:rPr>
                <w:szCs w:val="20"/>
              </w:rPr>
              <w:t>14</w:t>
            </w:r>
          </w:p>
        </w:tc>
        <w:tc>
          <w:tcPr>
            <w:tcW w:w="861" w:type="dxa"/>
            <w:shd w:val="clear" w:color="auto" w:fill="auto"/>
            <w:vAlign w:val="center"/>
          </w:tcPr>
          <w:p w14:paraId="78E6F2F1" w14:textId="77777777" w:rsidR="00051F60" w:rsidRPr="00933A7F" w:rsidRDefault="00051F60" w:rsidP="008E6423">
            <w:pPr>
              <w:pStyle w:val="cuatexto"/>
              <w:spacing w:line="240" w:lineRule="auto"/>
              <w:jc w:val="right"/>
              <w:rPr>
                <w:szCs w:val="20"/>
              </w:rPr>
            </w:pPr>
            <w:r w:rsidRPr="00933A7F">
              <w:rPr>
                <w:szCs w:val="20"/>
              </w:rPr>
              <w:t>-7</w:t>
            </w:r>
          </w:p>
        </w:tc>
        <w:tc>
          <w:tcPr>
            <w:tcW w:w="1003" w:type="dxa"/>
            <w:tcBorders>
              <w:right w:val="single" w:sz="2" w:space="0" w:color="auto"/>
            </w:tcBorders>
            <w:vAlign w:val="center"/>
          </w:tcPr>
          <w:p w14:paraId="4F030A13" w14:textId="77777777" w:rsidR="00051F60" w:rsidRPr="00933A7F" w:rsidRDefault="00051F60" w:rsidP="008E6423">
            <w:pPr>
              <w:pStyle w:val="cuatexto"/>
              <w:spacing w:line="240" w:lineRule="auto"/>
              <w:jc w:val="right"/>
              <w:rPr>
                <w:szCs w:val="20"/>
              </w:rPr>
            </w:pPr>
            <w:r w:rsidRPr="00933A7F">
              <w:rPr>
                <w:szCs w:val="20"/>
              </w:rPr>
              <w:t>-8</w:t>
            </w:r>
          </w:p>
        </w:tc>
        <w:tc>
          <w:tcPr>
            <w:tcW w:w="982" w:type="dxa"/>
            <w:tcBorders>
              <w:left w:val="single" w:sz="2" w:space="0" w:color="auto"/>
            </w:tcBorders>
            <w:vAlign w:val="center"/>
          </w:tcPr>
          <w:p w14:paraId="42A664ED" w14:textId="77777777" w:rsidR="00051F60" w:rsidRPr="00933A7F" w:rsidRDefault="00051F60" w:rsidP="008E6423">
            <w:pPr>
              <w:pStyle w:val="cuatexto"/>
              <w:spacing w:line="240" w:lineRule="auto"/>
              <w:jc w:val="right"/>
              <w:rPr>
                <w:rFonts w:cs="Calibri"/>
                <w:szCs w:val="20"/>
              </w:rPr>
            </w:pPr>
            <w:r w:rsidRPr="00933A7F">
              <w:rPr>
                <w:rFonts w:cs="Calibri"/>
                <w:szCs w:val="20"/>
              </w:rPr>
              <w:t>119,45</w:t>
            </w:r>
          </w:p>
        </w:tc>
        <w:tc>
          <w:tcPr>
            <w:tcW w:w="993" w:type="dxa"/>
            <w:vAlign w:val="center"/>
          </w:tcPr>
          <w:p w14:paraId="047AB2C4" w14:textId="77777777" w:rsidR="00051F60" w:rsidRPr="00933A7F" w:rsidRDefault="00051F60" w:rsidP="008E6423">
            <w:pPr>
              <w:pStyle w:val="cuatexto"/>
              <w:spacing w:line="240" w:lineRule="auto"/>
              <w:jc w:val="right"/>
              <w:rPr>
                <w:rFonts w:cs="Calibri"/>
                <w:szCs w:val="20"/>
              </w:rPr>
            </w:pPr>
            <w:r w:rsidRPr="00933A7F">
              <w:rPr>
                <w:rFonts w:cs="Calibri"/>
                <w:szCs w:val="20"/>
              </w:rPr>
              <w:t>14</w:t>
            </w:r>
          </w:p>
        </w:tc>
      </w:tr>
      <w:tr w:rsidR="00681E7B" w:rsidRPr="008E6423" w14:paraId="0F91E958" w14:textId="77777777" w:rsidTr="008E6423">
        <w:trPr>
          <w:trHeight w:val="227"/>
          <w:jc w:val="center"/>
        </w:trPr>
        <w:tc>
          <w:tcPr>
            <w:tcW w:w="2124" w:type="dxa"/>
            <w:shd w:val="clear" w:color="auto" w:fill="FABF8F" w:themeFill="accent6" w:themeFillTint="99"/>
            <w:vAlign w:val="center"/>
            <w:hideMark/>
          </w:tcPr>
          <w:p w14:paraId="1E9EFF1C" w14:textId="77777777" w:rsidR="00051F60" w:rsidRPr="008E6423" w:rsidRDefault="00051F60" w:rsidP="008E6423">
            <w:pPr>
              <w:pStyle w:val="cuadroCabe"/>
              <w:spacing w:line="240" w:lineRule="auto"/>
              <w:jc w:val="left"/>
              <w:rPr>
                <w:szCs w:val="18"/>
              </w:rPr>
            </w:pPr>
            <w:r w:rsidRPr="008E6423">
              <w:rPr>
                <w:szCs w:val="18"/>
              </w:rPr>
              <w:t>Total</w:t>
            </w:r>
          </w:p>
        </w:tc>
        <w:tc>
          <w:tcPr>
            <w:tcW w:w="1133" w:type="dxa"/>
            <w:shd w:val="clear" w:color="auto" w:fill="FABF8F" w:themeFill="accent6" w:themeFillTint="99"/>
            <w:vAlign w:val="center"/>
          </w:tcPr>
          <w:p w14:paraId="54ADA784" w14:textId="77777777" w:rsidR="00051F60" w:rsidRPr="008E6423" w:rsidRDefault="00051F60" w:rsidP="008E6423">
            <w:pPr>
              <w:pStyle w:val="cuadroCabe"/>
              <w:spacing w:line="240" w:lineRule="auto"/>
              <w:jc w:val="right"/>
              <w:rPr>
                <w:sz w:val="16"/>
                <w:szCs w:val="16"/>
              </w:rPr>
            </w:pPr>
            <w:r w:rsidRPr="008E6423">
              <w:rPr>
                <w:sz w:val="16"/>
                <w:szCs w:val="16"/>
              </w:rPr>
              <w:t>885,37</w:t>
            </w:r>
          </w:p>
        </w:tc>
        <w:tc>
          <w:tcPr>
            <w:tcW w:w="854" w:type="dxa"/>
            <w:shd w:val="clear" w:color="auto" w:fill="FABF8F" w:themeFill="accent6" w:themeFillTint="99"/>
            <w:vAlign w:val="center"/>
          </w:tcPr>
          <w:p w14:paraId="250064B2" w14:textId="77777777" w:rsidR="00051F60" w:rsidRPr="008E6423" w:rsidRDefault="00051F60" w:rsidP="008E6423">
            <w:pPr>
              <w:pStyle w:val="cuadroCabe"/>
              <w:spacing w:line="240" w:lineRule="auto"/>
              <w:jc w:val="right"/>
              <w:rPr>
                <w:sz w:val="16"/>
                <w:szCs w:val="16"/>
              </w:rPr>
            </w:pPr>
            <w:r w:rsidRPr="008E6423">
              <w:rPr>
                <w:sz w:val="16"/>
                <w:szCs w:val="16"/>
              </w:rPr>
              <w:t>799,18</w:t>
            </w:r>
          </w:p>
        </w:tc>
        <w:tc>
          <w:tcPr>
            <w:tcW w:w="981" w:type="dxa"/>
            <w:shd w:val="clear" w:color="auto" w:fill="FABF8F" w:themeFill="accent6" w:themeFillTint="99"/>
            <w:vAlign w:val="center"/>
          </w:tcPr>
          <w:p w14:paraId="1B23D02A" w14:textId="77777777" w:rsidR="00051F60" w:rsidRPr="008E6423" w:rsidRDefault="00051F60" w:rsidP="008E6423">
            <w:pPr>
              <w:pStyle w:val="cuadroCabe"/>
              <w:spacing w:line="240" w:lineRule="auto"/>
              <w:jc w:val="right"/>
              <w:rPr>
                <w:sz w:val="16"/>
                <w:szCs w:val="16"/>
              </w:rPr>
            </w:pPr>
            <w:r w:rsidRPr="008E6423">
              <w:rPr>
                <w:sz w:val="16"/>
                <w:szCs w:val="16"/>
              </w:rPr>
              <w:t>100</w:t>
            </w:r>
          </w:p>
        </w:tc>
        <w:tc>
          <w:tcPr>
            <w:tcW w:w="861" w:type="dxa"/>
            <w:shd w:val="clear" w:color="auto" w:fill="FABF8F" w:themeFill="accent6" w:themeFillTint="99"/>
            <w:vAlign w:val="center"/>
          </w:tcPr>
          <w:p w14:paraId="47F5AA62" w14:textId="77777777" w:rsidR="00051F60" w:rsidRPr="008E6423" w:rsidRDefault="00051F60" w:rsidP="008E6423">
            <w:pPr>
              <w:pStyle w:val="cuadroCabe"/>
              <w:spacing w:line="240" w:lineRule="auto"/>
              <w:jc w:val="right"/>
              <w:rPr>
                <w:sz w:val="16"/>
                <w:szCs w:val="16"/>
              </w:rPr>
            </w:pPr>
            <w:r w:rsidRPr="008E6423">
              <w:rPr>
                <w:sz w:val="16"/>
                <w:szCs w:val="16"/>
              </w:rPr>
              <w:t>-10</w:t>
            </w:r>
          </w:p>
        </w:tc>
        <w:tc>
          <w:tcPr>
            <w:tcW w:w="1003" w:type="dxa"/>
            <w:tcBorders>
              <w:right w:val="single" w:sz="2" w:space="0" w:color="auto"/>
            </w:tcBorders>
            <w:shd w:val="clear" w:color="auto" w:fill="FABF8F" w:themeFill="accent6" w:themeFillTint="99"/>
            <w:vAlign w:val="center"/>
          </w:tcPr>
          <w:p w14:paraId="36964440" w14:textId="77777777" w:rsidR="00051F60" w:rsidRPr="008E6423" w:rsidRDefault="00051F60" w:rsidP="008E6423">
            <w:pPr>
              <w:pStyle w:val="cuadroCabe"/>
              <w:spacing w:line="240" w:lineRule="auto"/>
              <w:jc w:val="right"/>
              <w:rPr>
                <w:sz w:val="16"/>
                <w:szCs w:val="16"/>
              </w:rPr>
            </w:pPr>
            <w:r w:rsidRPr="008E6423">
              <w:rPr>
                <w:sz w:val="16"/>
                <w:szCs w:val="16"/>
              </w:rPr>
              <w:t>-86</w:t>
            </w:r>
          </w:p>
        </w:tc>
        <w:tc>
          <w:tcPr>
            <w:tcW w:w="982" w:type="dxa"/>
            <w:tcBorders>
              <w:left w:val="single" w:sz="2" w:space="0" w:color="auto"/>
            </w:tcBorders>
            <w:shd w:val="clear" w:color="auto" w:fill="FABF8F" w:themeFill="accent6" w:themeFillTint="99"/>
            <w:vAlign w:val="center"/>
          </w:tcPr>
          <w:p w14:paraId="3DC50C23" w14:textId="77777777" w:rsidR="00051F60" w:rsidRPr="008E6423" w:rsidRDefault="00051F60" w:rsidP="008E6423">
            <w:pPr>
              <w:pStyle w:val="cuadroCabe"/>
              <w:spacing w:line="240" w:lineRule="auto"/>
              <w:jc w:val="right"/>
              <w:rPr>
                <w:sz w:val="16"/>
                <w:szCs w:val="16"/>
              </w:rPr>
            </w:pPr>
            <w:r w:rsidRPr="008E6423">
              <w:rPr>
                <w:sz w:val="16"/>
                <w:szCs w:val="16"/>
              </w:rPr>
              <w:t>877,62</w:t>
            </w:r>
          </w:p>
        </w:tc>
        <w:tc>
          <w:tcPr>
            <w:tcW w:w="993" w:type="dxa"/>
            <w:shd w:val="clear" w:color="auto" w:fill="FABF8F" w:themeFill="accent6" w:themeFillTint="99"/>
            <w:vAlign w:val="center"/>
          </w:tcPr>
          <w:p w14:paraId="4B6F8018" w14:textId="77777777" w:rsidR="00051F60" w:rsidRPr="008E6423" w:rsidRDefault="00051F60" w:rsidP="008E6423">
            <w:pPr>
              <w:pStyle w:val="cuadroCabe"/>
              <w:spacing w:line="240" w:lineRule="auto"/>
              <w:jc w:val="right"/>
              <w:rPr>
                <w:sz w:val="16"/>
                <w:szCs w:val="16"/>
              </w:rPr>
            </w:pPr>
            <w:r w:rsidRPr="008E6423">
              <w:rPr>
                <w:sz w:val="16"/>
                <w:szCs w:val="16"/>
              </w:rPr>
              <w:t>100</w:t>
            </w:r>
          </w:p>
        </w:tc>
      </w:tr>
    </w:tbl>
    <w:p w14:paraId="175BB19A" w14:textId="77777777" w:rsidR="00051F60" w:rsidRDefault="00051F60" w:rsidP="00681E7B">
      <w:pPr>
        <w:pStyle w:val="texto"/>
        <w:spacing w:before="240"/>
        <w:rPr>
          <w:color w:val="000000" w:themeColor="text1"/>
        </w:rPr>
      </w:pPr>
      <w:r w:rsidRPr="00051F60">
        <w:rPr>
          <w:color w:val="000000" w:themeColor="text1"/>
        </w:rPr>
        <w:t xml:space="preserve">Los datos consolidados de 2020 muestran que el bienestar comunitario concentra el mayor volumen de gasto con 168,11 millones (19 por ciento del total), seguida de servicios de carácter general con 107,09 millones (12 por ciento) y </w:t>
      </w:r>
      <w:proofErr w:type="gramStart"/>
      <w:r w:rsidRPr="00051F60">
        <w:rPr>
          <w:color w:val="000000" w:themeColor="text1"/>
        </w:rPr>
        <w:t>servicios sociales y promoción social</w:t>
      </w:r>
      <w:proofErr w:type="gramEnd"/>
      <w:r w:rsidRPr="00051F60">
        <w:rPr>
          <w:color w:val="000000" w:themeColor="text1"/>
        </w:rPr>
        <w:t>, con 75,81 millones (9 por ciento).</w:t>
      </w:r>
    </w:p>
    <w:p w14:paraId="33B9279B" w14:textId="0F5C0C7C" w:rsidR="00CE66FD" w:rsidRDefault="00CE66FD" w:rsidP="00CE66FD">
      <w:pPr>
        <w:pStyle w:val="texto"/>
        <w:rPr>
          <w:color w:val="000000" w:themeColor="text1"/>
          <w:highlight w:val="yellow"/>
        </w:rPr>
      </w:pPr>
      <w:r w:rsidRPr="00CE66FD">
        <w:rPr>
          <w:color w:val="000000" w:themeColor="text1"/>
        </w:rPr>
        <w:t>En esta comparativa, llaman la atención las reducciones del gasto en bienestar comunitario y vivienda y urbanismo, que suman 53 millones. Estas reducciones deben relacionarse con la ya mencionada circunstancia de que 2019 recogía gastos por inversiones excepcionalmente altos debido a que se trata</w:t>
      </w:r>
      <w:r w:rsidR="00846D14">
        <w:rPr>
          <w:color w:val="000000" w:themeColor="text1"/>
        </w:rPr>
        <w:t>ba</w:t>
      </w:r>
      <w:r w:rsidRPr="00CE66FD">
        <w:rPr>
          <w:color w:val="000000" w:themeColor="text1"/>
        </w:rPr>
        <w:t xml:space="preserve"> del último año del Plan de Infraestructuras Locales 2017-20</w:t>
      </w:r>
      <w:r w:rsidR="008E43F9">
        <w:rPr>
          <w:color w:val="000000" w:themeColor="text1"/>
        </w:rPr>
        <w:t xml:space="preserve">19, </w:t>
      </w:r>
      <w:r w:rsidR="008E43F9" w:rsidRPr="008E43F9">
        <w:rPr>
          <w:rFonts w:cs="Arial"/>
          <w:color w:val="000000" w:themeColor="text1"/>
        </w:rPr>
        <w:t>aprobado por Ley Foral 18/2016</w:t>
      </w:r>
      <w:r w:rsidR="008E43F9">
        <w:rPr>
          <w:rFonts w:cs="Arial"/>
          <w:color w:val="000000" w:themeColor="text1"/>
        </w:rPr>
        <w:t xml:space="preserve">, </w:t>
      </w:r>
      <w:r w:rsidRPr="00CE66FD">
        <w:rPr>
          <w:color w:val="000000" w:themeColor="text1"/>
        </w:rPr>
        <w:t>y del Plan de Inversiones Financieramente Sostenibles aprobado por Ley Foral 19/2018, de 10 de octubre. De hecho, la totalidad de la disminución interanual del gasto en ambas políticas se produce en ga</w:t>
      </w:r>
      <w:r>
        <w:rPr>
          <w:color w:val="000000" w:themeColor="text1"/>
        </w:rPr>
        <w:t>sto de capital.</w:t>
      </w:r>
    </w:p>
    <w:p w14:paraId="613123CC" w14:textId="3811FBD5" w:rsidR="00CE66FD" w:rsidRPr="007825F1" w:rsidRDefault="00051F60" w:rsidP="00345C6C">
      <w:pPr>
        <w:pStyle w:val="texto"/>
        <w:rPr>
          <w:color w:val="000000" w:themeColor="text1"/>
        </w:rPr>
      </w:pPr>
      <w:r w:rsidRPr="007825F1">
        <w:rPr>
          <w:color w:val="000000" w:themeColor="text1"/>
        </w:rPr>
        <w:t>También destaca la</w:t>
      </w:r>
      <w:r w:rsidR="00CE66FD" w:rsidRPr="007825F1">
        <w:rPr>
          <w:color w:val="000000" w:themeColor="text1"/>
        </w:rPr>
        <w:t xml:space="preserve"> disminución</w:t>
      </w:r>
      <w:r w:rsidRPr="007825F1">
        <w:rPr>
          <w:color w:val="000000" w:themeColor="text1"/>
        </w:rPr>
        <w:t xml:space="preserve"> de</w:t>
      </w:r>
      <w:r w:rsidR="00CE66FD" w:rsidRPr="007825F1">
        <w:rPr>
          <w:color w:val="000000" w:themeColor="text1"/>
        </w:rPr>
        <w:t>l</w:t>
      </w:r>
      <w:r w:rsidRPr="007825F1">
        <w:rPr>
          <w:color w:val="000000" w:themeColor="text1"/>
        </w:rPr>
        <w:t xml:space="preserve"> </w:t>
      </w:r>
      <w:r w:rsidR="007825F1" w:rsidRPr="007825F1">
        <w:rPr>
          <w:color w:val="000000" w:themeColor="text1"/>
        </w:rPr>
        <w:t xml:space="preserve">gasto de 25 millones en cultura (36 por ciento), </w:t>
      </w:r>
      <w:r w:rsidR="008E43F9">
        <w:rPr>
          <w:color w:val="000000" w:themeColor="text1"/>
        </w:rPr>
        <w:t>al que nos referiremos en el apartado IV.4</w:t>
      </w:r>
      <w:r w:rsidR="007825F1" w:rsidRPr="007825F1">
        <w:rPr>
          <w:color w:val="000000" w:themeColor="text1"/>
        </w:rPr>
        <w:t>.</w:t>
      </w:r>
    </w:p>
    <w:p w14:paraId="27A15834" w14:textId="77777777" w:rsidR="00681E7B" w:rsidRDefault="00681E7B">
      <w:pPr>
        <w:spacing w:after="0"/>
        <w:ind w:firstLine="0"/>
        <w:jc w:val="left"/>
        <w:rPr>
          <w:color w:val="000000" w:themeColor="text1"/>
          <w:spacing w:val="6"/>
          <w:sz w:val="26"/>
          <w:szCs w:val="24"/>
        </w:rPr>
      </w:pPr>
      <w:r>
        <w:rPr>
          <w:color w:val="000000" w:themeColor="text1"/>
        </w:rPr>
        <w:br w:type="page"/>
      </w:r>
    </w:p>
    <w:p w14:paraId="353735AE" w14:textId="24A6A1FE" w:rsidR="00051F60" w:rsidRDefault="00051F60" w:rsidP="00345C6C">
      <w:pPr>
        <w:pStyle w:val="texto"/>
        <w:rPr>
          <w:color w:val="000000" w:themeColor="text1"/>
        </w:rPr>
      </w:pPr>
      <w:r w:rsidRPr="007825F1">
        <w:rPr>
          <w:color w:val="000000" w:themeColor="text1"/>
        </w:rPr>
        <w:lastRenderedPageBreak/>
        <w:t>A continua</w:t>
      </w:r>
      <w:r w:rsidR="00B4144B" w:rsidRPr="007825F1">
        <w:rPr>
          <w:color w:val="000000" w:themeColor="text1"/>
        </w:rPr>
        <w:t xml:space="preserve">ción, </w:t>
      </w:r>
      <w:r w:rsidR="007825F1" w:rsidRPr="007825F1">
        <w:rPr>
          <w:color w:val="000000" w:themeColor="text1"/>
        </w:rPr>
        <w:t>desglosamos el gasto en la política de bienestar comunitario, que es la que concentra un mayor volumen de gasto:</w:t>
      </w:r>
    </w:p>
    <w:p w14:paraId="45FB0A9D" w14:textId="619B6E54" w:rsidR="00681E7B" w:rsidRPr="0003647B" w:rsidRDefault="00C72EC6" w:rsidP="00681E7B">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681E7B">
        <w:rPr>
          <w:rFonts w:ascii="Arial Narrow" w:hAnsi="Arial Narrow"/>
          <w:color w:val="000000" w:themeColor="text1"/>
          <w:sz w:val="18"/>
          <w:szCs w:val="18"/>
        </w:rPr>
        <w:t>Millones</w:t>
      </w:r>
      <w:r>
        <w:rPr>
          <w:rFonts w:ascii="Arial Narrow" w:hAnsi="Arial Narrow"/>
          <w:color w:val="000000" w:themeColor="text1"/>
          <w:sz w:val="18"/>
          <w:szCs w:val="18"/>
        </w:rPr>
        <w:t>)</w:t>
      </w:r>
    </w:p>
    <w:tbl>
      <w:tblPr>
        <w:tblW w:w="8763" w:type="dxa"/>
        <w:tblInd w:w="70"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32"/>
        <w:gridCol w:w="2333"/>
        <w:gridCol w:w="727"/>
        <w:gridCol w:w="742"/>
        <w:gridCol w:w="980"/>
        <w:gridCol w:w="850"/>
        <w:gridCol w:w="818"/>
        <w:gridCol w:w="866"/>
        <w:gridCol w:w="1015"/>
      </w:tblGrid>
      <w:tr w:rsidR="00B4144B" w:rsidRPr="00CE2ACA" w14:paraId="47191A94" w14:textId="77777777" w:rsidTr="00C72EC6">
        <w:trPr>
          <w:trHeight w:val="227"/>
        </w:trPr>
        <w:tc>
          <w:tcPr>
            <w:tcW w:w="432" w:type="dxa"/>
            <w:tcBorders>
              <w:top w:val="single" w:sz="4" w:space="0" w:color="auto"/>
              <w:bottom w:val="nil"/>
            </w:tcBorders>
            <w:shd w:val="clear" w:color="auto" w:fill="FABF8F" w:themeFill="accent6" w:themeFillTint="99"/>
            <w:noWrap/>
            <w:vAlign w:val="center"/>
            <w:hideMark/>
          </w:tcPr>
          <w:p w14:paraId="2213359F" w14:textId="77777777" w:rsidR="00B4144B" w:rsidRPr="00CE2ACA" w:rsidRDefault="00B4144B" w:rsidP="004E2CFD">
            <w:pPr>
              <w:pStyle w:val="cuadroCabe"/>
              <w:spacing w:line="240" w:lineRule="auto"/>
              <w:rPr>
                <w:rFonts w:cs="Arial"/>
                <w:sz w:val="16"/>
                <w:szCs w:val="16"/>
              </w:rPr>
            </w:pPr>
            <w:r w:rsidRPr="00CE2ACA">
              <w:rPr>
                <w:rFonts w:cs="Arial"/>
                <w:sz w:val="16"/>
                <w:szCs w:val="16"/>
              </w:rPr>
              <w:t> </w:t>
            </w:r>
          </w:p>
        </w:tc>
        <w:tc>
          <w:tcPr>
            <w:tcW w:w="2333" w:type="dxa"/>
            <w:tcBorders>
              <w:top w:val="single" w:sz="4" w:space="0" w:color="auto"/>
              <w:bottom w:val="nil"/>
            </w:tcBorders>
            <w:shd w:val="clear" w:color="auto" w:fill="FABF8F" w:themeFill="accent6" w:themeFillTint="99"/>
            <w:noWrap/>
            <w:vAlign w:val="center"/>
            <w:hideMark/>
          </w:tcPr>
          <w:p w14:paraId="55FCCD55" w14:textId="77777777" w:rsidR="00B4144B" w:rsidRPr="00CE2ACA" w:rsidRDefault="00B4144B" w:rsidP="004E2CFD">
            <w:pPr>
              <w:pStyle w:val="cuadroCabe"/>
              <w:spacing w:line="240" w:lineRule="auto"/>
              <w:rPr>
                <w:rFonts w:cs="Arial"/>
                <w:sz w:val="16"/>
                <w:szCs w:val="16"/>
              </w:rPr>
            </w:pPr>
            <w:r w:rsidRPr="00CE2ACA">
              <w:rPr>
                <w:rFonts w:cs="Arial"/>
                <w:sz w:val="16"/>
                <w:szCs w:val="16"/>
              </w:rPr>
              <w:t> </w:t>
            </w:r>
          </w:p>
        </w:tc>
        <w:tc>
          <w:tcPr>
            <w:tcW w:w="4117" w:type="dxa"/>
            <w:gridSpan w:val="5"/>
            <w:tcBorders>
              <w:right w:val="single" w:sz="2" w:space="0" w:color="auto"/>
            </w:tcBorders>
            <w:shd w:val="clear" w:color="auto" w:fill="FABF8F" w:themeFill="accent6" w:themeFillTint="99"/>
            <w:noWrap/>
            <w:vAlign w:val="center"/>
            <w:hideMark/>
          </w:tcPr>
          <w:p w14:paraId="5E5E1509" w14:textId="77777777" w:rsidR="00B4144B" w:rsidRPr="00CE2ACA" w:rsidRDefault="00B4144B" w:rsidP="004E2CFD">
            <w:pPr>
              <w:pStyle w:val="cuadroCabe"/>
              <w:tabs>
                <w:tab w:val="clear" w:pos="3969"/>
                <w:tab w:val="clear" w:pos="5103"/>
              </w:tabs>
              <w:spacing w:line="240" w:lineRule="auto"/>
              <w:jc w:val="center"/>
              <w:rPr>
                <w:rFonts w:cs="Arial"/>
                <w:sz w:val="16"/>
                <w:szCs w:val="16"/>
              </w:rPr>
            </w:pPr>
            <w:r w:rsidRPr="00CE2ACA">
              <w:rPr>
                <w:rFonts w:cs="Arial"/>
                <w:sz w:val="16"/>
                <w:szCs w:val="16"/>
              </w:rPr>
              <w:t>Sin consolidar sociedades</w:t>
            </w:r>
          </w:p>
        </w:tc>
        <w:tc>
          <w:tcPr>
            <w:tcW w:w="1881" w:type="dxa"/>
            <w:gridSpan w:val="2"/>
            <w:tcBorders>
              <w:top w:val="single" w:sz="4" w:space="0" w:color="auto"/>
              <w:left w:val="single" w:sz="2" w:space="0" w:color="auto"/>
              <w:bottom w:val="single" w:sz="2" w:space="0" w:color="auto"/>
            </w:tcBorders>
            <w:shd w:val="clear" w:color="auto" w:fill="FABF8F" w:themeFill="accent6" w:themeFillTint="99"/>
            <w:noWrap/>
            <w:vAlign w:val="center"/>
            <w:hideMark/>
          </w:tcPr>
          <w:p w14:paraId="07923758" w14:textId="076434F0" w:rsidR="00933A7F" w:rsidRPr="00CE2ACA" w:rsidRDefault="00B4144B" w:rsidP="004E2CFD">
            <w:pPr>
              <w:pStyle w:val="cuadroCabe"/>
              <w:tabs>
                <w:tab w:val="clear" w:pos="3969"/>
                <w:tab w:val="clear" w:pos="5103"/>
              </w:tabs>
              <w:spacing w:line="240" w:lineRule="auto"/>
              <w:jc w:val="center"/>
              <w:rPr>
                <w:rFonts w:cs="Arial"/>
                <w:sz w:val="16"/>
                <w:szCs w:val="16"/>
              </w:rPr>
            </w:pPr>
            <w:r w:rsidRPr="00CE2ACA">
              <w:rPr>
                <w:rFonts w:cs="Arial"/>
                <w:sz w:val="16"/>
                <w:szCs w:val="16"/>
              </w:rPr>
              <w:t xml:space="preserve">Consolidado </w:t>
            </w:r>
            <w:r w:rsidR="00CF0526">
              <w:rPr>
                <w:rFonts w:cs="Arial"/>
                <w:sz w:val="16"/>
                <w:szCs w:val="16"/>
              </w:rPr>
              <w:t>con</w:t>
            </w:r>
          </w:p>
          <w:p w14:paraId="5A59EE55" w14:textId="19C3CCBD" w:rsidR="00B4144B" w:rsidRPr="00CE2ACA" w:rsidRDefault="00B4144B" w:rsidP="004E2CFD">
            <w:pPr>
              <w:pStyle w:val="cuadroCabe"/>
              <w:tabs>
                <w:tab w:val="clear" w:pos="3969"/>
                <w:tab w:val="clear" w:pos="5103"/>
              </w:tabs>
              <w:spacing w:line="240" w:lineRule="auto"/>
              <w:jc w:val="center"/>
              <w:rPr>
                <w:rFonts w:cs="Arial"/>
                <w:sz w:val="16"/>
                <w:szCs w:val="16"/>
              </w:rPr>
            </w:pPr>
            <w:r w:rsidRPr="00CE2ACA">
              <w:rPr>
                <w:rFonts w:cs="Arial"/>
                <w:sz w:val="16"/>
                <w:szCs w:val="16"/>
              </w:rPr>
              <w:t>3 sociedades</w:t>
            </w:r>
          </w:p>
        </w:tc>
      </w:tr>
      <w:tr w:rsidR="00B4144B" w:rsidRPr="00CE2ACA" w14:paraId="316F1C78" w14:textId="77777777" w:rsidTr="00C72EC6">
        <w:trPr>
          <w:trHeight w:val="227"/>
        </w:trPr>
        <w:tc>
          <w:tcPr>
            <w:tcW w:w="432" w:type="dxa"/>
            <w:tcBorders>
              <w:top w:val="nil"/>
              <w:bottom w:val="single" w:sz="2" w:space="0" w:color="auto"/>
            </w:tcBorders>
            <w:shd w:val="clear" w:color="auto" w:fill="FABF8F" w:themeFill="accent6" w:themeFillTint="99"/>
            <w:vAlign w:val="center"/>
            <w:hideMark/>
          </w:tcPr>
          <w:p w14:paraId="291D8898" w14:textId="77777777" w:rsidR="00B4144B" w:rsidRPr="00CE2ACA" w:rsidRDefault="00B4144B" w:rsidP="004E2CFD">
            <w:pPr>
              <w:pStyle w:val="cuadroCabe"/>
              <w:spacing w:line="240" w:lineRule="auto"/>
              <w:rPr>
                <w:rFonts w:cs="Arial"/>
                <w:sz w:val="16"/>
                <w:szCs w:val="16"/>
              </w:rPr>
            </w:pPr>
            <w:r w:rsidRPr="00CE2ACA">
              <w:rPr>
                <w:rFonts w:cs="Arial"/>
                <w:sz w:val="16"/>
                <w:szCs w:val="16"/>
              </w:rPr>
              <w:t> </w:t>
            </w:r>
          </w:p>
        </w:tc>
        <w:tc>
          <w:tcPr>
            <w:tcW w:w="2333" w:type="dxa"/>
            <w:tcBorders>
              <w:top w:val="nil"/>
              <w:bottom w:val="single" w:sz="2" w:space="0" w:color="auto"/>
            </w:tcBorders>
            <w:shd w:val="clear" w:color="auto" w:fill="FABF8F" w:themeFill="accent6" w:themeFillTint="99"/>
            <w:vAlign w:val="center"/>
            <w:hideMark/>
          </w:tcPr>
          <w:p w14:paraId="6D0DE71D" w14:textId="77777777" w:rsidR="00B4144B" w:rsidRPr="00CE2ACA" w:rsidRDefault="00B4144B" w:rsidP="004E2CFD">
            <w:pPr>
              <w:pStyle w:val="cuadroCabe"/>
              <w:spacing w:line="240" w:lineRule="auto"/>
              <w:rPr>
                <w:rFonts w:cs="Arial"/>
                <w:sz w:val="16"/>
                <w:szCs w:val="16"/>
              </w:rPr>
            </w:pPr>
            <w:r w:rsidRPr="00CE2ACA">
              <w:rPr>
                <w:rFonts w:cs="Arial"/>
                <w:sz w:val="16"/>
                <w:szCs w:val="16"/>
              </w:rPr>
              <w:t> </w:t>
            </w:r>
          </w:p>
        </w:tc>
        <w:tc>
          <w:tcPr>
            <w:tcW w:w="727" w:type="dxa"/>
            <w:shd w:val="clear" w:color="auto" w:fill="FABF8F" w:themeFill="accent6" w:themeFillTint="99"/>
            <w:vAlign w:val="center"/>
            <w:hideMark/>
          </w:tcPr>
          <w:p w14:paraId="496830B5" w14:textId="77777777" w:rsidR="00B4144B" w:rsidRPr="00CE2ACA" w:rsidRDefault="00B4144B" w:rsidP="004E2CFD">
            <w:pPr>
              <w:pStyle w:val="cuadroCabe"/>
              <w:spacing w:line="240" w:lineRule="auto"/>
              <w:jc w:val="right"/>
              <w:rPr>
                <w:rFonts w:cs="Arial"/>
                <w:sz w:val="16"/>
                <w:szCs w:val="16"/>
              </w:rPr>
            </w:pPr>
            <w:r w:rsidRPr="00CE2ACA">
              <w:rPr>
                <w:rFonts w:cs="Arial"/>
                <w:sz w:val="16"/>
                <w:szCs w:val="16"/>
              </w:rPr>
              <w:t>Importe 2019</w:t>
            </w:r>
          </w:p>
        </w:tc>
        <w:tc>
          <w:tcPr>
            <w:tcW w:w="742" w:type="dxa"/>
            <w:shd w:val="clear" w:color="auto" w:fill="FABF8F" w:themeFill="accent6" w:themeFillTint="99"/>
            <w:vAlign w:val="center"/>
            <w:hideMark/>
          </w:tcPr>
          <w:p w14:paraId="3D215C42" w14:textId="77777777" w:rsidR="00B4144B" w:rsidRPr="00CE2ACA" w:rsidRDefault="00B4144B" w:rsidP="004E2CFD">
            <w:pPr>
              <w:pStyle w:val="cuadroCabe"/>
              <w:tabs>
                <w:tab w:val="clear" w:pos="3969"/>
                <w:tab w:val="clear" w:pos="5103"/>
              </w:tabs>
              <w:spacing w:line="240" w:lineRule="auto"/>
              <w:jc w:val="right"/>
              <w:rPr>
                <w:rFonts w:cs="Arial"/>
                <w:sz w:val="16"/>
                <w:szCs w:val="16"/>
              </w:rPr>
            </w:pPr>
            <w:r w:rsidRPr="00CE2ACA">
              <w:rPr>
                <w:rFonts w:cs="Arial"/>
                <w:sz w:val="16"/>
                <w:szCs w:val="16"/>
              </w:rPr>
              <w:t>Importe 2020</w:t>
            </w:r>
          </w:p>
        </w:tc>
        <w:tc>
          <w:tcPr>
            <w:tcW w:w="980" w:type="dxa"/>
            <w:shd w:val="clear" w:color="auto" w:fill="FABF8F" w:themeFill="accent6" w:themeFillTint="99"/>
            <w:vAlign w:val="center"/>
            <w:hideMark/>
          </w:tcPr>
          <w:p w14:paraId="43DD14E9" w14:textId="77777777" w:rsidR="00B4144B" w:rsidRPr="00CE2ACA" w:rsidRDefault="00B4144B" w:rsidP="004E2CFD">
            <w:pPr>
              <w:pStyle w:val="cuadroCabe"/>
              <w:tabs>
                <w:tab w:val="clear" w:pos="3969"/>
                <w:tab w:val="clear" w:pos="5103"/>
              </w:tabs>
              <w:spacing w:line="240" w:lineRule="auto"/>
              <w:jc w:val="right"/>
              <w:rPr>
                <w:rFonts w:cs="Arial"/>
                <w:sz w:val="16"/>
                <w:szCs w:val="16"/>
              </w:rPr>
            </w:pPr>
            <w:r w:rsidRPr="00CE2ACA">
              <w:rPr>
                <w:rFonts w:cs="Arial"/>
                <w:sz w:val="16"/>
                <w:szCs w:val="16"/>
              </w:rPr>
              <w:t>% s/Gasto total 2020</w:t>
            </w:r>
          </w:p>
        </w:tc>
        <w:tc>
          <w:tcPr>
            <w:tcW w:w="850" w:type="dxa"/>
            <w:shd w:val="clear" w:color="auto" w:fill="FABF8F" w:themeFill="accent6" w:themeFillTint="99"/>
            <w:vAlign w:val="center"/>
            <w:hideMark/>
          </w:tcPr>
          <w:p w14:paraId="13780CAF" w14:textId="77777777" w:rsidR="00B4144B" w:rsidRPr="00CE2ACA" w:rsidRDefault="00B4144B" w:rsidP="004E2CFD">
            <w:pPr>
              <w:pStyle w:val="cuadroCabe"/>
              <w:tabs>
                <w:tab w:val="clear" w:pos="3969"/>
                <w:tab w:val="clear" w:pos="5103"/>
              </w:tabs>
              <w:spacing w:line="240" w:lineRule="auto"/>
              <w:jc w:val="right"/>
              <w:rPr>
                <w:rFonts w:cs="Arial"/>
                <w:sz w:val="16"/>
                <w:szCs w:val="16"/>
              </w:rPr>
            </w:pPr>
            <w:r w:rsidRPr="00CE2ACA">
              <w:rPr>
                <w:rFonts w:cs="Arial"/>
                <w:sz w:val="16"/>
                <w:szCs w:val="16"/>
              </w:rPr>
              <w:t xml:space="preserve">% </w:t>
            </w:r>
            <w:proofErr w:type="spellStart"/>
            <w:r w:rsidRPr="00CE2ACA">
              <w:rPr>
                <w:rFonts w:cs="Arial"/>
                <w:sz w:val="16"/>
                <w:szCs w:val="16"/>
              </w:rPr>
              <w:t>var</w:t>
            </w:r>
            <w:proofErr w:type="spellEnd"/>
            <w:r w:rsidRPr="00CE2ACA">
              <w:rPr>
                <w:rFonts w:cs="Arial"/>
                <w:sz w:val="16"/>
                <w:szCs w:val="16"/>
              </w:rPr>
              <w:t>. 2020/19</w:t>
            </w:r>
          </w:p>
        </w:tc>
        <w:tc>
          <w:tcPr>
            <w:tcW w:w="815" w:type="dxa"/>
            <w:tcBorders>
              <w:right w:val="single" w:sz="2" w:space="0" w:color="auto"/>
            </w:tcBorders>
            <w:shd w:val="clear" w:color="auto" w:fill="FABF8F" w:themeFill="accent6" w:themeFillTint="99"/>
            <w:vAlign w:val="center"/>
            <w:hideMark/>
          </w:tcPr>
          <w:p w14:paraId="7F8B4779" w14:textId="776FCB14" w:rsidR="00B4144B" w:rsidRPr="00CE2ACA" w:rsidRDefault="002A2B5E" w:rsidP="004E2CFD">
            <w:pPr>
              <w:pStyle w:val="cuadroCabe"/>
              <w:tabs>
                <w:tab w:val="clear" w:pos="3969"/>
                <w:tab w:val="clear" w:pos="5103"/>
              </w:tabs>
              <w:spacing w:line="240" w:lineRule="auto"/>
              <w:jc w:val="right"/>
              <w:rPr>
                <w:rFonts w:cs="Arial"/>
                <w:sz w:val="16"/>
                <w:szCs w:val="16"/>
              </w:rPr>
            </w:pPr>
            <w:proofErr w:type="spellStart"/>
            <w:r w:rsidRPr="00CE2ACA">
              <w:rPr>
                <w:rFonts w:cs="Arial"/>
                <w:sz w:val="16"/>
                <w:szCs w:val="16"/>
              </w:rPr>
              <w:t>V</w:t>
            </w:r>
            <w:r w:rsidR="00B4144B" w:rsidRPr="00CE2ACA">
              <w:rPr>
                <w:rFonts w:cs="Arial"/>
                <w:sz w:val="16"/>
                <w:szCs w:val="16"/>
              </w:rPr>
              <w:t>ariac</w:t>
            </w:r>
            <w:proofErr w:type="spellEnd"/>
            <w:r w:rsidR="00B4144B" w:rsidRPr="00CE2ACA">
              <w:rPr>
                <w:rFonts w:cs="Arial"/>
                <w:sz w:val="16"/>
                <w:szCs w:val="16"/>
              </w:rPr>
              <w:t xml:space="preserve"> absoluta</w:t>
            </w:r>
          </w:p>
        </w:tc>
        <w:tc>
          <w:tcPr>
            <w:tcW w:w="866" w:type="dxa"/>
            <w:tcBorders>
              <w:top w:val="single" w:sz="2" w:space="0" w:color="auto"/>
              <w:left w:val="single" w:sz="2" w:space="0" w:color="auto"/>
              <w:bottom w:val="single" w:sz="2" w:space="0" w:color="auto"/>
            </w:tcBorders>
            <w:shd w:val="clear" w:color="auto" w:fill="FABF8F" w:themeFill="accent6" w:themeFillTint="99"/>
            <w:noWrap/>
            <w:vAlign w:val="center"/>
            <w:hideMark/>
          </w:tcPr>
          <w:p w14:paraId="1D41EC1D" w14:textId="77777777" w:rsidR="00B4144B" w:rsidRPr="00CE2ACA" w:rsidRDefault="00B4144B" w:rsidP="004E2CFD">
            <w:pPr>
              <w:pStyle w:val="cuadroCabe"/>
              <w:tabs>
                <w:tab w:val="clear" w:pos="3969"/>
                <w:tab w:val="clear" w:pos="5103"/>
              </w:tabs>
              <w:spacing w:line="240" w:lineRule="auto"/>
              <w:jc w:val="right"/>
              <w:rPr>
                <w:rFonts w:cs="Arial"/>
                <w:sz w:val="16"/>
                <w:szCs w:val="16"/>
              </w:rPr>
            </w:pPr>
            <w:r w:rsidRPr="00CE2ACA">
              <w:rPr>
                <w:rFonts w:cs="Arial"/>
                <w:sz w:val="16"/>
                <w:szCs w:val="16"/>
              </w:rPr>
              <w:t>Importe 2020</w:t>
            </w:r>
          </w:p>
        </w:tc>
        <w:tc>
          <w:tcPr>
            <w:tcW w:w="1015" w:type="dxa"/>
            <w:shd w:val="clear" w:color="auto" w:fill="FABF8F" w:themeFill="accent6" w:themeFillTint="99"/>
            <w:noWrap/>
            <w:vAlign w:val="center"/>
            <w:hideMark/>
          </w:tcPr>
          <w:p w14:paraId="050BD175" w14:textId="77777777" w:rsidR="00B4144B" w:rsidRPr="00CE2ACA" w:rsidRDefault="00B4144B" w:rsidP="004E2CFD">
            <w:pPr>
              <w:pStyle w:val="cuadroCabe"/>
              <w:tabs>
                <w:tab w:val="clear" w:pos="3969"/>
                <w:tab w:val="clear" w:pos="5103"/>
              </w:tabs>
              <w:spacing w:line="240" w:lineRule="auto"/>
              <w:jc w:val="right"/>
              <w:rPr>
                <w:rFonts w:cs="Arial"/>
                <w:sz w:val="16"/>
                <w:szCs w:val="16"/>
              </w:rPr>
            </w:pPr>
            <w:r w:rsidRPr="00CE2ACA">
              <w:rPr>
                <w:rFonts w:cs="Arial"/>
                <w:sz w:val="16"/>
                <w:szCs w:val="16"/>
              </w:rPr>
              <w:t>% s/Gasto total 2020</w:t>
            </w:r>
          </w:p>
        </w:tc>
      </w:tr>
      <w:tr w:rsidR="00B4144B" w:rsidRPr="00933A7F" w14:paraId="56AA4AC2" w14:textId="77777777" w:rsidTr="00C72EC6">
        <w:trPr>
          <w:trHeight w:val="227"/>
        </w:trPr>
        <w:tc>
          <w:tcPr>
            <w:tcW w:w="432" w:type="dxa"/>
            <w:tcBorders>
              <w:top w:val="single" w:sz="2" w:space="0" w:color="auto"/>
            </w:tcBorders>
            <w:shd w:val="clear" w:color="auto" w:fill="auto"/>
            <w:vAlign w:val="center"/>
            <w:hideMark/>
          </w:tcPr>
          <w:p w14:paraId="0EA3EC75" w14:textId="77777777" w:rsidR="00B4144B" w:rsidRPr="00933A7F" w:rsidRDefault="00B4144B" w:rsidP="004E2CFD">
            <w:pPr>
              <w:pStyle w:val="cuatexto"/>
              <w:spacing w:line="240" w:lineRule="auto"/>
              <w:rPr>
                <w:szCs w:val="20"/>
              </w:rPr>
            </w:pPr>
            <w:r w:rsidRPr="00933A7F">
              <w:rPr>
                <w:szCs w:val="20"/>
              </w:rPr>
              <w:t>161</w:t>
            </w:r>
          </w:p>
        </w:tc>
        <w:tc>
          <w:tcPr>
            <w:tcW w:w="2333" w:type="dxa"/>
            <w:tcBorders>
              <w:top w:val="single" w:sz="2" w:space="0" w:color="auto"/>
            </w:tcBorders>
            <w:shd w:val="clear" w:color="auto" w:fill="auto"/>
            <w:vAlign w:val="center"/>
            <w:hideMark/>
          </w:tcPr>
          <w:p w14:paraId="41B2F535" w14:textId="77777777" w:rsidR="00B4144B" w:rsidRPr="00933A7F" w:rsidRDefault="00B4144B" w:rsidP="004E2CFD">
            <w:pPr>
              <w:pStyle w:val="cuatexto"/>
              <w:spacing w:line="240" w:lineRule="auto"/>
              <w:rPr>
                <w:szCs w:val="20"/>
              </w:rPr>
            </w:pPr>
            <w:r w:rsidRPr="00933A7F">
              <w:rPr>
                <w:szCs w:val="20"/>
              </w:rPr>
              <w:t>Abastecimiento domiciliario de agua potable.</w:t>
            </w:r>
          </w:p>
        </w:tc>
        <w:tc>
          <w:tcPr>
            <w:tcW w:w="727" w:type="dxa"/>
            <w:shd w:val="clear" w:color="auto" w:fill="auto"/>
            <w:vAlign w:val="center"/>
            <w:hideMark/>
          </w:tcPr>
          <w:p w14:paraId="0975CEA5" w14:textId="77777777" w:rsidR="00B4144B" w:rsidRPr="00933A7F" w:rsidRDefault="00B4144B" w:rsidP="004E2CFD">
            <w:pPr>
              <w:pStyle w:val="cuatexto"/>
              <w:spacing w:line="240" w:lineRule="auto"/>
              <w:jc w:val="right"/>
              <w:rPr>
                <w:szCs w:val="20"/>
              </w:rPr>
            </w:pPr>
            <w:r w:rsidRPr="00933A7F">
              <w:rPr>
                <w:szCs w:val="20"/>
              </w:rPr>
              <w:t>44,50</w:t>
            </w:r>
          </w:p>
        </w:tc>
        <w:tc>
          <w:tcPr>
            <w:tcW w:w="742" w:type="dxa"/>
            <w:shd w:val="clear" w:color="auto" w:fill="auto"/>
            <w:vAlign w:val="center"/>
            <w:hideMark/>
          </w:tcPr>
          <w:p w14:paraId="078541FF"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36,49</w:t>
            </w:r>
          </w:p>
        </w:tc>
        <w:tc>
          <w:tcPr>
            <w:tcW w:w="980" w:type="dxa"/>
            <w:shd w:val="clear" w:color="auto" w:fill="auto"/>
            <w:noWrap/>
            <w:vAlign w:val="center"/>
            <w:hideMark/>
          </w:tcPr>
          <w:p w14:paraId="1E419401"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5</w:t>
            </w:r>
          </w:p>
        </w:tc>
        <w:tc>
          <w:tcPr>
            <w:tcW w:w="850" w:type="dxa"/>
            <w:shd w:val="clear" w:color="auto" w:fill="auto"/>
            <w:noWrap/>
            <w:vAlign w:val="center"/>
            <w:hideMark/>
          </w:tcPr>
          <w:p w14:paraId="54D79EF6"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-18</w:t>
            </w:r>
          </w:p>
        </w:tc>
        <w:tc>
          <w:tcPr>
            <w:tcW w:w="815" w:type="dxa"/>
            <w:tcBorders>
              <w:right w:val="single" w:sz="2" w:space="0" w:color="auto"/>
            </w:tcBorders>
            <w:shd w:val="clear" w:color="auto" w:fill="auto"/>
            <w:noWrap/>
            <w:vAlign w:val="center"/>
            <w:hideMark/>
          </w:tcPr>
          <w:p w14:paraId="6EFA30D6"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-8,00</w:t>
            </w:r>
          </w:p>
        </w:tc>
        <w:tc>
          <w:tcPr>
            <w:tcW w:w="866" w:type="dxa"/>
            <w:tcBorders>
              <w:top w:val="single" w:sz="2" w:space="0" w:color="auto"/>
              <w:left w:val="single" w:sz="2" w:space="0" w:color="auto"/>
              <w:bottom w:val="single" w:sz="2" w:space="0" w:color="auto"/>
            </w:tcBorders>
            <w:shd w:val="clear" w:color="auto" w:fill="auto"/>
            <w:vAlign w:val="center"/>
            <w:hideMark/>
          </w:tcPr>
          <w:p w14:paraId="0F306A0C"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70,59</w:t>
            </w:r>
          </w:p>
        </w:tc>
        <w:tc>
          <w:tcPr>
            <w:tcW w:w="1015" w:type="dxa"/>
            <w:shd w:val="clear" w:color="auto" w:fill="auto"/>
            <w:noWrap/>
            <w:vAlign w:val="center"/>
            <w:hideMark/>
          </w:tcPr>
          <w:p w14:paraId="4F60FBD7"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8</w:t>
            </w:r>
          </w:p>
        </w:tc>
      </w:tr>
      <w:tr w:rsidR="00B4144B" w:rsidRPr="00933A7F" w14:paraId="21142FFA" w14:textId="77777777" w:rsidTr="00C72EC6">
        <w:trPr>
          <w:trHeight w:val="227"/>
        </w:trPr>
        <w:tc>
          <w:tcPr>
            <w:tcW w:w="432" w:type="dxa"/>
            <w:shd w:val="clear" w:color="auto" w:fill="auto"/>
            <w:vAlign w:val="center"/>
            <w:hideMark/>
          </w:tcPr>
          <w:p w14:paraId="5E02E4A5" w14:textId="77777777" w:rsidR="00B4144B" w:rsidRPr="00933A7F" w:rsidRDefault="00B4144B" w:rsidP="004E2CFD">
            <w:pPr>
              <w:pStyle w:val="cuatexto"/>
              <w:spacing w:line="240" w:lineRule="auto"/>
              <w:rPr>
                <w:szCs w:val="20"/>
              </w:rPr>
            </w:pPr>
            <w:r w:rsidRPr="00933A7F">
              <w:rPr>
                <w:szCs w:val="20"/>
              </w:rPr>
              <w:t>162</w:t>
            </w:r>
          </w:p>
        </w:tc>
        <w:tc>
          <w:tcPr>
            <w:tcW w:w="2333" w:type="dxa"/>
            <w:shd w:val="clear" w:color="auto" w:fill="auto"/>
            <w:vAlign w:val="center"/>
            <w:hideMark/>
          </w:tcPr>
          <w:p w14:paraId="300A648F" w14:textId="77777777" w:rsidR="00B4144B" w:rsidRPr="00933A7F" w:rsidRDefault="00B4144B" w:rsidP="004E2CFD">
            <w:pPr>
              <w:pStyle w:val="cuatexto"/>
              <w:spacing w:line="240" w:lineRule="auto"/>
              <w:rPr>
                <w:szCs w:val="20"/>
              </w:rPr>
            </w:pPr>
            <w:r w:rsidRPr="00933A7F">
              <w:rPr>
                <w:szCs w:val="20"/>
              </w:rPr>
              <w:t>Recogida, gestión y tratamiento de residuos.</w:t>
            </w:r>
          </w:p>
        </w:tc>
        <w:tc>
          <w:tcPr>
            <w:tcW w:w="727" w:type="dxa"/>
            <w:shd w:val="clear" w:color="auto" w:fill="auto"/>
            <w:vAlign w:val="center"/>
            <w:hideMark/>
          </w:tcPr>
          <w:p w14:paraId="19C09AE4" w14:textId="77777777" w:rsidR="00B4144B" w:rsidRPr="00933A7F" w:rsidRDefault="00B4144B" w:rsidP="004E2CFD">
            <w:pPr>
              <w:pStyle w:val="cuatexto"/>
              <w:spacing w:line="240" w:lineRule="auto"/>
              <w:jc w:val="right"/>
              <w:rPr>
                <w:szCs w:val="20"/>
              </w:rPr>
            </w:pPr>
            <w:r w:rsidRPr="00933A7F">
              <w:rPr>
                <w:szCs w:val="20"/>
              </w:rPr>
              <w:t>36,74</w:t>
            </w:r>
          </w:p>
        </w:tc>
        <w:tc>
          <w:tcPr>
            <w:tcW w:w="742" w:type="dxa"/>
            <w:shd w:val="clear" w:color="auto" w:fill="auto"/>
            <w:vAlign w:val="center"/>
            <w:hideMark/>
          </w:tcPr>
          <w:p w14:paraId="0D02E79C"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25,68</w:t>
            </w:r>
          </w:p>
        </w:tc>
        <w:tc>
          <w:tcPr>
            <w:tcW w:w="980" w:type="dxa"/>
            <w:shd w:val="clear" w:color="auto" w:fill="auto"/>
            <w:noWrap/>
            <w:vAlign w:val="center"/>
            <w:hideMark/>
          </w:tcPr>
          <w:p w14:paraId="437C09CA"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3</w:t>
            </w:r>
          </w:p>
        </w:tc>
        <w:tc>
          <w:tcPr>
            <w:tcW w:w="850" w:type="dxa"/>
            <w:shd w:val="clear" w:color="auto" w:fill="auto"/>
            <w:noWrap/>
            <w:vAlign w:val="center"/>
            <w:hideMark/>
          </w:tcPr>
          <w:p w14:paraId="0890541E"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-30</w:t>
            </w:r>
          </w:p>
        </w:tc>
        <w:tc>
          <w:tcPr>
            <w:tcW w:w="815" w:type="dxa"/>
            <w:tcBorders>
              <w:right w:val="single" w:sz="2" w:space="0" w:color="auto"/>
            </w:tcBorders>
            <w:shd w:val="clear" w:color="auto" w:fill="auto"/>
            <w:noWrap/>
            <w:vAlign w:val="center"/>
            <w:hideMark/>
          </w:tcPr>
          <w:p w14:paraId="23F7AC30"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-11,06</w:t>
            </w:r>
          </w:p>
        </w:tc>
        <w:tc>
          <w:tcPr>
            <w:tcW w:w="866" w:type="dxa"/>
            <w:tcBorders>
              <w:top w:val="single" w:sz="2" w:space="0" w:color="auto"/>
              <w:left w:val="single" w:sz="2" w:space="0" w:color="auto"/>
              <w:bottom w:val="single" w:sz="2" w:space="0" w:color="auto"/>
            </w:tcBorders>
            <w:shd w:val="clear" w:color="auto" w:fill="auto"/>
            <w:vAlign w:val="center"/>
            <w:hideMark/>
          </w:tcPr>
          <w:p w14:paraId="6F956422"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42,78</w:t>
            </w:r>
          </w:p>
        </w:tc>
        <w:tc>
          <w:tcPr>
            <w:tcW w:w="1015" w:type="dxa"/>
            <w:shd w:val="clear" w:color="auto" w:fill="auto"/>
            <w:noWrap/>
            <w:vAlign w:val="center"/>
            <w:hideMark/>
          </w:tcPr>
          <w:p w14:paraId="512F5D1E"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5</w:t>
            </w:r>
          </w:p>
        </w:tc>
      </w:tr>
      <w:tr w:rsidR="00B4144B" w:rsidRPr="00933A7F" w14:paraId="488BE7CD" w14:textId="77777777" w:rsidTr="00C72EC6">
        <w:trPr>
          <w:trHeight w:val="227"/>
        </w:trPr>
        <w:tc>
          <w:tcPr>
            <w:tcW w:w="432" w:type="dxa"/>
            <w:shd w:val="clear" w:color="auto" w:fill="auto"/>
            <w:vAlign w:val="center"/>
            <w:hideMark/>
          </w:tcPr>
          <w:p w14:paraId="1E8148C3" w14:textId="77777777" w:rsidR="00B4144B" w:rsidRPr="00933A7F" w:rsidRDefault="00B4144B" w:rsidP="004E2CFD">
            <w:pPr>
              <w:pStyle w:val="cuatexto"/>
              <w:spacing w:line="240" w:lineRule="auto"/>
              <w:rPr>
                <w:szCs w:val="20"/>
              </w:rPr>
            </w:pPr>
            <w:r w:rsidRPr="00933A7F">
              <w:rPr>
                <w:szCs w:val="20"/>
              </w:rPr>
              <w:t>165</w:t>
            </w:r>
          </w:p>
        </w:tc>
        <w:tc>
          <w:tcPr>
            <w:tcW w:w="2333" w:type="dxa"/>
            <w:shd w:val="clear" w:color="auto" w:fill="auto"/>
            <w:vAlign w:val="center"/>
            <w:hideMark/>
          </w:tcPr>
          <w:p w14:paraId="60D12A7E" w14:textId="77777777" w:rsidR="00B4144B" w:rsidRPr="00933A7F" w:rsidRDefault="00B4144B" w:rsidP="004E2CFD">
            <w:pPr>
              <w:pStyle w:val="cuatexto"/>
              <w:spacing w:line="240" w:lineRule="auto"/>
              <w:rPr>
                <w:szCs w:val="20"/>
              </w:rPr>
            </w:pPr>
            <w:r w:rsidRPr="00933A7F">
              <w:rPr>
                <w:szCs w:val="20"/>
              </w:rPr>
              <w:t>Alumbrado público.</w:t>
            </w:r>
          </w:p>
        </w:tc>
        <w:tc>
          <w:tcPr>
            <w:tcW w:w="727" w:type="dxa"/>
            <w:shd w:val="clear" w:color="auto" w:fill="auto"/>
            <w:vAlign w:val="center"/>
            <w:hideMark/>
          </w:tcPr>
          <w:p w14:paraId="535812D1" w14:textId="77777777" w:rsidR="00B4144B" w:rsidRPr="00933A7F" w:rsidRDefault="00B4144B" w:rsidP="004E2CFD">
            <w:pPr>
              <w:pStyle w:val="cuatexto"/>
              <w:spacing w:line="240" w:lineRule="auto"/>
              <w:jc w:val="right"/>
              <w:rPr>
                <w:szCs w:val="20"/>
              </w:rPr>
            </w:pPr>
            <w:r w:rsidRPr="00933A7F">
              <w:rPr>
                <w:szCs w:val="20"/>
              </w:rPr>
              <w:t>29,46</w:t>
            </w:r>
          </w:p>
        </w:tc>
        <w:tc>
          <w:tcPr>
            <w:tcW w:w="742" w:type="dxa"/>
            <w:shd w:val="clear" w:color="auto" w:fill="auto"/>
            <w:vAlign w:val="center"/>
            <w:hideMark/>
          </w:tcPr>
          <w:p w14:paraId="74D6BD1B"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17,71</w:t>
            </w:r>
          </w:p>
        </w:tc>
        <w:tc>
          <w:tcPr>
            <w:tcW w:w="980" w:type="dxa"/>
            <w:shd w:val="clear" w:color="auto" w:fill="auto"/>
            <w:noWrap/>
            <w:vAlign w:val="center"/>
            <w:hideMark/>
          </w:tcPr>
          <w:p w14:paraId="6D21A533"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w:t>
            </w:r>
          </w:p>
        </w:tc>
        <w:tc>
          <w:tcPr>
            <w:tcW w:w="850" w:type="dxa"/>
            <w:shd w:val="clear" w:color="auto" w:fill="auto"/>
            <w:noWrap/>
            <w:vAlign w:val="center"/>
            <w:hideMark/>
          </w:tcPr>
          <w:p w14:paraId="3ECB810D"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-40</w:t>
            </w:r>
          </w:p>
        </w:tc>
        <w:tc>
          <w:tcPr>
            <w:tcW w:w="815" w:type="dxa"/>
            <w:tcBorders>
              <w:right w:val="single" w:sz="2" w:space="0" w:color="auto"/>
            </w:tcBorders>
            <w:shd w:val="clear" w:color="auto" w:fill="auto"/>
            <w:noWrap/>
            <w:vAlign w:val="center"/>
            <w:hideMark/>
          </w:tcPr>
          <w:p w14:paraId="20229C60"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-11,75</w:t>
            </w:r>
          </w:p>
        </w:tc>
        <w:tc>
          <w:tcPr>
            <w:tcW w:w="866" w:type="dxa"/>
            <w:tcBorders>
              <w:top w:val="single" w:sz="2" w:space="0" w:color="auto"/>
              <w:left w:val="single" w:sz="2" w:space="0" w:color="auto"/>
              <w:bottom w:val="single" w:sz="2" w:space="0" w:color="auto"/>
            </w:tcBorders>
            <w:shd w:val="clear" w:color="auto" w:fill="auto"/>
            <w:vAlign w:val="center"/>
            <w:hideMark/>
          </w:tcPr>
          <w:p w14:paraId="6AD5E1BE"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17,71</w:t>
            </w:r>
          </w:p>
        </w:tc>
        <w:tc>
          <w:tcPr>
            <w:tcW w:w="1015" w:type="dxa"/>
            <w:shd w:val="clear" w:color="auto" w:fill="auto"/>
            <w:noWrap/>
            <w:vAlign w:val="center"/>
            <w:hideMark/>
          </w:tcPr>
          <w:p w14:paraId="2A42322E"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w:t>
            </w:r>
          </w:p>
        </w:tc>
      </w:tr>
      <w:tr w:rsidR="00B4144B" w:rsidRPr="00933A7F" w14:paraId="427A099B" w14:textId="77777777" w:rsidTr="00C72EC6">
        <w:trPr>
          <w:trHeight w:val="227"/>
        </w:trPr>
        <w:tc>
          <w:tcPr>
            <w:tcW w:w="432" w:type="dxa"/>
            <w:shd w:val="clear" w:color="auto" w:fill="auto"/>
            <w:vAlign w:val="center"/>
            <w:hideMark/>
          </w:tcPr>
          <w:p w14:paraId="3A487C30" w14:textId="77777777" w:rsidR="00B4144B" w:rsidRPr="00933A7F" w:rsidRDefault="00B4144B" w:rsidP="004E2CFD">
            <w:pPr>
              <w:pStyle w:val="cuatexto"/>
              <w:spacing w:line="240" w:lineRule="auto"/>
              <w:rPr>
                <w:szCs w:val="20"/>
              </w:rPr>
            </w:pPr>
            <w:r w:rsidRPr="00933A7F">
              <w:rPr>
                <w:szCs w:val="20"/>
              </w:rPr>
              <w:t>163</w:t>
            </w:r>
          </w:p>
        </w:tc>
        <w:tc>
          <w:tcPr>
            <w:tcW w:w="2333" w:type="dxa"/>
            <w:shd w:val="clear" w:color="auto" w:fill="auto"/>
            <w:vAlign w:val="center"/>
            <w:hideMark/>
          </w:tcPr>
          <w:p w14:paraId="09D119AE" w14:textId="77777777" w:rsidR="00B4144B" w:rsidRPr="00933A7F" w:rsidRDefault="00B4144B" w:rsidP="004E2CFD">
            <w:pPr>
              <w:pStyle w:val="cuatexto"/>
              <w:spacing w:line="240" w:lineRule="auto"/>
              <w:rPr>
                <w:szCs w:val="20"/>
              </w:rPr>
            </w:pPr>
            <w:r w:rsidRPr="00933A7F">
              <w:rPr>
                <w:szCs w:val="20"/>
              </w:rPr>
              <w:t>Limpieza viaria.</w:t>
            </w:r>
          </w:p>
        </w:tc>
        <w:tc>
          <w:tcPr>
            <w:tcW w:w="727" w:type="dxa"/>
            <w:shd w:val="clear" w:color="auto" w:fill="auto"/>
            <w:vAlign w:val="center"/>
            <w:hideMark/>
          </w:tcPr>
          <w:p w14:paraId="35D2CC54" w14:textId="77777777" w:rsidR="00B4144B" w:rsidRPr="00933A7F" w:rsidRDefault="00B4144B" w:rsidP="004E2CFD">
            <w:pPr>
              <w:pStyle w:val="cuatexto"/>
              <w:spacing w:line="240" w:lineRule="auto"/>
              <w:jc w:val="right"/>
              <w:rPr>
                <w:szCs w:val="20"/>
              </w:rPr>
            </w:pPr>
            <w:r w:rsidRPr="00933A7F">
              <w:rPr>
                <w:szCs w:val="20"/>
              </w:rPr>
              <w:t>17,22</w:t>
            </w:r>
          </w:p>
        </w:tc>
        <w:tc>
          <w:tcPr>
            <w:tcW w:w="742" w:type="dxa"/>
            <w:shd w:val="clear" w:color="auto" w:fill="auto"/>
            <w:vAlign w:val="center"/>
            <w:hideMark/>
          </w:tcPr>
          <w:p w14:paraId="72F57B1E"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17,48</w:t>
            </w:r>
          </w:p>
        </w:tc>
        <w:tc>
          <w:tcPr>
            <w:tcW w:w="980" w:type="dxa"/>
            <w:shd w:val="clear" w:color="auto" w:fill="auto"/>
            <w:noWrap/>
            <w:vAlign w:val="center"/>
            <w:hideMark/>
          </w:tcPr>
          <w:p w14:paraId="4E812E7A"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w:t>
            </w:r>
          </w:p>
        </w:tc>
        <w:tc>
          <w:tcPr>
            <w:tcW w:w="850" w:type="dxa"/>
            <w:shd w:val="clear" w:color="auto" w:fill="auto"/>
            <w:noWrap/>
            <w:vAlign w:val="center"/>
            <w:hideMark/>
          </w:tcPr>
          <w:p w14:paraId="4CE0CC78"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1</w:t>
            </w:r>
          </w:p>
        </w:tc>
        <w:tc>
          <w:tcPr>
            <w:tcW w:w="815" w:type="dxa"/>
            <w:tcBorders>
              <w:right w:val="single" w:sz="2" w:space="0" w:color="auto"/>
            </w:tcBorders>
            <w:shd w:val="clear" w:color="auto" w:fill="auto"/>
            <w:noWrap/>
            <w:vAlign w:val="center"/>
            <w:hideMark/>
          </w:tcPr>
          <w:p w14:paraId="671102BD"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0,25</w:t>
            </w:r>
          </w:p>
        </w:tc>
        <w:tc>
          <w:tcPr>
            <w:tcW w:w="866" w:type="dxa"/>
            <w:tcBorders>
              <w:top w:val="single" w:sz="2" w:space="0" w:color="auto"/>
              <w:left w:val="single" w:sz="2" w:space="0" w:color="auto"/>
              <w:bottom w:val="single" w:sz="2" w:space="0" w:color="auto"/>
            </w:tcBorders>
            <w:shd w:val="clear" w:color="auto" w:fill="auto"/>
            <w:vAlign w:val="center"/>
            <w:hideMark/>
          </w:tcPr>
          <w:p w14:paraId="12A30320"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17,48</w:t>
            </w:r>
          </w:p>
        </w:tc>
        <w:tc>
          <w:tcPr>
            <w:tcW w:w="1015" w:type="dxa"/>
            <w:shd w:val="clear" w:color="auto" w:fill="auto"/>
            <w:noWrap/>
            <w:vAlign w:val="center"/>
            <w:hideMark/>
          </w:tcPr>
          <w:p w14:paraId="12BB9CC6"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w:t>
            </w:r>
          </w:p>
        </w:tc>
      </w:tr>
      <w:tr w:rsidR="00B4144B" w:rsidRPr="00933A7F" w14:paraId="32DB9B41" w14:textId="77777777" w:rsidTr="00C72EC6">
        <w:trPr>
          <w:trHeight w:val="227"/>
        </w:trPr>
        <w:tc>
          <w:tcPr>
            <w:tcW w:w="432" w:type="dxa"/>
            <w:shd w:val="clear" w:color="auto" w:fill="auto"/>
            <w:vAlign w:val="center"/>
            <w:hideMark/>
          </w:tcPr>
          <w:p w14:paraId="5ECF698E" w14:textId="77777777" w:rsidR="00B4144B" w:rsidRPr="00933A7F" w:rsidRDefault="00B4144B" w:rsidP="004E2CFD">
            <w:pPr>
              <w:pStyle w:val="cuatexto"/>
              <w:spacing w:line="240" w:lineRule="auto"/>
              <w:rPr>
                <w:szCs w:val="20"/>
              </w:rPr>
            </w:pPr>
            <w:r w:rsidRPr="00933A7F">
              <w:rPr>
                <w:szCs w:val="20"/>
              </w:rPr>
              <w:t>160</w:t>
            </w:r>
          </w:p>
        </w:tc>
        <w:tc>
          <w:tcPr>
            <w:tcW w:w="2333" w:type="dxa"/>
            <w:shd w:val="clear" w:color="auto" w:fill="auto"/>
            <w:vAlign w:val="center"/>
            <w:hideMark/>
          </w:tcPr>
          <w:p w14:paraId="56115C27" w14:textId="6DB4C7A9" w:rsidR="00B4144B" w:rsidRPr="00933A7F" w:rsidRDefault="00C72EC6" w:rsidP="004E2CFD">
            <w:pPr>
              <w:pStyle w:val="cuatexto"/>
              <w:spacing w:line="240" w:lineRule="auto"/>
              <w:rPr>
                <w:szCs w:val="20"/>
              </w:rPr>
            </w:pPr>
            <w:r>
              <w:rPr>
                <w:szCs w:val="20"/>
              </w:rPr>
              <w:t xml:space="preserve">Alcantarillado, </w:t>
            </w:r>
            <w:proofErr w:type="spellStart"/>
            <w:proofErr w:type="gramStart"/>
            <w:r>
              <w:rPr>
                <w:szCs w:val="20"/>
              </w:rPr>
              <w:t>evacu.</w:t>
            </w:r>
            <w:r w:rsidR="00B4144B" w:rsidRPr="00933A7F">
              <w:rPr>
                <w:szCs w:val="20"/>
              </w:rPr>
              <w:t>y</w:t>
            </w:r>
            <w:proofErr w:type="spellEnd"/>
            <w:proofErr w:type="gramEnd"/>
            <w:r w:rsidR="00B4144B" w:rsidRPr="00933A7F">
              <w:rPr>
                <w:szCs w:val="20"/>
              </w:rPr>
              <w:t xml:space="preserve"> tratamiento </w:t>
            </w:r>
            <w:r>
              <w:rPr>
                <w:szCs w:val="20"/>
              </w:rPr>
              <w:t xml:space="preserve">aguas </w:t>
            </w:r>
            <w:proofErr w:type="spellStart"/>
            <w:r>
              <w:rPr>
                <w:szCs w:val="20"/>
              </w:rPr>
              <w:t>residua</w:t>
            </w:r>
            <w:proofErr w:type="spellEnd"/>
            <w:r>
              <w:rPr>
                <w:szCs w:val="20"/>
              </w:rPr>
              <w:t>.</w:t>
            </w:r>
          </w:p>
        </w:tc>
        <w:tc>
          <w:tcPr>
            <w:tcW w:w="727" w:type="dxa"/>
            <w:shd w:val="clear" w:color="auto" w:fill="auto"/>
            <w:vAlign w:val="center"/>
            <w:hideMark/>
          </w:tcPr>
          <w:p w14:paraId="73092FC3" w14:textId="77777777" w:rsidR="00B4144B" w:rsidRPr="00933A7F" w:rsidRDefault="00B4144B" w:rsidP="004E2CFD">
            <w:pPr>
              <w:pStyle w:val="cuatexto"/>
              <w:spacing w:line="240" w:lineRule="auto"/>
              <w:jc w:val="right"/>
              <w:rPr>
                <w:szCs w:val="20"/>
              </w:rPr>
            </w:pPr>
            <w:r w:rsidRPr="00933A7F">
              <w:rPr>
                <w:szCs w:val="20"/>
              </w:rPr>
              <w:t>6,08</w:t>
            </w:r>
          </w:p>
        </w:tc>
        <w:tc>
          <w:tcPr>
            <w:tcW w:w="742" w:type="dxa"/>
            <w:shd w:val="clear" w:color="auto" w:fill="auto"/>
            <w:vAlign w:val="center"/>
            <w:hideMark/>
          </w:tcPr>
          <w:p w14:paraId="427A45C0"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3,32</w:t>
            </w:r>
          </w:p>
        </w:tc>
        <w:tc>
          <w:tcPr>
            <w:tcW w:w="980" w:type="dxa"/>
            <w:shd w:val="clear" w:color="auto" w:fill="auto"/>
            <w:noWrap/>
            <w:vAlign w:val="center"/>
            <w:hideMark/>
          </w:tcPr>
          <w:p w14:paraId="67D29E9B"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0</w:t>
            </w:r>
          </w:p>
        </w:tc>
        <w:tc>
          <w:tcPr>
            <w:tcW w:w="850" w:type="dxa"/>
            <w:shd w:val="clear" w:color="auto" w:fill="auto"/>
            <w:noWrap/>
            <w:vAlign w:val="center"/>
            <w:hideMark/>
          </w:tcPr>
          <w:p w14:paraId="161B8192"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-45</w:t>
            </w:r>
          </w:p>
        </w:tc>
        <w:tc>
          <w:tcPr>
            <w:tcW w:w="815" w:type="dxa"/>
            <w:tcBorders>
              <w:right w:val="single" w:sz="2" w:space="0" w:color="auto"/>
            </w:tcBorders>
            <w:shd w:val="clear" w:color="auto" w:fill="auto"/>
            <w:noWrap/>
            <w:vAlign w:val="center"/>
            <w:hideMark/>
          </w:tcPr>
          <w:p w14:paraId="384668AD"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-2,76</w:t>
            </w:r>
          </w:p>
        </w:tc>
        <w:tc>
          <w:tcPr>
            <w:tcW w:w="866" w:type="dxa"/>
            <w:tcBorders>
              <w:top w:val="single" w:sz="2" w:space="0" w:color="auto"/>
              <w:left w:val="single" w:sz="2" w:space="0" w:color="auto"/>
              <w:bottom w:val="single" w:sz="2" w:space="0" w:color="auto"/>
            </w:tcBorders>
            <w:shd w:val="clear" w:color="auto" w:fill="auto"/>
            <w:vAlign w:val="center"/>
            <w:hideMark/>
          </w:tcPr>
          <w:p w14:paraId="002A75E4"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14,87</w:t>
            </w:r>
          </w:p>
        </w:tc>
        <w:tc>
          <w:tcPr>
            <w:tcW w:w="1015" w:type="dxa"/>
            <w:shd w:val="clear" w:color="auto" w:fill="auto"/>
            <w:noWrap/>
            <w:vAlign w:val="center"/>
            <w:hideMark/>
          </w:tcPr>
          <w:p w14:paraId="77F9526A"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w:t>
            </w:r>
          </w:p>
        </w:tc>
      </w:tr>
      <w:tr w:rsidR="00B4144B" w:rsidRPr="00933A7F" w14:paraId="1169EDBB" w14:textId="77777777" w:rsidTr="00C72EC6">
        <w:trPr>
          <w:trHeight w:val="227"/>
        </w:trPr>
        <w:tc>
          <w:tcPr>
            <w:tcW w:w="432" w:type="dxa"/>
            <w:shd w:val="clear" w:color="auto" w:fill="auto"/>
            <w:vAlign w:val="center"/>
            <w:hideMark/>
          </w:tcPr>
          <w:p w14:paraId="2DDFE04F" w14:textId="77777777" w:rsidR="00B4144B" w:rsidRPr="00933A7F" w:rsidRDefault="00B4144B" w:rsidP="004E2CFD">
            <w:pPr>
              <w:pStyle w:val="cuatexto"/>
              <w:spacing w:line="240" w:lineRule="auto"/>
              <w:rPr>
                <w:szCs w:val="20"/>
              </w:rPr>
            </w:pPr>
            <w:r w:rsidRPr="00933A7F">
              <w:rPr>
                <w:szCs w:val="20"/>
              </w:rPr>
              <w:t>169</w:t>
            </w:r>
          </w:p>
        </w:tc>
        <w:tc>
          <w:tcPr>
            <w:tcW w:w="2333" w:type="dxa"/>
            <w:shd w:val="clear" w:color="auto" w:fill="auto"/>
            <w:vAlign w:val="center"/>
            <w:hideMark/>
          </w:tcPr>
          <w:p w14:paraId="00AD0C6C" w14:textId="77777777" w:rsidR="00B4144B" w:rsidRPr="00933A7F" w:rsidRDefault="00B4144B" w:rsidP="004E2CFD">
            <w:pPr>
              <w:pStyle w:val="cuatexto"/>
              <w:spacing w:line="240" w:lineRule="auto"/>
              <w:rPr>
                <w:szCs w:val="20"/>
              </w:rPr>
            </w:pPr>
            <w:r w:rsidRPr="00933A7F">
              <w:rPr>
                <w:szCs w:val="20"/>
              </w:rPr>
              <w:t>Otros servicios de bienestar comunitario</w:t>
            </w:r>
          </w:p>
        </w:tc>
        <w:tc>
          <w:tcPr>
            <w:tcW w:w="727" w:type="dxa"/>
            <w:shd w:val="clear" w:color="auto" w:fill="auto"/>
            <w:vAlign w:val="center"/>
            <w:hideMark/>
          </w:tcPr>
          <w:p w14:paraId="09C236EC" w14:textId="77777777" w:rsidR="00B4144B" w:rsidRPr="00933A7F" w:rsidRDefault="00B4144B" w:rsidP="004E2CFD">
            <w:pPr>
              <w:pStyle w:val="cuatexto"/>
              <w:spacing w:line="240" w:lineRule="auto"/>
              <w:jc w:val="right"/>
              <w:rPr>
                <w:szCs w:val="20"/>
              </w:rPr>
            </w:pPr>
            <w:r w:rsidRPr="00933A7F">
              <w:rPr>
                <w:szCs w:val="20"/>
              </w:rPr>
              <w:t>2,86</w:t>
            </w:r>
          </w:p>
        </w:tc>
        <w:tc>
          <w:tcPr>
            <w:tcW w:w="742" w:type="dxa"/>
            <w:shd w:val="clear" w:color="auto" w:fill="auto"/>
            <w:vAlign w:val="center"/>
            <w:hideMark/>
          </w:tcPr>
          <w:p w14:paraId="7AC1AB3D"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2,44</w:t>
            </w:r>
          </w:p>
        </w:tc>
        <w:tc>
          <w:tcPr>
            <w:tcW w:w="980" w:type="dxa"/>
            <w:shd w:val="clear" w:color="auto" w:fill="auto"/>
            <w:noWrap/>
            <w:vAlign w:val="center"/>
            <w:hideMark/>
          </w:tcPr>
          <w:p w14:paraId="72D32EA4"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0</w:t>
            </w:r>
          </w:p>
        </w:tc>
        <w:tc>
          <w:tcPr>
            <w:tcW w:w="850" w:type="dxa"/>
            <w:shd w:val="clear" w:color="auto" w:fill="auto"/>
            <w:noWrap/>
            <w:vAlign w:val="center"/>
            <w:hideMark/>
          </w:tcPr>
          <w:p w14:paraId="2AB14C54"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-15</w:t>
            </w:r>
          </w:p>
        </w:tc>
        <w:tc>
          <w:tcPr>
            <w:tcW w:w="815" w:type="dxa"/>
            <w:tcBorders>
              <w:right w:val="single" w:sz="2" w:space="0" w:color="auto"/>
            </w:tcBorders>
            <w:shd w:val="clear" w:color="auto" w:fill="auto"/>
            <w:noWrap/>
            <w:vAlign w:val="center"/>
            <w:hideMark/>
          </w:tcPr>
          <w:p w14:paraId="6ECA0B01"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-0,42</w:t>
            </w:r>
          </w:p>
        </w:tc>
        <w:tc>
          <w:tcPr>
            <w:tcW w:w="866" w:type="dxa"/>
            <w:tcBorders>
              <w:top w:val="single" w:sz="2" w:space="0" w:color="auto"/>
              <w:left w:val="single" w:sz="2" w:space="0" w:color="auto"/>
              <w:bottom w:val="single" w:sz="2" w:space="0" w:color="auto"/>
            </w:tcBorders>
            <w:shd w:val="clear" w:color="auto" w:fill="auto"/>
            <w:vAlign w:val="center"/>
            <w:hideMark/>
          </w:tcPr>
          <w:p w14:paraId="5815130F"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2,44</w:t>
            </w:r>
          </w:p>
        </w:tc>
        <w:tc>
          <w:tcPr>
            <w:tcW w:w="1015" w:type="dxa"/>
            <w:shd w:val="clear" w:color="auto" w:fill="auto"/>
            <w:noWrap/>
            <w:vAlign w:val="center"/>
            <w:hideMark/>
          </w:tcPr>
          <w:p w14:paraId="3B88FD4B"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0</w:t>
            </w:r>
          </w:p>
        </w:tc>
      </w:tr>
      <w:tr w:rsidR="00B4144B" w:rsidRPr="00933A7F" w14:paraId="72EA8D2A" w14:textId="77777777" w:rsidTr="00C72EC6">
        <w:trPr>
          <w:trHeight w:val="227"/>
        </w:trPr>
        <w:tc>
          <w:tcPr>
            <w:tcW w:w="432" w:type="dxa"/>
            <w:shd w:val="clear" w:color="auto" w:fill="auto"/>
            <w:vAlign w:val="center"/>
            <w:hideMark/>
          </w:tcPr>
          <w:p w14:paraId="27D1DD5A" w14:textId="77777777" w:rsidR="00B4144B" w:rsidRPr="00933A7F" w:rsidRDefault="00B4144B" w:rsidP="004E2CFD">
            <w:pPr>
              <w:pStyle w:val="cuatexto"/>
              <w:spacing w:line="240" w:lineRule="auto"/>
              <w:rPr>
                <w:szCs w:val="20"/>
              </w:rPr>
            </w:pPr>
            <w:r w:rsidRPr="00933A7F">
              <w:rPr>
                <w:szCs w:val="20"/>
              </w:rPr>
              <w:t>164</w:t>
            </w:r>
          </w:p>
        </w:tc>
        <w:tc>
          <w:tcPr>
            <w:tcW w:w="2333" w:type="dxa"/>
            <w:shd w:val="clear" w:color="auto" w:fill="auto"/>
            <w:vAlign w:val="center"/>
            <w:hideMark/>
          </w:tcPr>
          <w:p w14:paraId="392584EF" w14:textId="77777777" w:rsidR="00B4144B" w:rsidRPr="00933A7F" w:rsidRDefault="00B4144B" w:rsidP="004E2CFD">
            <w:pPr>
              <w:pStyle w:val="cuatexto"/>
              <w:spacing w:line="240" w:lineRule="auto"/>
              <w:rPr>
                <w:szCs w:val="20"/>
              </w:rPr>
            </w:pPr>
            <w:r w:rsidRPr="00933A7F">
              <w:rPr>
                <w:szCs w:val="20"/>
              </w:rPr>
              <w:t>Cementerio y servicios funerarios.</w:t>
            </w:r>
          </w:p>
        </w:tc>
        <w:tc>
          <w:tcPr>
            <w:tcW w:w="727" w:type="dxa"/>
            <w:shd w:val="clear" w:color="auto" w:fill="auto"/>
            <w:vAlign w:val="center"/>
            <w:hideMark/>
          </w:tcPr>
          <w:p w14:paraId="6F69AA59" w14:textId="77777777" w:rsidR="00B4144B" w:rsidRPr="00933A7F" w:rsidRDefault="00B4144B" w:rsidP="004E2CFD">
            <w:pPr>
              <w:pStyle w:val="cuatexto"/>
              <w:spacing w:line="240" w:lineRule="auto"/>
              <w:jc w:val="right"/>
              <w:rPr>
                <w:szCs w:val="20"/>
              </w:rPr>
            </w:pPr>
            <w:r w:rsidRPr="00933A7F">
              <w:rPr>
                <w:szCs w:val="20"/>
              </w:rPr>
              <w:t>2,33</w:t>
            </w:r>
          </w:p>
        </w:tc>
        <w:tc>
          <w:tcPr>
            <w:tcW w:w="742" w:type="dxa"/>
            <w:shd w:val="clear" w:color="auto" w:fill="auto"/>
            <w:vAlign w:val="center"/>
            <w:hideMark/>
          </w:tcPr>
          <w:p w14:paraId="43B91D41"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2,26</w:t>
            </w:r>
          </w:p>
        </w:tc>
        <w:tc>
          <w:tcPr>
            <w:tcW w:w="980" w:type="dxa"/>
            <w:shd w:val="clear" w:color="auto" w:fill="auto"/>
            <w:noWrap/>
            <w:vAlign w:val="center"/>
            <w:hideMark/>
          </w:tcPr>
          <w:p w14:paraId="2FA42972"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0</w:t>
            </w:r>
          </w:p>
        </w:tc>
        <w:tc>
          <w:tcPr>
            <w:tcW w:w="850" w:type="dxa"/>
            <w:shd w:val="clear" w:color="auto" w:fill="auto"/>
            <w:noWrap/>
            <w:vAlign w:val="center"/>
            <w:hideMark/>
          </w:tcPr>
          <w:p w14:paraId="47D6C44B"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-3</w:t>
            </w:r>
          </w:p>
        </w:tc>
        <w:tc>
          <w:tcPr>
            <w:tcW w:w="815" w:type="dxa"/>
            <w:tcBorders>
              <w:right w:val="single" w:sz="2" w:space="0" w:color="auto"/>
            </w:tcBorders>
            <w:shd w:val="clear" w:color="auto" w:fill="auto"/>
            <w:noWrap/>
            <w:vAlign w:val="center"/>
            <w:hideMark/>
          </w:tcPr>
          <w:p w14:paraId="15354ED6"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-0,07</w:t>
            </w:r>
          </w:p>
        </w:tc>
        <w:tc>
          <w:tcPr>
            <w:tcW w:w="866" w:type="dxa"/>
            <w:tcBorders>
              <w:top w:val="single" w:sz="2" w:space="0" w:color="auto"/>
              <w:left w:val="single" w:sz="2" w:space="0" w:color="auto"/>
              <w:bottom w:val="single" w:sz="2" w:space="0" w:color="auto"/>
            </w:tcBorders>
            <w:shd w:val="clear" w:color="auto" w:fill="auto"/>
            <w:vAlign w:val="center"/>
            <w:hideMark/>
          </w:tcPr>
          <w:p w14:paraId="391E1633"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2,26</w:t>
            </w:r>
          </w:p>
        </w:tc>
        <w:tc>
          <w:tcPr>
            <w:tcW w:w="1015" w:type="dxa"/>
            <w:shd w:val="clear" w:color="auto" w:fill="auto"/>
            <w:noWrap/>
            <w:vAlign w:val="center"/>
            <w:hideMark/>
          </w:tcPr>
          <w:p w14:paraId="52466DAE" w14:textId="77777777" w:rsidR="00B4144B" w:rsidRPr="00933A7F" w:rsidRDefault="00B4144B" w:rsidP="004E2CFD">
            <w:pPr>
              <w:pStyle w:val="cuatexto"/>
              <w:tabs>
                <w:tab w:val="clear" w:pos="3969"/>
                <w:tab w:val="clear" w:pos="5103"/>
              </w:tabs>
              <w:spacing w:line="240" w:lineRule="auto"/>
              <w:jc w:val="right"/>
              <w:rPr>
                <w:szCs w:val="20"/>
              </w:rPr>
            </w:pPr>
            <w:r w:rsidRPr="00933A7F">
              <w:rPr>
                <w:szCs w:val="20"/>
              </w:rPr>
              <w:t>0</w:t>
            </w:r>
          </w:p>
        </w:tc>
      </w:tr>
      <w:tr w:rsidR="006F231C" w:rsidRPr="00C72EC6" w14:paraId="23358A8D" w14:textId="77777777" w:rsidTr="00C72EC6">
        <w:trPr>
          <w:trHeight w:val="227"/>
        </w:trPr>
        <w:tc>
          <w:tcPr>
            <w:tcW w:w="432" w:type="dxa"/>
            <w:shd w:val="clear" w:color="auto" w:fill="FABF8F" w:themeFill="accent6" w:themeFillTint="99"/>
            <w:vAlign w:val="center"/>
          </w:tcPr>
          <w:p w14:paraId="2B36861C" w14:textId="77777777" w:rsidR="006F231C" w:rsidRPr="00C72EC6" w:rsidRDefault="006F231C" w:rsidP="004E2CFD">
            <w:pPr>
              <w:pStyle w:val="cuadroCabe"/>
              <w:spacing w:line="240" w:lineRule="auto"/>
            </w:pPr>
            <w:r w:rsidRPr="00C72EC6">
              <w:t>16</w:t>
            </w:r>
          </w:p>
        </w:tc>
        <w:tc>
          <w:tcPr>
            <w:tcW w:w="2333" w:type="dxa"/>
            <w:shd w:val="clear" w:color="auto" w:fill="FABF8F" w:themeFill="accent6" w:themeFillTint="99"/>
            <w:vAlign w:val="center"/>
          </w:tcPr>
          <w:p w14:paraId="65C3B1C4" w14:textId="77777777" w:rsidR="006F231C" w:rsidRPr="00C72EC6" w:rsidRDefault="006F231C" w:rsidP="004E2CFD">
            <w:pPr>
              <w:pStyle w:val="cuadroCabe"/>
              <w:spacing w:line="240" w:lineRule="auto"/>
            </w:pPr>
            <w:r w:rsidRPr="00C72EC6">
              <w:t>Bienestar comunitario.</w:t>
            </w:r>
          </w:p>
        </w:tc>
        <w:tc>
          <w:tcPr>
            <w:tcW w:w="727" w:type="dxa"/>
            <w:shd w:val="clear" w:color="auto" w:fill="FABF8F" w:themeFill="accent6" w:themeFillTint="99"/>
            <w:vAlign w:val="center"/>
          </w:tcPr>
          <w:p w14:paraId="1F87A4FD" w14:textId="77777777" w:rsidR="006F231C" w:rsidRPr="00C72EC6" w:rsidRDefault="006F231C" w:rsidP="004E2CFD">
            <w:pPr>
              <w:pStyle w:val="cuadroCabe"/>
              <w:spacing w:line="240" w:lineRule="auto"/>
              <w:jc w:val="right"/>
            </w:pPr>
            <w:r w:rsidRPr="00C72EC6">
              <w:t>139,18</w:t>
            </w:r>
          </w:p>
        </w:tc>
        <w:tc>
          <w:tcPr>
            <w:tcW w:w="742" w:type="dxa"/>
            <w:shd w:val="clear" w:color="auto" w:fill="FABF8F" w:themeFill="accent6" w:themeFillTint="99"/>
            <w:vAlign w:val="center"/>
          </w:tcPr>
          <w:p w14:paraId="31D15042" w14:textId="77777777" w:rsidR="006F231C" w:rsidRPr="00C72EC6" w:rsidRDefault="006F231C" w:rsidP="004E2CFD">
            <w:pPr>
              <w:pStyle w:val="cuadroCabe"/>
              <w:spacing w:line="240" w:lineRule="auto"/>
              <w:jc w:val="right"/>
            </w:pPr>
            <w:r w:rsidRPr="00C72EC6">
              <w:t>105,37</w:t>
            </w:r>
          </w:p>
        </w:tc>
        <w:tc>
          <w:tcPr>
            <w:tcW w:w="980" w:type="dxa"/>
            <w:shd w:val="clear" w:color="auto" w:fill="FABF8F" w:themeFill="accent6" w:themeFillTint="99"/>
            <w:noWrap/>
            <w:vAlign w:val="center"/>
          </w:tcPr>
          <w:p w14:paraId="4600BF5B" w14:textId="77777777" w:rsidR="006F231C" w:rsidRPr="00C72EC6" w:rsidRDefault="006F231C" w:rsidP="004E2CFD">
            <w:pPr>
              <w:pStyle w:val="cuadroCabe"/>
              <w:spacing w:line="240" w:lineRule="auto"/>
              <w:jc w:val="right"/>
            </w:pPr>
            <w:r w:rsidRPr="00C72EC6">
              <w:t>13</w:t>
            </w:r>
          </w:p>
        </w:tc>
        <w:tc>
          <w:tcPr>
            <w:tcW w:w="850" w:type="dxa"/>
            <w:shd w:val="clear" w:color="auto" w:fill="FABF8F" w:themeFill="accent6" w:themeFillTint="99"/>
            <w:noWrap/>
            <w:vAlign w:val="center"/>
          </w:tcPr>
          <w:p w14:paraId="25B9D58F" w14:textId="77777777" w:rsidR="006F231C" w:rsidRPr="00C72EC6" w:rsidRDefault="006F231C" w:rsidP="004E2CFD">
            <w:pPr>
              <w:pStyle w:val="cuadroCabe"/>
              <w:spacing w:line="240" w:lineRule="auto"/>
              <w:jc w:val="right"/>
            </w:pPr>
            <w:r w:rsidRPr="00C72EC6">
              <w:t>-24</w:t>
            </w:r>
          </w:p>
        </w:tc>
        <w:tc>
          <w:tcPr>
            <w:tcW w:w="815" w:type="dxa"/>
            <w:tcBorders>
              <w:right w:val="single" w:sz="2" w:space="0" w:color="auto"/>
            </w:tcBorders>
            <w:shd w:val="clear" w:color="auto" w:fill="FABF8F" w:themeFill="accent6" w:themeFillTint="99"/>
            <w:noWrap/>
            <w:vAlign w:val="center"/>
          </w:tcPr>
          <w:p w14:paraId="65429E12" w14:textId="77777777" w:rsidR="006F231C" w:rsidRPr="00C72EC6" w:rsidRDefault="006F231C" w:rsidP="004E2CFD">
            <w:pPr>
              <w:pStyle w:val="cuadroCabe"/>
              <w:spacing w:line="240" w:lineRule="auto"/>
              <w:jc w:val="right"/>
            </w:pPr>
            <w:r w:rsidRPr="00C72EC6">
              <w:t>-33,81</w:t>
            </w:r>
          </w:p>
        </w:tc>
        <w:tc>
          <w:tcPr>
            <w:tcW w:w="866" w:type="dxa"/>
            <w:tcBorders>
              <w:top w:val="single" w:sz="2" w:space="0" w:color="auto"/>
              <w:left w:val="single" w:sz="2" w:space="0" w:color="auto"/>
              <w:bottom w:val="single" w:sz="4" w:space="0" w:color="auto"/>
            </w:tcBorders>
            <w:shd w:val="clear" w:color="auto" w:fill="FABF8F" w:themeFill="accent6" w:themeFillTint="99"/>
            <w:vAlign w:val="center"/>
          </w:tcPr>
          <w:p w14:paraId="47B7118C" w14:textId="77777777" w:rsidR="006F231C" w:rsidRPr="00C72EC6" w:rsidRDefault="006F231C" w:rsidP="004E2CFD">
            <w:pPr>
              <w:pStyle w:val="cuadroCabe"/>
              <w:spacing w:line="240" w:lineRule="auto"/>
              <w:jc w:val="right"/>
            </w:pPr>
            <w:r w:rsidRPr="00C72EC6">
              <w:t>168,11</w:t>
            </w:r>
          </w:p>
        </w:tc>
        <w:tc>
          <w:tcPr>
            <w:tcW w:w="1015" w:type="dxa"/>
            <w:shd w:val="clear" w:color="auto" w:fill="FABF8F" w:themeFill="accent6" w:themeFillTint="99"/>
            <w:noWrap/>
            <w:vAlign w:val="center"/>
          </w:tcPr>
          <w:p w14:paraId="55290F1C" w14:textId="77777777" w:rsidR="006F231C" w:rsidRPr="00C72EC6" w:rsidRDefault="006F231C" w:rsidP="004E2CFD">
            <w:pPr>
              <w:pStyle w:val="cuadroCabe"/>
              <w:spacing w:line="240" w:lineRule="auto"/>
              <w:jc w:val="right"/>
            </w:pPr>
            <w:r w:rsidRPr="00C72EC6">
              <w:t>19</w:t>
            </w:r>
          </w:p>
        </w:tc>
      </w:tr>
    </w:tbl>
    <w:p w14:paraId="22333065" w14:textId="77777777" w:rsidR="007825F1" w:rsidRPr="00C050A8" w:rsidRDefault="007825F1" w:rsidP="00681E7B">
      <w:pPr>
        <w:pStyle w:val="texto"/>
        <w:spacing w:before="240" w:after="240"/>
        <w:rPr>
          <w:color w:val="000000" w:themeColor="text1"/>
        </w:rPr>
      </w:pPr>
      <w:r w:rsidRPr="00C050A8">
        <w:rPr>
          <w:color w:val="000000" w:themeColor="text1"/>
        </w:rPr>
        <w:t xml:space="preserve">En los datos que incluyen la consolidación de las tres sociedades se observa que el gasto en esta política se destina principalmente a abastecimiento domiciliario de agua potable y recogida, gestión y tratamiento de residuos. </w:t>
      </w:r>
    </w:p>
    <w:p w14:paraId="0BBCC3FA" w14:textId="77777777" w:rsidR="00345C6C" w:rsidRPr="00EF0883" w:rsidRDefault="00345C6C" w:rsidP="00DA0A2D">
      <w:pPr>
        <w:pStyle w:val="Ttulo2"/>
        <w:rPr>
          <w:szCs w:val="25"/>
        </w:rPr>
      </w:pPr>
      <w:bookmarkStart w:id="81" w:name="_Toc465686690"/>
      <w:bookmarkStart w:id="82" w:name="_Toc529773884"/>
      <w:bookmarkStart w:id="83" w:name="_Toc24100145"/>
      <w:bookmarkStart w:id="84" w:name="_Toc52348293"/>
      <w:bookmarkStart w:id="85" w:name="_Toc88727718"/>
      <w:bookmarkStart w:id="86" w:name="_Toc123724202"/>
      <w:r w:rsidRPr="00EF0883">
        <w:rPr>
          <w:szCs w:val="25"/>
        </w:rPr>
        <w:t>V</w:t>
      </w:r>
      <w:r w:rsidR="004B35F2" w:rsidRPr="00EF0883">
        <w:rPr>
          <w:szCs w:val="25"/>
        </w:rPr>
        <w:t>I</w:t>
      </w:r>
      <w:r w:rsidRPr="00EF0883">
        <w:rPr>
          <w:szCs w:val="25"/>
        </w:rPr>
        <w:t xml:space="preserve">.3. </w:t>
      </w:r>
      <w:bookmarkEnd w:id="81"/>
      <w:r w:rsidRPr="00EF0883">
        <w:rPr>
          <w:szCs w:val="25"/>
        </w:rPr>
        <w:t>Indicadores</w:t>
      </w:r>
      <w:bookmarkEnd w:id="82"/>
      <w:bookmarkEnd w:id="83"/>
      <w:bookmarkEnd w:id="84"/>
      <w:bookmarkEnd w:id="85"/>
      <w:bookmarkEnd w:id="86"/>
    </w:p>
    <w:p w14:paraId="63B6FE5F" w14:textId="5EDAC627" w:rsidR="00345C6C" w:rsidRPr="00B81E61" w:rsidRDefault="00345C6C" w:rsidP="00345C6C">
      <w:pPr>
        <w:pStyle w:val="texto"/>
        <w:spacing w:after="240"/>
        <w:rPr>
          <w:color w:val="000000" w:themeColor="text1"/>
        </w:rPr>
      </w:pPr>
      <w:r w:rsidRPr="00B81E61">
        <w:rPr>
          <w:color w:val="000000" w:themeColor="text1"/>
        </w:rPr>
        <w:t>En el siguiente cuadro mostramos la distribución de cada 100 euros gastados en el sector público local y su financiación</w:t>
      </w:r>
      <w:r>
        <w:rPr>
          <w:color w:val="000000" w:themeColor="text1"/>
        </w:rPr>
        <w:t xml:space="preserve">, sin </w:t>
      </w:r>
      <w:r w:rsidR="00B72304">
        <w:rPr>
          <w:color w:val="000000" w:themeColor="text1"/>
        </w:rPr>
        <w:t>incluir la consolidación de las sociedades:</w:t>
      </w:r>
    </w:p>
    <w:tbl>
      <w:tblPr>
        <w:tblW w:w="8799" w:type="dxa"/>
        <w:jc w:val="center"/>
        <w:tblBorders>
          <w:top w:val="single" w:sz="4" w:space="0" w:color="auto"/>
          <w:bottom w:val="single" w:sz="4" w:space="0" w:color="auto"/>
          <w:insideH w:val="single" w:sz="2" w:space="0" w:color="auto"/>
        </w:tblBorders>
        <w:tblLook w:val="01E0" w:firstRow="1" w:lastRow="1" w:firstColumn="1" w:lastColumn="1" w:noHBand="0" w:noVBand="0"/>
      </w:tblPr>
      <w:tblGrid>
        <w:gridCol w:w="2977"/>
        <w:gridCol w:w="788"/>
        <w:gridCol w:w="707"/>
        <w:gridCol w:w="2835"/>
        <w:gridCol w:w="641"/>
        <w:gridCol w:w="851"/>
      </w:tblGrid>
      <w:tr w:rsidR="00793D68" w:rsidRPr="00C72EC6" w14:paraId="71381360" w14:textId="77777777" w:rsidTr="004E2CFD">
        <w:trPr>
          <w:trHeight w:val="227"/>
          <w:jc w:val="center"/>
        </w:trPr>
        <w:tc>
          <w:tcPr>
            <w:tcW w:w="2977" w:type="dxa"/>
            <w:tcBorders>
              <w:top w:val="single" w:sz="4" w:space="0" w:color="auto"/>
              <w:bottom w:val="single" w:sz="4" w:space="0" w:color="auto"/>
            </w:tcBorders>
            <w:shd w:val="clear" w:color="auto" w:fill="FABF8F" w:themeFill="accent6" w:themeFillTint="99"/>
            <w:vAlign w:val="center"/>
          </w:tcPr>
          <w:p w14:paraId="7E497752" w14:textId="77777777" w:rsidR="00793D68" w:rsidRPr="00C72EC6" w:rsidRDefault="00793D68" w:rsidP="00C72EC6">
            <w:pPr>
              <w:pStyle w:val="cuadroCabe"/>
              <w:spacing w:line="240" w:lineRule="auto"/>
            </w:pPr>
            <w:r w:rsidRPr="00C72EC6">
              <w:t>Naturaleza del gasto</w:t>
            </w:r>
          </w:p>
        </w:tc>
        <w:tc>
          <w:tcPr>
            <w:tcW w:w="788" w:type="dxa"/>
            <w:tcBorders>
              <w:top w:val="single" w:sz="4" w:space="0" w:color="auto"/>
              <w:bottom w:val="single" w:sz="4" w:space="0" w:color="auto"/>
            </w:tcBorders>
            <w:shd w:val="clear" w:color="auto" w:fill="FABF8F" w:themeFill="accent6" w:themeFillTint="99"/>
            <w:vAlign w:val="center"/>
          </w:tcPr>
          <w:p w14:paraId="63738BCF" w14:textId="77777777" w:rsidR="00793D68" w:rsidRPr="00C72EC6" w:rsidRDefault="00793D68" w:rsidP="002B2783">
            <w:pPr>
              <w:pStyle w:val="cuadroCabe"/>
              <w:spacing w:line="240" w:lineRule="auto"/>
              <w:jc w:val="right"/>
            </w:pPr>
            <w:r w:rsidRPr="00C72EC6">
              <w:t>2019</w:t>
            </w:r>
          </w:p>
        </w:tc>
        <w:tc>
          <w:tcPr>
            <w:tcW w:w="707" w:type="dxa"/>
            <w:tcBorders>
              <w:top w:val="single" w:sz="4" w:space="0" w:color="auto"/>
              <w:bottom w:val="single" w:sz="4" w:space="0" w:color="auto"/>
              <w:right w:val="single" w:sz="2" w:space="0" w:color="auto"/>
            </w:tcBorders>
            <w:shd w:val="clear" w:color="auto" w:fill="FABF8F" w:themeFill="accent6" w:themeFillTint="99"/>
            <w:vAlign w:val="center"/>
          </w:tcPr>
          <w:p w14:paraId="62C76A53" w14:textId="77777777" w:rsidR="00793D68" w:rsidRPr="00C72EC6" w:rsidRDefault="00793D68" w:rsidP="002B2783">
            <w:pPr>
              <w:pStyle w:val="cuadroCabe"/>
              <w:spacing w:line="240" w:lineRule="auto"/>
              <w:jc w:val="right"/>
            </w:pPr>
            <w:r w:rsidRPr="00C72EC6">
              <w:t>2020</w:t>
            </w:r>
          </w:p>
        </w:tc>
        <w:tc>
          <w:tcPr>
            <w:tcW w:w="2835" w:type="dxa"/>
            <w:tcBorders>
              <w:top w:val="single" w:sz="4" w:space="0" w:color="auto"/>
              <w:left w:val="single" w:sz="2" w:space="0" w:color="auto"/>
              <w:bottom w:val="single" w:sz="4" w:space="0" w:color="auto"/>
            </w:tcBorders>
            <w:shd w:val="clear" w:color="auto" w:fill="FABF8F" w:themeFill="accent6" w:themeFillTint="99"/>
            <w:vAlign w:val="center"/>
          </w:tcPr>
          <w:p w14:paraId="1746E219" w14:textId="77777777" w:rsidR="00793D68" w:rsidRPr="00C72EC6" w:rsidRDefault="00793D68" w:rsidP="00C72EC6">
            <w:pPr>
              <w:pStyle w:val="cuadroCabe"/>
              <w:spacing w:line="240" w:lineRule="auto"/>
            </w:pPr>
            <w:r w:rsidRPr="00C72EC6">
              <w:t>Fuente de financiación</w:t>
            </w:r>
          </w:p>
        </w:tc>
        <w:tc>
          <w:tcPr>
            <w:tcW w:w="641" w:type="dxa"/>
            <w:tcBorders>
              <w:top w:val="single" w:sz="4" w:space="0" w:color="auto"/>
              <w:bottom w:val="single" w:sz="4" w:space="0" w:color="auto"/>
            </w:tcBorders>
            <w:shd w:val="clear" w:color="auto" w:fill="FABF8F" w:themeFill="accent6" w:themeFillTint="99"/>
            <w:vAlign w:val="center"/>
          </w:tcPr>
          <w:p w14:paraId="155C9ACC" w14:textId="77777777" w:rsidR="00793D68" w:rsidRPr="00C72EC6" w:rsidRDefault="00793D68" w:rsidP="00C72EC6">
            <w:pPr>
              <w:pStyle w:val="cuadroCabe"/>
              <w:spacing w:line="240" w:lineRule="auto"/>
              <w:jc w:val="right"/>
            </w:pPr>
            <w:r w:rsidRPr="00C72EC6">
              <w:t>2019</w:t>
            </w:r>
          </w:p>
        </w:tc>
        <w:tc>
          <w:tcPr>
            <w:tcW w:w="851" w:type="dxa"/>
            <w:tcBorders>
              <w:top w:val="single" w:sz="4" w:space="0" w:color="auto"/>
              <w:bottom w:val="single" w:sz="4" w:space="0" w:color="auto"/>
            </w:tcBorders>
            <w:shd w:val="clear" w:color="auto" w:fill="FABF8F" w:themeFill="accent6" w:themeFillTint="99"/>
            <w:vAlign w:val="center"/>
          </w:tcPr>
          <w:p w14:paraId="1CAB430D" w14:textId="77777777" w:rsidR="00793D68" w:rsidRPr="00C72EC6" w:rsidRDefault="00793D68" w:rsidP="00C72EC6">
            <w:pPr>
              <w:pStyle w:val="cuadroCabe"/>
              <w:spacing w:line="240" w:lineRule="auto"/>
              <w:jc w:val="right"/>
            </w:pPr>
            <w:r w:rsidRPr="00C72EC6">
              <w:t>2020</w:t>
            </w:r>
          </w:p>
        </w:tc>
      </w:tr>
      <w:tr w:rsidR="00793D68" w:rsidRPr="00933A7F" w14:paraId="10AFC70D" w14:textId="77777777" w:rsidTr="004E2CFD">
        <w:trPr>
          <w:trHeight w:val="227"/>
          <w:jc w:val="center"/>
        </w:trPr>
        <w:tc>
          <w:tcPr>
            <w:tcW w:w="2977" w:type="dxa"/>
            <w:tcBorders>
              <w:top w:val="single" w:sz="4" w:space="0" w:color="auto"/>
            </w:tcBorders>
            <w:vAlign w:val="center"/>
          </w:tcPr>
          <w:p w14:paraId="0F4C38EC" w14:textId="77777777" w:rsidR="00793D68" w:rsidRPr="00933A7F" w:rsidRDefault="00793D68" w:rsidP="00C72EC6">
            <w:pPr>
              <w:pStyle w:val="cuatexto"/>
              <w:spacing w:line="240" w:lineRule="auto"/>
              <w:rPr>
                <w:szCs w:val="20"/>
              </w:rPr>
            </w:pPr>
            <w:r w:rsidRPr="00933A7F">
              <w:rPr>
                <w:szCs w:val="20"/>
              </w:rPr>
              <w:t>Personal</w:t>
            </w:r>
          </w:p>
        </w:tc>
        <w:tc>
          <w:tcPr>
            <w:tcW w:w="788" w:type="dxa"/>
            <w:tcBorders>
              <w:top w:val="single" w:sz="4" w:space="0" w:color="auto"/>
            </w:tcBorders>
            <w:vAlign w:val="center"/>
          </w:tcPr>
          <w:p w14:paraId="7A3070B3" w14:textId="77777777" w:rsidR="00793D68" w:rsidRPr="00933A7F" w:rsidRDefault="00793D68" w:rsidP="002B2783">
            <w:pPr>
              <w:pStyle w:val="cuatexto"/>
              <w:spacing w:line="240" w:lineRule="auto"/>
              <w:jc w:val="right"/>
              <w:rPr>
                <w:szCs w:val="20"/>
              </w:rPr>
            </w:pPr>
            <w:r w:rsidRPr="00933A7F">
              <w:rPr>
                <w:szCs w:val="20"/>
              </w:rPr>
              <w:t>34</w:t>
            </w:r>
          </w:p>
        </w:tc>
        <w:tc>
          <w:tcPr>
            <w:tcW w:w="707" w:type="dxa"/>
            <w:tcBorders>
              <w:top w:val="single" w:sz="4" w:space="0" w:color="auto"/>
              <w:right w:val="single" w:sz="2" w:space="0" w:color="auto"/>
            </w:tcBorders>
            <w:vAlign w:val="center"/>
          </w:tcPr>
          <w:p w14:paraId="2F60815C" w14:textId="77777777" w:rsidR="00793D68" w:rsidRPr="00933A7F" w:rsidRDefault="00793D68" w:rsidP="002B2783">
            <w:pPr>
              <w:pStyle w:val="cuatexto"/>
              <w:spacing w:line="240" w:lineRule="auto"/>
              <w:jc w:val="right"/>
              <w:rPr>
                <w:szCs w:val="20"/>
              </w:rPr>
            </w:pPr>
            <w:r w:rsidRPr="00933A7F">
              <w:rPr>
                <w:szCs w:val="20"/>
              </w:rPr>
              <w:t>39</w:t>
            </w:r>
          </w:p>
        </w:tc>
        <w:tc>
          <w:tcPr>
            <w:tcW w:w="2835" w:type="dxa"/>
            <w:tcBorders>
              <w:top w:val="single" w:sz="4" w:space="0" w:color="auto"/>
              <w:left w:val="single" w:sz="2" w:space="0" w:color="auto"/>
              <w:bottom w:val="single" w:sz="2" w:space="0" w:color="auto"/>
            </w:tcBorders>
            <w:vAlign w:val="center"/>
          </w:tcPr>
          <w:p w14:paraId="244F637E" w14:textId="77777777" w:rsidR="00793D68" w:rsidRPr="00933A7F" w:rsidRDefault="00793D68" w:rsidP="00C72EC6">
            <w:pPr>
              <w:pStyle w:val="cuatexto"/>
              <w:spacing w:line="240" w:lineRule="auto"/>
              <w:rPr>
                <w:szCs w:val="20"/>
              </w:rPr>
            </w:pPr>
            <w:r w:rsidRPr="00933A7F">
              <w:rPr>
                <w:szCs w:val="20"/>
              </w:rPr>
              <w:t>Ingresos tributarios</w:t>
            </w:r>
          </w:p>
        </w:tc>
        <w:tc>
          <w:tcPr>
            <w:tcW w:w="641" w:type="dxa"/>
            <w:tcBorders>
              <w:top w:val="single" w:sz="4" w:space="0" w:color="auto"/>
            </w:tcBorders>
            <w:vAlign w:val="center"/>
          </w:tcPr>
          <w:p w14:paraId="14A88DAD" w14:textId="77777777" w:rsidR="00793D68" w:rsidRPr="00933A7F" w:rsidRDefault="00793D68" w:rsidP="00C72EC6">
            <w:pPr>
              <w:pStyle w:val="cuatexto"/>
              <w:spacing w:line="240" w:lineRule="auto"/>
              <w:jc w:val="right"/>
              <w:rPr>
                <w:szCs w:val="20"/>
              </w:rPr>
            </w:pPr>
            <w:r w:rsidRPr="00933A7F">
              <w:rPr>
                <w:szCs w:val="20"/>
              </w:rPr>
              <w:t>45</w:t>
            </w:r>
          </w:p>
        </w:tc>
        <w:tc>
          <w:tcPr>
            <w:tcW w:w="851" w:type="dxa"/>
            <w:tcBorders>
              <w:top w:val="single" w:sz="4" w:space="0" w:color="auto"/>
            </w:tcBorders>
            <w:vAlign w:val="center"/>
          </w:tcPr>
          <w:p w14:paraId="214FE278" w14:textId="77777777" w:rsidR="00793D68" w:rsidRPr="00933A7F" w:rsidRDefault="00793D68" w:rsidP="00C72EC6">
            <w:pPr>
              <w:pStyle w:val="cuatexto"/>
              <w:spacing w:line="240" w:lineRule="auto"/>
              <w:jc w:val="right"/>
              <w:rPr>
                <w:szCs w:val="20"/>
              </w:rPr>
            </w:pPr>
            <w:r w:rsidRPr="00933A7F">
              <w:rPr>
                <w:szCs w:val="20"/>
              </w:rPr>
              <w:t>44</w:t>
            </w:r>
          </w:p>
        </w:tc>
      </w:tr>
      <w:tr w:rsidR="00793D68" w:rsidRPr="00933A7F" w14:paraId="7B0D4D29" w14:textId="77777777" w:rsidTr="002B2783">
        <w:trPr>
          <w:trHeight w:val="227"/>
          <w:jc w:val="center"/>
        </w:trPr>
        <w:tc>
          <w:tcPr>
            <w:tcW w:w="2977" w:type="dxa"/>
            <w:vAlign w:val="center"/>
          </w:tcPr>
          <w:p w14:paraId="4273ECB4" w14:textId="77777777" w:rsidR="00793D68" w:rsidRPr="00933A7F" w:rsidRDefault="00793D68" w:rsidP="00C72EC6">
            <w:pPr>
              <w:pStyle w:val="cuatexto"/>
              <w:spacing w:line="240" w:lineRule="auto"/>
              <w:rPr>
                <w:szCs w:val="20"/>
              </w:rPr>
            </w:pPr>
            <w:r w:rsidRPr="00933A7F">
              <w:rPr>
                <w:szCs w:val="20"/>
              </w:rPr>
              <w:t>Bienes corrientes y servicios</w:t>
            </w:r>
          </w:p>
        </w:tc>
        <w:tc>
          <w:tcPr>
            <w:tcW w:w="788" w:type="dxa"/>
            <w:vAlign w:val="center"/>
          </w:tcPr>
          <w:p w14:paraId="744C8AF5" w14:textId="77777777" w:rsidR="00793D68" w:rsidRPr="00933A7F" w:rsidRDefault="00793D68" w:rsidP="002B2783">
            <w:pPr>
              <w:pStyle w:val="cuatexto"/>
              <w:spacing w:line="240" w:lineRule="auto"/>
              <w:jc w:val="right"/>
              <w:rPr>
                <w:szCs w:val="20"/>
              </w:rPr>
            </w:pPr>
            <w:r w:rsidRPr="00933A7F">
              <w:rPr>
                <w:szCs w:val="20"/>
              </w:rPr>
              <w:t>32</w:t>
            </w:r>
          </w:p>
        </w:tc>
        <w:tc>
          <w:tcPr>
            <w:tcW w:w="707" w:type="dxa"/>
            <w:tcBorders>
              <w:right w:val="single" w:sz="2" w:space="0" w:color="auto"/>
            </w:tcBorders>
            <w:vAlign w:val="center"/>
          </w:tcPr>
          <w:p w14:paraId="377BC37A" w14:textId="77777777" w:rsidR="00793D68" w:rsidRPr="00933A7F" w:rsidRDefault="00793D68" w:rsidP="002B2783">
            <w:pPr>
              <w:pStyle w:val="cuatexto"/>
              <w:spacing w:line="240" w:lineRule="auto"/>
              <w:jc w:val="right"/>
              <w:rPr>
                <w:szCs w:val="20"/>
              </w:rPr>
            </w:pPr>
            <w:r w:rsidRPr="00933A7F">
              <w:rPr>
                <w:szCs w:val="20"/>
              </w:rPr>
              <w:t>32</w:t>
            </w:r>
          </w:p>
        </w:tc>
        <w:tc>
          <w:tcPr>
            <w:tcW w:w="2835" w:type="dxa"/>
            <w:tcBorders>
              <w:top w:val="single" w:sz="2" w:space="0" w:color="auto"/>
              <w:left w:val="single" w:sz="2" w:space="0" w:color="auto"/>
              <w:bottom w:val="single" w:sz="2" w:space="0" w:color="auto"/>
            </w:tcBorders>
            <w:vAlign w:val="center"/>
          </w:tcPr>
          <w:p w14:paraId="2206FD82" w14:textId="77777777" w:rsidR="00793D68" w:rsidRPr="00933A7F" w:rsidRDefault="00793D68" w:rsidP="00C72EC6">
            <w:pPr>
              <w:pStyle w:val="cuatexto"/>
              <w:spacing w:line="240" w:lineRule="auto"/>
              <w:rPr>
                <w:szCs w:val="20"/>
              </w:rPr>
            </w:pPr>
            <w:r w:rsidRPr="00933A7F">
              <w:rPr>
                <w:szCs w:val="20"/>
              </w:rPr>
              <w:t>Ingresos por transferencias</w:t>
            </w:r>
          </w:p>
        </w:tc>
        <w:tc>
          <w:tcPr>
            <w:tcW w:w="641" w:type="dxa"/>
            <w:vAlign w:val="center"/>
          </w:tcPr>
          <w:p w14:paraId="01382412" w14:textId="77777777" w:rsidR="00793D68" w:rsidRPr="00933A7F" w:rsidRDefault="00793D68" w:rsidP="00C72EC6">
            <w:pPr>
              <w:pStyle w:val="cuatexto"/>
              <w:spacing w:line="240" w:lineRule="auto"/>
              <w:jc w:val="right"/>
              <w:rPr>
                <w:szCs w:val="20"/>
              </w:rPr>
            </w:pPr>
            <w:r w:rsidRPr="00933A7F">
              <w:rPr>
                <w:szCs w:val="20"/>
              </w:rPr>
              <w:t>48</w:t>
            </w:r>
          </w:p>
        </w:tc>
        <w:tc>
          <w:tcPr>
            <w:tcW w:w="851" w:type="dxa"/>
            <w:vAlign w:val="center"/>
          </w:tcPr>
          <w:p w14:paraId="61CC70B9" w14:textId="77777777" w:rsidR="00793D68" w:rsidRPr="00933A7F" w:rsidRDefault="00793D68" w:rsidP="00C72EC6">
            <w:pPr>
              <w:pStyle w:val="cuatexto"/>
              <w:spacing w:line="240" w:lineRule="auto"/>
              <w:jc w:val="right"/>
              <w:rPr>
                <w:szCs w:val="20"/>
              </w:rPr>
            </w:pPr>
            <w:r w:rsidRPr="00933A7F">
              <w:rPr>
                <w:szCs w:val="20"/>
              </w:rPr>
              <w:t>50</w:t>
            </w:r>
          </w:p>
        </w:tc>
      </w:tr>
      <w:tr w:rsidR="00793D68" w:rsidRPr="00933A7F" w14:paraId="312EEF75" w14:textId="77777777" w:rsidTr="002B2783">
        <w:trPr>
          <w:trHeight w:val="227"/>
          <w:jc w:val="center"/>
        </w:trPr>
        <w:tc>
          <w:tcPr>
            <w:tcW w:w="2977" w:type="dxa"/>
            <w:vAlign w:val="center"/>
          </w:tcPr>
          <w:p w14:paraId="48560F09" w14:textId="77777777" w:rsidR="00793D68" w:rsidRPr="00933A7F" w:rsidRDefault="00793D68" w:rsidP="00C72EC6">
            <w:pPr>
              <w:pStyle w:val="cuatexto"/>
              <w:spacing w:line="240" w:lineRule="auto"/>
              <w:rPr>
                <w:szCs w:val="20"/>
              </w:rPr>
            </w:pPr>
            <w:r w:rsidRPr="00933A7F">
              <w:rPr>
                <w:szCs w:val="20"/>
              </w:rPr>
              <w:t>Gastos transferencias</w:t>
            </w:r>
          </w:p>
        </w:tc>
        <w:tc>
          <w:tcPr>
            <w:tcW w:w="788" w:type="dxa"/>
            <w:vAlign w:val="center"/>
          </w:tcPr>
          <w:p w14:paraId="288BB0E6" w14:textId="77777777" w:rsidR="00793D68" w:rsidRPr="00933A7F" w:rsidRDefault="00793D68" w:rsidP="002B2783">
            <w:pPr>
              <w:pStyle w:val="cuatexto"/>
              <w:spacing w:line="240" w:lineRule="auto"/>
              <w:jc w:val="right"/>
              <w:rPr>
                <w:szCs w:val="20"/>
              </w:rPr>
            </w:pPr>
            <w:r w:rsidRPr="00933A7F">
              <w:rPr>
                <w:szCs w:val="20"/>
              </w:rPr>
              <w:t>10</w:t>
            </w:r>
          </w:p>
        </w:tc>
        <w:tc>
          <w:tcPr>
            <w:tcW w:w="707" w:type="dxa"/>
            <w:tcBorders>
              <w:right w:val="single" w:sz="2" w:space="0" w:color="auto"/>
            </w:tcBorders>
            <w:vAlign w:val="center"/>
          </w:tcPr>
          <w:p w14:paraId="120E3F39" w14:textId="77777777" w:rsidR="00793D68" w:rsidRPr="00933A7F" w:rsidRDefault="00793D68" w:rsidP="002B2783">
            <w:pPr>
              <w:pStyle w:val="cuatexto"/>
              <w:spacing w:line="240" w:lineRule="auto"/>
              <w:jc w:val="right"/>
              <w:rPr>
                <w:szCs w:val="20"/>
              </w:rPr>
            </w:pPr>
            <w:r w:rsidRPr="00933A7F">
              <w:rPr>
                <w:szCs w:val="20"/>
              </w:rPr>
              <w:t>11</w:t>
            </w:r>
          </w:p>
        </w:tc>
        <w:tc>
          <w:tcPr>
            <w:tcW w:w="2835" w:type="dxa"/>
            <w:tcBorders>
              <w:top w:val="single" w:sz="2" w:space="0" w:color="auto"/>
              <w:left w:val="single" w:sz="2" w:space="0" w:color="auto"/>
              <w:bottom w:val="single" w:sz="2" w:space="0" w:color="auto"/>
            </w:tcBorders>
            <w:vAlign w:val="center"/>
          </w:tcPr>
          <w:p w14:paraId="479C351D" w14:textId="77777777" w:rsidR="00793D68" w:rsidRPr="00933A7F" w:rsidRDefault="00793D68" w:rsidP="00C72EC6">
            <w:pPr>
              <w:pStyle w:val="cuatexto"/>
              <w:spacing w:line="240" w:lineRule="auto"/>
              <w:rPr>
                <w:szCs w:val="20"/>
              </w:rPr>
            </w:pPr>
            <w:r w:rsidRPr="00933A7F">
              <w:rPr>
                <w:szCs w:val="20"/>
              </w:rPr>
              <w:t>Ingresos patrimoniales y otros</w:t>
            </w:r>
          </w:p>
        </w:tc>
        <w:tc>
          <w:tcPr>
            <w:tcW w:w="641" w:type="dxa"/>
            <w:vAlign w:val="center"/>
          </w:tcPr>
          <w:p w14:paraId="4EAE7758" w14:textId="77777777" w:rsidR="00793D68" w:rsidRPr="00933A7F" w:rsidRDefault="00793D68" w:rsidP="00C72EC6">
            <w:pPr>
              <w:pStyle w:val="cuatexto"/>
              <w:spacing w:line="240" w:lineRule="auto"/>
              <w:jc w:val="right"/>
              <w:rPr>
                <w:szCs w:val="20"/>
              </w:rPr>
            </w:pPr>
            <w:r w:rsidRPr="00933A7F">
              <w:rPr>
                <w:szCs w:val="20"/>
              </w:rPr>
              <w:t>6</w:t>
            </w:r>
          </w:p>
        </w:tc>
        <w:tc>
          <w:tcPr>
            <w:tcW w:w="851" w:type="dxa"/>
            <w:vAlign w:val="center"/>
          </w:tcPr>
          <w:p w14:paraId="162554B2" w14:textId="77777777" w:rsidR="00793D68" w:rsidRPr="00933A7F" w:rsidRDefault="00793D68" w:rsidP="00C72EC6">
            <w:pPr>
              <w:pStyle w:val="cuatexto"/>
              <w:spacing w:line="240" w:lineRule="auto"/>
              <w:jc w:val="right"/>
              <w:rPr>
                <w:szCs w:val="20"/>
              </w:rPr>
            </w:pPr>
            <w:r w:rsidRPr="00933A7F">
              <w:rPr>
                <w:szCs w:val="20"/>
              </w:rPr>
              <w:t>4</w:t>
            </w:r>
          </w:p>
        </w:tc>
      </w:tr>
      <w:tr w:rsidR="00793D68" w:rsidRPr="00933A7F" w14:paraId="776EFFBF" w14:textId="77777777" w:rsidTr="002B2783">
        <w:trPr>
          <w:trHeight w:val="227"/>
          <w:jc w:val="center"/>
        </w:trPr>
        <w:tc>
          <w:tcPr>
            <w:tcW w:w="2977" w:type="dxa"/>
            <w:vAlign w:val="center"/>
          </w:tcPr>
          <w:p w14:paraId="70A51738" w14:textId="77777777" w:rsidR="00793D68" w:rsidRPr="00933A7F" w:rsidRDefault="00793D68" w:rsidP="00C72EC6">
            <w:pPr>
              <w:pStyle w:val="cuatexto"/>
              <w:spacing w:line="240" w:lineRule="auto"/>
              <w:rPr>
                <w:szCs w:val="20"/>
              </w:rPr>
            </w:pPr>
            <w:r w:rsidRPr="00933A7F">
              <w:rPr>
                <w:szCs w:val="20"/>
              </w:rPr>
              <w:t>Inversiones reales</w:t>
            </w:r>
          </w:p>
        </w:tc>
        <w:tc>
          <w:tcPr>
            <w:tcW w:w="788" w:type="dxa"/>
            <w:vAlign w:val="center"/>
          </w:tcPr>
          <w:p w14:paraId="0878B6A2" w14:textId="77777777" w:rsidR="00793D68" w:rsidRPr="00933A7F" w:rsidRDefault="00793D68" w:rsidP="002B2783">
            <w:pPr>
              <w:pStyle w:val="cuatexto"/>
              <w:spacing w:line="240" w:lineRule="auto"/>
              <w:jc w:val="right"/>
              <w:rPr>
                <w:szCs w:val="20"/>
              </w:rPr>
            </w:pPr>
            <w:r w:rsidRPr="00933A7F">
              <w:rPr>
                <w:szCs w:val="20"/>
              </w:rPr>
              <w:t>21</w:t>
            </w:r>
          </w:p>
        </w:tc>
        <w:tc>
          <w:tcPr>
            <w:tcW w:w="707" w:type="dxa"/>
            <w:tcBorders>
              <w:right w:val="single" w:sz="2" w:space="0" w:color="auto"/>
            </w:tcBorders>
            <w:vAlign w:val="center"/>
          </w:tcPr>
          <w:p w14:paraId="1A031EEC" w14:textId="77777777" w:rsidR="00793D68" w:rsidRPr="00933A7F" w:rsidRDefault="00793D68" w:rsidP="002B2783">
            <w:pPr>
              <w:pStyle w:val="cuatexto"/>
              <w:spacing w:line="240" w:lineRule="auto"/>
              <w:jc w:val="right"/>
              <w:rPr>
                <w:szCs w:val="20"/>
              </w:rPr>
            </w:pPr>
            <w:r w:rsidRPr="00933A7F">
              <w:rPr>
                <w:szCs w:val="20"/>
              </w:rPr>
              <w:t>14</w:t>
            </w:r>
          </w:p>
        </w:tc>
        <w:tc>
          <w:tcPr>
            <w:tcW w:w="2835" w:type="dxa"/>
            <w:tcBorders>
              <w:top w:val="single" w:sz="2" w:space="0" w:color="auto"/>
              <w:left w:val="single" w:sz="2" w:space="0" w:color="auto"/>
              <w:bottom w:val="single" w:sz="2" w:space="0" w:color="auto"/>
            </w:tcBorders>
            <w:vAlign w:val="center"/>
          </w:tcPr>
          <w:p w14:paraId="04C614D0" w14:textId="77777777" w:rsidR="00793D68" w:rsidRPr="00933A7F" w:rsidRDefault="00793D68" w:rsidP="00C72EC6">
            <w:pPr>
              <w:pStyle w:val="cuatexto"/>
              <w:spacing w:line="240" w:lineRule="auto"/>
              <w:rPr>
                <w:szCs w:val="20"/>
              </w:rPr>
            </w:pPr>
            <w:r w:rsidRPr="00933A7F">
              <w:rPr>
                <w:szCs w:val="20"/>
              </w:rPr>
              <w:t>Enajenación de inversiones</w:t>
            </w:r>
          </w:p>
        </w:tc>
        <w:tc>
          <w:tcPr>
            <w:tcW w:w="641" w:type="dxa"/>
            <w:vAlign w:val="center"/>
          </w:tcPr>
          <w:p w14:paraId="3E191135" w14:textId="77777777" w:rsidR="00793D68" w:rsidRPr="00933A7F" w:rsidRDefault="00793D68" w:rsidP="00C72EC6">
            <w:pPr>
              <w:pStyle w:val="cuatexto"/>
              <w:spacing w:line="240" w:lineRule="auto"/>
              <w:jc w:val="right"/>
              <w:rPr>
                <w:szCs w:val="20"/>
              </w:rPr>
            </w:pPr>
            <w:r w:rsidRPr="00933A7F">
              <w:rPr>
                <w:szCs w:val="20"/>
              </w:rPr>
              <w:t>1</w:t>
            </w:r>
          </w:p>
        </w:tc>
        <w:tc>
          <w:tcPr>
            <w:tcW w:w="851" w:type="dxa"/>
            <w:vAlign w:val="center"/>
          </w:tcPr>
          <w:p w14:paraId="62B5E715" w14:textId="77777777" w:rsidR="00793D68" w:rsidRPr="00933A7F" w:rsidRDefault="00793D68" w:rsidP="00C72EC6">
            <w:pPr>
              <w:pStyle w:val="cuatexto"/>
              <w:spacing w:line="240" w:lineRule="auto"/>
              <w:jc w:val="right"/>
              <w:rPr>
                <w:szCs w:val="20"/>
              </w:rPr>
            </w:pPr>
            <w:r w:rsidRPr="00933A7F">
              <w:rPr>
                <w:szCs w:val="20"/>
              </w:rPr>
              <w:t>1</w:t>
            </w:r>
          </w:p>
        </w:tc>
      </w:tr>
      <w:tr w:rsidR="00793D68" w:rsidRPr="00933A7F" w14:paraId="3135A498" w14:textId="77777777" w:rsidTr="002B2783">
        <w:trPr>
          <w:trHeight w:val="227"/>
          <w:jc w:val="center"/>
        </w:trPr>
        <w:tc>
          <w:tcPr>
            <w:tcW w:w="2977" w:type="dxa"/>
            <w:vAlign w:val="center"/>
          </w:tcPr>
          <w:p w14:paraId="78562A89" w14:textId="77777777" w:rsidR="00793D68" w:rsidRPr="00933A7F" w:rsidRDefault="00793D68" w:rsidP="00C72EC6">
            <w:pPr>
              <w:pStyle w:val="cuatexto"/>
              <w:spacing w:line="240" w:lineRule="auto"/>
              <w:rPr>
                <w:szCs w:val="20"/>
              </w:rPr>
            </w:pPr>
            <w:r w:rsidRPr="00933A7F">
              <w:rPr>
                <w:szCs w:val="20"/>
              </w:rPr>
              <w:t>Carga financiera</w:t>
            </w:r>
          </w:p>
        </w:tc>
        <w:tc>
          <w:tcPr>
            <w:tcW w:w="788" w:type="dxa"/>
            <w:vAlign w:val="center"/>
          </w:tcPr>
          <w:p w14:paraId="1CAAB631" w14:textId="77777777" w:rsidR="00793D68" w:rsidRPr="00933A7F" w:rsidRDefault="00793D68" w:rsidP="002B2783">
            <w:pPr>
              <w:pStyle w:val="cuatexto"/>
              <w:spacing w:line="240" w:lineRule="auto"/>
              <w:jc w:val="right"/>
              <w:rPr>
                <w:szCs w:val="20"/>
              </w:rPr>
            </w:pPr>
            <w:r w:rsidRPr="00933A7F">
              <w:rPr>
                <w:szCs w:val="20"/>
              </w:rPr>
              <w:t>3</w:t>
            </w:r>
          </w:p>
        </w:tc>
        <w:tc>
          <w:tcPr>
            <w:tcW w:w="707" w:type="dxa"/>
            <w:tcBorders>
              <w:right w:val="single" w:sz="2" w:space="0" w:color="auto"/>
            </w:tcBorders>
            <w:vAlign w:val="center"/>
          </w:tcPr>
          <w:p w14:paraId="5C1C4958" w14:textId="77777777" w:rsidR="00793D68" w:rsidRPr="00933A7F" w:rsidRDefault="00793D68" w:rsidP="002B2783">
            <w:pPr>
              <w:pStyle w:val="cuatexto"/>
              <w:spacing w:line="240" w:lineRule="auto"/>
              <w:jc w:val="right"/>
              <w:rPr>
                <w:szCs w:val="20"/>
              </w:rPr>
            </w:pPr>
            <w:r w:rsidRPr="00933A7F">
              <w:rPr>
                <w:szCs w:val="20"/>
              </w:rPr>
              <w:t>4</w:t>
            </w:r>
          </w:p>
        </w:tc>
        <w:tc>
          <w:tcPr>
            <w:tcW w:w="2835" w:type="dxa"/>
            <w:tcBorders>
              <w:top w:val="single" w:sz="2" w:space="0" w:color="auto"/>
              <w:left w:val="single" w:sz="2" w:space="0" w:color="auto"/>
              <w:bottom w:val="single" w:sz="2" w:space="0" w:color="auto"/>
            </w:tcBorders>
            <w:vAlign w:val="center"/>
          </w:tcPr>
          <w:p w14:paraId="4436A31D" w14:textId="77777777" w:rsidR="00793D68" w:rsidRPr="00933A7F" w:rsidRDefault="00793D68" w:rsidP="00C72EC6">
            <w:pPr>
              <w:pStyle w:val="cuatexto"/>
              <w:spacing w:line="240" w:lineRule="auto"/>
              <w:rPr>
                <w:szCs w:val="20"/>
              </w:rPr>
            </w:pPr>
            <w:r w:rsidRPr="00933A7F">
              <w:rPr>
                <w:szCs w:val="20"/>
              </w:rPr>
              <w:t>Endeudamiento</w:t>
            </w:r>
          </w:p>
        </w:tc>
        <w:tc>
          <w:tcPr>
            <w:tcW w:w="641" w:type="dxa"/>
            <w:vAlign w:val="center"/>
          </w:tcPr>
          <w:p w14:paraId="7F1C69D2" w14:textId="77777777" w:rsidR="00793D68" w:rsidRPr="00933A7F" w:rsidRDefault="00793D68" w:rsidP="00C72EC6">
            <w:pPr>
              <w:pStyle w:val="cuatexto"/>
              <w:spacing w:line="240" w:lineRule="auto"/>
              <w:jc w:val="right"/>
              <w:rPr>
                <w:szCs w:val="20"/>
              </w:rPr>
            </w:pPr>
            <w:r w:rsidRPr="00933A7F">
              <w:rPr>
                <w:szCs w:val="20"/>
              </w:rPr>
              <w:t>-</w:t>
            </w:r>
          </w:p>
        </w:tc>
        <w:tc>
          <w:tcPr>
            <w:tcW w:w="851" w:type="dxa"/>
            <w:vAlign w:val="center"/>
          </w:tcPr>
          <w:p w14:paraId="001498C6" w14:textId="77777777" w:rsidR="00793D68" w:rsidRPr="00933A7F" w:rsidRDefault="00793D68" w:rsidP="00C72EC6">
            <w:pPr>
              <w:pStyle w:val="cuatexto"/>
              <w:spacing w:line="240" w:lineRule="auto"/>
              <w:jc w:val="right"/>
              <w:rPr>
                <w:szCs w:val="20"/>
              </w:rPr>
            </w:pPr>
            <w:r w:rsidRPr="00933A7F">
              <w:rPr>
                <w:szCs w:val="20"/>
              </w:rPr>
              <w:t>1</w:t>
            </w:r>
          </w:p>
        </w:tc>
      </w:tr>
      <w:tr w:rsidR="00793D68" w:rsidRPr="00C72EC6" w14:paraId="6723B502" w14:textId="77777777" w:rsidTr="002B2783">
        <w:trPr>
          <w:trHeight w:val="227"/>
          <w:jc w:val="center"/>
        </w:trPr>
        <w:tc>
          <w:tcPr>
            <w:tcW w:w="2977" w:type="dxa"/>
            <w:shd w:val="clear" w:color="auto" w:fill="FABF8F" w:themeFill="accent6" w:themeFillTint="99"/>
            <w:vAlign w:val="center"/>
          </w:tcPr>
          <w:p w14:paraId="5CAB9844" w14:textId="77777777" w:rsidR="00793D68" w:rsidRPr="00C72EC6" w:rsidRDefault="00793D68" w:rsidP="00C72EC6">
            <w:pPr>
              <w:pStyle w:val="cuadroCabe"/>
              <w:spacing w:line="240" w:lineRule="auto"/>
            </w:pPr>
          </w:p>
        </w:tc>
        <w:tc>
          <w:tcPr>
            <w:tcW w:w="788" w:type="dxa"/>
            <w:shd w:val="clear" w:color="auto" w:fill="FABF8F" w:themeFill="accent6" w:themeFillTint="99"/>
            <w:vAlign w:val="center"/>
          </w:tcPr>
          <w:p w14:paraId="3DFD464A" w14:textId="77777777" w:rsidR="00793D68" w:rsidRPr="00C72EC6" w:rsidRDefault="00793D68" w:rsidP="002B2783">
            <w:pPr>
              <w:pStyle w:val="cuadroCabe"/>
              <w:spacing w:line="240" w:lineRule="auto"/>
              <w:jc w:val="right"/>
            </w:pPr>
            <w:r w:rsidRPr="00C72EC6">
              <w:t>100</w:t>
            </w:r>
          </w:p>
        </w:tc>
        <w:tc>
          <w:tcPr>
            <w:tcW w:w="707" w:type="dxa"/>
            <w:tcBorders>
              <w:right w:val="single" w:sz="2" w:space="0" w:color="auto"/>
            </w:tcBorders>
            <w:shd w:val="clear" w:color="auto" w:fill="FABF8F" w:themeFill="accent6" w:themeFillTint="99"/>
            <w:vAlign w:val="center"/>
          </w:tcPr>
          <w:p w14:paraId="387E59B4" w14:textId="77777777" w:rsidR="00793D68" w:rsidRPr="00C72EC6" w:rsidRDefault="00793D68" w:rsidP="002B2783">
            <w:pPr>
              <w:pStyle w:val="cuadroCabe"/>
              <w:spacing w:line="240" w:lineRule="auto"/>
              <w:jc w:val="right"/>
            </w:pPr>
            <w:r w:rsidRPr="00C72EC6">
              <w:t>100</w:t>
            </w:r>
          </w:p>
        </w:tc>
        <w:tc>
          <w:tcPr>
            <w:tcW w:w="2835" w:type="dxa"/>
            <w:tcBorders>
              <w:top w:val="single" w:sz="2" w:space="0" w:color="auto"/>
              <w:left w:val="single" w:sz="2" w:space="0" w:color="auto"/>
              <w:bottom w:val="single" w:sz="4" w:space="0" w:color="auto"/>
            </w:tcBorders>
            <w:shd w:val="clear" w:color="auto" w:fill="FABF8F" w:themeFill="accent6" w:themeFillTint="99"/>
            <w:vAlign w:val="center"/>
          </w:tcPr>
          <w:p w14:paraId="6244198B" w14:textId="77777777" w:rsidR="00793D68" w:rsidRPr="00C72EC6" w:rsidRDefault="00793D68" w:rsidP="00C72EC6">
            <w:pPr>
              <w:pStyle w:val="cuadroCabe"/>
              <w:spacing w:line="240" w:lineRule="auto"/>
            </w:pPr>
          </w:p>
        </w:tc>
        <w:tc>
          <w:tcPr>
            <w:tcW w:w="641" w:type="dxa"/>
            <w:shd w:val="clear" w:color="auto" w:fill="FABF8F" w:themeFill="accent6" w:themeFillTint="99"/>
            <w:vAlign w:val="center"/>
          </w:tcPr>
          <w:p w14:paraId="6994CA73" w14:textId="77777777" w:rsidR="00793D68" w:rsidRPr="00C72EC6" w:rsidRDefault="00793D68" w:rsidP="00C72EC6">
            <w:pPr>
              <w:pStyle w:val="cuadroCabe"/>
              <w:spacing w:line="240" w:lineRule="auto"/>
              <w:jc w:val="right"/>
            </w:pPr>
            <w:r w:rsidRPr="00C72EC6">
              <w:t>100</w:t>
            </w:r>
          </w:p>
        </w:tc>
        <w:tc>
          <w:tcPr>
            <w:tcW w:w="851" w:type="dxa"/>
            <w:shd w:val="clear" w:color="auto" w:fill="FABF8F" w:themeFill="accent6" w:themeFillTint="99"/>
            <w:vAlign w:val="center"/>
          </w:tcPr>
          <w:p w14:paraId="0C279FA2" w14:textId="77777777" w:rsidR="00793D68" w:rsidRPr="00C72EC6" w:rsidRDefault="00793D68" w:rsidP="00C72EC6">
            <w:pPr>
              <w:pStyle w:val="cuadroCabe"/>
              <w:spacing w:line="240" w:lineRule="auto"/>
              <w:jc w:val="right"/>
            </w:pPr>
            <w:r w:rsidRPr="00C72EC6">
              <w:t>100</w:t>
            </w:r>
          </w:p>
        </w:tc>
      </w:tr>
    </w:tbl>
    <w:p w14:paraId="5FE3FF8A" w14:textId="77777777" w:rsidR="008C027D" w:rsidRDefault="008C027D" w:rsidP="00345C6C">
      <w:pPr>
        <w:pStyle w:val="texto"/>
        <w:spacing w:before="240"/>
        <w:rPr>
          <w:color w:val="000000" w:themeColor="text1"/>
        </w:rPr>
      </w:pPr>
      <w:r>
        <w:rPr>
          <w:color w:val="000000" w:themeColor="text1"/>
        </w:rPr>
        <w:t>En 2020 las transferencias representan la mitad de los ingresos, constituyendo los ingresos tributarios la segunda fuente de ingresos, con un 44 por ciento. En la variación interanual se observan leves disminuciones de la contribución de los ingresos tributarios y patrimoniales y un aumento del peso de las transferencias.</w:t>
      </w:r>
    </w:p>
    <w:p w14:paraId="48CF4DF7" w14:textId="640F17B9" w:rsidR="008C027D" w:rsidRDefault="008C027D" w:rsidP="004B1F4E">
      <w:pPr>
        <w:pStyle w:val="texto"/>
        <w:rPr>
          <w:color w:val="000000" w:themeColor="text1"/>
        </w:rPr>
      </w:pPr>
      <w:r>
        <w:rPr>
          <w:color w:val="000000" w:themeColor="text1"/>
        </w:rPr>
        <w:t>En cuanto a los gastos, los principales son los de personal y bienes corrientes y servicios, que representan el 39 y 32 por ciento, respectivamente, seguidos por las inversiones reales. En este ámbito la variación interanual más importante es la reducción del peso de las inversiones reales y el aumento de la particip</w:t>
      </w:r>
      <w:r w:rsidR="008433A0">
        <w:rPr>
          <w:color w:val="000000" w:themeColor="text1"/>
        </w:rPr>
        <w:t xml:space="preserve">ación de los gastos de personal. </w:t>
      </w:r>
    </w:p>
    <w:p w14:paraId="53EEC7BC" w14:textId="0EB9029B" w:rsidR="00B72304" w:rsidRDefault="00B72304" w:rsidP="004B1F4E">
      <w:pPr>
        <w:pStyle w:val="texto"/>
        <w:spacing w:after="120"/>
        <w:rPr>
          <w:color w:val="000000" w:themeColor="text1"/>
        </w:rPr>
      </w:pPr>
      <w:r>
        <w:rPr>
          <w:color w:val="000000" w:themeColor="text1"/>
        </w:rPr>
        <w:lastRenderedPageBreak/>
        <w:t xml:space="preserve">La disminución del gasto en inversiones </w:t>
      </w:r>
      <w:r w:rsidR="008C027D">
        <w:rPr>
          <w:color w:val="000000" w:themeColor="text1"/>
        </w:rPr>
        <w:t xml:space="preserve">puede </w:t>
      </w:r>
      <w:r w:rsidR="008E43F9">
        <w:rPr>
          <w:color w:val="000000" w:themeColor="text1"/>
        </w:rPr>
        <w:t xml:space="preserve">atribuirse </w:t>
      </w:r>
      <w:r>
        <w:rPr>
          <w:color w:val="000000" w:themeColor="text1"/>
        </w:rPr>
        <w:t xml:space="preserve">a que el gasto de 2019 fue </w:t>
      </w:r>
      <w:r w:rsidRPr="008E43F9">
        <w:rPr>
          <w:color w:val="000000" w:themeColor="text1"/>
        </w:rPr>
        <w:t xml:space="preserve">excepcionalmente alto </w:t>
      </w:r>
      <w:r w:rsidR="008E43F9" w:rsidRPr="008E43F9">
        <w:rPr>
          <w:color w:val="000000" w:themeColor="text1"/>
        </w:rPr>
        <w:t>por los motivos anteriormente indicados en el apartado IV.2</w:t>
      </w:r>
      <w:r w:rsidRPr="008E43F9">
        <w:rPr>
          <w:color w:val="000000" w:themeColor="text1"/>
        </w:rPr>
        <w:t xml:space="preserve">. </w:t>
      </w:r>
    </w:p>
    <w:p w14:paraId="0A714A52" w14:textId="2358B1A1" w:rsidR="008433A0" w:rsidRDefault="008433A0" w:rsidP="004B1F4E">
      <w:pPr>
        <w:pStyle w:val="texto"/>
        <w:spacing w:after="120"/>
        <w:rPr>
          <w:color w:val="000000" w:themeColor="text1"/>
        </w:rPr>
      </w:pPr>
      <w:r>
        <w:rPr>
          <w:color w:val="000000" w:themeColor="text1"/>
        </w:rPr>
        <w:t xml:space="preserve">Del aumento de la participación de los gastos de personal una parte se debe al aumento de </w:t>
      </w:r>
      <w:proofErr w:type="gramStart"/>
      <w:r>
        <w:rPr>
          <w:color w:val="000000" w:themeColor="text1"/>
        </w:rPr>
        <w:t>los mismos</w:t>
      </w:r>
      <w:proofErr w:type="gramEnd"/>
      <w:r>
        <w:rPr>
          <w:color w:val="000000" w:themeColor="text1"/>
        </w:rPr>
        <w:t xml:space="preserve">, que han </w:t>
      </w:r>
      <w:r w:rsidRPr="002F2A93">
        <w:rPr>
          <w:color w:val="000000" w:themeColor="text1"/>
        </w:rPr>
        <w:t xml:space="preserve">crecido </w:t>
      </w:r>
      <w:r w:rsidR="002F2A93">
        <w:rPr>
          <w:color w:val="000000" w:themeColor="text1"/>
        </w:rPr>
        <w:t>en 12 millones,</w:t>
      </w:r>
      <w:r w:rsidRPr="002F2A93">
        <w:rPr>
          <w:color w:val="000000" w:themeColor="text1"/>
        </w:rPr>
        <w:t xml:space="preserve"> y otra al efecto </w:t>
      </w:r>
      <w:r w:rsidR="005A0D09" w:rsidRPr="002F2A93">
        <w:rPr>
          <w:color w:val="000000" w:themeColor="text1"/>
        </w:rPr>
        <w:t xml:space="preserve">derivado </w:t>
      </w:r>
      <w:r w:rsidRPr="002F2A93">
        <w:rPr>
          <w:color w:val="000000" w:themeColor="text1"/>
        </w:rPr>
        <w:t>de la reducción</w:t>
      </w:r>
      <w:r>
        <w:rPr>
          <w:color w:val="000000" w:themeColor="text1"/>
        </w:rPr>
        <w:t xml:space="preserve"> de los gastos totales.</w:t>
      </w:r>
    </w:p>
    <w:p w14:paraId="36C9744E" w14:textId="082C807C" w:rsidR="008433A0" w:rsidRDefault="00345C6C" w:rsidP="00345C6C">
      <w:pPr>
        <w:pStyle w:val="texto"/>
        <w:rPr>
          <w:color w:val="000000" w:themeColor="text1"/>
        </w:rPr>
      </w:pPr>
      <w:r w:rsidRPr="00B81E61">
        <w:rPr>
          <w:color w:val="000000" w:themeColor="text1"/>
        </w:rPr>
        <w:t xml:space="preserve">A </w:t>
      </w:r>
      <w:r w:rsidR="00051F60" w:rsidRPr="00B81E61">
        <w:rPr>
          <w:color w:val="000000" w:themeColor="text1"/>
        </w:rPr>
        <w:t>continuación,</w:t>
      </w:r>
      <w:r w:rsidRPr="00B81E61">
        <w:rPr>
          <w:color w:val="000000" w:themeColor="text1"/>
        </w:rPr>
        <w:t xml:space="preserve"> se muestra la evolución de algunos indicadores de la situación financiera de las entidades locales en los años 201</w:t>
      </w:r>
      <w:r w:rsidR="00B72304">
        <w:rPr>
          <w:color w:val="000000" w:themeColor="text1"/>
        </w:rPr>
        <w:t>6</w:t>
      </w:r>
      <w:r w:rsidRPr="00B81E61">
        <w:rPr>
          <w:color w:val="000000" w:themeColor="text1"/>
        </w:rPr>
        <w:t>-20</w:t>
      </w:r>
      <w:r w:rsidR="00B72304">
        <w:rPr>
          <w:color w:val="000000" w:themeColor="text1"/>
        </w:rPr>
        <w:t>20</w:t>
      </w:r>
      <w:r w:rsidRPr="00B81E61">
        <w:rPr>
          <w:color w:val="000000" w:themeColor="text1"/>
        </w:rPr>
        <w:t>:</w:t>
      </w:r>
    </w:p>
    <w:p w14:paraId="5804550F" w14:textId="4B7A1693" w:rsidR="008633BF" w:rsidRPr="0003647B" w:rsidRDefault="0023469F" w:rsidP="008633BF">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8633BF">
        <w:rPr>
          <w:rFonts w:ascii="Arial Narrow" w:hAnsi="Arial Narrow"/>
          <w:color w:val="000000" w:themeColor="text1"/>
          <w:sz w:val="18"/>
          <w:szCs w:val="18"/>
        </w:rPr>
        <w:t>Millones</w:t>
      </w:r>
      <w:r>
        <w:rPr>
          <w:rFonts w:ascii="Arial Narrow" w:hAnsi="Arial Narrow"/>
          <w:color w:val="000000" w:themeColor="text1"/>
          <w:sz w:val="18"/>
          <w:szCs w:val="18"/>
        </w:rPr>
        <w:t>)</w:t>
      </w:r>
    </w:p>
    <w:tbl>
      <w:tblPr>
        <w:tblW w:w="5057" w:type="pct"/>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111"/>
        <w:gridCol w:w="661"/>
        <w:gridCol w:w="661"/>
        <w:gridCol w:w="844"/>
        <w:gridCol w:w="850"/>
        <w:gridCol w:w="775"/>
        <w:gridCol w:w="761"/>
        <w:gridCol w:w="802"/>
        <w:gridCol w:w="763"/>
        <w:gridCol w:w="661"/>
      </w:tblGrid>
      <w:tr w:rsidR="0023469F" w:rsidRPr="008633BF" w14:paraId="2B332A47" w14:textId="77777777" w:rsidTr="0023469F">
        <w:trPr>
          <w:trHeight w:val="255"/>
        </w:trPr>
        <w:tc>
          <w:tcPr>
            <w:tcW w:w="1187" w:type="pct"/>
            <w:vMerge w:val="restart"/>
            <w:tcBorders>
              <w:top w:val="single" w:sz="4" w:space="0" w:color="auto"/>
            </w:tcBorders>
            <w:shd w:val="clear" w:color="auto" w:fill="FABF8F" w:themeFill="accent6" w:themeFillTint="99"/>
            <w:vAlign w:val="center"/>
          </w:tcPr>
          <w:p w14:paraId="613012B1" w14:textId="3A70FA8F" w:rsidR="0023469F" w:rsidRPr="0023469F" w:rsidRDefault="0023469F" w:rsidP="00A45614">
            <w:pPr>
              <w:pStyle w:val="cuadroCabe"/>
              <w:spacing w:line="240" w:lineRule="auto"/>
              <w:rPr>
                <w:szCs w:val="18"/>
              </w:rPr>
            </w:pPr>
            <w:r w:rsidRPr="0023469F">
              <w:rPr>
                <w:szCs w:val="18"/>
              </w:rPr>
              <w:t>Indicadores</w:t>
            </w:r>
          </w:p>
        </w:tc>
        <w:tc>
          <w:tcPr>
            <w:tcW w:w="3441" w:type="pct"/>
            <w:gridSpan w:val="8"/>
            <w:shd w:val="clear" w:color="auto" w:fill="FABF8F" w:themeFill="accent6" w:themeFillTint="99"/>
            <w:vAlign w:val="center"/>
          </w:tcPr>
          <w:p w14:paraId="0C49FDED" w14:textId="77777777" w:rsidR="0023469F" w:rsidRPr="008633BF" w:rsidRDefault="0023469F" w:rsidP="0023469F">
            <w:pPr>
              <w:pStyle w:val="cuadroCabe"/>
              <w:spacing w:line="240" w:lineRule="auto"/>
              <w:jc w:val="center"/>
              <w:rPr>
                <w:sz w:val="16"/>
                <w:szCs w:val="16"/>
              </w:rPr>
            </w:pPr>
            <w:r w:rsidRPr="008633BF">
              <w:rPr>
                <w:sz w:val="16"/>
                <w:szCs w:val="16"/>
              </w:rPr>
              <w:t>Entidades locales sin consolidar ninguna sociedad</w:t>
            </w:r>
          </w:p>
        </w:tc>
        <w:tc>
          <w:tcPr>
            <w:tcW w:w="372" w:type="pct"/>
            <w:shd w:val="clear" w:color="auto" w:fill="FABF8F" w:themeFill="accent6" w:themeFillTint="99"/>
            <w:vAlign w:val="center"/>
          </w:tcPr>
          <w:p w14:paraId="0D9F169D" w14:textId="77777777" w:rsidR="0023469F" w:rsidRPr="008633BF" w:rsidRDefault="0023469F" w:rsidP="00A45614">
            <w:pPr>
              <w:pStyle w:val="cuadroCabe"/>
              <w:spacing w:line="240" w:lineRule="auto"/>
              <w:rPr>
                <w:sz w:val="16"/>
                <w:szCs w:val="16"/>
              </w:rPr>
            </w:pPr>
          </w:p>
        </w:tc>
      </w:tr>
      <w:tr w:rsidR="0023469F" w:rsidRPr="008633BF" w14:paraId="7963C700" w14:textId="77777777" w:rsidTr="0023469F">
        <w:trPr>
          <w:trHeight w:val="255"/>
        </w:trPr>
        <w:tc>
          <w:tcPr>
            <w:tcW w:w="1187" w:type="pct"/>
            <w:vMerge/>
            <w:tcBorders>
              <w:bottom w:val="single" w:sz="2" w:space="0" w:color="auto"/>
            </w:tcBorders>
            <w:shd w:val="clear" w:color="auto" w:fill="FABF8F" w:themeFill="accent6" w:themeFillTint="99"/>
            <w:vAlign w:val="center"/>
            <w:hideMark/>
          </w:tcPr>
          <w:p w14:paraId="64E9A3D5" w14:textId="119FCC65" w:rsidR="0023469F" w:rsidRPr="008633BF" w:rsidRDefault="0023469F" w:rsidP="00A45614">
            <w:pPr>
              <w:pStyle w:val="cuadroCabe"/>
              <w:spacing w:line="240" w:lineRule="auto"/>
              <w:rPr>
                <w:sz w:val="16"/>
                <w:szCs w:val="16"/>
              </w:rPr>
            </w:pPr>
          </w:p>
        </w:tc>
        <w:tc>
          <w:tcPr>
            <w:tcW w:w="372" w:type="pct"/>
            <w:shd w:val="clear" w:color="auto" w:fill="FABF8F" w:themeFill="accent6" w:themeFillTint="99"/>
            <w:vAlign w:val="center"/>
            <w:hideMark/>
          </w:tcPr>
          <w:p w14:paraId="723F0B80" w14:textId="77777777" w:rsidR="0023469F" w:rsidRPr="008633BF" w:rsidRDefault="0023469F" w:rsidP="0023469F">
            <w:pPr>
              <w:pStyle w:val="cuadroCabe"/>
              <w:spacing w:line="240" w:lineRule="auto"/>
              <w:jc w:val="right"/>
              <w:rPr>
                <w:sz w:val="16"/>
                <w:szCs w:val="16"/>
              </w:rPr>
            </w:pPr>
            <w:r w:rsidRPr="008633BF">
              <w:rPr>
                <w:sz w:val="16"/>
                <w:szCs w:val="16"/>
              </w:rPr>
              <w:t>2016</w:t>
            </w:r>
          </w:p>
        </w:tc>
        <w:tc>
          <w:tcPr>
            <w:tcW w:w="372" w:type="pct"/>
            <w:shd w:val="clear" w:color="auto" w:fill="FABF8F" w:themeFill="accent6" w:themeFillTint="99"/>
            <w:vAlign w:val="center"/>
            <w:hideMark/>
          </w:tcPr>
          <w:p w14:paraId="77A927A1" w14:textId="77777777" w:rsidR="0023469F" w:rsidRPr="008633BF" w:rsidRDefault="0023469F" w:rsidP="0023469F">
            <w:pPr>
              <w:pStyle w:val="cuadroCabe"/>
              <w:spacing w:line="240" w:lineRule="auto"/>
              <w:jc w:val="right"/>
              <w:rPr>
                <w:sz w:val="16"/>
                <w:szCs w:val="16"/>
              </w:rPr>
            </w:pPr>
            <w:r w:rsidRPr="008633BF">
              <w:rPr>
                <w:sz w:val="16"/>
                <w:szCs w:val="16"/>
              </w:rPr>
              <w:t>2017</w:t>
            </w:r>
          </w:p>
        </w:tc>
        <w:tc>
          <w:tcPr>
            <w:tcW w:w="475" w:type="pct"/>
            <w:shd w:val="clear" w:color="auto" w:fill="FABF8F" w:themeFill="accent6" w:themeFillTint="99"/>
            <w:vAlign w:val="center"/>
            <w:hideMark/>
          </w:tcPr>
          <w:p w14:paraId="2F624EB0" w14:textId="77777777" w:rsidR="0023469F" w:rsidRPr="008633BF" w:rsidRDefault="0023469F" w:rsidP="0023469F">
            <w:pPr>
              <w:pStyle w:val="cuadroCabe"/>
              <w:spacing w:line="240" w:lineRule="auto"/>
              <w:jc w:val="right"/>
              <w:rPr>
                <w:sz w:val="16"/>
                <w:szCs w:val="16"/>
              </w:rPr>
            </w:pPr>
            <w:r w:rsidRPr="008633BF">
              <w:rPr>
                <w:sz w:val="16"/>
                <w:szCs w:val="16"/>
              </w:rPr>
              <w:t>2018</w:t>
            </w:r>
          </w:p>
        </w:tc>
        <w:tc>
          <w:tcPr>
            <w:tcW w:w="478" w:type="pct"/>
            <w:shd w:val="clear" w:color="auto" w:fill="FABF8F" w:themeFill="accent6" w:themeFillTint="99"/>
            <w:vAlign w:val="center"/>
          </w:tcPr>
          <w:p w14:paraId="697191DF" w14:textId="77777777" w:rsidR="0023469F" w:rsidRPr="008633BF" w:rsidRDefault="0023469F" w:rsidP="0023469F">
            <w:pPr>
              <w:pStyle w:val="cuadroCabe"/>
              <w:spacing w:line="240" w:lineRule="auto"/>
              <w:jc w:val="right"/>
              <w:rPr>
                <w:sz w:val="16"/>
                <w:szCs w:val="16"/>
              </w:rPr>
            </w:pPr>
            <w:r w:rsidRPr="008633BF">
              <w:rPr>
                <w:sz w:val="16"/>
                <w:szCs w:val="16"/>
              </w:rPr>
              <w:t>2019</w:t>
            </w:r>
          </w:p>
        </w:tc>
        <w:tc>
          <w:tcPr>
            <w:tcW w:w="436" w:type="pct"/>
            <w:shd w:val="clear" w:color="auto" w:fill="FABF8F" w:themeFill="accent6" w:themeFillTint="99"/>
            <w:vAlign w:val="center"/>
          </w:tcPr>
          <w:p w14:paraId="44F61358" w14:textId="77777777" w:rsidR="0023469F" w:rsidRPr="008633BF" w:rsidRDefault="0023469F" w:rsidP="0023469F">
            <w:pPr>
              <w:pStyle w:val="cuadroCabe"/>
              <w:spacing w:line="240" w:lineRule="auto"/>
              <w:jc w:val="right"/>
              <w:rPr>
                <w:sz w:val="16"/>
                <w:szCs w:val="16"/>
              </w:rPr>
            </w:pPr>
            <w:r w:rsidRPr="008633BF">
              <w:rPr>
                <w:sz w:val="16"/>
                <w:szCs w:val="16"/>
              </w:rPr>
              <w:t>2020</w:t>
            </w:r>
          </w:p>
        </w:tc>
        <w:tc>
          <w:tcPr>
            <w:tcW w:w="428" w:type="pct"/>
            <w:shd w:val="clear" w:color="auto" w:fill="FABF8F" w:themeFill="accent6" w:themeFillTint="99"/>
            <w:vAlign w:val="center"/>
            <w:hideMark/>
          </w:tcPr>
          <w:p w14:paraId="358D3430" w14:textId="77777777" w:rsidR="0023469F" w:rsidRDefault="0023469F" w:rsidP="0023469F">
            <w:pPr>
              <w:pStyle w:val="cuadroCabe"/>
              <w:spacing w:line="240" w:lineRule="auto"/>
              <w:jc w:val="right"/>
              <w:rPr>
                <w:sz w:val="16"/>
                <w:szCs w:val="16"/>
              </w:rPr>
            </w:pPr>
            <w:r w:rsidRPr="008633BF">
              <w:rPr>
                <w:sz w:val="16"/>
                <w:szCs w:val="16"/>
              </w:rPr>
              <w:t xml:space="preserve">% </w:t>
            </w:r>
          </w:p>
          <w:p w14:paraId="2F50F00F" w14:textId="3CB2E1CC" w:rsidR="0023469F" w:rsidRPr="008633BF" w:rsidRDefault="0023469F" w:rsidP="0023469F">
            <w:pPr>
              <w:pStyle w:val="cuadroCabe"/>
              <w:spacing w:line="240" w:lineRule="auto"/>
              <w:jc w:val="right"/>
              <w:rPr>
                <w:sz w:val="16"/>
                <w:szCs w:val="16"/>
              </w:rPr>
            </w:pPr>
            <w:proofErr w:type="spellStart"/>
            <w:r w:rsidRPr="008633BF">
              <w:rPr>
                <w:sz w:val="16"/>
                <w:szCs w:val="16"/>
              </w:rPr>
              <w:t>variac</w:t>
            </w:r>
            <w:proofErr w:type="spellEnd"/>
            <w:r w:rsidRPr="008633BF">
              <w:rPr>
                <w:sz w:val="16"/>
                <w:szCs w:val="16"/>
              </w:rPr>
              <w:t>. 2020/16</w:t>
            </w:r>
          </w:p>
        </w:tc>
        <w:tc>
          <w:tcPr>
            <w:tcW w:w="451" w:type="pct"/>
            <w:shd w:val="clear" w:color="auto" w:fill="FABF8F" w:themeFill="accent6" w:themeFillTint="99"/>
            <w:vAlign w:val="center"/>
          </w:tcPr>
          <w:p w14:paraId="4F16482A" w14:textId="77777777" w:rsidR="0023469F" w:rsidRPr="008633BF" w:rsidRDefault="0023469F" w:rsidP="0023469F">
            <w:pPr>
              <w:pStyle w:val="cuadroCabe"/>
              <w:spacing w:line="240" w:lineRule="auto"/>
              <w:jc w:val="right"/>
              <w:rPr>
                <w:sz w:val="16"/>
                <w:szCs w:val="16"/>
              </w:rPr>
            </w:pPr>
            <w:r w:rsidRPr="008633BF">
              <w:rPr>
                <w:sz w:val="16"/>
                <w:szCs w:val="16"/>
              </w:rPr>
              <w:t xml:space="preserve">Var </w:t>
            </w:r>
            <w:proofErr w:type="spellStart"/>
            <w:r w:rsidRPr="008633BF">
              <w:rPr>
                <w:sz w:val="16"/>
                <w:szCs w:val="16"/>
              </w:rPr>
              <w:t>abs</w:t>
            </w:r>
            <w:proofErr w:type="spellEnd"/>
            <w:r w:rsidRPr="008633BF">
              <w:rPr>
                <w:sz w:val="16"/>
                <w:szCs w:val="16"/>
              </w:rPr>
              <w:t xml:space="preserve"> 2020/19</w:t>
            </w:r>
          </w:p>
        </w:tc>
        <w:tc>
          <w:tcPr>
            <w:tcW w:w="428" w:type="pct"/>
            <w:shd w:val="clear" w:color="auto" w:fill="FABF8F" w:themeFill="accent6" w:themeFillTint="99"/>
            <w:vAlign w:val="center"/>
            <w:hideMark/>
          </w:tcPr>
          <w:p w14:paraId="280CB7E3" w14:textId="77777777" w:rsidR="0023469F" w:rsidRDefault="0023469F" w:rsidP="0023469F">
            <w:pPr>
              <w:pStyle w:val="cuadroCabe"/>
              <w:spacing w:line="240" w:lineRule="auto"/>
              <w:jc w:val="right"/>
              <w:rPr>
                <w:sz w:val="16"/>
                <w:szCs w:val="16"/>
              </w:rPr>
            </w:pPr>
            <w:r w:rsidRPr="008633BF">
              <w:rPr>
                <w:sz w:val="16"/>
                <w:szCs w:val="16"/>
              </w:rPr>
              <w:t xml:space="preserve">% </w:t>
            </w:r>
          </w:p>
          <w:p w14:paraId="24DB4F7F" w14:textId="3CF1EC8D" w:rsidR="0023469F" w:rsidRPr="008633BF" w:rsidRDefault="0023469F" w:rsidP="0023469F">
            <w:pPr>
              <w:pStyle w:val="cuadroCabe"/>
              <w:spacing w:line="240" w:lineRule="auto"/>
              <w:jc w:val="right"/>
              <w:rPr>
                <w:sz w:val="16"/>
                <w:szCs w:val="16"/>
              </w:rPr>
            </w:pPr>
            <w:proofErr w:type="spellStart"/>
            <w:r w:rsidRPr="008633BF">
              <w:rPr>
                <w:sz w:val="16"/>
                <w:szCs w:val="16"/>
              </w:rPr>
              <w:t>variac</w:t>
            </w:r>
            <w:proofErr w:type="spellEnd"/>
            <w:r w:rsidRPr="008633BF">
              <w:rPr>
                <w:sz w:val="16"/>
                <w:szCs w:val="16"/>
              </w:rPr>
              <w:t>. 2020/19</w:t>
            </w:r>
          </w:p>
        </w:tc>
        <w:tc>
          <w:tcPr>
            <w:tcW w:w="372" w:type="pct"/>
            <w:shd w:val="clear" w:color="auto" w:fill="FABF8F" w:themeFill="accent6" w:themeFillTint="99"/>
            <w:vAlign w:val="center"/>
          </w:tcPr>
          <w:p w14:paraId="0C85859E" w14:textId="77777777" w:rsidR="0023469F" w:rsidRPr="008633BF" w:rsidRDefault="0023469F" w:rsidP="0023469F">
            <w:pPr>
              <w:pStyle w:val="cuadroCabe"/>
              <w:spacing w:line="240" w:lineRule="auto"/>
              <w:jc w:val="right"/>
              <w:rPr>
                <w:sz w:val="16"/>
                <w:szCs w:val="16"/>
              </w:rPr>
            </w:pPr>
            <w:r w:rsidRPr="008633BF">
              <w:rPr>
                <w:sz w:val="16"/>
                <w:szCs w:val="16"/>
              </w:rPr>
              <w:t>2020*</w:t>
            </w:r>
          </w:p>
        </w:tc>
      </w:tr>
      <w:tr w:rsidR="008433A0" w:rsidRPr="00A45614" w14:paraId="766C1390" w14:textId="77777777" w:rsidTr="0023469F">
        <w:trPr>
          <w:trHeight w:val="255"/>
        </w:trPr>
        <w:tc>
          <w:tcPr>
            <w:tcW w:w="1187" w:type="pct"/>
            <w:tcBorders>
              <w:top w:val="single" w:sz="2" w:space="0" w:color="auto"/>
            </w:tcBorders>
            <w:shd w:val="clear" w:color="auto" w:fill="auto"/>
            <w:vAlign w:val="center"/>
            <w:hideMark/>
          </w:tcPr>
          <w:p w14:paraId="03D64B95" w14:textId="77777777" w:rsidR="008433A0" w:rsidRPr="00A45614" w:rsidRDefault="008433A0" w:rsidP="00A45614">
            <w:pPr>
              <w:pStyle w:val="cuatexto"/>
              <w:spacing w:line="240" w:lineRule="auto"/>
              <w:rPr>
                <w:sz w:val="17"/>
                <w:szCs w:val="17"/>
                <w:lang w:val="es-ES" w:eastAsia="es-ES"/>
              </w:rPr>
            </w:pPr>
            <w:proofErr w:type="gramStart"/>
            <w:r w:rsidRPr="00A45614">
              <w:rPr>
                <w:sz w:val="17"/>
                <w:szCs w:val="17"/>
                <w:lang w:val="es-ES" w:eastAsia="es-ES"/>
              </w:rPr>
              <w:t>Total</w:t>
            </w:r>
            <w:proofErr w:type="gramEnd"/>
            <w:r w:rsidRPr="00A45614">
              <w:rPr>
                <w:sz w:val="17"/>
                <w:szCs w:val="17"/>
                <w:lang w:val="es-ES" w:eastAsia="es-ES"/>
              </w:rPr>
              <w:t xml:space="preserve"> ingresos</w:t>
            </w:r>
          </w:p>
        </w:tc>
        <w:tc>
          <w:tcPr>
            <w:tcW w:w="372" w:type="pct"/>
            <w:shd w:val="clear" w:color="auto" w:fill="auto"/>
            <w:vAlign w:val="center"/>
            <w:hideMark/>
          </w:tcPr>
          <w:p w14:paraId="4F1E3AE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765,30</w:t>
            </w:r>
          </w:p>
        </w:tc>
        <w:tc>
          <w:tcPr>
            <w:tcW w:w="372" w:type="pct"/>
            <w:shd w:val="clear" w:color="auto" w:fill="auto"/>
            <w:vAlign w:val="center"/>
            <w:hideMark/>
          </w:tcPr>
          <w:p w14:paraId="55C70E27"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784,48</w:t>
            </w:r>
          </w:p>
        </w:tc>
        <w:tc>
          <w:tcPr>
            <w:tcW w:w="475" w:type="pct"/>
            <w:shd w:val="clear" w:color="auto" w:fill="auto"/>
            <w:vAlign w:val="center"/>
            <w:hideMark/>
          </w:tcPr>
          <w:p w14:paraId="5076E4A1"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839,48</w:t>
            </w:r>
          </w:p>
        </w:tc>
        <w:tc>
          <w:tcPr>
            <w:tcW w:w="478" w:type="pct"/>
            <w:shd w:val="clear" w:color="auto" w:fill="auto"/>
            <w:vAlign w:val="center"/>
          </w:tcPr>
          <w:p w14:paraId="7C2DD4FE" w14:textId="77777777" w:rsidR="008433A0" w:rsidRPr="00A45614" w:rsidRDefault="008433A0" w:rsidP="0023469F">
            <w:pPr>
              <w:pStyle w:val="cuatexto"/>
              <w:spacing w:line="240" w:lineRule="auto"/>
              <w:jc w:val="right"/>
              <w:rPr>
                <w:color w:val="000000"/>
                <w:sz w:val="17"/>
                <w:szCs w:val="17"/>
                <w:lang w:val="es-ES" w:eastAsia="es-ES"/>
              </w:rPr>
            </w:pPr>
            <w:r w:rsidRPr="00A45614">
              <w:rPr>
                <w:color w:val="000000"/>
                <w:sz w:val="17"/>
                <w:szCs w:val="17"/>
              </w:rPr>
              <w:t>891,40</w:t>
            </w:r>
          </w:p>
        </w:tc>
        <w:tc>
          <w:tcPr>
            <w:tcW w:w="436" w:type="pct"/>
            <w:vAlign w:val="center"/>
          </w:tcPr>
          <w:p w14:paraId="055112AE"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855,31</w:t>
            </w:r>
          </w:p>
        </w:tc>
        <w:tc>
          <w:tcPr>
            <w:tcW w:w="428" w:type="pct"/>
            <w:shd w:val="clear" w:color="auto" w:fill="auto"/>
            <w:vAlign w:val="center"/>
            <w:hideMark/>
          </w:tcPr>
          <w:p w14:paraId="1246612D"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12</w:t>
            </w:r>
          </w:p>
        </w:tc>
        <w:tc>
          <w:tcPr>
            <w:tcW w:w="451" w:type="pct"/>
            <w:vAlign w:val="center"/>
          </w:tcPr>
          <w:p w14:paraId="310AA529" w14:textId="77777777" w:rsidR="008433A0" w:rsidRPr="00A45614" w:rsidRDefault="008433A0" w:rsidP="0023469F">
            <w:pPr>
              <w:pStyle w:val="cuatexto"/>
              <w:spacing w:line="240" w:lineRule="auto"/>
              <w:jc w:val="right"/>
              <w:rPr>
                <w:color w:val="000000"/>
                <w:sz w:val="17"/>
                <w:szCs w:val="17"/>
                <w:lang w:val="es-ES" w:eastAsia="es-ES"/>
              </w:rPr>
            </w:pPr>
            <w:r w:rsidRPr="00A45614">
              <w:rPr>
                <w:color w:val="000000"/>
                <w:sz w:val="17"/>
                <w:szCs w:val="17"/>
              </w:rPr>
              <w:t>-36,09</w:t>
            </w:r>
          </w:p>
        </w:tc>
        <w:tc>
          <w:tcPr>
            <w:tcW w:w="428" w:type="pct"/>
            <w:shd w:val="clear" w:color="auto" w:fill="auto"/>
            <w:vAlign w:val="center"/>
            <w:hideMark/>
          </w:tcPr>
          <w:p w14:paraId="006ED703"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-4</w:t>
            </w:r>
          </w:p>
        </w:tc>
        <w:tc>
          <w:tcPr>
            <w:tcW w:w="372" w:type="pct"/>
            <w:shd w:val="clear" w:color="auto" w:fill="auto"/>
            <w:vAlign w:val="center"/>
          </w:tcPr>
          <w:p w14:paraId="373B3BA6"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933,78</w:t>
            </w:r>
          </w:p>
        </w:tc>
      </w:tr>
      <w:tr w:rsidR="008433A0" w:rsidRPr="00A45614" w14:paraId="1715BACE" w14:textId="77777777" w:rsidTr="0023469F">
        <w:trPr>
          <w:trHeight w:val="255"/>
        </w:trPr>
        <w:tc>
          <w:tcPr>
            <w:tcW w:w="1187" w:type="pct"/>
            <w:shd w:val="clear" w:color="auto" w:fill="auto"/>
            <w:vAlign w:val="center"/>
            <w:hideMark/>
          </w:tcPr>
          <w:p w14:paraId="2B3772D3" w14:textId="77777777" w:rsidR="008433A0" w:rsidRPr="00A45614" w:rsidRDefault="008433A0" w:rsidP="00A45614">
            <w:pPr>
              <w:pStyle w:val="cuatexto"/>
              <w:spacing w:line="240" w:lineRule="auto"/>
              <w:rPr>
                <w:sz w:val="17"/>
                <w:szCs w:val="17"/>
                <w:lang w:val="es-ES" w:eastAsia="es-ES"/>
              </w:rPr>
            </w:pPr>
            <w:proofErr w:type="gramStart"/>
            <w:r w:rsidRPr="00A45614">
              <w:rPr>
                <w:sz w:val="17"/>
                <w:szCs w:val="17"/>
                <w:lang w:val="es-ES" w:eastAsia="es-ES"/>
              </w:rPr>
              <w:t>Total</w:t>
            </w:r>
            <w:proofErr w:type="gramEnd"/>
            <w:r w:rsidRPr="00A45614">
              <w:rPr>
                <w:sz w:val="17"/>
                <w:szCs w:val="17"/>
                <w:lang w:val="es-ES" w:eastAsia="es-ES"/>
              </w:rPr>
              <w:t xml:space="preserve"> gastos</w:t>
            </w:r>
          </w:p>
        </w:tc>
        <w:tc>
          <w:tcPr>
            <w:tcW w:w="372" w:type="pct"/>
            <w:shd w:val="clear" w:color="auto" w:fill="auto"/>
            <w:vAlign w:val="center"/>
            <w:hideMark/>
          </w:tcPr>
          <w:p w14:paraId="093CD7B5"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717,40</w:t>
            </w:r>
          </w:p>
        </w:tc>
        <w:tc>
          <w:tcPr>
            <w:tcW w:w="372" w:type="pct"/>
            <w:shd w:val="clear" w:color="auto" w:fill="auto"/>
            <w:vAlign w:val="center"/>
            <w:hideMark/>
          </w:tcPr>
          <w:p w14:paraId="7E2BE011"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758,13</w:t>
            </w:r>
          </w:p>
        </w:tc>
        <w:tc>
          <w:tcPr>
            <w:tcW w:w="475" w:type="pct"/>
            <w:shd w:val="clear" w:color="auto" w:fill="auto"/>
            <w:vAlign w:val="center"/>
            <w:hideMark/>
          </w:tcPr>
          <w:p w14:paraId="743FD78C"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787,98</w:t>
            </w:r>
          </w:p>
        </w:tc>
        <w:tc>
          <w:tcPr>
            <w:tcW w:w="478" w:type="pct"/>
            <w:shd w:val="clear" w:color="auto" w:fill="auto"/>
            <w:vAlign w:val="center"/>
          </w:tcPr>
          <w:p w14:paraId="503CFAF0"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885,37</w:t>
            </w:r>
          </w:p>
        </w:tc>
        <w:tc>
          <w:tcPr>
            <w:tcW w:w="436" w:type="pct"/>
            <w:vAlign w:val="center"/>
          </w:tcPr>
          <w:p w14:paraId="4E73A460"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799,18</w:t>
            </w:r>
          </w:p>
        </w:tc>
        <w:tc>
          <w:tcPr>
            <w:tcW w:w="428" w:type="pct"/>
            <w:shd w:val="clear" w:color="auto" w:fill="auto"/>
            <w:vAlign w:val="center"/>
            <w:hideMark/>
          </w:tcPr>
          <w:p w14:paraId="4575D2E3"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11</w:t>
            </w:r>
          </w:p>
        </w:tc>
        <w:tc>
          <w:tcPr>
            <w:tcW w:w="451" w:type="pct"/>
            <w:vAlign w:val="center"/>
          </w:tcPr>
          <w:p w14:paraId="54282A67"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-86,19</w:t>
            </w:r>
          </w:p>
        </w:tc>
        <w:tc>
          <w:tcPr>
            <w:tcW w:w="428" w:type="pct"/>
            <w:shd w:val="clear" w:color="auto" w:fill="auto"/>
            <w:vAlign w:val="center"/>
            <w:hideMark/>
          </w:tcPr>
          <w:p w14:paraId="23EF8664"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-10</w:t>
            </w:r>
          </w:p>
        </w:tc>
        <w:tc>
          <w:tcPr>
            <w:tcW w:w="372" w:type="pct"/>
            <w:shd w:val="clear" w:color="auto" w:fill="auto"/>
            <w:vAlign w:val="center"/>
          </w:tcPr>
          <w:p w14:paraId="37035D0E"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877,62</w:t>
            </w:r>
          </w:p>
        </w:tc>
      </w:tr>
      <w:tr w:rsidR="008433A0" w:rsidRPr="00A45614" w14:paraId="3742C6B2" w14:textId="77777777" w:rsidTr="0023469F">
        <w:trPr>
          <w:trHeight w:val="255"/>
        </w:trPr>
        <w:tc>
          <w:tcPr>
            <w:tcW w:w="1187" w:type="pct"/>
            <w:shd w:val="clear" w:color="auto" w:fill="auto"/>
            <w:vAlign w:val="center"/>
            <w:hideMark/>
          </w:tcPr>
          <w:p w14:paraId="37AC26B6"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Ingresos tributarios</w:t>
            </w:r>
          </w:p>
        </w:tc>
        <w:tc>
          <w:tcPr>
            <w:tcW w:w="372" w:type="pct"/>
            <w:shd w:val="clear" w:color="auto" w:fill="auto"/>
            <w:vAlign w:val="center"/>
            <w:hideMark/>
          </w:tcPr>
          <w:p w14:paraId="6255DE98"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371,55</w:t>
            </w:r>
          </w:p>
        </w:tc>
        <w:tc>
          <w:tcPr>
            <w:tcW w:w="372" w:type="pct"/>
            <w:shd w:val="clear" w:color="auto" w:fill="auto"/>
            <w:vAlign w:val="center"/>
            <w:hideMark/>
          </w:tcPr>
          <w:p w14:paraId="13495C31"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368,83</w:t>
            </w:r>
          </w:p>
        </w:tc>
        <w:tc>
          <w:tcPr>
            <w:tcW w:w="475" w:type="pct"/>
            <w:shd w:val="clear" w:color="auto" w:fill="auto"/>
            <w:vAlign w:val="center"/>
            <w:hideMark/>
          </w:tcPr>
          <w:p w14:paraId="006277A8"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385,04</w:t>
            </w:r>
          </w:p>
        </w:tc>
        <w:tc>
          <w:tcPr>
            <w:tcW w:w="478" w:type="pct"/>
            <w:shd w:val="clear" w:color="auto" w:fill="auto"/>
            <w:vAlign w:val="center"/>
          </w:tcPr>
          <w:p w14:paraId="5C950FD1"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402,08</w:t>
            </w:r>
          </w:p>
        </w:tc>
        <w:tc>
          <w:tcPr>
            <w:tcW w:w="436" w:type="pct"/>
            <w:vAlign w:val="center"/>
          </w:tcPr>
          <w:p w14:paraId="5D8CB013"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374,47</w:t>
            </w:r>
          </w:p>
        </w:tc>
        <w:tc>
          <w:tcPr>
            <w:tcW w:w="428" w:type="pct"/>
            <w:shd w:val="clear" w:color="auto" w:fill="auto"/>
            <w:vAlign w:val="center"/>
            <w:hideMark/>
          </w:tcPr>
          <w:p w14:paraId="794BA762"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w:t>
            </w:r>
          </w:p>
        </w:tc>
        <w:tc>
          <w:tcPr>
            <w:tcW w:w="451" w:type="pct"/>
            <w:vAlign w:val="center"/>
          </w:tcPr>
          <w:p w14:paraId="66615CAD"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-27,61</w:t>
            </w:r>
          </w:p>
        </w:tc>
        <w:tc>
          <w:tcPr>
            <w:tcW w:w="428" w:type="pct"/>
            <w:shd w:val="clear" w:color="auto" w:fill="auto"/>
            <w:vAlign w:val="center"/>
            <w:hideMark/>
          </w:tcPr>
          <w:p w14:paraId="402D3F46"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w:t>
            </w:r>
          </w:p>
        </w:tc>
        <w:tc>
          <w:tcPr>
            <w:tcW w:w="372" w:type="pct"/>
            <w:shd w:val="clear" w:color="auto" w:fill="auto"/>
            <w:vAlign w:val="center"/>
          </w:tcPr>
          <w:p w14:paraId="22E145E2"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438,74</w:t>
            </w:r>
          </w:p>
        </w:tc>
      </w:tr>
      <w:tr w:rsidR="008433A0" w:rsidRPr="00A45614" w14:paraId="2017A9AB" w14:textId="77777777" w:rsidTr="0023469F">
        <w:trPr>
          <w:trHeight w:val="255"/>
        </w:trPr>
        <w:tc>
          <w:tcPr>
            <w:tcW w:w="1187" w:type="pct"/>
            <w:shd w:val="clear" w:color="auto" w:fill="auto"/>
            <w:vAlign w:val="center"/>
            <w:hideMark/>
          </w:tcPr>
          <w:p w14:paraId="17CD5B1B"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Ingresos por transferencias</w:t>
            </w:r>
          </w:p>
        </w:tc>
        <w:tc>
          <w:tcPr>
            <w:tcW w:w="372" w:type="pct"/>
            <w:shd w:val="clear" w:color="auto" w:fill="auto"/>
            <w:vAlign w:val="center"/>
            <w:hideMark/>
          </w:tcPr>
          <w:p w14:paraId="3C2CD661"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332</w:t>
            </w:r>
          </w:p>
        </w:tc>
        <w:tc>
          <w:tcPr>
            <w:tcW w:w="372" w:type="pct"/>
            <w:shd w:val="clear" w:color="auto" w:fill="auto"/>
            <w:vAlign w:val="center"/>
            <w:hideMark/>
          </w:tcPr>
          <w:p w14:paraId="1F290A3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347,39</w:t>
            </w:r>
          </w:p>
        </w:tc>
        <w:tc>
          <w:tcPr>
            <w:tcW w:w="475" w:type="pct"/>
            <w:shd w:val="clear" w:color="auto" w:fill="auto"/>
            <w:vAlign w:val="center"/>
            <w:hideMark/>
          </w:tcPr>
          <w:p w14:paraId="047A1563"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390,26</w:t>
            </w:r>
          </w:p>
        </w:tc>
        <w:tc>
          <w:tcPr>
            <w:tcW w:w="478" w:type="pct"/>
            <w:shd w:val="clear" w:color="auto" w:fill="auto"/>
            <w:vAlign w:val="center"/>
          </w:tcPr>
          <w:p w14:paraId="5A9320EC"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424,10</w:t>
            </w:r>
          </w:p>
        </w:tc>
        <w:tc>
          <w:tcPr>
            <w:tcW w:w="436" w:type="pct"/>
            <w:vAlign w:val="center"/>
          </w:tcPr>
          <w:p w14:paraId="5962F325"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429,54</w:t>
            </w:r>
          </w:p>
        </w:tc>
        <w:tc>
          <w:tcPr>
            <w:tcW w:w="428" w:type="pct"/>
            <w:shd w:val="clear" w:color="auto" w:fill="auto"/>
            <w:vAlign w:val="center"/>
            <w:hideMark/>
          </w:tcPr>
          <w:p w14:paraId="4416C47B"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29</w:t>
            </w:r>
          </w:p>
        </w:tc>
        <w:tc>
          <w:tcPr>
            <w:tcW w:w="451" w:type="pct"/>
            <w:vAlign w:val="center"/>
          </w:tcPr>
          <w:p w14:paraId="387C8E0E"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5,44</w:t>
            </w:r>
          </w:p>
        </w:tc>
        <w:tc>
          <w:tcPr>
            <w:tcW w:w="428" w:type="pct"/>
            <w:shd w:val="clear" w:color="auto" w:fill="auto"/>
            <w:vAlign w:val="center"/>
            <w:hideMark/>
          </w:tcPr>
          <w:p w14:paraId="1D629417"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w:t>
            </w:r>
          </w:p>
        </w:tc>
        <w:tc>
          <w:tcPr>
            <w:tcW w:w="372" w:type="pct"/>
            <w:shd w:val="clear" w:color="auto" w:fill="auto"/>
            <w:vAlign w:val="center"/>
          </w:tcPr>
          <w:p w14:paraId="69D80A7F"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440,93</w:t>
            </w:r>
          </w:p>
        </w:tc>
      </w:tr>
      <w:tr w:rsidR="008433A0" w:rsidRPr="00A45614" w14:paraId="409C3AF1" w14:textId="77777777" w:rsidTr="0023469F">
        <w:trPr>
          <w:trHeight w:val="255"/>
        </w:trPr>
        <w:tc>
          <w:tcPr>
            <w:tcW w:w="1187" w:type="pct"/>
            <w:shd w:val="clear" w:color="auto" w:fill="auto"/>
            <w:vAlign w:val="center"/>
            <w:hideMark/>
          </w:tcPr>
          <w:p w14:paraId="46D4BE71"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Gastos de funcionamiento</w:t>
            </w:r>
          </w:p>
        </w:tc>
        <w:tc>
          <w:tcPr>
            <w:tcW w:w="372" w:type="pct"/>
            <w:shd w:val="clear" w:color="auto" w:fill="auto"/>
            <w:vAlign w:val="center"/>
            <w:hideMark/>
          </w:tcPr>
          <w:p w14:paraId="6A9ACD2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598,92</w:t>
            </w:r>
          </w:p>
        </w:tc>
        <w:tc>
          <w:tcPr>
            <w:tcW w:w="372" w:type="pct"/>
            <w:shd w:val="clear" w:color="auto" w:fill="auto"/>
            <w:vAlign w:val="center"/>
            <w:hideMark/>
          </w:tcPr>
          <w:p w14:paraId="4FBDB579"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610,52</w:t>
            </w:r>
          </w:p>
        </w:tc>
        <w:tc>
          <w:tcPr>
            <w:tcW w:w="475" w:type="pct"/>
            <w:shd w:val="clear" w:color="auto" w:fill="auto"/>
            <w:vAlign w:val="center"/>
            <w:hideMark/>
          </w:tcPr>
          <w:p w14:paraId="3BE7CE68"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626,02</w:t>
            </w:r>
          </w:p>
        </w:tc>
        <w:tc>
          <w:tcPr>
            <w:tcW w:w="478" w:type="pct"/>
            <w:shd w:val="clear" w:color="auto" w:fill="auto"/>
            <w:vAlign w:val="center"/>
          </w:tcPr>
          <w:p w14:paraId="46E63164" w14:textId="77777777" w:rsidR="008433A0" w:rsidRPr="00A45614" w:rsidRDefault="008433A0" w:rsidP="0023469F">
            <w:pPr>
              <w:pStyle w:val="cuatexto"/>
              <w:spacing w:line="240" w:lineRule="auto"/>
              <w:jc w:val="right"/>
              <w:rPr>
                <w:sz w:val="17"/>
                <w:szCs w:val="17"/>
              </w:rPr>
            </w:pPr>
            <w:r w:rsidRPr="00A45614">
              <w:rPr>
                <w:sz w:val="17"/>
                <w:szCs w:val="17"/>
              </w:rPr>
              <w:t>653,91</w:t>
            </w:r>
          </w:p>
        </w:tc>
        <w:tc>
          <w:tcPr>
            <w:tcW w:w="436" w:type="pct"/>
            <w:vAlign w:val="center"/>
          </w:tcPr>
          <w:p w14:paraId="0801995B"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643,17</w:t>
            </w:r>
          </w:p>
        </w:tc>
        <w:tc>
          <w:tcPr>
            <w:tcW w:w="428" w:type="pct"/>
            <w:shd w:val="clear" w:color="auto" w:fill="auto"/>
            <w:vAlign w:val="center"/>
            <w:hideMark/>
          </w:tcPr>
          <w:p w14:paraId="4064EB3C"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w:t>
            </w:r>
          </w:p>
        </w:tc>
        <w:tc>
          <w:tcPr>
            <w:tcW w:w="451" w:type="pct"/>
            <w:vAlign w:val="center"/>
          </w:tcPr>
          <w:p w14:paraId="7AA138F5"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-10,74</w:t>
            </w:r>
          </w:p>
        </w:tc>
        <w:tc>
          <w:tcPr>
            <w:tcW w:w="428" w:type="pct"/>
            <w:shd w:val="clear" w:color="auto" w:fill="auto"/>
            <w:vAlign w:val="center"/>
            <w:hideMark/>
          </w:tcPr>
          <w:p w14:paraId="1612F8E1"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w:t>
            </w:r>
          </w:p>
        </w:tc>
        <w:tc>
          <w:tcPr>
            <w:tcW w:w="372" w:type="pct"/>
            <w:shd w:val="clear" w:color="auto" w:fill="auto"/>
            <w:vAlign w:val="center"/>
          </w:tcPr>
          <w:p w14:paraId="70E29C8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707,86</w:t>
            </w:r>
          </w:p>
        </w:tc>
      </w:tr>
      <w:tr w:rsidR="008433A0" w:rsidRPr="00A45614" w14:paraId="76F6B8A4" w14:textId="77777777" w:rsidTr="0023469F">
        <w:trPr>
          <w:trHeight w:val="255"/>
        </w:trPr>
        <w:tc>
          <w:tcPr>
            <w:tcW w:w="1187" w:type="pct"/>
            <w:shd w:val="clear" w:color="auto" w:fill="auto"/>
            <w:vAlign w:val="center"/>
            <w:hideMark/>
          </w:tcPr>
          <w:p w14:paraId="448DFD1A"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Gastos de capital</w:t>
            </w:r>
          </w:p>
        </w:tc>
        <w:tc>
          <w:tcPr>
            <w:tcW w:w="372" w:type="pct"/>
            <w:shd w:val="clear" w:color="auto" w:fill="auto"/>
            <w:vAlign w:val="center"/>
            <w:hideMark/>
          </w:tcPr>
          <w:p w14:paraId="1633A836"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79,69</w:t>
            </w:r>
          </w:p>
        </w:tc>
        <w:tc>
          <w:tcPr>
            <w:tcW w:w="372" w:type="pct"/>
            <w:shd w:val="clear" w:color="auto" w:fill="auto"/>
            <w:vAlign w:val="center"/>
            <w:hideMark/>
          </w:tcPr>
          <w:p w14:paraId="56C8EA52"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98,25</w:t>
            </w:r>
          </w:p>
        </w:tc>
        <w:tc>
          <w:tcPr>
            <w:tcW w:w="475" w:type="pct"/>
            <w:shd w:val="clear" w:color="auto" w:fill="auto"/>
            <w:vAlign w:val="center"/>
            <w:hideMark/>
          </w:tcPr>
          <w:p w14:paraId="74D2294C"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125,09</w:t>
            </w:r>
          </w:p>
        </w:tc>
        <w:tc>
          <w:tcPr>
            <w:tcW w:w="478" w:type="pct"/>
            <w:shd w:val="clear" w:color="auto" w:fill="auto"/>
            <w:vAlign w:val="center"/>
          </w:tcPr>
          <w:p w14:paraId="3D873CD3" w14:textId="77777777" w:rsidR="008433A0" w:rsidRPr="00A45614" w:rsidRDefault="008433A0" w:rsidP="0023469F">
            <w:pPr>
              <w:pStyle w:val="cuatexto"/>
              <w:spacing w:line="240" w:lineRule="auto"/>
              <w:jc w:val="right"/>
              <w:rPr>
                <w:sz w:val="17"/>
                <w:szCs w:val="17"/>
              </w:rPr>
            </w:pPr>
            <w:r w:rsidRPr="00A45614">
              <w:rPr>
                <w:sz w:val="17"/>
                <w:szCs w:val="17"/>
              </w:rPr>
              <w:t>199,42</w:t>
            </w:r>
          </w:p>
        </w:tc>
        <w:tc>
          <w:tcPr>
            <w:tcW w:w="436" w:type="pct"/>
            <w:vAlign w:val="center"/>
          </w:tcPr>
          <w:p w14:paraId="08353A01"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123,59</w:t>
            </w:r>
          </w:p>
        </w:tc>
        <w:tc>
          <w:tcPr>
            <w:tcW w:w="428" w:type="pct"/>
            <w:shd w:val="clear" w:color="auto" w:fill="auto"/>
            <w:vAlign w:val="center"/>
            <w:hideMark/>
          </w:tcPr>
          <w:p w14:paraId="7CFEF98C"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55</w:t>
            </w:r>
          </w:p>
        </w:tc>
        <w:tc>
          <w:tcPr>
            <w:tcW w:w="451" w:type="pct"/>
            <w:vAlign w:val="center"/>
          </w:tcPr>
          <w:p w14:paraId="5CB8711C"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-75,83</w:t>
            </w:r>
          </w:p>
        </w:tc>
        <w:tc>
          <w:tcPr>
            <w:tcW w:w="428" w:type="pct"/>
            <w:shd w:val="clear" w:color="auto" w:fill="auto"/>
            <w:vAlign w:val="center"/>
            <w:hideMark/>
          </w:tcPr>
          <w:p w14:paraId="2AD825C0"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-38</w:t>
            </w:r>
          </w:p>
        </w:tc>
        <w:tc>
          <w:tcPr>
            <w:tcW w:w="372" w:type="pct"/>
            <w:shd w:val="clear" w:color="auto" w:fill="auto"/>
            <w:vAlign w:val="center"/>
          </w:tcPr>
          <w:p w14:paraId="412D03C7"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137,33</w:t>
            </w:r>
          </w:p>
        </w:tc>
      </w:tr>
      <w:tr w:rsidR="008433A0" w:rsidRPr="00A45614" w14:paraId="246C7008" w14:textId="77777777" w:rsidTr="0023469F">
        <w:trPr>
          <w:trHeight w:val="255"/>
        </w:trPr>
        <w:tc>
          <w:tcPr>
            <w:tcW w:w="1187" w:type="pct"/>
            <w:shd w:val="clear" w:color="auto" w:fill="auto"/>
            <w:vAlign w:val="center"/>
            <w:hideMark/>
          </w:tcPr>
          <w:p w14:paraId="72165320"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Resultado presupuestario no financiero</w:t>
            </w:r>
          </w:p>
        </w:tc>
        <w:tc>
          <w:tcPr>
            <w:tcW w:w="372" w:type="pct"/>
            <w:shd w:val="clear" w:color="auto" w:fill="auto"/>
            <w:vAlign w:val="center"/>
            <w:hideMark/>
          </w:tcPr>
          <w:p w14:paraId="5D7FF406"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78,22</w:t>
            </w:r>
          </w:p>
        </w:tc>
        <w:tc>
          <w:tcPr>
            <w:tcW w:w="372" w:type="pct"/>
            <w:shd w:val="clear" w:color="auto" w:fill="auto"/>
            <w:vAlign w:val="center"/>
            <w:hideMark/>
          </w:tcPr>
          <w:p w14:paraId="10C17EB2"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62,70</w:t>
            </w:r>
          </w:p>
        </w:tc>
        <w:tc>
          <w:tcPr>
            <w:tcW w:w="475" w:type="pct"/>
            <w:shd w:val="clear" w:color="auto" w:fill="auto"/>
            <w:vAlign w:val="center"/>
            <w:hideMark/>
          </w:tcPr>
          <w:p w14:paraId="6A263772"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81,22</w:t>
            </w:r>
          </w:p>
        </w:tc>
        <w:tc>
          <w:tcPr>
            <w:tcW w:w="478" w:type="pct"/>
            <w:shd w:val="clear" w:color="auto" w:fill="auto"/>
            <w:vAlign w:val="center"/>
          </w:tcPr>
          <w:p w14:paraId="572A06E0" w14:textId="77777777" w:rsidR="008433A0" w:rsidRPr="00A45614" w:rsidRDefault="008433A0" w:rsidP="0023469F">
            <w:pPr>
              <w:pStyle w:val="cuatexto"/>
              <w:spacing w:line="240" w:lineRule="auto"/>
              <w:jc w:val="right"/>
              <w:rPr>
                <w:sz w:val="17"/>
                <w:szCs w:val="17"/>
              </w:rPr>
            </w:pPr>
            <w:r w:rsidRPr="00A45614">
              <w:rPr>
                <w:sz w:val="17"/>
                <w:szCs w:val="17"/>
              </w:rPr>
              <w:t>31,16</w:t>
            </w:r>
          </w:p>
        </w:tc>
        <w:tc>
          <w:tcPr>
            <w:tcW w:w="436" w:type="pct"/>
            <w:vAlign w:val="center"/>
          </w:tcPr>
          <w:p w14:paraId="02569FE3"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78,00</w:t>
            </w:r>
          </w:p>
        </w:tc>
        <w:tc>
          <w:tcPr>
            <w:tcW w:w="428" w:type="pct"/>
            <w:shd w:val="clear" w:color="auto" w:fill="auto"/>
            <w:vAlign w:val="center"/>
            <w:hideMark/>
          </w:tcPr>
          <w:p w14:paraId="50407924"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0</w:t>
            </w:r>
          </w:p>
        </w:tc>
        <w:tc>
          <w:tcPr>
            <w:tcW w:w="451" w:type="pct"/>
            <w:vAlign w:val="center"/>
          </w:tcPr>
          <w:p w14:paraId="54744454"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46,84</w:t>
            </w:r>
          </w:p>
        </w:tc>
        <w:tc>
          <w:tcPr>
            <w:tcW w:w="428" w:type="pct"/>
            <w:shd w:val="clear" w:color="auto" w:fill="auto"/>
            <w:vAlign w:val="center"/>
            <w:hideMark/>
          </w:tcPr>
          <w:p w14:paraId="0B6E2AB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150</w:t>
            </w:r>
          </w:p>
        </w:tc>
        <w:tc>
          <w:tcPr>
            <w:tcW w:w="372" w:type="pct"/>
            <w:shd w:val="clear" w:color="auto" w:fill="auto"/>
            <w:vAlign w:val="center"/>
          </w:tcPr>
          <w:p w14:paraId="1C69DDBD"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6,84</w:t>
            </w:r>
          </w:p>
        </w:tc>
      </w:tr>
      <w:tr w:rsidR="008433A0" w:rsidRPr="00A45614" w14:paraId="4059DEB1" w14:textId="77777777" w:rsidTr="0023469F">
        <w:trPr>
          <w:trHeight w:val="255"/>
        </w:trPr>
        <w:tc>
          <w:tcPr>
            <w:tcW w:w="1187" w:type="pct"/>
            <w:shd w:val="clear" w:color="auto" w:fill="auto"/>
            <w:vAlign w:val="center"/>
            <w:hideMark/>
          </w:tcPr>
          <w:p w14:paraId="6F12AA9C"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 xml:space="preserve">Ahorro bruto </w:t>
            </w:r>
          </w:p>
        </w:tc>
        <w:tc>
          <w:tcPr>
            <w:tcW w:w="372" w:type="pct"/>
            <w:shd w:val="clear" w:color="auto" w:fill="auto"/>
            <w:vAlign w:val="center"/>
            <w:hideMark/>
          </w:tcPr>
          <w:p w14:paraId="3A281C5B"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123,24</w:t>
            </w:r>
          </w:p>
        </w:tc>
        <w:tc>
          <w:tcPr>
            <w:tcW w:w="372" w:type="pct"/>
            <w:shd w:val="clear" w:color="auto" w:fill="auto"/>
            <w:vAlign w:val="center"/>
            <w:hideMark/>
          </w:tcPr>
          <w:p w14:paraId="2FD4A84D"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112,17</w:t>
            </w:r>
          </w:p>
        </w:tc>
        <w:tc>
          <w:tcPr>
            <w:tcW w:w="475" w:type="pct"/>
            <w:shd w:val="clear" w:color="auto" w:fill="auto"/>
            <w:vAlign w:val="center"/>
            <w:hideMark/>
          </w:tcPr>
          <w:p w14:paraId="0C495244"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126,60</w:t>
            </w:r>
          </w:p>
        </w:tc>
        <w:tc>
          <w:tcPr>
            <w:tcW w:w="478" w:type="pct"/>
            <w:shd w:val="clear" w:color="auto" w:fill="auto"/>
            <w:vAlign w:val="center"/>
          </w:tcPr>
          <w:p w14:paraId="73E5A855" w14:textId="77777777" w:rsidR="008433A0" w:rsidRPr="00A45614" w:rsidRDefault="008433A0" w:rsidP="0023469F">
            <w:pPr>
              <w:pStyle w:val="cuatexto"/>
              <w:spacing w:line="240" w:lineRule="auto"/>
              <w:jc w:val="right"/>
              <w:rPr>
                <w:sz w:val="17"/>
                <w:szCs w:val="17"/>
              </w:rPr>
            </w:pPr>
            <w:r w:rsidRPr="00A45614">
              <w:rPr>
                <w:sz w:val="17"/>
                <w:szCs w:val="17"/>
              </w:rPr>
              <w:t>137,68</w:t>
            </w:r>
          </w:p>
        </w:tc>
        <w:tc>
          <w:tcPr>
            <w:tcW w:w="436" w:type="pct"/>
            <w:vAlign w:val="center"/>
          </w:tcPr>
          <w:p w14:paraId="4C77B678"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138,84</w:t>
            </w:r>
          </w:p>
        </w:tc>
        <w:tc>
          <w:tcPr>
            <w:tcW w:w="428" w:type="pct"/>
            <w:shd w:val="clear" w:color="auto" w:fill="auto"/>
            <w:vAlign w:val="center"/>
            <w:hideMark/>
          </w:tcPr>
          <w:p w14:paraId="27A00185"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13</w:t>
            </w:r>
          </w:p>
        </w:tc>
        <w:tc>
          <w:tcPr>
            <w:tcW w:w="451" w:type="pct"/>
            <w:vAlign w:val="center"/>
          </w:tcPr>
          <w:p w14:paraId="406722AF"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1,16</w:t>
            </w:r>
          </w:p>
        </w:tc>
        <w:tc>
          <w:tcPr>
            <w:tcW w:w="428" w:type="pct"/>
            <w:shd w:val="clear" w:color="auto" w:fill="auto"/>
            <w:vAlign w:val="center"/>
            <w:hideMark/>
          </w:tcPr>
          <w:p w14:paraId="4FAA6578"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w:t>
            </w:r>
          </w:p>
        </w:tc>
        <w:tc>
          <w:tcPr>
            <w:tcW w:w="372" w:type="pct"/>
            <w:shd w:val="clear" w:color="auto" w:fill="auto"/>
            <w:vAlign w:val="center"/>
          </w:tcPr>
          <w:p w14:paraId="57039AE3"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145,95</w:t>
            </w:r>
          </w:p>
        </w:tc>
      </w:tr>
      <w:tr w:rsidR="008433A0" w:rsidRPr="00A45614" w14:paraId="6A4FD58A" w14:textId="77777777" w:rsidTr="0023469F">
        <w:trPr>
          <w:trHeight w:val="255"/>
        </w:trPr>
        <w:tc>
          <w:tcPr>
            <w:tcW w:w="1187" w:type="pct"/>
            <w:shd w:val="clear" w:color="auto" w:fill="auto"/>
            <w:vAlign w:val="center"/>
            <w:hideMark/>
          </w:tcPr>
          <w:p w14:paraId="52C0F92D"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Carga financiera</w:t>
            </w:r>
          </w:p>
        </w:tc>
        <w:tc>
          <w:tcPr>
            <w:tcW w:w="372" w:type="pct"/>
            <w:shd w:val="clear" w:color="auto" w:fill="auto"/>
            <w:vAlign w:val="center"/>
            <w:hideMark/>
          </w:tcPr>
          <w:p w14:paraId="50241B1F"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37,59</w:t>
            </w:r>
          </w:p>
        </w:tc>
        <w:tc>
          <w:tcPr>
            <w:tcW w:w="372" w:type="pct"/>
            <w:shd w:val="clear" w:color="auto" w:fill="auto"/>
            <w:vAlign w:val="center"/>
            <w:hideMark/>
          </w:tcPr>
          <w:p w14:paraId="1431640F"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47,59</w:t>
            </w:r>
          </w:p>
        </w:tc>
        <w:tc>
          <w:tcPr>
            <w:tcW w:w="475" w:type="pct"/>
            <w:shd w:val="clear" w:color="auto" w:fill="auto"/>
            <w:vAlign w:val="center"/>
            <w:hideMark/>
          </w:tcPr>
          <w:p w14:paraId="45D8473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35,00</w:t>
            </w:r>
          </w:p>
        </w:tc>
        <w:tc>
          <w:tcPr>
            <w:tcW w:w="478" w:type="pct"/>
            <w:shd w:val="clear" w:color="auto" w:fill="auto"/>
            <w:vAlign w:val="center"/>
          </w:tcPr>
          <w:p w14:paraId="15314341" w14:textId="77777777" w:rsidR="008433A0" w:rsidRPr="00A45614" w:rsidRDefault="008433A0" w:rsidP="0023469F">
            <w:pPr>
              <w:pStyle w:val="cuatexto"/>
              <w:spacing w:line="240" w:lineRule="auto"/>
              <w:jc w:val="right"/>
              <w:rPr>
                <w:sz w:val="17"/>
                <w:szCs w:val="17"/>
              </w:rPr>
            </w:pPr>
            <w:r w:rsidRPr="00A45614">
              <w:rPr>
                <w:sz w:val="17"/>
                <w:szCs w:val="17"/>
              </w:rPr>
              <w:t>30,54</w:t>
            </w:r>
          </w:p>
        </w:tc>
        <w:tc>
          <w:tcPr>
            <w:tcW w:w="436" w:type="pct"/>
            <w:vAlign w:val="center"/>
          </w:tcPr>
          <w:p w14:paraId="1DEDDD85"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30,33</w:t>
            </w:r>
          </w:p>
        </w:tc>
        <w:tc>
          <w:tcPr>
            <w:tcW w:w="428" w:type="pct"/>
            <w:shd w:val="clear" w:color="auto" w:fill="auto"/>
            <w:vAlign w:val="center"/>
            <w:hideMark/>
          </w:tcPr>
          <w:p w14:paraId="4958070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-19</w:t>
            </w:r>
          </w:p>
        </w:tc>
        <w:tc>
          <w:tcPr>
            <w:tcW w:w="451" w:type="pct"/>
            <w:vAlign w:val="center"/>
          </w:tcPr>
          <w:p w14:paraId="5112EEA9"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-0,21</w:t>
            </w:r>
          </w:p>
        </w:tc>
        <w:tc>
          <w:tcPr>
            <w:tcW w:w="428" w:type="pct"/>
            <w:shd w:val="clear" w:color="auto" w:fill="auto"/>
            <w:vAlign w:val="center"/>
            <w:hideMark/>
          </w:tcPr>
          <w:p w14:paraId="5E5AB60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w:t>
            </w:r>
          </w:p>
        </w:tc>
        <w:tc>
          <w:tcPr>
            <w:tcW w:w="372" w:type="pct"/>
            <w:shd w:val="clear" w:color="auto" w:fill="auto"/>
            <w:vAlign w:val="center"/>
          </w:tcPr>
          <w:p w14:paraId="59068602"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30,33</w:t>
            </w:r>
          </w:p>
        </w:tc>
      </w:tr>
      <w:tr w:rsidR="008433A0" w:rsidRPr="00A45614" w14:paraId="1694A06F" w14:textId="77777777" w:rsidTr="0023469F">
        <w:trPr>
          <w:trHeight w:val="255"/>
        </w:trPr>
        <w:tc>
          <w:tcPr>
            <w:tcW w:w="1187" w:type="pct"/>
            <w:shd w:val="clear" w:color="auto" w:fill="auto"/>
            <w:vAlign w:val="center"/>
            <w:hideMark/>
          </w:tcPr>
          <w:p w14:paraId="13BFEEAB"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 xml:space="preserve">Ahorro neto </w:t>
            </w:r>
          </w:p>
        </w:tc>
        <w:tc>
          <w:tcPr>
            <w:tcW w:w="372" w:type="pct"/>
            <w:shd w:val="clear" w:color="auto" w:fill="auto"/>
            <w:vAlign w:val="center"/>
            <w:hideMark/>
          </w:tcPr>
          <w:p w14:paraId="4533E04D"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85,41</w:t>
            </w:r>
          </w:p>
        </w:tc>
        <w:tc>
          <w:tcPr>
            <w:tcW w:w="372" w:type="pct"/>
            <w:shd w:val="clear" w:color="auto" w:fill="auto"/>
            <w:vAlign w:val="center"/>
            <w:hideMark/>
          </w:tcPr>
          <w:p w14:paraId="7230BD11"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64,58</w:t>
            </w:r>
          </w:p>
        </w:tc>
        <w:tc>
          <w:tcPr>
            <w:tcW w:w="475" w:type="pct"/>
            <w:shd w:val="clear" w:color="auto" w:fill="auto"/>
            <w:vAlign w:val="center"/>
            <w:hideMark/>
          </w:tcPr>
          <w:p w14:paraId="52D21FDF"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91,60</w:t>
            </w:r>
          </w:p>
        </w:tc>
        <w:tc>
          <w:tcPr>
            <w:tcW w:w="478" w:type="pct"/>
            <w:shd w:val="clear" w:color="auto" w:fill="auto"/>
            <w:vAlign w:val="center"/>
          </w:tcPr>
          <w:p w14:paraId="621DA106" w14:textId="77777777" w:rsidR="008433A0" w:rsidRPr="00A45614" w:rsidRDefault="008433A0" w:rsidP="0023469F">
            <w:pPr>
              <w:pStyle w:val="cuatexto"/>
              <w:spacing w:line="240" w:lineRule="auto"/>
              <w:jc w:val="right"/>
              <w:rPr>
                <w:sz w:val="17"/>
                <w:szCs w:val="17"/>
              </w:rPr>
            </w:pPr>
            <w:r w:rsidRPr="00A45614">
              <w:rPr>
                <w:sz w:val="17"/>
                <w:szCs w:val="17"/>
              </w:rPr>
              <w:t>107,14</w:t>
            </w:r>
          </w:p>
        </w:tc>
        <w:tc>
          <w:tcPr>
            <w:tcW w:w="436" w:type="pct"/>
            <w:vAlign w:val="center"/>
          </w:tcPr>
          <w:p w14:paraId="25B75C6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108,51</w:t>
            </w:r>
          </w:p>
        </w:tc>
        <w:tc>
          <w:tcPr>
            <w:tcW w:w="428" w:type="pct"/>
            <w:shd w:val="clear" w:color="auto" w:fill="auto"/>
            <w:vAlign w:val="center"/>
            <w:hideMark/>
          </w:tcPr>
          <w:p w14:paraId="0661244E"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27</w:t>
            </w:r>
          </w:p>
        </w:tc>
        <w:tc>
          <w:tcPr>
            <w:tcW w:w="451" w:type="pct"/>
            <w:vAlign w:val="center"/>
          </w:tcPr>
          <w:p w14:paraId="57BA76FD"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1,37</w:t>
            </w:r>
          </w:p>
        </w:tc>
        <w:tc>
          <w:tcPr>
            <w:tcW w:w="428" w:type="pct"/>
            <w:shd w:val="clear" w:color="auto" w:fill="auto"/>
            <w:vAlign w:val="center"/>
            <w:hideMark/>
          </w:tcPr>
          <w:p w14:paraId="277399A9"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w:t>
            </w:r>
          </w:p>
        </w:tc>
        <w:tc>
          <w:tcPr>
            <w:tcW w:w="372" w:type="pct"/>
            <w:shd w:val="clear" w:color="auto" w:fill="auto"/>
            <w:vAlign w:val="center"/>
          </w:tcPr>
          <w:p w14:paraId="18DAA264"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115,62</w:t>
            </w:r>
          </w:p>
        </w:tc>
      </w:tr>
      <w:tr w:rsidR="008433A0" w:rsidRPr="00A45614" w14:paraId="2CB35287" w14:textId="77777777" w:rsidTr="0023469F">
        <w:trPr>
          <w:trHeight w:val="255"/>
        </w:trPr>
        <w:tc>
          <w:tcPr>
            <w:tcW w:w="1187" w:type="pct"/>
            <w:shd w:val="clear" w:color="auto" w:fill="auto"/>
            <w:vAlign w:val="center"/>
            <w:hideMark/>
          </w:tcPr>
          <w:p w14:paraId="5EDB8E73"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Índice de carga financiera</w:t>
            </w:r>
          </w:p>
        </w:tc>
        <w:tc>
          <w:tcPr>
            <w:tcW w:w="372" w:type="pct"/>
            <w:shd w:val="clear" w:color="auto" w:fill="auto"/>
            <w:vAlign w:val="center"/>
            <w:hideMark/>
          </w:tcPr>
          <w:p w14:paraId="27F4C099"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5,23</w:t>
            </w:r>
          </w:p>
        </w:tc>
        <w:tc>
          <w:tcPr>
            <w:tcW w:w="372" w:type="pct"/>
            <w:shd w:val="clear" w:color="auto" w:fill="auto"/>
            <w:vAlign w:val="center"/>
            <w:hideMark/>
          </w:tcPr>
          <w:p w14:paraId="738D79DB"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6,58</w:t>
            </w:r>
          </w:p>
        </w:tc>
        <w:tc>
          <w:tcPr>
            <w:tcW w:w="475" w:type="pct"/>
            <w:shd w:val="clear" w:color="auto" w:fill="auto"/>
            <w:vAlign w:val="center"/>
            <w:hideMark/>
          </w:tcPr>
          <w:p w14:paraId="1588C351"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4,65</w:t>
            </w:r>
          </w:p>
        </w:tc>
        <w:tc>
          <w:tcPr>
            <w:tcW w:w="478" w:type="pct"/>
            <w:shd w:val="clear" w:color="auto" w:fill="auto"/>
            <w:vAlign w:val="center"/>
          </w:tcPr>
          <w:p w14:paraId="3AB9BE89" w14:textId="77777777" w:rsidR="008433A0" w:rsidRPr="00A45614" w:rsidRDefault="008433A0" w:rsidP="0023469F">
            <w:pPr>
              <w:pStyle w:val="cuatexto"/>
              <w:spacing w:line="240" w:lineRule="auto"/>
              <w:jc w:val="right"/>
              <w:rPr>
                <w:sz w:val="17"/>
                <w:szCs w:val="17"/>
              </w:rPr>
            </w:pPr>
            <w:r w:rsidRPr="00A45614">
              <w:rPr>
                <w:sz w:val="17"/>
                <w:szCs w:val="17"/>
              </w:rPr>
              <w:t>3,86</w:t>
            </w:r>
          </w:p>
        </w:tc>
        <w:tc>
          <w:tcPr>
            <w:tcW w:w="436" w:type="pct"/>
            <w:vAlign w:val="center"/>
          </w:tcPr>
          <w:p w14:paraId="02CF6BE2"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3,88</w:t>
            </w:r>
          </w:p>
        </w:tc>
        <w:tc>
          <w:tcPr>
            <w:tcW w:w="428" w:type="pct"/>
            <w:shd w:val="clear" w:color="auto" w:fill="auto"/>
            <w:vAlign w:val="center"/>
            <w:hideMark/>
          </w:tcPr>
          <w:p w14:paraId="6A6A75F8"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-26</w:t>
            </w:r>
          </w:p>
        </w:tc>
        <w:tc>
          <w:tcPr>
            <w:tcW w:w="451" w:type="pct"/>
            <w:vAlign w:val="center"/>
          </w:tcPr>
          <w:p w14:paraId="113CA622"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0,02</w:t>
            </w:r>
          </w:p>
        </w:tc>
        <w:tc>
          <w:tcPr>
            <w:tcW w:w="428" w:type="pct"/>
            <w:shd w:val="clear" w:color="auto" w:fill="auto"/>
            <w:vAlign w:val="center"/>
            <w:hideMark/>
          </w:tcPr>
          <w:p w14:paraId="5EBE1435"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w:t>
            </w:r>
          </w:p>
        </w:tc>
        <w:tc>
          <w:tcPr>
            <w:tcW w:w="372" w:type="pct"/>
            <w:shd w:val="clear" w:color="auto" w:fill="auto"/>
            <w:vAlign w:val="center"/>
          </w:tcPr>
          <w:p w14:paraId="3D1A1563"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3,55</w:t>
            </w:r>
          </w:p>
        </w:tc>
      </w:tr>
      <w:tr w:rsidR="008433A0" w:rsidRPr="00A45614" w14:paraId="1C0EB384" w14:textId="77777777" w:rsidTr="0023469F">
        <w:trPr>
          <w:trHeight w:val="255"/>
        </w:trPr>
        <w:tc>
          <w:tcPr>
            <w:tcW w:w="1187" w:type="pct"/>
            <w:shd w:val="clear" w:color="auto" w:fill="auto"/>
            <w:vAlign w:val="center"/>
            <w:hideMark/>
          </w:tcPr>
          <w:p w14:paraId="4AF4064F" w14:textId="77777777" w:rsidR="00A45614" w:rsidRDefault="008433A0" w:rsidP="00A45614">
            <w:pPr>
              <w:pStyle w:val="cuatexto"/>
              <w:spacing w:line="240" w:lineRule="auto"/>
              <w:rPr>
                <w:sz w:val="17"/>
                <w:szCs w:val="17"/>
                <w:lang w:val="es-ES" w:eastAsia="es-ES"/>
              </w:rPr>
            </w:pPr>
            <w:r w:rsidRPr="00A45614">
              <w:rPr>
                <w:sz w:val="17"/>
                <w:szCs w:val="17"/>
                <w:lang w:val="es-ES" w:eastAsia="es-ES"/>
              </w:rPr>
              <w:t>% ahorro bruto/</w:t>
            </w:r>
            <w:proofErr w:type="spellStart"/>
            <w:r w:rsidRPr="00A45614">
              <w:rPr>
                <w:sz w:val="17"/>
                <w:szCs w:val="17"/>
                <w:lang w:val="es-ES" w:eastAsia="es-ES"/>
              </w:rPr>
              <w:t>ingr</w:t>
            </w:r>
            <w:proofErr w:type="spellEnd"/>
            <w:r w:rsidRPr="00A45614">
              <w:rPr>
                <w:sz w:val="17"/>
                <w:szCs w:val="17"/>
                <w:lang w:val="es-ES" w:eastAsia="es-ES"/>
              </w:rPr>
              <w:t xml:space="preserve">. </w:t>
            </w:r>
          </w:p>
          <w:p w14:paraId="7671DD88" w14:textId="49728F66"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corrientes</w:t>
            </w:r>
          </w:p>
        </w:tc>
        <w:tc>
          <w:tcPr>
            <w:tcW w:w="372" w:type="pct"/>
            <w:shd w:val="clear" w:color="auto" w:fill="auto"/>
            <w:vAlign w:val="center"/>
            <w:hideMark/>
          </w:tcPr>
          <w:p w14:paraId="094C981B"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17,15</w:t>
            </w:r>
          </w:p>
        </w:tc>
        <w:tc>
          <w:tcPr>
            <w:tcW w:w="372" w:type="pct"/>
            <w:shd w:val="clear" w:color="auto" w:fill="auto"/>
            <w:vAlign w:val="center"/>
            <w:hideMark/>
          </w:tcPr>
          <w:p w14:paraId="5A73F449"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15,52</w:t>
            </w:r>
          </w:p>
        </w:tc>
        <w:tc>
          <w:tcPr>
            <w:tcW w:w="475" w:type="pct"/>
            <w:shd w:val="clear" w:color="auto" w:fill="auto"/>
            <w:vAlign w:val="center"/>
            <w:hideMark/>
          </w:tcPr>
          <w:p w14:paraId="2D6F825E"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16,82</w:t>
            </w:r>
          </w:p>
        </w:tc>
        <w:tc>
          <w:tcPr>
            <w:tcW w:w="478" w:type="pct"/>
            <w:shd w:val="clear" w:color="auto" w:fill="auto"/>
            <w:vAlign w:val="center"/>
          </w:tcPr>
          <w:p w14:paraId="29E90E91" w14:textId="77777777" w:rsidR="008433A0" w:rsidRPr="00A45614" w:rsidRDefault="008433A0" w:rsidP="0023469F">
            <w:pPr>
              <w:pStyle w:val="cuatexto"/>
              <w:spacing w:line="240" w:lineRule="auto"/>
              <w:jc w:val="right"/>
              <w:rPr>
                <w:sz w:val="17"/>
                <w:szCs w:val="17"/>
              </w:rPr>
            </w:pPr>
            <w:r w:rsidRPr="00A45614">
              <w:rPr>
                <w:sz w:val="17"/>
                <w:szCs w:val="17"/>
              </w:rPr>
              <w:t>17,39</w:t>
            </w:r>
          </w:p>
        </w:tc>
        <w:tc>
          <w:tcPr>
            <w:tcW w:w="436" w:type="pct"/>
            <w:vAlign w:val="center"/>
          </w:tcPr>
          <w:p w14:paraId="6CE08FE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17,75</w:t>
            </w:r>
          </w:p>
        </w:tc>
        <w:tc>
          <w:tcPr>
            <w:tcW w:w="428" w:type="pct"/>
            <w:shd w:val="clear" w:color="auto" w:fill="auto"/>
            <w:vAlign w:val="center"/>
            <w:hideMark/>
          </w:tcPr>
          <w:p w14:paraId="7DFDE988"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4</w:t>
            </w:r>
          </w:p>
        </w:tc>
        <w:tc>
          <w:tcPr>
            <w:tcW w:w="451" w:type="pct"/>
            <w:vAlign w:val="center"/>
          </w:tcPr>
          <w:p w14:paraId="10F50B68"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0,36</w:t>
            </w:r>
          </w:p>
        </w:tc>
        <w:tc>
          <w:tcPr>
            <w:tcW w:w="428" w:type="pct"/>
            <w:shd w:val="clear" w:color="auto" w:fill="auto"/>
            <w:vAlign w:val="center"/>
            <w:hideMark/>
          </w:tcPr>
          <w:p w14:paraId="23C35825"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w:t>
            </w:r>
          </w:p>
        </w:tc>
        <w:tc>
          <w:tcPr>
            <w:tcW w:w="372" w:type="pct"/>
            <w:shd w:val="clear" w:color="auto" w:fill="auto"/>
            <w:vAlign w:val="center"/>
          </w:tcPr>
          <w:p w14:paraId="1819423C"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17,09</w:t>
            </w:r>
          </w:p>
        </w:tc>
      </w:tr>
      <w:tr w:rsidR="008433A0" w:rsidRPr="00A45614" w14:paraId="37250D5E" w14:textId="77777777" w:rsidTr="0023469F">
        <w:trPr>
          <w:trHeight w:val="255"/>
        </w:trPr>
        <w:tc>
          <w:tcPr>
            <w:tcW w:w="1187" w:type="pct"/>
            <w:shd w:val="clear" w:color="auto" w:fill="auto"/>
            <w:vAlign w:val="center"/>
            <w:hideMark/>
          </w:tcPr>
          <w:p w14:paraId="13FBD9D6" w14:textId="77777777" w:rsidR="00A45614" w:rsidRDefault="008433A0" w:rsidP="00A45614">
            <w:pPr>
              <w:pStyle w:val="cuatexto"/>
              <w:spacing w:line="240" w:lineRule="auto"/>
              <w:rPr>
                <w:sz w:val="17"/>
                <w:szCs w:val="17"/>
                <w:lang w:val="es-ES" w:eastAsia="es-ES"/>
              </w:rPr>
            </w:pPr>
            <w:r w:rsidRPr="00A45614">
              <w:rPr>
                <w:sz w:val="17"/>
                <w:szCs w:val="17"/>
                <w:lang w:val="es-ES" w:eastAsia="es-ES"/>
              </w:rPr>
              <w:t xml:space="preserve">% Capacidad de </w:t>
            </w:r>
          </w:p>
          <w:p w14:paraId="7B099FDF" w14:textId="3951D8ED"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endeudamiento</w:t>
            </w:r>
          </w:p>
        </w:tc>
        <w:tc>
          <w:tcPr>
            <w:tcW w:w="372" w:type="pct"/>
            <w:shd w:val="clear" w:color="auto" w:fill="auto"/>
            <w:vAlign w:val="center"/>
            <w:hideMark/>
          </w:tcPr>
          <w:p w14:paraId="3B4734CF"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11,92</w:t>
            </w:r>
          </w:p>
        </w:tc>
        <w:tc>
          <w:tcPr>
            <w:tcW w:w="372" w:type="pct"/>
            <w:shd w:val="clear" w:color="auto" w:fill="auto"/>
            <w:vAlign w:val="center"/>
            <w:hideMark/>
          </w:tcPr>
          <w:p w14:paraId="35C1BA59"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8,94</w:t>
            </w:r>
          </w:p>
        </w:tc>
        <w:tc>
          <w:tcPr>
            <w:tcW w:w="475" w:type="pct"/>
            <w:shd w:val="clear" w:color="auto" w:fill="auto"/>
            <w:vAlign w:val="center"/>
            <w:hideMark/>
          </w:tcPr>
          <w:p w14:paraId="6416B74E"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12,17</w:t>
            </w:r>
          </w:p>
        </w:tc>
        <w:tc>
          <w:tcPr>
            <w:tcW w:w="478" w:type="pct"/>
            <w:shd w:val="clear" w:color="auto" w:fill="auto"/>
            <w:vAlign w:val="center"/>
          </w:tcPr>
          <w:p w14:paraId="56831668" w14:textId="77777777" w:rsidR="008433A0" w:rsidRPr="00A45614" w:rsidRDefault="008433A0" w:rsidP="0023469F">
            <w:pPr>
              <w:pStyle w:val="cuatexto"/>
              <w:spacing w:line="240" w:lineRule="auto"/>
              <w:jc w:val="right"/>
              <w:rPr>
                <w:sz w:val="17"/>
                <w:szCs w:val="17"/>
              </w:rPr>
            </w:pPr>
            <w:r w:rsidRPr="00A45614">
              <w:rPr>
                <w:sz w:val="17"/>
                <w:szCs w:val="17"/>
              </w:rPr>
              <w:t>13,53</w:t>
            </w:r>
          </w:p>
        </w:tc>
        <w:tc>
          <w:tcPr>
            <w:tcW w:w="436" w:type="pct"/>
            <w:vAlign w:val="center"/>
          </w:tcPr>
          <w:p w14:paraId="7DFF8345"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13,88</w:t>
            </w:r>
          </w:p>
        </w:tc>
        <w:tc>
          <w:tcPr>
            <w:tcW w:w="428" w:type="pct"/>
            <w:shd w:val="clear" w:color="auto" w:fill="auto"/>
            <w:vAlign w:val="center"/>
            <w:hideMark/>
          </w:tcPr>
          <w:p w14:paraId="4E5BF90F"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16</w:t>
            </w:r>
          </w:p>
        </w:tc>
        <w:tc>
          <w:tcPr>
            <w:tcW w:w="451" w:type="pct"/>
            <w:vAlign w:val="center"/>
          </w:tcPr>
          <w:p w14:paraId="396E8C31"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0,35</w:t>
            </w:r>
          </w:p>
        </w:tc>
        <w:tc>
          <w:tcPr>
            <w:tcW w:w="428" w:type="pct"/>
            <w:shd w:val="clear" w:color="auto" w:fill="auto"/>
            <w:vAlign w:val="center"/>
            <w:hideMark/>
          </w:tcPr>
          <w:p w14:paraId="6105022D"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w:t>
            </w:r>
          </w:p>
        </w:tc>
        <w:tc>
          <w:tcPr>
            <w:tcW w:w="372" w:type="pct"/>
            <w:shd w:val="clear" w:color="auto" w:fill="auto"/>
            <w:vAlign w:val="center"/>
          </w:tcPr>
          <w:p w14:paraId="1831520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13,54</w:t>
            </w:r>
          </w:p>
        </w:tc>
      </w:tr>
      <w:tr w:rsidR="008433A0" w:rsidRPr="00A45614" w14:paraId="7ABF970A" w14:textId="77777777" w:rsidTr="0023469F">
        <w:trPr>
          <w:trHeight w:val="255"/>
        </w:trPr>
        <w:tc>
          <w:tcPr>
            <w:tcW w:w="1187" w:type="pct"/>
            <w:tcBorders>
              <w:bottom w:val="single" w:sz="2" w:space="0" w:color="auto"/>
            </w:tcBorders>
            <w:shd w:val="clear" w:color="auto" w:fill="auto"/>
            <w:vAlign w:val="center"/>
            <w:hideMark/>
          </w:tcPr>
          <w:p w14:paraId="237EB0C8"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Deuda viva**</w:t>
            </w:r>
          </w:p>
        </w:tc>
        <w:tc>
          <w:tcPr>
            <w:tcW w:w="372" w:type="pct"/>
            <w:tcBorders>
              <w:bottom w:val="single" w:sz="2" w:space="0" w:color="auto"/>
            </w:tcBorders>
            <w:shd w:val="clear" w:color="auto" w:fill="auto"/>
            <w:vAlign w:val="center"/>
            <w:hideMark/>
          </w:tcPr>
          <w:p w14:paraId="4E50B622"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280,46</w:t>
            </w:r>
          </w:p>
        </w:tc>
        <w:tc>
          <w:tcPr>
            <w:tcW w:w="372" w:type="pct"/>
            <w:tcBorders>
              <w:bottom w:val="single" w:sz="2" w:space="0" w:color="auto"/>
            </w:tcBorders>
            <w:shd w:val="clear" w:color="auto" w:fill="auto"/>
            <w:vAlign w:val="center"/>
            <w:hideMark/>
          </w:tcPr>
          <w:p w14:paraId="09680927"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234,26</w:t>
            </w:r>
          </w:p>
        </w:tc>
        <w:tc>
          <w:tcPr>
            <w:tcW w:w="475" w:type="pct"/>
            <w:tcBorders>
              <w:bottom w:val="single" w:sz="2" w:space="0" w:color="auto"/>
            </w:tcBorders>
            <w:shd w:val="clear" w:color="auto" w:fill="auto"/>
            <w:vAlign w:val="center"/>
            <w:hideMark/>
          </w:tcPr>
          <w:p w14:paraId="7733C5A0"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207,63</w:t>
            </w:r>
          </w:p>
        </w:tc>
        <w:tc>
          <w:tcPr>
            <w:tcW w:w="478" w:type="pct"/>
            <w:tcBorders>
              <w:bottom w:val="single" w:sz="2" w:space="0" w:color="auto"/>
            </w:tcBorders>
            <w:shd w:val="clear" w:color="auto" w:fill="auto"/>
            <w:vAlign w:val="center"/>
          </w:tcPr>
          <w:p w14:paraId="18318EA0"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179,61</w:t>
            </w:r>
          </w:p>
        </w:tc>
        <w:tc>
          <w:tcPr>
            <w:tcW w:w="436" w:type="pct"/>
            <w:tcBorders>
              <w:bottom w:val="single" w:sz="2" w:space="0" w:color="auto"/>
            </w:tcBorders>
            <w:vAlign w:val="center"/>
          </w:tcPr>
          <w:p w14:paraId="40396193"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137,74</w:t>
            </w:r>
          </w:p>
        </w:tc>
        <w:tc>
          <w:tcPr>
            <w:tcW w:w="428" w:type="pct"/>
            <w:tcBorders>
              <w:bottom w:val="single" w:sz="2" w:space="0" w:color="auto"/>
            </w:tcBorders>
            <w:shd w:val="clear" w:color="auto" w:fill="auto"/>
            <w:vAlign w:val="center"/>
            <w:hideMark/>
          </w:tcPr>
          <w:p w14:paraId="746108E2"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-51</w:t>
            </w:r>
          </w:p>
        </w:tc>
        <w:tc>
          <w:tcPr>
            <w:tcW w:w="451" w:type="pct"/>
            <w:tcBorders>
              <w:bottom w:val="single" w:sz="2" w:space="0" w:color="auto"/>
            </w:tcBorders>
            <w:vAlign w:val="center"/>
          </w:tcPr>
          <w:p w14:paraId="499EC70E"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-41,87</w:t>
            </w:r>
          </w:p>
        </w:tc>
        <w:tc>
          <w:tcPr>
            <w:tcW w:w="428" w:type="pct"/>
            <w:tcBorders>
              <w:bottom w:val="single" w:sz="2" w:space="0" w:color="auto"/>
            </w:tcBorders>
            <w:shd w:val="clear" w:color="auto" w:fill="auto"/>
            <w:vAlign w:val="center"/>
            <w:hideMark/>
          </w:tcPr>
          <w:p w14:paraId="6B472ECA"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-23</w:t>
            </w:r>
          </w:p>
        </w:tc>
        <w:tc>
          <w:tcPr>
            <w:tcW w:w="372" w:type="pct"/>
            <w:tcBorders>
              <w:bottom w:val="single" w:sz="2" w:space="0" w:color="auto"/>
            </w:tcBorders>
            <w:shd w:val="clear" w:color="000000" w:fill="FFFFFF" w:themeFill="background1"/>
            <w:vAlign w:val="center"/>
          </w:tcPr>
          <w:p w14:paraId="24DAD8E5"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137,74</w:t>
            </w:r>
          </w:p>
        </w:tc>
      </w:tr>
      <w:tr w:rsidR="008433A0" w:rsidRPr="00A45614" w14:paraId="4855B9FE" w14:textId="77777777" w:rsidTr="0023469F">
        <w:trPr>
          <w:trHeight w:val="255"/>
        </w:trPr>
        <w:tc>
          <w:tcPr>
            <w:tcW w:w="1187" w:type="pct"/>
            <w:tcBorders>
              <w:top w:val="single" w:sz="2" w:space="0" w:color="auto"/>
              <w:bottom w:val="single" w:sz="4" w:space="0" w:color="auto"/>
            </w:tcBorders>
            <w:shd w:val="clear" w:color="auto" w:fill="auto"/>
            <w:vAlign w:val="center"/>
            <w:hideMark/>
          </w:tcPr>
          <w:p w14:paraId="23125046" w14:textId="77777777" w:rsidR="008433A0" w:rsidRPr="00A45614" w:rsidRDefault="008433A0" w:rsidP="00A45614">
            <w:pPr>
              <w:pStyle w:val="cuatexto"/>
              <w:spacing w:line="240" w:lineRule="auto"/>
              <w:rPr>
                <w:sz w:val="17"/>
                <w:szCs w:val="17"/>
                <w:lang w:val="es-ES" w:eastAsia="es-ES"/>
              </w:rPr>
            </w:pPr>
            <w:r w:rsidRPr="00A45614">
              <w:rPr>
                <w:sz w:val="17"/>
                <w:szCs w:val="17"/>
                <w:lang w:val="es-ES" w:eastAsia="es-ES"/>
              </w:rPr>
              <w:t>Remanente Tesorería gastos generales.</w:t>
            </w:r>
          </w:p>
        </w:tc>
        <w:tc>
          <w:tcPr>
            <w:tcW w:w="372" w:type="pct"/>
            <w:tcBorders>
              <w:top w:val="single" w:sz="2" w:space="0" w:color="auto"/>
              <w:bottom w:val="single" w:sz="4" w:space="0" w:color="auto"/>
            </w:tcBorders>
            <w:shd w:val="clear" w:color="auto" w:fill="auto"/>
            <w:vAlign w:val="center"/>
            <w:hideMark/>
          </w:tcPr>
          <w:p w14:paraId="109E47CD"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226,99</w:t>
            </w:r>
          </w:p>
        </w:tc>
        <w:tc>
          <w:tcPr>
            <w:tcW w:w="372" w:type="pct"/>
            <w:tcBorders>
              <w:top w:val="single" w:sz="2" w:space="0" w:color="auto"/>
              <w:bottom w:val="single" w:sz="4" w:space="0" w:color="auto"/>
            </w:tcBorders>
            <w:shd w:val="clear" w:color="auto" w:fill="auto"/>
            <w:vAlign w:val="center"/>
            <w:hideMark/>
          </w:tcPr>
          <w:p w14:paraId="23354A0F"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238,45</w:t>
            </w:r>
          </w:p>
        </w:tc>
        <w:tc>
          <w:tcPr>
            <w:tcW w:w="475" w:type="pct"/>
            <w:tcBorders>
              <w:top w:val="single" w:sz="2" w:space="0" w:color="auto"/>
              <w:bottom w:val="single" w:sz="4" w:space="0" w:color="auto"/>
            </w:tcBorders>
            <w:shd w:val="clear" w:color="auto" w:fill="auto"/>
            <w:vAlign w:val="center"/>
            <w:hideMark/>
          </w:tcPr>
          <w:p w14:paraId="4E66D8F8"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250,65</w:t>
            </w:r>
          </w:p>
        </w:tc>
        <w:tc>
          <w:tcPr>
            <w:tcW w:w="478" w:type="pct"/>
            <w:tcBorders>
              <w:top w:val="single" w:sz="2" w:space="0" w:color="auto"/>
              <w:bottom w:val="single" w:sz="4" w:space="0" w:color="auto"/>
            </w:tcBorders>
            <w:shd w:val="clear" w:color="auto" w:fill="auto"/>
            <w:vAlign w:val="center"/>
          </w:tcPr>
          <w:p w14:paraId="5A9E92C9"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275,17</w:t>
            </w:r>
          </w:p>
        </w:tc>
        <w:tc>
          <w:tcPr>
            <w:tcW w:w="436" w:type="pct"/>
            <w:tcBorders>
              <w:top w:val="single" w:sz="2" w:space="0" w:color="auto"/>
              <w:bottom w:val="single" w:sz="4" w:space="0" w:color="auto"/>
            </w:tcBorders>
            <w:vAlign w:val="center"/>
          </w:tcPr>
          <w:p w14:paraId="10720A0E"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301,52</w:t>
            </w:r>
          </w:p>
        </w:tc>
        <w:tc>
          <w:tcPr>
            <w:tcW w:w="428" w:type="pct"/>
            <w:tcBorders>
              <w:top w:val="single" w:sz="2" w:space="0" w:color="auto"/>
              <w:bottom w:val="single" w:sz="4" w:space="0" w:color="auto"/>
            </w:tcBorders>
            <w:shd w:val="clear" w:color="auto" w:fill="auto"/>
            <w:vAlign w:val="center"/>
            <w:hideMark/>
          </w:tcPr>
          <w:p w14:paraId="01F8772F"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33</w:t>
            </w:r>
          </w:p>
        </w:tc>
        <w:tc>
          <w:tcPr>
            <w:tcW w:w="451" w:type="pct"/>
            <w:tcBorders>
              <w:top w:val="single" w:sz="2" w:space="0" w:color="auto"/>
              <w:bottom w:val="single" w:sz="4" w:space="0" w:color="auto"/>
            </w:tcBorders>
            <w:vAlign w:val="center"/>
          </w:tcPr>
          <w:p w14:paraId="3400ED1D" w14:textId="77777777" w:rsidR="008433A0" w:rsidRPr="00A45614" w:rsidRDefault="008433A0" w:rsidP="0023469F">
            <w:pPr>
              <w:pStyle w:val="cuatexto"/>
              <w:spacing w:line="240" w:lineRule="auto"/>
              <w:jc w:val="right"/>
              <w:rPr>
                <w:color w:val="000000"/>
                <w:sz w:val="17"/>
                <w:szCs w:val="17"/>
              </w:rPr>
            </w:pPr>
            <w:r w:rsidRPr="00A45614">
              <w:rPr>
                <w:color w:val="000000"/>
                <w:sz w:val="17"/>
                <w:szCs w:val="17"/>
              </w:rPr>
              <w:t>26,35</w:t>
            </w:r>
          </w:p>
        </w:tc>
        <w:tc>
          <w:tcPr>
            <w:tcW w:w="428" w:type="pct"/>
            <w:tcBorders>
              <w:top w:val="single" w:sz="2" w:space="0" w:color="auto"/>
              <w:bottom w:val="single" w:sz="4" w:space="0" w:color="auto"/>
            </w:tcBorders>
            <w:shd w:val="clear" w:color="auto" w:fill="auto"/>
            <w:vAlign w:val="center"/>
            <w:hideMark/>
          </w:tcPr>
          <w:p w14:paraId="22953D5E"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10</w:t>
            </w:r>
          </w:p>
        </w:tc>
        <w:tc>
          <w:tcPr>
            <w:tcW w:w="372" w:type="pct"/>
            <w:tcBorders>
              <w:top w:val="single" w:sz="2" w:space="0" w:color="auto"/>
              <w:bottom w:val="single" w:sz="4" w:space="0" w:color="auto"/>
            </w:tcBorders>
            <w:shd w:val="clear" w:color="000000" w:fill="FFFFFF" w:themeFill="background1"/>
            <w:vAlign w:val="center"/>
          </w:tcPr>
          <w:p w14:paraId="526002BC" w14:textId="77777777" w:rsidR="008433A0" w:rsidRPr="00A45614" w:rsidRDefault="008433A0" w:rsidP="0023469F">
            <w:pPr>
              <w:pStyle w:val="cuatexto"/>
              <w:spacing w:line="240" w:lineRule="auto"/>
              <w:jc w:val="right"/>
              <w:rPr>
                <w:sz w:val="17"/>
                <w:szCs w:val="17"/>
                <w:lang w:val="es-ES" w:eastAsia="es-ES"/>
              </w:rPr>
            </w:pPr>
            <w:r w:rsidRPr="00A45614">
              <w:rPr>
                <w:sz w:val="17"/>
                <w:szCs w:val="17"/>
                <w:lang w:val="es-ES" w:eastAsia="es-ES"/>
              </w:rPr>
              <w:t>*** </w:t>
            </w:r>
          </w:p>
        </w:tc>
      </w:tr>
    </w:tbl>
    <w:p w14:paraId="1BCD1AFE" w14:textId="77777777" w:rsidR="00345C6C" w:rsidRPr="008633BF" w:rsidRDefault="00345C6C" w:rsidP="008633BF">
      <w:pPr>
        <w:pStyle w:val="texto"/>
        <w:spacing w:before="60" w:after="0"/>
        <w:ind w:firstLine="0"/>
        <w:rPr>
          <w:rFonts w:ascii="Arial" w:hAnsi="Arial" w:cs="Arial"/>
          <w:color w:val="000000" w:themeColor="text1"/>
          <w:sz w:val="14"/>
          <w:szCs w:val="14"/>
        </w:rPr>
      </w:pPr>
      <w:r w:rsidRPr="008633BF">
        <w:rPr>
          <w:rFonts w:ascii="Arial" w:hAnsi="Arial" w:cs="Arial"/>
          <w:color w:val="000000" w:themeColor="text1"/>
          <w:sz w:val="14"/>
          <w:szCs w:val="14"/>
        </w:rPr>
        <w:t xml:space="preserve">(*) Indicadores consolidados con </w:t>
      </w:r>
      <w:r w:rsidR="00B72304" w:rsidRPr="008633BF">
        <w:rPr>
          <w:rFonts w:ascii="Arial" w:hAnsi="Arial" w:cs="Arial"/>
          <w:color w:val="000000" w:themeColor="text1"/>
          <w:sz w:val="14"/>
          <w:szCs w:val="14"/>
        </w:rPr>
        <w:t>las tres sociedades.</w:t>
      </w:r>
    </w:p>
    <w:p w14:paraId="26915452" w14:textId="77777777" w:rsidR="00C775B8" w:rsidRPr="008633BF" w:rsidRDefault="00345C6C" w:rsidP="008633BF">
      <w:pPr>
        <w:pStyle w:val="texto"/>
        <w:spacing w:before="60" w:after="0"/>
        <w:ind w:firstLine="0"/>
        <w:rPr>
          <w:rFonts w:ascii="Arial" w:hAnsi="Arial" w:cs="Arial"/>
          <w:color w:val="000000" w:themeColor="text1"/>
          <w:sz w:val="14"/>
          <w:szCs w:val="14"/>
        </w:rPr>
      </w:pPr>
      <w:r w:rsidRPr="008633BF">
        <w:rPr>
          <w:rFonts w:ascii="Arial" w:hAnsi="Arial" w:cs="Arial"/>
          <w:color w:val="000000" w:themeColor="text1"/>
          <w:sz w:val="14"/>
          <w:szCs w:val="14"/>
        </w:rPr>
        <w:t xml:space="preserve">(**) </w:t>
      </w:r>
      <w:r w:rsidR="00C775B8" w:rsidRPr="008633BF">
        <w:rPr>
          <w:rFonts w:ascii="Arial" w:hAnsi="Arial" w:cs="Arial"/>
          <w:color w:val="000000" w:themeColor="text1"/>
          <w:sz w:val="14"/>
          <w:szCs w:val="14"/>
        </w:rPr>
        <w:t>Del conjunto del Sector Público Local, incluyendo entidades locales, sus organismos autónomos y todas las sociedades participadas al 100% por las mismas.</w:t>
      </w:r>
    </w:p>
    <w:p w14:paraId="305CA3A8" w14:textId="5645AC4C" w:rsidR="00345C6C" w:rsidRPr="008633BF" w:rsidRDefault="00C775B8" w:rsidP="008633BF">
      <w:pPr>
        <w:pStyle w:val="texto"/>
        <w:spacing w:before="60" w:after="0"/>
        <w:ind w:firstLine="0"/>
        <w:rPr>
          <w:rFonts w:ascii="Arial" w:hAnsi="Arial" w:cs="Arial"/>
          <w:color w:val="000000" w:themeColor="text1"/>
          <w:sz w:val="14"/>
          <w:szCs w:val="14"/>
        </w:rPr>
      </w:pPr>
      <w:r w:rsidRPr="008633BF">
        <w:rPr>
          <w:rFonts w:ascii="Arial" w:hAnsi="Arial" w:cs="Arial"/>
          <w:color w:val="000000" w:themeColor="text1"/>
          <w:sz w:val="14"/>
          <w:szCs w:val="14"/>
        </w:rPr>
        <w:t xml:space="preserve">(***) </w:t>
      </w:r>
      <w:r w:rsidR="00345C6C" w:rsidRPr="008633BF">
        <w:rPr>
          <w:rFonts w:ascii="Arial" w:hAnsi="Arial" w:cs="Arial"/>
          <w:color w:val="000000" w:themeColor="text1"/>
          <w:sz w:val="14"/>
          <w:szCs w:val="14"/>
        </w:rPr>
        <w:t>No se dispone de este indicador consolidado</w:t>
      </w:r>
      <w:r w:rsidR="0023469F">
        <w:rPr>
          <w:rFonts w:ascii="Arial" w:hAnsi="Arial" w:cs="Arial"/>
          <w:color w:val="000000" w:themeColor="text1"/>
          <w:sz w:val="14"/>
          <w:szCs w:val="14"/>
        </w:rPr>
        <w:t>.</w:t>
      </w:r>
    </w:p>
    <w:p w14:paraId="17E11B15" w14:textId="77777777" w:rsidR="00345C6C" w:rsidRPr="00B81E61" w:rsidRDefault="00345C6C" w:rsidP="00345C6C">
      <w:pPr>
        <w:pStyle w:val="texto"/>
        <w:spacing w:before="200" w:after="120"/>
        <w:rPr>
          <w:color w:val="000000" w:themeColor="text1"/>
        </w:rPr>
      </w:pPr>
      <w:r w:rsidRPr="00B81E61">
        <w:rPr>
          <w:color w:val="000000" w:themeColor="text1"/>
        </w:rPr>
        <w:t>De los datos del cuadro anterior destacamos los siguientes</w:t>
      </w:r>
      <w:r>
        <w:rPr>
          <w:color w:val="000000" w:themeColor="text1"/>
        </w:rPr>
        <w:t xml:space="preserve"> aspectos</w:t>
      </w:r>
      <w:r w:rsidR="009641E2">
        <w:rPr>
          <w:color w:val="000000" w:themeColor="text1"/>
        </w:rPr>
        <w:t xml:space="preserve"> relativos a la evolución </w:t>
      </w:r>
      <w:r w:rsidR="00BC5897">
        <w:rPr>
          <w:color w:val="000000" w:themeColor="text1"/>
        </w:rPr>
        <w:t xml:space="preserve">2016-2020 </w:t>
      </w:r>
      <w:r w:rsidR="009641E2">
        <w:rPr>
          <w:color w:val="000000" w:themeColor="text1"/>
        </w:rPr>
        <w:t>de las entidades locales sin incluir las sociedades dependientes de las mancomunidades:</w:t>
      </w:r>
    </w:p>
    <w:p w14:paraId="31D8AF00" w14:textId="0B6F4BEE" w:rsidR="00B72304" w:rsidRDefault="00B72304"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spacing w:val="4"/>
        </w:rPr>
      </w:pPr>
      <w:r>
        <w:rPr>
          <w:rFonts w:cs="Arial"/>
          <w:color w:val="000000" w:themeColor="text1"/>
          <w:spacing w:val="4"/>
        </w:rPr>
        <w:t>En comparación con 2019, los ingresos han disminuido un cuatro por ciento, mientras que los gastos lo han hecho en un diez por ciento. No obstante, aumentan un 12 y un 11 por ciento con respecto a 2016, respectivamente.</w:t>
      </w:r>
    </w:p>
    <w:p w14:paraId="60BE5995" w14:textId="3B95945C" w:rsidR="00FA4909" w:rsidRPr="00FA4909" w:rsidRDefault="00B72304" w:rsidP="00FA490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 xml:space="preserve">La reducción de los ingresos se debe principalmente a la </w:t>
      </w:r>
      <w:r w:rsidR="00157BF1">
        <w:rPr>
          <w:rFonts w:cs="Arial"/>
          <w:color w:val="000000" w:themeColor="text1"/>
        </w:rPr>
        <w:t xml:space="preserve">reducción </w:t>
      </w:r>
      <w:r>
        <w:rPr>
          <w:rFonts w:cs="Arial"/>
          <w:color w:val="000000" w:themeColor="text1"/>
        </w:rPr>
        <w:t xml:space="preserve">de los ingresos </w:t>
      </w:r>
      <w:r w:rsidR="002F2A93">
        <w:rPr>
          <w:rFonts w:cs="Arial"/>
          <w:color w:val="000000" w:themeColor="text1"/>
        </w:rPr>
        <w:t>tributarios en 27,61 millones, sobre todo</w:t>
      </w:r>
      <w:r>
        <w:rPr>
          <w:rFonts w:cs="Arial"/>
          <w:color w:val="000000" w:themeColor="text1"/>
        </w:rPr>
        <w:t xml:space="preserve"> debido </w:t>
      </w:r>
      <w:r w:rsidR="00F0072C">
        <w:rPr>
          <w:rFonts w:cs="Arial"/>
          <w:color w:val="000000" w:themeColor="text1"/>
        </w:rPr>
        <w:t>a</w:t>
      </w:r>
      <w:r>
        <w:rPr>
          <w:rFonts w:cs="Arial"/>
          <w:color w:val="000000" w:themeColor="text1"/>
        </w:rPr>
        <w:t xml:space="preserve"> </w:t>
      </w:r>
      <w:r w:rsidR="00C31E0B">
        <w:rPr>
          <w:rFonts w:cs="Arial"/>
          <w:color w:val="000000" w:themeColor="text1"/>
        </w:rPr>
        <w:t>los</w:t>
      </w:r>
      <w:r w:rsidR="00F0072C">
        <w:rPr>
          <w:rFonts w:cs="Arial"/>
          <w:color w:val="000000" w:themeColor="text1"/>
        </w:rPr>
        <w:t xml:space="preserve"> menores</w:t>
      </w:r>
      <w:r w:rsidR="00C31E0B">
        <w:rPr>
          <w:rFonts w:cs="Arial"/>
          <w:color w:val="000000" w:themeColor="text1"/>
        </w:rPr>
        <w:t xml:space="preserve"> ingresos por</w:t>
      </w:r>
      <w:r>
        <w:rPr>
          <w:rFonts w:cs="Arial"/>
          <w:color w:val="000000" w:themeColor="text1"/>
        </w:rPr>
        <w:t xml:space="preserve"> tasas, precios públicos y otros ingresos y a la de los impuestos indirectos.  </w:t>
      </w:r>
    </w:p>
    <w:p w14:paraId="017F8705" w14:textId="2DCA9141" w:rsidR="00345C6C" w:rsidRPr="00B81E61"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B81E61">
        <w:rPr>
          <w:rFonts w:cs="Arial"/>
          <w:color w:val="000000" w:themeColor="text1"/>
        </w:rPr>
        <w:t xml:space="preserve">Los gastos de capital </w:t>
      </w:r>
      <w:r w:rsidR="00B72304">
        <w:rPr>
          <w:rFonts w:cs="Arial"/>
          <w:color w:val="000000" w:themeColor="text1"/>
        </w:rPr>
        <w:t>ascendieron a 123,59</w:t>
      </w:r>
      <w:r w:rsidRPr="00B81E61">
        <w:rPr>
          <w:rFonts w:cs="Arial"/>
          <w:color w:val="000000" w:themeColor="text1"/>
        </w:rPr>
        <w:t xml:space="preserve"> millones, siendo el gasto que más </w:t>
      </w:r>
      <w:r w:rsidR="00B72304">
        <w:rPr>
          <w:rFonts w:cs="Arial"/>
          <w:color w:val="000000" w:themeColor="text1"/>
        </w:rPr>
        <w:t xml:space="preserve">disminuye tanto en términos absolutos (75,83 millones) como relativos (38 por </w:t>
      </w:r>
      <w:r w:rsidR="00B72304">
        <w:rPr>
          <w:rFonts w:cs="Arial"/>
          <w:color w:val="000000" w:themeColor="text1"/>
        </w:rPr>
        <w:lastRenderedPageBreak/>
        <w:t>ciento). No obstante, el gasto de capital se sitúa en niveles similares a los de 2018 y un 55 por ciento por encima del correspondiente a 2016.</w:t>
      </w:r>
    </w:p>
    <w:p w14:paraId="146B6EC9" w14:textId="77777777" w:rsidR="00B72304" w:rsidRDefault="00B72304"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 xml:space="preserve">Como consecuencia de lo anterior, en 2020 el sector público local generó un ahorro neto de 108,51 millones, una vez atendidos los gastos de funcionamiento y la carga financiera. Este importe es </w:t>
      </w:r>
      <w:r w:rsidR="008433A0">
        <w:rPr>
          <w:rFonts w:cs="Arial"/>
          <w:color w:val="000000" w:themeColor="text1"/>
        </w:rPr>
        <w:t>similar</w:t>
      </w:r>
      <w:r>
        <w:rPr>
          <w:rFonts w:cs="Arial"/>
          <w:color w:val="000000" w:themeColor="text1"/>
        </w:rPr>
        <w:t xml:space="preserve"> al obtenido en el ejercicio anterior y un 27 por ciento mayor al obtenido en 2016.</w:t>
      </w:r>
    </w:p>
    <w:p w14:paraId="7885CFB0" w14:textId="0B41C2CC" w:rsidR="00B72304" w:rsidRDefault="00B72304"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La deuda viva de las</w:t>
      </w:r>
      <w:r w:rsidR="00BC5897">
        <w:rPr>
          <w:rFonts w:cs="Arial"/>
          <w:color w:val="000000" w:themeColor="text1"/>
        </w:rPr>
        <w:t xml:space="preserve"> entidades locales de Navarra </w:t>
      </w:r>
      <w:r>
        <w:rPr>
          <w:rFonts w:cs="Arial"/>
          <w:color w:val="000000" w:themeColor="text1"/>
        </w:rPr>
        <w:t>a cierre de 2020</w:t>
      </w:r>
      <w:r w:rsidR="00BC5897">
        <w:rPr>
          <w:rFonts w:cs="Arial"/>
          <w:color w:val="000000" w:themeColor="text1"/>
        </w:rPr>
        <w:t xml:space="preserve">, incluyendo todos sus </w:t>
      </w:r>
      <w:proofErr w:type="gramStart"/>
      <w:r w:rsidR="00BC5897">
        <w:rPr>
          <w:rFonts w:cs="Arial"/>
          <w:color w:val="000000" w:themeColor="text1"/>
        </w:rPr>
        <w:t>organismos públicos y sociedades públicas</w:t>
      </w:r>
      <w:proofErr w:type="gramEnd"/>
      <w:r w:rsidR="00BC5897">
        <w:rPr>
          <w:rFonts w:cs="Arial"/>
          <w:color w:val="000000" w:themeColor="text1"/>
        </w:rPr>
        <w:t xml:space="preserve"> participadas ínte</w:t>
      </w:r>
      <w:r w:rsidR="008433A0">
        <w:rPr>
          <w:rFonts w:cs="Arial"/>
          <w:color w:val="000000" w:themeColor="text1"/>
        </w:rPr>
        <w:t>gramente</w:t>
      </w:r>
      <w:r>
        <w:rPr>
          <w:rFonts w:cs="Arial"/>
          <w:color w:val="000000" w:themeColor="text1"/>
        </w:rPr>
        <w:t xml:space="preserve"> se situaba en 137,74 millones, reduciéndose en un 23 y un 51 por ciento con respecto a 2019 y a 2016, respectivamente. </w:t>
      </w:r>
      <w:r w:rsidR="00C775B8">
        <w:rPr>
          <w:rFonts w:cs="Arial"/>
          <w:color w:val="000000" w:themeColor="text1"/>
        </w:rPr>
        <w:t xml:space="preserve">Esta tendencia está relacionada, en buena medida, con las exigencias de la </w:t>
      </w:r>
      <w:proofErr w:type="spellStart"/>
      <w:r w:rsidR="00C775B8">
        <w:rPr>
          <w:rFonts w:cs="Arial"/>
          <w:color w:val="000000" w:themeColor="text1"/>
        </w:rPr>
        <w:t>LOEPySF</w:t>
      </w:r>
      <w:proofErr w:type="spellEnd"/>
      <w:r w:rsidR="00C775B8">
        <w:rPr>
          <w:rFonts w:cs="Arial"/>
          <w:color w:val="000000" w:themeColor="text1"/>
        </w:rPr>
        <w:t xml:space="preserve">). </w:t>
      </w:r>
      <w:r w:rsidR="002F2A93">
        <w:rPr>
          <w:rFonts w:cs="Arial"/>
          <w:color w:val="000000" w:themeColor="text1"/>
        </w:rPr>
        <w:t xml:space="preserve">En 2020 se amortizó deuda por 28,55 millones, mientras que la concertación de nueva deuda ascendió a 7,39 millones. </w:t>
      </w:r>
      <w:r w:rsidR="00C775B8">
        <w:rPr>
          <w:rFonts w:cs="Arial"/>
          <w:color w:val="000000" w:themeColor="text1"/>
        </w:rPr>
        <w:t xml:space="preserve">El tipo de interés medio de la deuda viva se sitúa en el 1,51 por ciento y el plazo </w:t>
      </w:r>
      <w:r w:rsidR="00157BF1">
        <w:rPr>
          <w:rFonts w:cs="Arial"/>
          <w:color w:val="000000" w:themeColor="text1"/>
        </w:rPr>
        <w:t xml:space="preserve">medio </w:t>
      </w:r>
      <w:r w:rsidR="00C775B8">
        <w:rPr>
          <w:rFonts w:cs="Arial"/>
          <w:color w:val="000000" w:themeColor="text1"/>
        </w:rPr>
        <w:t>de vencimiento pendiente, en 8,75 años.</w:t>
      </w:r>
    </w:p>
    <w:p w14:paraId="407D80E5" w14:textId="576A58EA" w:rsidR="00B72304" w:rsidRDefault="00B72304"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spacing w:after="0"/>
        <w:ind w:left="0" w:firstLine="289"/>
        <w:rPr>
          <w:rFonts w:cs="Arial"/>
          <w:color w:val="000000" w:themeColor="text1"/>
        </w:rPr>
      </w:pPr>
      <w:r>
        <w:rPr>
          <w:rFonts w:cs="Arial"/>
          <w:color w:val="000000" w:themeColor="text1"/>
        </w:rPr>
        <w:t xml:space="preserve">El remanente de tesorería para gastos generales, excedente de recursos generados que puede ser utilizado para financiar modificaciones presupuestarias de gasto en ejercicios futuros, continúa la tendencia creciente de los últimos años, situándose en 301,52 millones </w:t>
      </w:r>
      <w:r w:rsidR="008433A0">
        <w:rPr>
          <w:rFonts w:cs="Arial"/>
          <w:color w:val="000000" w:themeColor="text1"/>
        </w:rPr>
        <w:t>a cierre de 2020</w:t>
      </w:r>
      <w:r>
        <w:rPr>
          <w:rFonts w:cs="Arial"/>
          <w:color w:val="000000" w:themeColor="text1"/>
        </w:rPr>
        <w:t xml:space="preserve">, lo que supone un aumento del diez y del 33 por ciento con respecto a 2019 y a 2016, respectivamente. </w:t>
      </w:r>
    </w:p>
    <w:p w14:paraId="25E1EB3E" w14:textId="77777777" w:rsidR="008B5AD0" w:rsidRDefault="008B5AD0" w:rsidP="00EC2B57">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spacing w:after="0"/>
        <w:ind w:firstLine="0"/>
        <w:rPr>
          <w:rFonts w:cs="Arial"/>
          <w:color w:val="000000" w:themeColor="text1"/>
        </w:rPr>
      </w:pPr>
    </w:p>
    <w:p w14:paraId="7E4E26DF" w14:textId="2B1B2210" w:rsidR="006A63EC" w:rsidRPr="00EF0883" w:rsidRDefault="004B35F2" w:rsidP="00DA0A2D">
      <w:pPr>
        <w:pStyle w:val="Ttulo2"/>
        <w:rPr>
          <w:szCs w:val="25"/>
        </w:rPr>
      </w:pPr>
      <w:bookmarkStart w:id="87" w:name="_Toc123724203"/>
      <w:r w:rsidRPr="00EF0883">
        <w:rPr>
          <w:szCs w:val="25"/>
        </w:rPr>
        <w:t xml:space="preserve">VI.4. </w:t>
      </w:r>
      <w:r w:rsidR="008433A0" w:rsidRPr="00EF0883">
        <w:rPr>
          <w:szCs w:val="25"/>
        </w:rPr>
        <w:t xml:space="preserve">Incidencia de </w:t>
      </w:r>
      <w:r w:rsidR="0094017F" w:rsidRPr="00B15291">
        <w:rPr>
          <w:szCs w:val="25"/>
        </w:rPr>
        <w:t>la</w:t>
      </w:r>
      <w:r w:rsidR="0094017F">
        <w:rPr>
          <w:szCs w:val="25"/>
        </w:rPr>
        <w:t xml:space="preserve"> </w:t>
      </w:r>
      <w:proofErr w:type="spellStart"/>
      <w:r w:rsidR="008433A0" w:rsidRPr="00EF0883">
        <w:rPr>
          <w:szCs w:val="25"/>
        </w:rPr>
        <w:t>Covid-19</w:t>
      </w:r>
      <w:bookmarkEnd w:id="87"/>
      <w:proofErr w:type="spellEnd"/>
    </w:p>
    <w:p w14:paraId="162F6574" w14:textId="29C6A153" w:rsidR="00B83A58" w:rsidRDefault="00B83A58" w:rsidP="006A63EC">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120"/>
        <w:rPr>
          <w:rFonts w:cs="Arial"/>
          <w:color w:val="000000" w:themeColor="text1"/>
        </w:rPr>
      </w:pPr>
      <w:r>
        <w:rPr>
          <w:rFonts w:cs="Arial"/>
          <w:color w:val="000000" w:themeColor="text1"/>
        </w:rPr>
        <w:t xml:space="preserve">Los datos disponibles no permiten cuantificar los efectos de la pandemia en la situación financiera del Sector Público Local, ya que en muchos casos los gastos e ingresos relacionados con la misma no se han imputado a aplicaciones presupuestarias específicas o identificables. </w:t>
      </w:r>
    </w:p>
    <w:p w14:paraId="3353C259" w14:textId="21B60A4B" w:rsidR="006A63EC" w:rsidRDefault="00846D14" w:rsidP="006A63EC">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120"/>
        <w:rPr>
          <w:rFonts w:cs="Arial"/>
          <w:color w:val="000000" w:themeColor="text1"/>
        </w:rPr>
      </w:pPr>
      <w:r>
        <w:rPr>
          <w:rFonts w:cs="Arial"/>
          <w:color w:val="000000" w:themeColor="text1"/>
        </w:rPr>
        <w:t>Del análisis de las cuentas del sector público local y de los informes y memorias integrados en las cuentas de las poblaciones de más de 10.000 habitantes,</w:t>
      </w:r>
      <w:r w:rsidR="006A63EC" w:rsidRPr="00FB2CFA">
        <w:rPr>
          <w:rFonts w:cs="Arial"/>
          <w:color w:val="000000" w:themeColor="text1"/>
        </w:rPr>
        <w:t xml:space="preserve"> se puede concluir que los principales efectos de la pandemia de </w:t>
      </w:r>
      <w:proofErr w:type="spellStart"/>
      <w:r w:rsidR="006A63EC" w:rsidRPr="00FB2CFA">
        <w:rPr>
          <w:rFonts w:cs="Arial"/>
          <w:color w:val="000000" w:themeColor="text1"/>
        </w:rPr>
        <w:t>Covid-19</w:t>
      </w:r>
      <w:proofErr w:type="spellEnd"/>
      <w:r w:rsidR="006A63EC" w:rsidRPr="00FB2CFA">
        <w:rPr>
          <w:rFonts w:cs="Arial"/>
          <w:color w:val="000000" w:themeColor="text1"/>
        </w:rPr>
        <w:t xml:space="preserve"> sobre la situación económica de las entidades locales son:</w:t>
      </w:r>
    </w:p>
    <w:p w14:paraId="2F539471" w14:textId="390B429D" w:rsidR="00B83A58" w:rsidRDefault="00B83A58" w:rsidP="006D5F52">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 xml:space="preserve">Una leve reducción de los ingresos corrientes debida a que las caídas de ingresos </w:t>
      </w:r>
      <w:r w:rsidR="008433A0">
        <w:rPr>
          <w:rFonts w:cs="Arial"/>
          <w:color w:val="000000" w:themeColor="text1"/>
        </w:rPr>
        <w:t xml:space="preserve">más directamente </w:t>
      </w:r>
      <w:r>
        <w:rPr>
          <w:rFonts w:cs="Arial"/>
          <w:color w:val="000000" w:themeColor="text1"/>
        </w:rPr>
        <w:t xml:space="preserve">vinculados a la actividad económica y social se ha visto compensada en buena medida por </w:t>
      </w:r>
      <w:r w:rsidR="008E43F9">
        <w:rPr>
          <w:rFonts w:cs="Arial"/>
          <w:color w:val="000000" w:themeColor="text1"/>
        </w:rPr>
        <w:t>el aumento</w:t>
      </w:r>
      <w:r>
        <w:rPr>
          <w:rFonts w:cs="Arial"/>
          <w:color w:val="000000" w:themeColor="text1"/>
        </w:rPr>
        <w:t xml:space="preserve"> de los ingresos por transferencias corrientes. </w:t>
      </w:r>
    </w:p>
    <w:p w14:paraId="34729129" w14:textId="3286671C" w:rsidR="006A63EC" w:rsidRDefault="008E43F9" w:rsidP="004B1F4E">
      <w:pPr>
        <w:pStyle w:val="texto"/>
        <w:spacing w:after="0"/>
      </w:pPr>
      <w:r>
        <w:t>En las entidades locales</w:t>
      </w:r>
      <w:r>
        <w:rPr>
          <w:rStyle w:val="Refdenotaalpie"/>
          <w:rFonts w:cs="Arial"/>
          <w:color w:val="000000" w:themeColor="text1"/>
        </w:rPr>
        <w:footnoteReference w:id="1"/>
      </w:r>
      <w:r>
        <w:t>, l</w:t>
      </w:r>
      <w:r w:rsidR="006A63EC" w:rsidRPr="006A63EC">
        <w:t xml:space="preserve">os ingresos corrientes se han reducido en 9,57 millones (uno por ciento). </w:t>
      </w:r>
      <w:r w:rsidR="003D1445">
        <w:t>Los ingresos tributarios han caído</w:t>
      </w:r>
      <w:r w:rsidR="006A63EC" w:rsidRPr="006A63EC">
        <w:t xml:space="preserve"> en 27,61 millones </w:t>
      </w:r>
      <w:r w:rsidR="00B83A58">
        <w:t xml:space="preserve">(siete por ciento) </w:t>
      </w:r>
      <w:r w:rsidR="006A63EC" w:rsidRPr="00514E3E">
        <w:t>principalmente</w:t>
      </w:r>
      <w:r w:rsidR="006A63EC" w:rsidRPr="006A63EC">
        <w:t xml:space="preserve"> debido a la menor recaudación por tasas y precios públicos,</w:t>
      </w:r>
      <w:r w:rsidR="002F2A93">
        <w:t xml:space="preserve"> vinculados a la prestación de servicios, y por </w:t>
      </w:r>
      <w:r w:rsidR="006A63EC" w:rsidRPr="006A63EC">
        <w:t xml:space="preserve">impuestos </w:t>
      </w:r>
      <w:r w:rsidR="006A63EC" w:rsidRPr="0050238B">
        <w:t>indirectos</w:t>
      </w:r>
      <w:r w:rsidR="00B83A58" w:rsidRPr="0050238B">
        <w:t xml:space="preserve"> </w:t>
      </w:r>
      <w:r w:rsidR="0050238B" w:rsidRPr="0050238B">
        <w:lastRenderedPageBreak/>
        <w:t>(Impuesto de Construcciones, Instalaciones y Obras</w:t>
      </w:r>
      <w:r w:rsidR="00B83A58" w:rsidRPr="0050238B">
        <w:t>). Por su parte, l</w:t>
      </w:r>
      <w:r w:rsidR="006A63EC" w:rsidRPr="0050238B">
        <w:t>os ingresos</w:t>
      </w:r>
      <w:r w:rsidR="006A63EC" w:rsidRPr="006A63EC">
        <w:t xml:space="preserve"> po</w:t>
      </w:r>
      <w:r w:rsidR="00B83A58">
        <w:t>r transferencias corrientes han</w:t>
      </w:r>
      <w:r w:rsidR="006A63EC" w:rsidRPr="006A63EC">
        <w:t xml:space="preserve"> aumenta</w:t>
      </w:r>
      <w:r w:rsidR="00B83A58">
        <w:t>do</w:t>
      </w:r>
      <w:r w:rsidR="006A63EC" w:rsidRPr="006A63EC">
        <w:t xml:space="preserve"> en 32,36 millones</w:t>
      </w:r>
      <w:r w:rsidR="00B83A58">
        <w:t xml:space="preserve"> (diez por ciento), de los que </w:t>
      </w:r>
      <w:r w:rsidR="006A63EC" w:rsidRPr="006A63EC">
        <w:t>13,13</w:t>
      </w:r>
      <w:r w:rsidR="006A63EC">
        <w:t xml:space="preserve"> millones</w:t>
      </w:r>
      <w:r w:rsidR="006A63EC" w:rsidRPr="006A63EC">
        <w:t xml:space="preserve"> proceden de </w:t>
      </w:r>
      <w:r w:rsidR="00B83A58">
        <w:t>partidas “</w:t>
      </w:r>
      <w:proofErr w:type="spellStart"/>
      <w:r w:rsidR="00B83A58">
        <w:t>Covid</w:t>
      </w:r>
      <w:proofErr w:type="spellEnd"/>
      <w:r w:rsidR="00B83A58">
        <w:t xml:space="preserve">” de los </w:t>
      </w:r>
      <w:r w:rsidR="00846D14">
        <w:t>PGN</w:t>
      </w:r>
      <w:r w:rsidR="00BC5897">
        <w:rPr>
          <w:rStyle w:val="Refdenotaalpie"/>
          <w:rFonts w:cs="Arial"/>
          <w:color w:val="000000" w:themeColor="text1"/>
        </w:rPr>
        <w:footnoteReference w:id="2"/>
      </w:r>
      <w:r w:rsidR="00BC5897">
        <w:t xml:space="preserve"> según el siguiente detalle:</w:t>
      </w:r>
    </w:p>
    <w:p w14:paraId="6A231A8E" w14:textId="7E9E9412" w:rsidR="006D5F52" w:rsidRPr="0003647B" w:rsidRDefault="00CF0526" w:rsidP="006D5F52">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6D5F52">
        <w:rPr>
          <w:rFonts w:ascii="Arial Narrow" w:hAnsi="Arial Narrow"/>
          <w:color w:val="000000" w:themeColor="text1"/>
          <w:sz w:val="18"/>
          <w:szCs w:val="18"/>
        </w:rPr>
        <w:t>Millones</w:t>
      </w:r>
      <w:r>
        <w:rPr>
          <w:rFonts w:ascii="Arial Narrow" w:hAnsi="Arial Narrow"/>
          <w:color w:val="000000" w:themeColor="text1"/>
          <w:sz w:val="18"/>
          <w:szCs w:val="18"/>
        </w:rPr>
        <w:t>)</w:t>
      </w:r>
      <w:r w:rsidR="004A12BD">
        <w:rPr>
          <w:rFonts w:ascii="Arial Narrow" w:hAnsi="Arial Narrow"/>
          <w:color w:val="000000" w:themeColor="text1"/>
          <w:sz w:val="18"/>
          <w:szCs w:val="18"/>
        </w:rPr>
        <w:t xml:space="preserve"> </w:t>
      </w:r>
      <w:r w:rsidR="006D5F52">
        <w:rPr>
          <w:rFonts w:ascii="Arial Narrow" w:hAnsi="Arial Narrow"/>
          <w:color w:val="000000" w:themeColor="text1"/>
          <w:sz w:val="18"/>
          <w:szCs w:val="18"/>
        </w:rPr>
        <w:t xml:space="preserve"> </w:t>
      </w:r>
    </w:p>
    <w:tbl>
      <w:tblPr>
        <w:tblW w:w="8714" w:type="dxa"/>
        <w:tblInd w:w="75"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729"/>
        <w:gridCol w:w="1985"/>
      </w:tblGrid>
      <w:tr w:rsidR="006202F5" w:rsidRPr="00933A7F" w14:paraId="5D4E1B68" w14:textId="77777777" w:rsidTr="00C57A54">
        <w:trPr>
          <w:trHeight w:val="227"/>
        </w:trPr>
        <w:tc>
          <w:tcPr>
            <w:tcW w:w="6729" w:type="dxa"/>
            <w:shd w:val="clear" w:color="auto" w:fill="FABF8F" w:themeFill="accent6" w:themeFillTint="99"/>
            <w:vAlign w:val="center"/>
          </w:tcPr>
          <w:p w14:paraId="2399CBA0" w14:textId="5FD6B818" w:rsidR="006202F5" w:rsidRDefault="006202F5" w:rsidP="00C57A54">
            <w:pPr>
              <w:pStyle w:val="cuadroCabe"/>
              <w:spacing w:line="240" w:lineRule="auto"/>
              <w:rPr>
                <w:lang w:val="es-ES" w:eastAsia="es-ES"/>
              </w:rPr>
            </w:pPr>
            <w:r>
              <w:rPr>
                <w:lang w:val="es-ES" w:eastAsia="es-ES"/>
              </w:rPr>
              <w:t>Partida presupuestaria</w:t>
            </w:r>
          </w:p>
        </w:tc>
        <w:tc>
          <w:tcPr>
            <w:tcW w:w="1985" w:type="dxa"/>
            <w:shd w:val="clear" w:color="auto" w:fill="FABF8F" w:themeFill="accent6" w:themeFillTint="99"/>
            <w:noWrap/>
            <w:vAlign w:val="center"/>
          </w:tcPr>
          <w:p w14:paraId="5E257032" w14:textId="6C375F16" w:rsidR="006202F5" w:rsidRPr="00933A7F" w:rsidRDefault="006202F5" w:rsidP="00C57A54">
            <w:pPr>
              <w:pStyle w:val="cuadroCabe"/>
              <w:spacing w:line="240" w:lineRule="auto"/>
              <w:jc w:val="right"/>
              <w:rPr>
                <w:szCs w:val="20"/>
                <w:lang w:val="es-ES" w:eastAsia="es-ES"/>
              </w:rPr>
            </w:pPr>
            <w:r>
              <w:rPr>
                <w:szCs w:val="20"/>
                <w:lang w:val="es-ES" w:eastAsia="es-ES"/>
              </w:rPr>
              <w:t>ORN en PGN</w:t>
            </w:r>
          </w:p>
        </w:tc>
      </w:tr>
      <w:tr w:rsidR="006202F5" w:rsidRPr="00C57A54" w14:paraId="2D507899" w14:textId="77777777" w:rsidTr="00C57A54">
        <w:trPr>
          <w:trHeight w:val="227"/>
        </w:trPr>
        <w:tc>
          <w:tcPr>
            <w:tcW w:w="6729" w:type="dxa"/>
            <w:vAlign w:val="center"/>
          </w:tcPr>
          <w:p w14:paraId="509CB9C0" w14:textId="778666B3" w:rsidR="006202F5" w:rsidRPr="00C57A54" w:rsidRDefault="006202F5" w:rsidP="00C57A54">
            <w:pPr>
              <w:pStyle w:val="cuatexto"/>
              <w:spacing w:line="240" w:lineRule="auto"/>
            </w:pPr>
            <w:proofErr w:type="spellStart"/>
            <w:r w:rsidRPr="00C57A54">
              <w:t>Covid-19</w:t>
            </w:r>
            <w:proofErr w:type="spellEnd"/>
            <w:r w:rsidRPr="00C57A54">
              <w:t xml:space="preserve"> Fondo extraordinario (LF 13/2020 - impacto presupuestos municipales)</w:t>
            </w:r>
          </w:p>
        </w:tc>
        <w:tc>
          <w:tcPr>
            <w:tcW w:w="1985" w:type="dxa"/>
            <w:shd w:val="clear" w:color="auto" w:fill="auto"/>
            <w:noWrap/>
            <w:vAlign w:val="center"/>
          </w:tcPr>
          <w:p w14:paraId="278ED364" w14:textId="420128AB" w:rsidR="006202F5" w:rsidRPr="00C57A54" w:rsidRDefault="006202F5" w:rsidP="00C57A54">
            <w:pPr>
              <w:pStyle w:val="cuatexto"/>
              <w:spacing w:line="240" w:lineRule="auto"/>
              <w:jc w:val="right"/>
            </w:pPr>
            <w:r w:rsidRPr="00C57A54">
              <w:t>10,5</w:t>
            </w:r>
          </w:p>
        </w:tc>
      </w:tr>
      <w:tr w:rsidR="006202F5" w:rsidRPr="00C57A54" w14:paraId="2FF3914D" w14:textId="77777777" w:rsidTr="00C57A54">
        <w:trPr>
          <w:trHeight w:val="227"/>
        </w:trPr>
        <w:tc>
          <w:tcPr>
            <w:tcW w:w="6729" w:type="dxa"/>
            <w:vAlign w:val="center"/>
          </w:tcPr>
          <w:p w14:paraId="49BD574E" w14:textId="5C8A68FB" w:rsidR="006202F5" w:rsidRPr="00C57A54" w:rsidRDefault="006202F5" w:rsidP="00C57A54">
            <w:pPr>
              <w:pStyle w:val="cuatexto"/>
              <w:spacing w:line="240" w:lineRule="auto"/>
            </w:pPr>
            <w:proofErr w:type="spellStart"/>
            <w:r w:rsidRPr="00C57A54">
              <w:t>Covid-19</w:t>
            </w:r>
            <w:proofErr w:type="spellEnd"/>
            <w:r w:rsidRPr="00C57A54">
              <w:t xml:space="preserve"> Fondo extraordinario (LF 13/2020 - déficit adicional transporte urbano)</w:t>
            </w:r>
          </w:p>
        </w:tc>
        <w:tc>
          <w:tcPr>
            <w:tcW w:w="1985" w:type="dxa"/>
            <w:shd w:val="clear" w:color="auto" w:fill="auto"/>
            <w:noWrap/>
            <w:vAlign w:val="center"/>
            <w:hideMark/>
          </w:tcPr>
          <w:p w14:paraId="7FCB2912" w14:textId="7060E953" w:rsidR="006202F5" w:rsidRPr="00C57A54" w:rsidRDefault="006202F5" w:rsidP="00C57A54">
            <w:pPr>
              <w:pStyle w:val="cuatexto"/>
              <w:spacing w:line="240" w:lineRule="auto"/>
              <w:jc w:val="right"/>
            </w:pPr>
            <w:r w:rsidRPr="00C57A54">
              <w:t xml:space="preserve">1,00 </w:t>
            </w:r>
          </w:p>
        </w:tc>
      </w:tr>
      <w:tr w:rsidR="006202F5" w:rsidRPr="00C57A54" w14:paraId="38449949" w14:textId="77777777" w:rsidTr="00C57A54">
        <w:trPr>
          <w:trHeight w:val="227"/>
        </w:trPr>
        <w:tc>
          <w:tcPr>
            <w:tcW w:w="6729" w:type="dxa"/>
            <w:vAlign w:val="center"/>
          </w:tcPr>
          <w:p w14:paraId="343B4454" w14:textId="385E3829" w:rsidR="006202F5" w:rsidRPr="00C57A54" w:rsidRDefault="006202F5" w:rsidP="00C57A54">
            <w:pPr>
              <w:pStyle w:val="cuatexto"/>
              <w:spacing w:line="240" w:lineRule="auto"/>
            </w:pPr>
            <w:proofErr w:type="spellStart"/>
            <w:r w:rsidRPr="00C57A54">
              <w:t>Covid-19</w:t>
            </w:r>
            <w:proofErr w:type="spellEnd"/>
            <w:r w:rsidRPr="00C57A54">
              <w:t xml:space="preserve"> Ayudas de emergencia (LF 8/2020)</w:t>
            </w:r>
          </w:p>
        </w:tc>
        <w:tc>
          <w:tcPr>
            <w:tcW w:w="1985" w:type="dxa"/>
            <w:shd w:val="clear" w:color="auto" w:fill="auto"/>
            <w:noWrap/>
            <w:vAlign w:val="center"/>
            <w:hideMark/>
          </w:tcPr>
          <w:p w14:paraId="60B91AC3" w14:textId="77777777" w:rsidR="006202F5" w:rsidRPr="00C57A54" w:rsidRDefault="006202F5" w:rsidP="00C57A54">
            <w:pPr>
              <w:pStyle w:val="cuatexto"/>
              <w:spacing w:line="240" w:lineRule="auto"/>
              <w:jc w:val="right"/>
            </w:pPr>
            <w:r w:rsidRPr="00C57A54">
              <w:t xml:space="preserve">0,51 </w:t>
            </w:r>
          </w:p>
        </w:tc>
      </w:tr>
      <w:tr w:rsidR="006202F5" w:rsidRPr="00C57A54" w14:paraId="7D2DFD4C" w14:textId="77777777" w:rsidTr="00C57A54">
        <w:trPr>
          <w:trHeight w:val="227"/>
        </w:trPr>
        <w:tc>
          <w:tcPr>
            <w:tcW w:w="6729" w:type="dxa"/>
            <w:vAlign w:val="center"/>
          </w:tcPr>
          <w:p w14:paraId="730AEF6C" w14:textId="34A13AE8" w:rsidR="006202F5" w:rsidRPr="00C57A54" w:rsidRDefault="006202F5" w:rsidP="00C57A54">
            <w:pPr>
              <w:pStyle w:val="cuatexto"/>
              <w:spacing w:line="240" w:lineRule="auto"/>
              <w:rPr>
                <w:highlight w:val="yellow"/>
              </w:rPr>
            </w:pPr>
            <w:proofErr w:type="spellStart"/>
            <w:r w:rsidRPr="00C57A54">
              <w:t>Covid-19</w:t>
            </w:r>
            <w:proofErr w:type="spellEnd"/>
            <w:r w:rsidRPr="00C57A54">
              <w:t xml:space="preserve"> Servicio de acogida para personas sin hogar (LF 8/2020 y Res. 591/2020, de 12 de noviembre, de Dir. Gral. de Presupuestos, Patrimonio y Política Económica)</w:t>
            </w:r>
          </w:p>
        </w:tc>
        <w:tc>
          <w:tcPr>
            <w:tcW w:w="1985" w:type="dxa"/>
            <w:shd w:val="clear" w:color="auto" w:fill="auto"/>
            <w:noWrap/>
            <w:vAlign w:val="center"/>
            <w:hideMark/>
          </w:tcPr>
          <w:p w14:paraId="058FEAC3" w14:textId="77777777" w:rsidR="006202F5" w:rsidRPr="00C57A54" w:rsidRDefault="006202F5" w:rsidP="00C57A54">
            <w:pPr>
              <w:pStyle w:val="cuatexto"/>
              <w:spacing w:line="240" w:lineRule="auto"/>
              <w:jc w:val="right"/>
              <w:rPr>
                <w:highlight w:val="yellow"/>
              </w:rPr>
            </w:pPr>
            <w:r w:rsidRPr="00C57A54">
              <w:t xml:space="preserve">0,15 </w:t>
            </w:r>
          </w:p>
        </w:tc>
      </w:tr>
      <w:tr w:rsidR="006202F5" w:rsidRPr="00C57A54" w14:paraId="628B8B68" w14:textId="77777777" w:rsidTr="00C57A54">
        <w:trPr>
          <w:trHeight w:val="227"/>
        </w:trPr>
        <w:tc>
          <w:tcPr>
            <w:tcW w:w="6729" w:type="dxa"/>
            <w:vAlign w:val="center"/>
          </w:tcPr>
          <w:p w14:paraId="124831C2" w14:textId="056DB2CE" w:rsidR="006202F5" w:rsidRPr="00C57A54" w:rsidRDefault="006202F5" w:rsidP="00C57A54">
            <w:pPr>
              <w:pStyle w:val="cuatexto"/>
              <w:spacing w:line="240" w:lineRule="auto"/>
            </w:pPr>
            <w:proofErr w:type="spellStart"/>
            <w:r w:rsidRPr="00C57A54">
              <w:t>Covid-19</w:t>
            </w:r>
            <w:proofErr w:type="spellEnd"/>
            <w:r w:rsidRPr="00C57A54">
              <w:t xml:space="preserve"> Servicios Sociales de Base (OF 233/2020)</w:t>
            </w:r>
          </w:p>
        </w:tc>
        <w:tc>
          <w:tcPr>
            <w:tcW w:w="1985" w:type="dxa"/>
            <w:shd w:val="clear" w:color="auto" w:fill="auto"/>
            <w:noWrap/>
            <w:vAlign w:val="center"/>
            <w:hideMark/>
          </w:tcPr>
          <w:p w14:paraId="76A99379" w14:textId="77777777" w:rsidR="006202F5" w:rsidRPr="00C57A54" w:rsidRDefault="006202F5" w:rsidP="00C57A54">
            <w:pPr>
              <w:pStyle w:val="cuatexto"/>
              <w:spacing w:line="240" w:lineRule="auto"/>
              <w:jc w:val="right"/>
            </w:pPr>
            <w:r w:rsidRPr="00C57A54">
              <w:t xml:space="preserve">0,98 </w:t>
            </w:r>
          </w:p>
        </w:tc>
      </w:tr>
      <w:tr w:rsidR="006202F5" w:rsidRPr="00C57A54" w14:paraId="14345572" w14:textId="77777777" w:rsidTr="00C57A54">
        <w:trPr>
          <w:trHeight w:val="227"/>
        </w:trPr>
        <w:tc>
          <w:tcPr>
            <w:tcW w:w="6729" w:type="dxa"/>
            <w:shd w:val="clear" w:color="auto" w:fill="FABF8F" w:themeFill="accent6" w:themeFillTint="99"/>
            <w:vAlign w:val="center"/>
          </w:tcPr>
          <w:p w14:paraId="4880CBA8" w14:textId="77777777" w:rsidR="006202F5" w:rsidRPr="00C57A54" w:rsidRDefault="006202F5" w:rsidP="00C57A54">
            <w:pPr>
              <w:pStyle w:val="cuadroCabe"/>
              <w:spacing w:line="240" w:lineRule="auto"/>
            </w:pPr>
          </w:p>
        </w:tc>
        <w:tc>
          <w:tcPr>
            <w:tcW w:w="1985" w:type="dxa"/>
            <w:shd w:val="clear" w:color="auto" w:fill="FABF8F" w:themeFill="accent6" w:themeFillTint="99"/>
            <w:noWrap/>
            <w:vAlign w:val="center"/>
            <w:hideMark/>
          </w:tcPr>
          <w:p w14:paraId="1011C161" w14:textId="77777777" w:rsidR="006202F5" w:rsidRPr="00C57A54" w:rsidRDefault="006202F5" w:rsidP="00C57A54">
            <w:pPr>
              <w:pStyle w:val="cuadroCabe"/>
              <w:spacing w:line="240" w:lineRule="auto"/>
              <w:jc w:val="right"/>
            </w:pPr>
            <w:r w:rsidRPr="00C57A54">
              <w:t xml:space="preserve">13,13 </w:t>
            </w:r>
          </w:p>
        </w:tc>
      </w:tr>
    </w:tbl>
    <w:p w14:paraId="4E0684CA" w14:textId="77777777" w:rsidR="006A63EC" w:rsidRDefault="006A63EC" w:rsidP="00CE2ACA">
      <w:pPr>
        <w:pStyle w:val="texto"/>
        <w:tabs>
          <w:tab w:val="clear" w:pos="2835"/>
          <w:tab w:val="clear" w:pos="3969"/>
          <w:tab w:val="clear" w:pos="5103"/>
          <w:tab w:val="clear" w:pos="6237"/>
          <w:tab w:val="clear" w:pos="7371"/>
          <w:tab w:val="left" w:pos="709"/>
          <w:tab w:val="num" w:pos="1948"/>
          <w:tab w:val="num" w:pos="5606"/>
        </w:tabs>
        <w:spacing w:after="0"/>
        <w:ind w:left="284" w:firstLine="0"/>
        <w:rPr>
          <w:rFonts w:cs="Arial"/>
          <w:color w:val="000000" w:themeColor="text1"/>
        </w:rPr>
      </w:pPr>
    </w:p>
    <w:p w14:paraId="6B21189D" w14:textId="51F23854" w:rsidR="00B83A58" w:rsidRPr="000166FA" w:rsidRDefault="00B83A58" w:rsidP="00514E3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0166FA">
        <w:rPr>
          <w:rFonts w:cs="Arial"/>
          <w:color w:val="000000" w:themeColor="text1"/>
        </w:rPr>
        <w:t>Una</w:t>
      </w:r>
      <w:r w:rsidR="00FA4909" w:rsidRPr="000166FA">
        <w:rPr>
          <w:rFonts w:cs="Arial"/>
          <w:color w:val="000000" w:themeColor="text1"/>
        </w:rPr>
        <w:t xml:space="preserve"> disminución </w:t>
      </w:r>
      <w:r w:rsidR="00130853" w:rsidRPr="000166FA">
        <w:rPr>
          <w:rFonts w:cs="Arial"/>
          <w:color w:val="000000" w:themeColor="text1"/>
        </w:rPr>
        <w:t>significativa</w:t>
      </w:r>
      <w:r w:rsidR="00FA4909" w:rsidRPr="000166FA">
        <w:rPr>
          <w:rFonts w:cs="Arial"/>
          <w:color w:val="000000" w:themeColor="text1"/>
        </w:rPr>
        <w:t xml:space="preserve"> de los gastos de funcionamiento </w:t>
      </w:r>
      <w:r w:rsidR="006D3802" w:rsidRPr="000166FA">
        <w:rPr>
          <w:rFonts w:cs="Arial"/>
          <w:color w:val="000000" w:themeColor="text1"/>
        </w:rPr>
        <w:t>como consecuencia de la</w:t>
      </w:r>
      <w:r w:rsidR="00FA4909" w:rsidRPr="000166FA">
        <w:rPr>
          <w:rFonts w:cs="Arial"/>
          <w:color w:val="000000" w:themeColor="text1"/>
        </w:rPr>
        <w:t xml:space="preserve"> no celebración de </w:t>
      </w:r>
      <w:r w:rsidR="000823A0">
        <w:rPr>
          <w:rFonts w:cs="Arial"/>
          <w:color w:val="000000" w:themeColor="text1"/>
        </w:rPr>
        <w:t>actividades, eventos y fiestas</w:t>
      </w:r>
      <w:r w:rsidR="00FA4909" w:rsidRPr="000166FA">
        <w:rPr>
          <w:rFonts w:cs="Arial"/>
          <w:color w:val="000000" w:themeColor="text1"/>
        </w:rPr>
        <w:t>, parcialmente neutralizada por el increm</w:t>
      </w:r>
      <w:r w:rsidR="006D3802" w:rsidRPr="000166FA">
        <w:rPr>
          <w:rFonts w:cs="Arial"/>
          <w:color w:val="000000" w:themeColor="text1"/>
        </w:rPr>
        <w:t>ento de otros gastos</w:t>
      </w:r>
      <w:r w:rsidR="004954EA">
        <w:rPr>
          <w:rFonts w:cs="Arial"/>
          <w:color w:val="000000" w:themeColor="text1"/>
        </w:rPr>
        <w:t>.</w:t>
      </w:r>
    </w:p>
    <w:p w14:paraId="6FBA3A11" w14:textId="51BB3660" w:rsidR="008433A0" w:rsidRDefault="008E43F9" w:rsidP="006D5F52">
      <w:pPr>
        <w:pStyle w:val="texto"/>
      </w:pPr>
      <w:r>
        <w:t>En las entidades locales</w:t>
      </w:r>
      <w:r>
        <w:rPr>
          <w:rStyle w:val="Refdenotaalpie"/>
          <w:rFonts w:cs="Arial"/>
          <w:color w:val="000000" w:themeColor="text1"/>
        </w:rPr>
        <w:footnoteReference w:id="3"/>
      </w:r>
      <w:r>
        <w:t>, e</w:t>
      </w:r>
      <w:r w:rsidR="00B83A58" w:rsidRPr="000166FA">
        <w:t xml:space="preserve">l gasto </w:t>
      </w:r>
      <w:r w:rsidR="006D3802" w:rsidRPr="000166FA">
        <w:t>corriente en Cultura</w:t>
      </w:r>
      <w:r w:rsidR="00B83A58" w:rsidRPr="000166FA">
        <w:t xml:space="preserve"> se reduce en </w:t>
      </w:r>
      <w:r w:rsidR="006D3802" w:rsidRPr="000166FA">
        <w:t>22,</w:t>
      </w:r>
      <w:r w:rsidR="00130853" w:rsidRPr="000166FA">
        <w:t>68 millones, que equivalen al 3,4 por ciento de los gastos de funcionamiento totales de 2019</w:t>
      </w:r>
      <w:r w:rsidR="006D3802" w:rsidRPr="000166FA">
        <w:t xml:space="preserve">. Sin </w:t>
      </w:r>
      <w:r w:rsidR="006D3802" w:rsidRPr="006D5F52">
        <w:t>embargo</w:t>
      </w:r>
      <w:r w:rsidR="006D3802" w:rsidRPr="000166FA">
        <w:t>, el total de gastos de funcionamiento se reduce solo en 10,74 millones (dos</w:t>
      </w:r>
      <w:r w:rsidR="006D3802">
        <w:t xml:space="preserve"> por ciento) debido al aumento </w:t>
      </w:r>
      <w:r w:rsidR="003B2F9F">
        <w:t>de</w:t>
      </w:r>
      <w:r w:rsidR="00130853">
        <w:t xml:space="preserve"> otros gastos, entre los que destacan los de personal, que aumentan en 12 millones, </w:t>
      </w:r>
      <w:r w:rsidR="00EC2C18">
        <w:t xml:space="preserve">que en buena medida </w:t>
      </w:r>
      <w:r w:rsidR="00425AFD">
        <w:t>se deben a</w:t>
      </w:r>
      <w:r w:rsidR="00EC2C18">
        <w:t xml:space="preserve"> la evolución tendencial de las remuneraciones, de modo que </w:t>
      </w:r>
      <w:r w:rsidR="000166FA">
        <w:t xml:space="preserve">solo </w:t>
      </w:r>
      <w:r w:rsidR="00130853">
        <w:t>una parte podría atribuirse a</w:t>
      </w:r>
      <w:r w:rsidR="008B5AD0">
        <w:t xml:space="preserve"> incrementos de gasto derivados de la </w:t>
      </w:r>
      <w:proofErr w:type="spellStart"/>
      <w:r w:rsidR="00130853">
        <w:t>Covid</w:t>
      </w:r>
      <w:r w:rsidR="00B15291">
        <w:t>-19</w:t>
      </w:r>
      <w:proofErr w:type="spellEnd"/>
      <w:r w:rsidR="00EC2C18">
        <w:t>.</w:t>
      </w:r>
    </w:p>
    <w:p w14:paraId="565281E8" w14:textId="77E5D178" w:rsidR="00B83A58" w:rsidRDefault="00B83A58" w:rsidP="00514E3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 xml:space="preserve">En cuanto a los ingresos de capital, con motivo </w:t>
      </w:r>
      <w:r w:rsidR="00425AFD">
        <w:rPr>
          <w:rFonts w:cs="Arial"/>
          <w:color w:val="000000" w:themeColor="text1"/>
        </w:rPr>
        <w:t>de la pandemia</w:t>
      </w:r>
      <w:r>
        <w:rPr>
          <w:rFonts w:cs="Arial"/>
          <w:color w:val="000000" w:themeColor="text1"/>
        </w:rPr>
        <w:t xml:space="preserve"> las entidades locales recibieron transferencias de capital por 13,5 millones del “Fondo Extraordinario transferencias de capital para inversiones de impulso de la economía local” establecido por la L</w:t>
      </w:r>
      <w:r w:rsidR="0084582D">
        <w:rPr>
          <w:rFonts w:cs="Arial"/>
          <w:color w:val="000000" w:themeColor="text1"/>
        </w:rPr>
        <w:t>ey Foral</w:t>
      </w:r>
      <w:r>
        <w:rPr>
          <w:rFonts w:cs="Arial"/>
          <w:color w:val="000000" w:themeColor="text1"/>
        </w:rPr>
        <w:t xml:space="preserve"> 13/2020,</w:t>
      </w:r>
      <w:r w:rsidRPr="00B83A58">
        <w:rPr>
          <w:rFonts w:cs="Arial"/>
          <w:color w:val="000000" w:themeColor="text1"/>
        </w:rPr>
        <w:t xml:space="preserve"> de 1 de julio, de concesión, regulación y distribución de un crédito extraordinario de 25 millones, con cargo al Fondo de Participación de las Haciendas Locales de Navarra, para cubrir las necesidades de las entidades locales derivadas de la adopción de medidas de carácter extraordinario y urgente por motivos de salud pública motivadas por el COVID-19</w:t>
      </w:r>
      <w:r>
        <w:rPr>
          <w:rFonts w:cs="Arial"/>
          <w:color w:val="000000" w:themeColor="text1"/>
        </w:rPr>
        <w:t>. Ese importe</w:t>
      </w:r>
      <w:r w:rsidR="008433A0">
        <w:rPr>
          <w:rFonts w:cs="Arial"/>
          <w:color w:val="000000" w:themeColor="text1"/>
        </w:rPr>
        <w:t xml:space="preserve"> se</w:t>
      </w:r>
      <w:r>
        <w:rPr>
          <w:rFonts w:cs="Arial"/>
          <w:color w:val="000000" w:themeColor="text1"/>
        </w:rPr>
        <w:t xml:space="preserve"> abonó íntegramente a las entidades locales, si bien las inversiones financiadas podían ejecutarse hasta septiembre de 2021</w:t>
      </w:r>
      <w:r w:rsidR="008433A0">
        <w:rPr>
          <w:rFonts w:cs="Arial"/>
          <w:color w:val="000000" w:themeColor="text1"/>
        </w:rPr>
        <w:t>.</w:t>
      </w:r>
    </w:p>
    <w:p w14:paraId="364E7221" w14:textId="43BB59F1" w:rsidR="00F83B7B" w:rsidRPr="006D5F52" w:rsidRDefault="000166FA" w:rsidP="006D5F52">
      <w:pPr>
        <w:pStyle w:val="texto"/>
      </w:pPr>
      <w:r>
        <w:t xml:space="preserve">A pesar de ello, los ingresos de </w:t>
      </w:r>
      <w:r w:rsidRPr="006D5F52">
        <w:t>capital se h</w:t>
      </w:r>
      <w:r w:rsidR="008E43F9" w:rsidRPr="006D5F52">
        <w:t>an reducido en 30,01 millones (</w:t>
      </w:r>
      <w:r w:rsidRPr="006D5F52">
        <w:t>32 por ciento)</w:t>
      </w:r>
      <w:r w:rsidR="00F83B7B" w:rsidRPr="006D5F52">
        <w:t>, si bien hay que tener en cuenta que el dato de 2019 era excepcionalmente elevado</w:t>
      </w:r>
      <w:r w:rsidR="008E43F9" w:rsidRPr="006D5F52">
        <w:t>, como se ha señalado anteriormente.</w:t>
      </w:r>
    </w:p>
    <w:p w14:paraId="7A7D3573" w14:textId="42E16786" w:rsidR="000166FA" w:rsidRDefault="00F83B7B" w:rsidP="006D5F52">
      <w:pPr>
        <w:pStyle w:val="texto"/>
      </w:pPr>
      <w:r w:rsidRPr="006D5F52">
        <w:lastRenderedPageBreak/>
        <w:t>El gasto de capital se redu</w:t>
      </w:r>
      <w:r w:rsidR="008E43F9" w:rsidRPr="006D5F52">
        <w:t>ce en 75,83 millones (</w:t>
      </w:r>
      <w:r w:rsidRPr="006D5F52">
        <w:t>38 por ciento), si bien el dato de 2019 fue excepcionalmente</w:t>
      </w:r>
      <w:r>
        <w:t xml:space="preserve"> alto</w:t>
      </w:r>
      <w:r w:rsidR="008E43F9">
        <w:t xml:space="preserve"> por los motivos anteriormente indicados</w:t>
      </w:r>
      <w:r>
        <w:t xml:space="preserve"> y, tras la caída, se sitúa en niveles similares a los de 2018, por lo que solo una parte de la </w:t>
      </w:r>
      <w:r w:rsidR="00425AFD">
        <w:t xml:space="preserve">disminución </w:t>
      </w:r>
      <w:r>
        <w:t xml:space="preserve">podría atribuirse a la paralización de inversiones derivada de la pandemia. </w:t>
      </w:r>
    </w:p>
    <w:p w14:paraId="49EE3799" w14:textId="07DF8F66" w:rsidR="00F83B7B" w:rsidRPr="00B15291" w:rsidRDefault="00B83A58" w:rsidP="00B15291">
      <w:pPr>
        <w:pStyle w:val="texto"/>
      </w:pPr>
      <w:r w:rsidRPr="00B15291">
        <w:rPr>
          <w:b/>
        </w:rPr>
        <w:t>En definitiva</w:t>
      </w:r>
      <w:r w:rsidRPr="00B15291">
        <w:t xml:space="preserve">, </w:t>
      </w:r>
      <w:r w:rsidR="000166FA" w:rsidRPr="00B15291">
        <w:t xml:space="preserve">la evolución de los ingresos y gastos corrientes en el ejercicio </w:t>
      </w:r>
      <w:r w:rsidR="008433A0" w:rsidRPr="00B15291">
        <w:t xml:space="preserve">ha permitido que </w:t>
      </w:r>
      <w:r w:rsidR="002F2A93" w:rsidRPr="00B15291">
        <w:t>los</w:t>
      </w:r>
      <w:r w:rsidR="008433A0" w:rsidRPr="00B15291">
        <w:t xml:space="preserve"> ahorro</w:t>
      </w:r>
      <w:r w:rsidR="002F2A93" w:rsidRPr="00B15291">
        <w:t>s</w:t>
      </w:r>
      <w:r w:rsidR="008433A0" w:rsidRPr="00B15291">
        <w:t xml:space="preserve"> bruto y neto de las entidades locales se haya</w:t>
      </w:r>
      <w:r w:rsidR="002F2A93" w:rsidRPr="00B15291">
        <w:t>n</w:t>
      </w:r>
      <w:r w:rsidR="008433A0" w:rsidRPr="00B15291">
        <w:t xml:space="preserve"> situado en cifras similares a las del ejercicio anterior a pesar de la crisis derivada de</w:t>
      </w:r>
      <w:r w:rsidR="00B15291">
        <w:t xml:space="preserve"> la </w:t>
      </w:r>
      <w:proofErr w:type="spellStart"/>
      <w:r w:rsidR="00B15291">
        <w:t>Covid-19</w:t>
      </w:r>
      <w:proofErr w:type="spellEnd"/>
      <w:r w:rsidR="00B15291" w:rsidRPr="00B15291">
        <w:t>. Por</w:t>
      </w:r>
      <w:r w:rsidR="00F83B7B" w:rsidRPr="00B15291">
        <w:t xml:space="preserve"> su parte, los ingresos y gastos de capital se han reducido muy considerablemente, pero dada la información disponible y que las cifras de 2019 eran excepcionalmente altas, no es posible </w:t>
      </w:r>
      <w:r w:rsidR="00CA5250" w:rsidRPr="00B15291">
        <w:t>delimitar</w:t>
      </w:r>
      <w:r w:rsidR="00F83B7B" w:rsidRPr="00B15291">
        <w:t xml:space="preserve"> el efecto de la pandemia.</w:t>
      </w:r>
    </w:p>
    <w:p w14:paraId="3A337BF1" w14:textId="25CE7410" w:rsidR="00345C6C" w:rsidRPr="00EF0883" w:rsidRDefault="00345C6C" w:rsidP="00DA0A2D">
      <w:pPr>
        <w:pStyle w:val="Ttulo2"/>
        <w:rPr>
          <w:szCs w:val="25"/>
        </w:rPr>
      </w:pPr>
      <w:bookmarkStart w:id="88" w:name="_Toc529773885"/>
      <w:bookmarkStart w:id="89" w:name="_Toc24100146"/>
      <w:bookmarkStart w:id="90" w:name="_Toc52348294"/>
      <w:bookmarkStart w:id="91" w:name="_Toc88727719"/>
      <w:bookmarkStart w:id="92" w:name="_Toc123724204"/>
      <w:r w:rsidRPr="00EF0883">
        <w:rPr>
          <w:szCs w:val="25"/>
        </w:rPr>
        <w:t>V</w:t>
      </w:r>
      <w:r w:rsidR="004B35F2" w:rsidRPr="00EF0883">
        <w:rPr>
          <w:szCs w:val="25"/>
        </w:rPr>
        <w:t>I</w:t>
      </w:r>
      <w:r w:rsidRPr="00EF0883">
        <w:rPr>
          <w:szCs w:val="25"/>
        </w:rPr>
        <w:t>.</w:t>
      </w:r>
      <w:r w:rsidR="004B35F2" w:rsidRPr="00EF0883">
        <w:rPr>
          <w:szCs w:val="25"/>
        </w:rPr>
        <w:t>5</w:t>
      </w:r>
      <w:r w:rsidRPr="00EF0883">
        <w:rPr>
          <w:szCs w:val="25"/>
        </w:rPr>
        <w:t>. Objetivos de estabilidad presupuestaria y sostenibilidad financiera</w:t>
      </w:r>
      <w:bookmarkEnd w:id="88"/>
      <w:bookmarkEnd w:id="89"/>
      <w:bookmarkEnd w:id="90"/>
      <w:bookmarkEnd w:id="91"/>
      <w:bookmarkEnd w:id="92"/>
    </w:p>
    <w:p w14:paraId="6426A08B" w14:textId="4B9C0C2F" w:rsidR="00345C6C" w:rsidRPr="00B81E61" w:rsidRDefault="00345C6C" w:rsidP="00345C6C">
      <w:pPr>
        <w:tabs>
          <w:tab w:val="center" w:pos="2835"/>
          <w:tab w:val="center" w:pos="3969"/>
          <w:tab w:val="center" w:pos="5103"/>
          <w:tab w:val="center" w:pos="6237"/>
          <w:tab w:val="center" w:pos="7371"/>
        </w:tabs>
        <w:ind w:firstLine="284"/>
        <w:rPr>
          <w:color w:val="000000" w:themeColor="text1"/>
          <w:spacing w:val="6"/>
          <w:sz w:val="26"/>
          <w:szCs w:val="24"/>
        </w:rPr>
      </w:pPr>
      <w:r w:rsidRPr="00B81E61">
        <w:rPr>
          <w:color w:val="000000" w:themeColor="text1"/>
          <w:spacing w:val="6"/>
          <w:sz w:val="26"/>
          <w:szCs w:val="24"/>
        </w:rPr>
        <w:t xml:space="preserve">De acuerdo con la </w:t>
      </w:r>
      <w:proofErr w:type="spellStart"/>
      <w:r w:rsidRPr="00B81E61">
        <w:rPr>
          <w:color w:val="000000" w:themeColor="text1"/>
          <w:spacing w:val="6"/>
          <w:sz w:val="26"/>
          <w:szCs w:val="24"/>
        </w:rPr>
        <w:t>LOEPySF</w:t>
      </w:r>
      <w:proofErr w:type="spellEnd"/>
      <w:r w:rsidRPr="00B81E61">
        <w:rPr>
          <w:color w:val="000000" w:themeColor="text1"/>
          <w:spacing w:val="6"/>
          <w:sz w:val="26"/>
          <w:szCs w:val="24"/>
        </w:rPr>
        <w:t xml:space="preserve">, </w:t>
      </w:r>
      <w:r w:rsidR="00B15291">
        <w:rPr>
          <w:color w:val="000000" w:themeColor="text1"/>
          <w:spacing w:val="6"/>
          <w:sz w:val="26"/>
          <w:szCs w:val="24"/>
        </w:rPr>
        <w:t>en el ámbito de la Administración Local deben cumplirse</w:t>
      </w:r>
      <w:r w:rsidR="00B83A58">
        <w:rPr>
          <w:color w:val="000000" w:themeColor="text1"/>
          <w:spacing w:val="6"/>
          <w:sz w:val="26"/>
          <w:szCs w:val="24"/>
        </w:rPr>
        <w:t xml:space="preserve"> las siguientes reglas fiscales</w:t>
      </w:r>
      <w:r w:rsidRPr="00B81E61">
        <w:rPr>
          <w:color w:val="000000" w:themeColor="text1"/>
          <w:spacing w:val="6"/>
          <w:sz w:val="26"/>
          <w:szCs w:val="24"/>
        </w:rPr>
        <w:t>:</w:t>
      </w:r>
    </w:p>
    <w:p w14:paraId="38E9E617" w14:textId="77777777" w:rsidR="00345C6C" w:rsidRPr="00B81E61" w:rsidRDefault="00B83A58"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rFonts w:cs="Arial"/>
          <w:color w:val="000000" w:themeColor="text1"/>
        </w:rPr>
        <w:t xml:space="preserve"> Estabilidad presupuestaria: presentar </w:t>
      </w:r>
      <w:r w:rsidR="00345C6C" w:rsidRPr="00B81E61">
        <w:rPr>
          <w:rFonts w:cs="Arial"/>
          <w:color w:val="000000" w:themeColor="text1"/>
        </w:rPr>
        <w:t>capacidad de fin</w:t>
      </w:r>
      <w:r>
        <w:rPr>
          <w:rFonts w:cs="Arial"/>
          <w:color w:val="000000" w:themeColor="text1"/>
        </w:rPr>
        <w:t>anciación medida</w:t>
      </w:r>
      <w:r w:rsidR="00345C6C" w:rsidRPr="00B81E61">
        <w:rPr>
          <w:rFonts w:cs="Arial"/>
          <w:color w:val="000000" w:themeColor="text1"/>
        </w:rPr>
        <w:t xml:space="preserve"> en términos de contabilidad nacional.</w:t>
      </w:r>
    </w:p>
    <w:p w14:paraId="002CC1EC" w14:textId="77777777" w:rsidR="00345C6C" w:rsidRPr="00B83A58"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B81E61">
        <w:rPr>
          <w:rFonts w:cs="Arial"/>
          <w:color w:val="000000" w:themeColor="text1"/>
        </w:rPr>
        <w:t>Regla de gasto</w:t>
      </w:r>
      <w:r w:rsidR="00B83A58">
        <w:rPr>
          <w:rFonts w:cs="Arial"/>
          <w:color w:val="000000" w:themeColor="text1"/>
        </w:rPr>
        <w:t xml:space="preserve">: </w:t>
      </w:r>
      <w:r w:rsidRPr="00B81E61">
        <w:rPr>
          <w:rFonts w:cs="Arial"/>
          <w:color w:val="000000" w:themeColor="text1"/>
        </w:rPr>
        <w:t xml:space="preserve">la variación </w:t>
      </w:r>
      <w:r w:rsidR="00C775B8">
        <w:rPr>
          <w:rFonts w:cs="Arial"/>
          <w:color w:val="000000" w:themeColor="text1"/>
        </w:rPr>
        <w:t xml:space="preserve">interanual </w:t>
      </w:r>
      <w:r w:rsidRPr="00B81E61">
        <w:rPr>
          <w:rFonts w:cs="Arial"/>
          <w:color w:val="000000" w:themeColor="text1"/>
        </w:rPr>
        <w:t xml:space="preserve">del gasto computable </w:t>
      </w:r>
      <w:r w:rsidR="00C775B8">
        <w:rPr>
          <w:rFonts w:cs="Arial"/>
          <w:color w:val="000000" w:themeColor="text1"/>
        </w:rPr>
        <w:t>a estos efectos</w:t>
      </w:r>
      <w:r w:rsidRPr="00B81E61">
        <w:rPr>
          <w:rFonts w:cs="Arial"/>
          <w:color w:val="000000" w:themeColor="text1"/>
        </w:rPr>
        <w:t xml:space="preserve"> no </w:t>
      </w:r>
      <w:r w:rsidR="00B83A58">
        <w:rPr>
          <w:rFonts w:cs="Arial"/>
          <w:color w:val="000000" w:themeColor="text1"/>
        </w:rPr>
        <w:t>debe</w:t>
      </w:r>
      <w:r w:rsidRPr="00B81E61">
        <w:rPr>
          <w:rFonts w:cs="Arial"/>
          <w:color w:val="000000" w:themeColor="text1"/>
        </w:rPr>
        <w:t xml:space="preserve"> superar la tasa de referencia del crecimiento del PIB</w:t>
      </w:r>
      <w:r w:rsidR="00C775B8">
        <w:rPr>
          <w:rFonts w:cs="Arial"/>
          <w:color w:val="000000" w:themeColor="text1"/>
        </w:rPr>
        <w:t xml:space="preserve"> a medio plazo. Antes de declarase la pandemia,</w:t>
      </w:r>
      <w:r w:rsidRPr="00B81E61">
        <w:rPr>
          <w:rFonts w:cs="Arial"/>
          <w:color w:val="000000" w:themeColor="text1"/>
        </w:rPr>
        <w:t xml:space="preserve"> </w:t>
      </w:r>
      <w:r w:rsidR="00C775B8">
        <w:rPr>
          <w:rFonts w:cs="Arial"/>
          <w:color w:val="000000" w:themeColor="text1"/>
        </w:rPr>
        <w:t xml:space="preserve">esta tasa se </w:t>
      </w:r>
      <w:r w:rsidR="00C775B8" w:rsidRPr="00B83A58">
        <w:rPr>
          <w:rFonts w:cs="Arial"/>
          <w:color w:val="000000" w:themeColor="text1"/>
        </w:rPr>
        <w:t xml:space="preserve">fijó </w:t>
      </w:r>
      <w:r w:rsidRPr="00B83A58">
        <w:rPr>
          <w:rFonts w:cs="Arial"/>
          <w:color w:val="000000" w:themeColor="text1"/>
        </w:rPr>
        <w:t>en el 2,</w:t>
      </w:r>
      <w:r w:rsidR="00C775B8" w:rsidRPr="00B83A58">
        <w:rPr>
          <w:rFonts w:cs="Arial"/>
          <w:color w:val="000000" w:themeColor="text1"/>
        </w:rPr>
        <w:t>9 por ciento para el ejercicio 2020.</w:t>
      </w:r>
    </w:p>
    <w:p w14:paraId="50182BBD" w14:textId="1DC94EBA" w:rsidR="00345C6C" w:rsidRPr="00B83A58"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B83A58">
        <w:rPr>
          <w:rFonts w:cs="Arial"/>
          <w:color w:val="000000" w:themeColor="text1"/>
        </w:rPr>
        <w:t>Sostenibi</w:t>
      </w:r>
      <w:r w:rsidR="00B83A58" w:rsidRPr="00B83A58">
        <w:rPr>
          <w:rFonts w:cs="Arial"/>
          <w:color w:val="000000" w:themeColor="text1"/>
        </w:rPr>
        <w:t xml:space="preserve">lidad de la deuda pública: la deuda viva </w:t>
      </w:r>
      <w:r w:rsidR="004937B1">
        <w:rPr>
          <w:rFonts w:cs="Arial"/>
          <w:color w:val="000000" w:themeColor="text1"/>
        </w:rPr>
        <w:t xml:space="preserve">calculada de acuerdo con el Protocolo sobre el Procedimiento de déficit </w:t>
      </w:r>
      <w:proofErr w:type="gramStart"/>
      <w:r w:rsidR="004937B1">
        <w:rPr>
          <w:rFonts w:cs="Arial"/>
          <w:color w:val="000000" w:themeColor="text1"/>
        </w:rPr>
        <w:t>excesivo</w:t>
      </w:r>
      <w:r w:rsidRPr="00B83A58">
        <w:rPr>
          <w:rFonts w:cs="Arial"/>
          <w:color w:val="000000" w:themeColor="text1"/>
        </w:rPr>
        <w:t>,</w:t>
      </w:r>
      <w:proofErr w:type="gramEnd"/>
      <w:r w:rsidRPr="00B83A58">
        <w:rPr>
          <w:rFonts w:cs="Arial"/>
          <w:color w:val="000000" w:themeColor="text1"/>
        </w:rPr>
        <w:t xml:space="preserve"> no </w:t>
      </w:r>
      <w:r w:rsidR="00B83A58" w:rsidRPr="00B83A58">
        <w:rPr>
          <w:rFonts w:cs="Arial"/>
          <w:color w:val="000000" w:themeColor="text1"/>
        </w:rPr>
        <w:t>debe supera</w:t>
      </w:r>
      <w:r w:rsidR="005A0D09">
        <w:rPr>
          <w:rFonts w:cs="Arial"/>
          <w:color w:val="000000" w:themeColor="text1"/>
        </w:rPr>
        <w:t>r</w:t>
      </w:r>
      <w:r w:rsidRPr="00B83A58">
        <w:rPr>
          <w:rFonts w:cs="Arial"/>
          <w:color w:val="000000" w:themeColor="text1"/>
        </w:rPr>
        <w:t xml:space="preserve"> el 110 por ciento de sus ingresos corrientes.</w:t>
      </w:r>
    </w:p>
    <w:p w14:paraId="4A52C38F" w14:textId="77777777" w:rsidR="00345C6C" w:rsidRPr="00B83A58"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B83A58">
        <w:rPr>
          <w:rFonts w:cs="Arial"/>
          <w:color w:val="000000" w:themeColor="text1"/>
        </w:rPr>
        <w:t>Sostenib</w:t>
      </w:r>
      <w:r w:rsidR="00B83A58" w:rsidRPr="00B83A58">
        <w:rPr>
          <w:rFonts w:cs="Arial"/>
          <w:color w:val="000000" w:themeColor="text1"/>
        </w:rPr>
        <w:t xml:space="preserve">ilidad de la deuda comercial: </w:t>
      </w:r>
      <w:r w:rsidRPr="00B83A58">
        <w:rPr>
          <w:rFonts w:cs="Arial"/>
          <w:color w:val="000000" w:themeColor="text1"/>
        </w:rPr>
        <w:t>el periodo medio de pago a proveedores no puede superar, en términos generales, el plazo de 30 días.</w:t>
      </w:r>
    </w:p>
    <w:p w14:paraId="64251B44" w14:textId="2F084EB0" w:rsidR="00C775B8" w:rsidRDefault="00B15291" w:rsidP="00C775B8">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pacing w:val="6"/>
          <w:sz w:val="26"/>
          <w:szCs w:val="24"/>
        </w:rPr>
        <w:t>A este respecto</w:t>
      </w:r>
      <w:r w:rsidR="00C775B8">
        <w:rPr>
          <w:color w:val="000000" w:themeColor="text1"/>
          <w:spacing w:val="6"/>
          <w:sz w:val="26"/>
          <w:szCs w:val="24"/>
        </w:rPr>
        <w:t>, l</w:t>
      </w:r>
      <w:r w:rsidR="00C775B8" w:rsidRPr="00B81E61">
        <w:rPr>
          <w:color w:val="000000" w:themeColor="text1"/>
          <w:spacing w:val="6"/>
          <w:sz w:val="26"/>
          <w:szCs w:val="24"/>
        </w:rPr>
        <w:t xml:space="preserve">a información aportada por la </w:t>
      </w:r>
      <w:r w:rsidR="00CA5250">
        <w:rPr>
          <w:color w:val="000000" w:themeColor="text1"/>
          <w:spacing w:val="6"/>
          <w:sz w:val="26"/>
          <w:szCs w:val="24"/>
        </w:rPr>
        <w:t>DGALD</w:t>
      </w:r>
      <w:r w:rsidR="00C775B8" w:rsidRPr="00B81E61">
        <w:rPr>
          <w:color w:val="000000" w:themeColor="text1"/>
          <w:spacing w:val="6"/>
          <w:sz w:val="26"/>
          <w:szCs w:val="24"/>
        </w:rPr>
        <w:t xml:space="preserve"> </w:t>
      </w:r>
      <w:r w:rsidR="00C775B8">
        <w:rPr>
          <w:color w:val="000000" w:themeColor="text1"/>
          <w:spacing w:val="6"/>
          <w:sz w:val="26"/>
          <w:szCs w:val="24"/>
        </w:rPr>
        <w:t xml:space="preserve">no configura propiamente el subsector “Administración Local” de Navarra en términos de contabilidad nacional, sino que ofrece datos correspondientes al conjunto de las </w:t>
      </w:r>
      <w:r w:rsidR="00C775B8" w:rsidRPr="00B83A58">
        <w:rPr>
          <w:color w:val="000000" w:themeColor="text1"/>
          <w:spacing w:val="6"/>
          <w:sz w:val="26"/>
          <w:szCs w:val="24"/>
        </w:rPr>
        <w:t>entidades locales y sus organismos autónomos</w:t>
      </w:r>
      <w:r w:rsidR="00B83A58" w:rsidRPr="00B83A58">
        <w:rPr>
          <w:color w:val="000000" w:themeColor="text1"/>
          <w:spacing w:val="6"/>
          <w:sz w:val="26"/>
          <w:szCs w:val="24"/>
        </w:rPr>
        <w:t>, incluyendo también</w:t>
      </w:r>
      <w:r w:rsidR="00C775B8" w:rsidRPr="00B83A58">
        <w:rPr>
          <w:color w:val="000000" w:themeColor="text1"/>
          <w:spacing w:val="6"/>
          <w:sz w:val="26"/>
          <w:szCs w:val="24"/>
        </w:rPr>
        <w:t>, en lo que respecta a la deuda pública, a las sociedades participadas íntegramente por las entidades locales.</w:t>
      </w:r>
    </w:p>
    <w:p w14:paraId="7E93E321" w14:textId="6496B5EC" w:rsidR="00C775B8" w:rsidRDefault="00C775B8" w:rsidP="00C775B8">
      <w:pPr>
        <w:tabs>
          <w:tab w:val="center" w:pos="2835"/>
          <w:tab w:val="center" w:pos="3969"/>
          <w:tab w:val="center" w:pos="5103"/>
          <w:tab w:val="center" w:pos="6237"/>
          <w:tab w:val="center" w:pos="7371"/>
        </w:tabs>
        <w:ind w:firstLine="284"/>
        <w:rPr>
          <w:color w:val="000000" w:themeColor="text1"/>
          <w:spacing w:val="6"/>
          <w:sz w:val="26"/>
          <w:szCs w:val="24"/>
        </w:rPr>
      </w:pPr>
      <w:r w:rsidRPr="00C775B8">
        <w:rPr>
          <w:color w:val="000000" w:themeColor="text1"/>
          <w:spacing w:val="6"/>
          <w:sz w:val="26"/>
          <w:szCs w:val="24"/>
        </w:rPr>
        <w:t xml:space="preserve">Con motivo de la crisis sanitaria, social y económica producida por la pandemia de </w:t>
      </w:r>
      <w:proofErr w:type="spellStart"/>
      <w:r w:rsidRPr="00C775B8">
        <w:rPr>
          <w:color w:val="000000" w:themeColor="text1"/>
          <w:spacing w:val="6"/>
          <w:sz w:val="26"/>
          <w:szCs w:val="24"/>
        </w:rPr>
        <w:t>Covid-19</w:t>
      </w:r>
      <w:proofErr w:type="spellEnd"/>
      <w:r w:rsidRPr="00C775B8">
        <w:rPr>
          <w:color w:val="000000" w:themeColor="text1"/>
          <w:spacing w:val="6"/>
          <w:sz w:val="26"/>
          <w:szCs w:val="24"/>
        </w:rPr>
        <w:t xml:space="preserve"> y siguiendo las recomendaciones de la Comisión Europea, en octubre de 2020 el Congreso de los Diputados apreció la concurrencia de una emergencia extraordinaria conforme a lo previsto en el art. 135.4 de la Constitución y en la </w:t>
      </w:r>
      <w:proofErr w:type="spellStart"/>
      <w:r w:rsidRPr="00C775B8">
        <w:rPr>
          <w:color w:val="000000" w:themeColor="text1"/>
          <w:spacing w:val="6"/>
          <w:sz w:val="26"/>
          <w:szCs w:val="24"/>
        </w:rPr>
        <w:t>LOEPySF</w:t>
      </w:r>
      <w:proofErr w:type="spellEnd"/>
      <w:r w:rsidRPr="00C775B8">
        <w:rPr>
          <w:color w:val="000000" w:themeColor="text1"/>
          <w:spacing w:val="6"/>
          <w:sz w:val="26"/>
          <w:szCs w:val="24"/>
        </w:rPr>
        <w:t>, por lo que quedaron suspendidos los objetivos de estabilidad presupuestaria, deuda pública y regla de gasto para el periodo 2020-2021</w:t>
      </w:r>
      <w:r w:rsidR="00F00171">
        <w:rPr>
          <w:color w:val="000000" w:themeColor="text1"/>
          <w:spacing w:val="6"/>
          <w:sz w:val="26"/>
          <w:szCs w:val="24"/>
        </w:rPr>
        <w:t xml:space="preserve">, </w:t>
      </w:r>
      <w:r w:rsidR="00F00171">
        <w:rPr>
          <w:color w:val="000000" w:themeColor="text1"/>
          <w:spacing w:val="6"/>
          <w:sz w:val="26"/>
          <w:szCs w:val="24"/>
        </w:rPr>
        <w:lastRenderedPageBreak/>
        <w:t>suspensión que se ha ido prorrogando sucesivamente</w:t>
      </w:r>
      <w:r w:rsidR="00F00171" w:rsidRPr="00F00171">
        <w:rPr>
          <w:color w:val="000000" w:themeColor="text1"/>
          <w:spacing w:val="6"/>
          <w:sz w:val="26"/>
          <w:szCs w:val="24"/>
        </w:rPr>
        <w:t xml:space="preserve"> para los ejercicios</w:t>
      </w:r>
      <w:r w:rsidR="00F07386">
        <w:rPr>
          <w:color w:val="000000" w:themeColor="text1"/>
          <w:spacing w:val="6"/>
          <w:sz w:val="26"/>
          <w:szCs w:val="24"/>
        </w:rPr>
        <w:t xml:space="preserve"> </w:t>
      </w:r>
      <w:r w:rsidR="00F00171" w:rsidRPr="00F00171">
        <w:rPr>
          <w:color w:val="000000" w:themeColor="text1"/>
          <w:spacing w:val="6"/>
          <w:sz w:val="26"/>
          <w:szCs w:val="24"/>
        </w:rPr>
        <w:t>2022 y 2023.</w:t>
      </w:r>
    </w:p>
    <w:p w14:paraId="0A7D6A9E" w14:textId="77777777" w:rsidR="00F00171" w:rsidRDefault="00F00171" w:rsidP="00C775B8">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pacing w:val="6"/>
          <w:sz w:val="26"/>
          <w:szCs w:val="24"/>
        </w:rPr>
        <w:t>En todo caso un sentido de responsabilidad fiscal y prudencia aconseja hacer seguimiento también de la evolución de las variables a que se refieren las reglas suspendidas. Así:</w:t>
      </w:r>
    </w:p>
    <w:p w14:paraId="086FEC2B" w14:textId="77777777" w:rsidR="00F00171" w:rsidRPr="00B81E61" w:rsidRDefault="00F00171" w:rsidP="007D0B27">
      <w:pPr>
        <w:tabs>
          <w:tab w:val="center" w:pos="2835"/>
          <w:tab w:val="center" w:pos="3969"/>
          <w:tab w:val="center" w:pos="5103"/>
          <w:tab w:val="center" w:pos="6237"/>
          <w:tab w:val="center" w:pos="7371"/>
        </w:tabs>
        <w:spacing w:after="0"/>
        <w:ind w:firstLine="284"/>
        <w:rPr>
          <w:color w:val="000000" w:themeColor="text1"/>
          <w:spacing w:val="6"/>
          <w:sz w:val="26"/>
          <w:szCs w:val="24"/>
        </w:rPr>
      </w:pPr>
      <w:r w:rsidRPr="00B81E61">
        <w:rPr>
          <w:color w:val="000000" w:themeColor="text1"/>
          <w:spacing w:val="6"/>
          <w:sz w:val="26"/>
          <w:szCs w:val="24"/>
        </w:rPr>
        <w:t xml:space="preserve">a) </w:t>
      </w:r>
      <w:r>
        <w:rPr>
          <w:color w:val="000000" w:themeColor="text1"/>
          <w:spacing w:val="6"/>
          <w:sz w:val="26"/>
          <w:szCs w:val="24"/>
        </w:rPr>
        <w:t xml:space="preserve">En relación con la regla de estabilidad presupuestaria, el sector público local presenta una </w:t>
      </w:r>
      <w:r w:rsidRPr="00B81E61">
        <w:rPr>
          <w:color w:val="000000" w:themeColor="text1"/>
          <w:spacing w:val="6"/>
          <w:sz w:val="26"/>
          <w:szCs w:val="24"/>
        </w:rPr>
        <w:t xml:space="preserve">capacidad de financiación </w:t>
      </w:r>
      <w:r>
        <w:rPr>
          <w:color w:val="000000" w:themeColor="text1"/>
          <w:spacing w:val="6"/>
          <w:sz w:val="26"/>
          <w:szCs w:val="24"/>
        </w:rPr>
        <w:t>de 87,80</w:t>
      </w:r>
      <w:r w:rsidRPr="00B81E61">
        <w:rPr>
          <w:color w:val="000000" w:themeColor="text1"/>
          <w:spacing w:val="6"/>
          <w:sz w:val="26"/>
          <w:szCs w:val="24"/>
        </w:rPr>
        <w:t xml:space="preserve"> millones</w:t>
      </w:r>
      <w:r>
        <w:rPr>
          <w:color w:val="000000" w:themeColor="text1"/>
          <w:spacing w:val="6"/>
          <w:sz w:val="26"/>
          <w:szCs w:val="24"/>
        </w:rPr>
        <w:t>, lo que supone un considerable aumento con respecto al ejercicio anterior, según se detalla en la tabla siguiente:</w:t>
      </w:r>
    </w:p>
    <w:p w14:paraId="29B40374" w14:textId="4DE3D5E9" w:rsidR="007D0B27" w:rsidRPr="0003647B" w:rsidRDefault="00C57A54" w:rsidP="007D0B27">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7D0B27">
        <w:rPr>
          <w:rFonts w:ascii="Arial Narrow" w:hAnsi="Arial Narrow"/>
          <w:color w:val="000000" w:themeColor="text1"/>
          <w:sz w:val="18"/>
          <w:szCs w:val="18"/>
        </w:rPr>
        <w:t>Millones</w:t>
      </w:r>
      <w:r>
        <w:rPr>
          <w:rFonts w:ascii="Arial Narrow" w:hAnsi="Arial Narrow"/>
          <w:color w:val="000000" w:themeColor="text1"/>
          <w:sz w:val="18"/>
          <w:szCs w:val="18"/>
        </w:rPr>
        <w:t>)</w:t>
      </w:r>
    </w:p>
    <w:tbl>
      <w:tblPr>
        <w:tblW w:w="8770" w:type="dxa"/>
        <w:tblBorders>
          <w:top w:val="single" w:sz="4" w:space="0" w:color="auto"/>
          <w:bottom w:val="single" w:sz="4" w:space="0" w:color="auto"/>
        </w:tblBorders>
        <w:tblLook w:val="00A0" w:firstRow="1" w:lastRow="0" w:firstColumn="1" w:lastColumn="0" w:noHBand="0" w:noVBand="0"/>
      </w:tblPr>
      <w:tblGrid>
        <w:gridCol w:w="4820"/>
        <w:gridCol w:w="2391"/>
        <w:gridCol w:w="1559"/>
      </w:tblGrid>
      <w:tr w:rsidR="00F00171" w:rsidRPr="00C57A54" w14:paraId="7D55E6C7" w14:textId="77777777" w:rsidTr="004E2CFD">
        <w:trPr>
          <w:trHeight w:val="227"/>
        </w:trPr>
        <w:tc>
          <w:tcPr>
            <w:tcW w:w="4820" w:type="dxa"/>
            <w:tcBorders>
              <w:top w:val="single" w:sz="4" w:space="0" w:color="auto"/>
              <w:bottom w:val="single" w:sz="4" w:space="0" w:color="auto"/>
            </w:tcBorders>
            <w:shd w:val="clear" w:color="auto" w:fill="FABF8F" w:themeFill="accent6" w:themeFillTint="99"/>
            <w:vAlign w:val="center"/>
          </w:tcPr>
          <w:p w14:paraId="1F685932" w14:textId="77777777" w:rsidR="00F00171" w:rsidRPr="00C57A54" w:rsidRDefault="00F00171" w:rsidP="00C57A54">
            <w:pPr>
              <w:pStyle w:val="cuadroCabe"/>
              <w:spacing w:line="240" w:lineRule="auto"/>
            </w:pPr>
            <w:r w:rsidRPr="00C57A54">
              <w:t>Capacidad/necesidad de financiación</w:t>
            </w:r>
          </w:p>
        </w:tc>
        <w:tc>
          <w:tcPr>
            <w:tcW w:w="2391" w:type="dxa"/>
            <w:tcBorders>
              <w:top w:val="single" w:sz="4" w:space="0" w:color="auto"/>
              <w:bottom w:val="single" w:sz="4" w:space="0" w:color="auto"/>
            </w:tcBorders>
            <w:shd w:val="clear" w:color="auto" w:fill="FABF8F" w:themeFill="accent6" w:themeFillTint="99"/>
            <w:vAlign w:val="center"/>
          </w:tcPr>
          <w:p w14:paraId="0132831F" w14:textId="77777777" w:rsidR="00F00171" w:rsidRPr="00C57A54" w:rsidRDefault="00F00171" w:rsidP="00C57A54">
            <w:pPr>
              <w:pStyle w:val="cuadroCabe"/>
              <w:spacing w:line="240" w:lineRule="auto"/>
              <w:jc w:val="right"/>
            </w:pPr>
            <w:r w:rsidRPr="00C57A54">
              <w:t>2020</w:t>
            </w:r>
          </w:p>
        </w:tc>
        <w:tc>
          <w:tcPr>
            <w:tcW w:w="1559" w:type="dxa"/>
            <w:tcBorders>
              <w:top w:val="single" w:sz="4" w:space="0" w:color="auto"/>
              <w:bottom w:val="single" w:sz="4" w:space="0" w:color="auto"/>
            </w:tcBorders>
            <w:shd w:val="clear" w:color="auto" w:fill="FABF8F" w:themeFill="accent6" w:themeFillTint="99"/>
            <w:vAlign w:val="center"/>
          </w:tcPr>
          <w:p w14:paraId="09DCF955" w14:textId="77777777" w:rsidR="00F00171" w:rsidRPr="00C57A54" w:rsidRDefault="00F00171" w:rsidP="00C57A54">
            <w:pPr>
              <w:pStyle w:val="cuadroCabe"/>
              <w:spacing w:line="240" w:lineRule="auto"/>
              <w:jc w:val="right"/>
            </w:pPr>
            <w:r w:rsidRPr="00C57A54">
              <w:t>2019</w:t>
            </w:r>
          </w:p>
        </w:tc>
      </w:tr>
      <w:tr w:rsidR="00F00171" w:rsidRPr="00C57A54" w14:paraId="4137DCF6" w14:textId="77777777" w:rsidTr="004E2CFD">
        <w:trPr>
          <w:trHeight w:val="227"/>
        </w:trPr>
        <w:tc>
          <w:tcPr>
            <w:tcW w:w="4820" w:type="dxa"/>
            <w:tcBorders>
              <w:top w:val="single" w:sz="4" w:space="0" w:color="auto"/>
              <w:bottom w:val="single" w:sz="2" w:space="0" w:color="auto"/>
            </w:tcBorders>
            <w:vAlign w:val="center"/>
          </w:tcPr>
          <w:p w14:paraId="63834EC6" w14:textId="77777777" w:rsidR="00F00171" w:rsidRPr="00C57A54" w:rsidRDefault="00F00171" w:rsidP="00C57A54">
            <w:pPr>
              <w:pStyle w:val="cuatexto"/>
              <w:spacing w:line="240" w:lineRule="auto"/>
            </w:pPr>
            <w:r w:rsidRPr="00C57A54">
              <w:t>Saldo presupuestario no financiero</w:t>
            </w:r>
          </w:p>
        </w:tc>
        <w:tc>
          <w:tcPr>
            <w:tcW w:w="2391" w:type="dxa"/>
            <w:tcBorders>
              <w:top w:val="single" w:sz="4" w:space="0" w:color="auto"/>
              <w:bottom w:val="single" w:sz="2" w:space="0" w:color="auto"/>
            </w:tcBorders>
            <w:vAlign w:val="center"/>
          </w:tcPr>
          <w:p w14:paraId="3F71E882" w14:textId="77777777" w:rsidR="00F00171" w:rsidRPr="00C57A54" w:rsidRDefault="00F00171" w:rsidP="00C57A54">
            <w:pPr>
              <w:pStyle w:val="cuatexto"/>
              <w:spacing w:line="240" w:lineRule="auto"/>
              <w:jc w:val="right"/>
            </w:pPr>
            <w:r w:rsidRPr="00C57A54">
              <w:t>78,00</w:t>
            </w:r>
          </w:p>
        </w:tc>
        <w:tc>
          <w:tcPr>
            <w:tcW w:w="1559" w:type="dxa"/>
            <w:tcBorders>
              <w:top w:val="single" w:sz="4" w:space="0" w:color="auto"/>
              <w:bottom w:val="single" w:sz="2" w:space="0" w:color="auto"/>
            </w:tcBorders>
            <w:vAlign w:val="center"/>
          </w:tcPr>
          <w:p w14:paraId="0FF19042" w14:textId="77777777" w:rsidR="00F00171" w:rsidRPr="00C57A54" w:rsidRDefault="00F00171" w:rsidP="00C57A54">
            <w:pPr>
              <w:pStyle w:val="cuatexto"/>
              <w:spacing w:line="240" w:lineRule="auto"/>
              <w:jc w:val="right"/>
            </w:pPr>
            <w:r w:rsidRPr="00C57A54">
              <w:t>31,16</w:t>
            </w:r>
          </w:p>
        </w:tc>
      </w:tr>
      <w:tr w:rsidR="00F00171" w:rsidRPr="00C57A54" w14:paraId="195BF8C3" w14:textId="77777777" w:rsidTr="004E2CFD">
        <w:trPr>
          <w:trHeight w:val="227"/>
        </w:trPr>
        <w:tc>
          <w:tcPr>
            <w:tcW w:w="4820" w:type="dxa"/>
            <w:tcBorders>
              <w:top w:val="single" w:sz="2" w:space="0" w:color="auto"/>
              <w:bottom w:val="single" w:sz="4" w:space="0" w:color="auto"/>
            </w:tcBorders>
            <w:vAlign w:val="center"/>
          </w:tcPr>
          <w:p w14:paraId="1724B0EC" w14:textId="77777777" w:rsidR="00F00171" w:rsidRPr="00C57A54" w:rsidRDefault="00F00171" w:rsidP="00C57A54">
            <w:pPr>
              <w:pStyle w:val="cuatexto"/>
              <w:spacing w:line="240" w:lineRule="auto"/>
            </w:pPr>
            <w:r w:rsidRPr="00C57A54">
              <w:t>Ajustes:</w:t>
            </w:r>
          </w:p>
          <w:p w14:paraId="75A40242" w14:textId="77777777" w:rsidR="00F00171" w:rsidRPr="00C57A54" w:rsidRDefault="00F00171" w:rsidP="00C57A54">
            <w:pPr>
              <w:pStyle w:val="cuatexto"/>
              <w:spacing w:line="240" w:lineRule="auto"/>
            </w:pPr>
            <w:r w:rsidRPr="00C57A54">
              <w:t>Ingresos de recaudación incierta</w:t>
            </w:r>
          </w:p>
          <w:p w14:paraId="2FF7847B" w14:textId="77777777" w:rsidR="00F00171" w:rsidRPr="00C57A54" w:rsidRDefault="00F00171" w:rsidP="00C57A54">
            <w:pPr>
              <w:pStyle w:val="cuatexto"/>
              <w:spacing w:line="240" w:lineRule="auto"/>
            </w:pPr>
            <w:r w:rsidRPr="00C57A54">
              <w:t>Transferencias recibidas de otras AAPP</w:t>
            </w:r>
          </w:p>
        </w:tc>
        <w:tc>
          <w:tcPr>
            <w:tcW w:w="2391" w:type="dxa"/>
            <w:tcBorders>
              <w:top w:val="single" w:sz="2" w:space="0" w:color="auto"/>
              <w:bottom w:val="single" w:sz="4" w:space="0" w:color="auto"/>
            </w:tcBorders>
            <w:vAlign w:val="center"/>
          </w:tcPr>
          <w:p w14:paraId="45A228BE" w14:textId="77777777" w:rsidR="00F00171" w:rsidRPr="00C57A54" w:rsidRDefault="00F00171" w:rsidP="00C57A54">
            <w:pPr>
              <w:pStyle w:val="cuatexto"/>
              <w:spacing w:line="240" w:lineRule="auto"/>
              <w:jc w:val="right"/>
            </w:pPr>
          </w:p>
          <w:p w14:paraId="7901D47E" w14:textId="77777777" w:rsidR="00F00171" w:rsidRPr="00C57A54" w:rsidRDefault="00F00171" w:rsidP="00C57A54">
            <w:pPr>
              <w:pStyle w:val="cuatexto"/>
              <w:spacing w:line="240" w:lineRule="auto"/>
              <w:jc w:val="right"/>
            </w:pPr>
            <w:r w:rsidRPr="00C57A54">
              <w:t>(11,66)</w:t>
            </w:r>
          </w:p>
          <w:p w14:paraId="5641CCF3" w14:textId="77777777" w:rsidR="00F00171" w:rsidRPr="00C57A54" w:rsidRDefault="00F00171" w:rsidP="00C57A54">
            <w:pPr>
              <w:pStyle w:val="cuatexto"/>
              <w:spacing w:line="240" w:lineRule="auto"/>
              <w:jc w:val="right"/>
            </w:pPr>
            <w:r w:rsidRPr="00C57A54">
              <w:t>21,46</w:t>
            </w:r>
          </w:p>
        </w:tc>
        <w:tc>
          <w:tcPr>
            <w:tcW w:w="1559" w:type="dxa"/>
            <w:tcBorders>
              <w:top w:val="single" w:sz="2" w:space="0" w:color="auto"/>
              <w:bottom w:val="single" w:sz="4" w:space="0" w:color="auto"/>
            </w:tcBorders>
            <w:vAlign w:val="center"/>
          </w:tcPr>
          <w:p w14:paraId="356064C3" w14:textId="77777777" w:rsidR="00F00171" w:rsidRPr="00C57A54" w:rsidRDefault="00F00171" w:rsidP="00C57A54">
            <w:pPr>
              <w:pStyle w:val="cuatexto"/>
              <w:spacing w:line="240" w:lineRule="auto"/>
              <w:jc w:val="right"/>
            </w:pPr>
          </w:p>
          <w:p w14:paraId="4E06688D" w14:textId="77777777" w:rsidR="00F00171" w:rsidRPr="00C57A54" w:rsidRDefault="00F00171" w:rsidP="00C57A54">
            <w:pPr>
              <w:pStyle w:val="cuatexto"/>
              <w:spacing w:line="240" w:lineRule="auto"/>
              <w:jc w:val="right"/>
            </w:pPr>
            <w:r w:rsidRPr="00C57A54">
              <w:t>(6,23)</w:t>
            </w:r>
          </w:p>
          <w:p w14:paraId="66E5CFA6" w14:textId="77777777" w:rsidR="00F00171" w:rsidRPr="00C57A54" w:rsidRDefault="00F00171" w:rsidP="00C57A54">
            <w:pPr>
              <w:pStyle w:val="cuatexto"/>
              <w:spacing w:line="240" w:lineRule="auto"/>
              <w:jc w:val="right"/>
            </w:pPr>
            <w:r w:rsidRPr="00C57A54">
              <w:t>12,85</w:t>
            </w:r>
          </w:p>
        </w:tc>
      </w:tr>
      <w:tr w:rsidR="00F00171" w:rsidRPr="00C57A54" w14:paraId="034D331A" w14:textId="77777777" w:rsidTr="004E2CFD">
        <w:trPr>
          <w:trHeight w:val="227"/>
        </w:trPr>
        <w:tc>
          <w:tcPr>
            <w:tcW w:w="4820" w:type="dxa"/>
            <w:tcBorders>
              <w:top w:val="single" w:sz="4" w:space="0" w:color="auto"/>
              <w:bottom w:val="single" w:sz="4" w:space="0" w:color="auto"/>
            </w:tcBorders>
            <w:shd w:val="clear" w:color="auto" w:fill="FABF8F" w:themeFill="accent6" w:themeFillTint="99"/>
            <w:vAlign w:val="center"/>
          </w:tcPr>
          <w:p w14:paraId="78630211" w14:textId="77777777" w:rsidR="00F00171" w:rsidRPr="00C57A54" w:rsidRDefault="00F00171" w:rsidP="00C57A54">
            <w:pPr>
              <w:pStyle w:val="cuadroCabe"/>
              <w:spacing w:line="240" w:lineRule="auto"/>
            </w:pPr>
            <w:r w:rsidRPr="00C57A54">
              <w:t>Capacidad de financiación</w:t>
            </w:r>
          </w:p>
        </w:tc>
        <w:tc>
          <w:tcPr>
            <w:tcW w:w="2391" w:type="dxa"/>
            <w:tcBorders>
              <w:top w:val="single" w:sz="4" w:space="0" w:color="auto"/>
              <w:bottom w:val="single" w:sz="4" w:space="0" w:color="auto"/>
            </w:tcBorders>
            <w:shd w:val="clear" w:color="auto" w:fill="FABF8F" w:themeFill="accent6" w:themeFillTint="99"/>
            <w:vAlign w:val="center"/>
          </w:tcPr>
          <w:p w14:paraId="09532CFB" w14:textId="77777777" w:rsidR="00F00171" w:rsidRPr="00C57A54" w:rsidRDefault="00F00171" w:rsidP="004E2CFD">
            <w:pPr>
              <w:pStyle w:val="cuadroCabe"/>
              <w:spacing w:line="240" w:lineRule="auto"/>
              <w:jc w:val="right"/>
            </w:pPr>
            <w:r w:rsidRPr="00C57A54">
              <w:t>87,80</w:t>
            </w:r>
          </w:p>
        </w:tc>
        <w:tc>
          <w:tcPr>
            <w:tcW w:w="1559" w:type="dxa"/>
            <w:tcBorders>
              <w:top w:val="single" w:sz="4" w:space="0" w:color="auto"/>
              <w:bottom w:val="single" w:sz="4" w:space="0" w:color="auto"/>
            </w:tcBorders>
            <w:shd w:val="clear" w:color="auto" w:fill="FABF8F" w:themeFill="accent6" w:themeFillTint="99"/>
            <w:vAlign w:val="center"/>
          </w:tcPr>
          <w:p w14:paraId="56F154C0" w14:textId="77777777" w:rsidR="00F00171" w:rsidRPr="00C57A54" w:rsidRDefault="00F00171" w:rsidP="004E2CFD">
            <w:pPr>
              <w:pStyle w:val="cuadroCabe"/>
              <w:spacing w:line="240" w:lineRule="auto"/>
              <w:jc w:val="right"/>
            </w:pPr>
            <w:r w:rsidRPr="00C57A54">
              <w:t>37,78</w:t>
            </w:r>
          </w:p>
        </w:tc>
      </w:tr>
    </w:tbl>
    <w:p w14:paraId="0C4498CE" w14:textId="77777777" w:rsidR="00D64F53" w:rsidRDefault="00D64F53" w:rsidP="007D0B27">
      <w:pPr>
        <w:tabs>
          <w:tab w:val="center" w:pos="2835"/>
          <w:tab w:val="center" w:pos="3969"/>
          <w:tab w:val="center" w:pos="5103"/>
          <w:tab w:val="center" w:pos="6237"/>
          <w:tab w:val="center" w:pos="7371"/>
        </w:tabs>
        <w:spacing w:before="240"/>
        <w:ind w:firstLine="284"/>
        <w:rPr>
          <w:color w:val="000000" w:themeColor="text1"/>
          <w:spacing w:val="6"/>
          <w:sz w:val="26"/>
          <w:szCs w:val="24"/>
        </w:rPr>
      </w:pPr>
      <w:r>
        <w:rPr>
          <w:color w:val="000000" w:themeColor="text1"/>
          <w:spacing w:val="6"/>
          <w:sz w:val="26"/>
          <w:szCs w:val="24"/>
        </w:rPr>
        <w:t>b</w:t>
      </w:r>
      <w:r w:rsidRPr="00965B5E">
        <w:rPr>
          <w:color w:val="000000" w:themeColor="text1"/>
          <w:spacing w:val="6"/>
          <w:sz w:val="26"/>
          <w:szCs w:val="24"/>
        </w:rPr>
        <w:t xml:space="preserve">) </w:t>
      </w:r>
      <w:r>
        <w:rPr>
          <w:color w:val="000000" w:themeColor="text1"/>
          <w:spacing w:val="6"/>
          <w:sz w:val="26"/>
          <w:szCs w:val="24"/>
        </w:rPr>
        <w:t xml:space="preserve">En relación con la regla </w:t>
      </w:r>
      <w:r w:rsidRPr="00965B5E">
        <w:rPr>
          <w:color w:val="000000" w:themeColor="text1"/>
          <w:spacing w:val="6"/>
          <w:sz w:val="26"/>
          <w:szCs w:val="24"/>
        </w:rPr>
        <w:t>de gasto</w:t>
      </w:r>
      <w:r>
        <w:rPr>
          <w:color w:val="000000" w:themeColor="text1"/>
          <w:spacing w:val="6"/>
          <w:sz w:val="26"/>
          <w:szCs w:val="24"/>
        </w:rPr>
        <w:t xml:space="preserve">, el informe no aporta información sobre la tasa de variación del gasto computable. </w:t>
      </w:r>
    </w:p>
    <w:p w14:paraId="3EA6D687" w14:textId="4A113251" w:rsidR="00C775B8" w:rsidRDefault="00D64F53" w:rsidP="007D0B27">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pacing w:val="6"/>
          <w:sz w:val="26"/>
          <w:szCs w:val="24"/>
        </w:rPr>
        <w:t>c</w:t>
      </w:r>
      <w:r w:rsidR="00F00171">
        <w:rPr>
          <w:color w:val="000000" w:themeColor="text1"/>
          <w:spacing w:val="6"/>
          <w:sz w:val="26"/>
          <w:szCs w:val="24"/>
        </w:rPr>
        <w:t xml:space="preserve">) En relación con la </w:t>
      </w:r>
      <w:r>
        <w:rPr>
          <w:color w:val="000000" w:themeColor="text1"/>
          <w:spacing w:val="6"/>
          <w:sz w:val="26"/>
          <w:szCs w:val="24"/>
        </w:rPr>
        <w:t xml:space="preserve">sostenibilidad de </w:t>
      </w:r>
      <w:r w:rsidR="00F00171">
        <w:rPr>
          <w:color w:val="000000" w:themeColor="text1"/>
          <w:spacing w:val="6"/>
          <w:sz w:val="26"/>
          <w:szCs w:val="24"/>
        </w:rPr>
        <w:t>la deuda pública, l</w:t>
      </w:r>
      <w:r w:rsidR="00C775B8" w:rsidRPr="00F00171">
        <w:rPr>
          <w:color w:val="000000" w:themeColor="text1"/>
          <w:spacing w:val="6"/>
          <w:sz w:val="26"/>
          <w:szCs w:val="24"/>
        </w:rPr>
        <w:t xml:space="preserve">a deuda viva del sector a 31 de diciembre de 2020 ascendía a 137,74 millones lo que representa el 18 por ciento de los ingresos corrientes, porcentaje </w:t>
      </w:r>
      <w:r w:rsidR="00372E85">
        <w:rPr>
          <w:color w:val="000000" w:themeColor="text1"/>
          <w:spacing w:val="6"/>
          <w:sz w:val="26"/>
          <w:szCs w:val="24"/>
        </w:rPr>
        <w:t xml:space="preserve">muy </w:t>
      </w:r>
      <w:r w:rsidR="00C775B8" w:rsidRPr="00F00171">
        <w:rPr>
          <w:color w:val="000000" w:themeColor="text1"/>
          <w:spacing w:val="6"/>
          <w:sz w:val="26"/>
          <w:szCs w:val="24"/>
        </w:rPr>
        <w:t>inferio</w:t>
      </w:r>
      <w:r>
        <w:rPr>
          <w:color w:val="000000" w:themeColor="text1"/>
          <w:spacing w:val="6"/>
          <w:sz w:val="26"/>
          <w:szCs w:val="24"/>
        </w:rPr>
        <w:t xml:space="preserve">r al límite del 110 por ciento y </w:t>
      </w:r>
      <w:r w:rsidR="00B15291">
        <w:rPr>
          <w:color w:val="000000" w:themeColor="text1"/>
          <w:spacing w:val="6"/>
          <w:sz w:val="26"/>
          <w:szCs w:val="24"/>
        </w:rPr>
        <w:t xml:space="preserve">que </w:t>
      </w:r>
      <w:r w:rsidR="00C775B8" w:rsidRPr="00F00171">
        <w:rPr>
          <w:color w:val="000000" w:themeColor="text1"/>
          <w:spacing w:val="6"/>
          <w:sz w:val="26"/>
          <w:szCs w:val="24"/>
        </w:rPr>
        <w:t xml:space="preserve">se ha reducido en cinco puntos con respecto </w:t>
      </w:r>
      <w:r w:rsidR="008B5AD0">
        <w:rPr>
          <w:color w:val="000000" w:themeColor="text1"/>
          <w:spacing w:val="6"/>
          <w:sz w:val="26"/>
          <w:szCs w:val="24"/>
        </w:rPr>
        <w:t>a 2019.</w:t>
      </w:r>
    </w:p>
    <w:p w14:paraId="62ABE1DD" w14:textId="6458DED7" w:rsidR="00345C6C" w:rsidRPr="00B81E61" w:rsidRDefault="00F00171" w:rsidP="00EC2B57">
      <w:pPr>
        <w:tabs>
          <w:tab w:val="center" w:pos="2835"/>
          <w:tab w:val="center" w:pos="3969"/>
          <w:tab w:val="center" w:pos="5103"/>
          <w:tab w:val="center" w:pos="6237"/>
          <w:tab w:val="center" w:pos="7371"/>
        </w:tabs>
        <w:ind w:firstLine="284"/>
        <w:rPr>
          <w:rFonts w:ascii="Arial" w:hAnsi="Arial"/>
          <w:b/>
          <w:color w:val="000000" w:themeColor="text1"/>
          <w:kern w:val="28"/>
          <w:sz w:val="25"/>
          <w:szCs w:val="26"/>
        </w:rPr>
      </w:pPr>
      <w:r>
        <w:rPr>
          <w:color w:val="000000" w:themeColor="text1"/>
          <w:spacing w:val="6"/>
          <w:sz w:val="26"/>
          <w:szCs w:val="24"/>
        </w:rPr>
        <w:t>d) La regla de sostenibilidad</w:t>
      </w:r>
      <w:r w:rsidR="00D64F53">
        <w:rPr>
          <w:color w:val="000000" w:themeColor="text1"/>
          <w:spacing w:val="6"/>
          <w:sz w:val="26"/>
          <w:szCs w:val="24"/>
        </w:rPr>
        <w:t xml:space="preserve"> de la deuda</w:t>
      </w:r>
      <w:r>
        <w:rPr>
          <w:color w:val="000000" w:themeColor="text1"/>
          <w:spacing w:val="6"/>
          <w:sz w:val="26"/>
          <w:szCs w:val="24"/>
        </w:rPr>
        <w:t xml:space="preserve"> comercial estaba en vigor en 2020, pero e</w:t>
      </w:r>
      <w:r w:rsidR="00C775B8">
        <w:rPr>
          <w:color w:val="000000" w:themeColor="text1"/>
          <w:spacing w:val="6"/>
          <w:sz w:val="26"/>
          <w:szCs w:val="24"/>
        </w:rPr>
        <w:t xml:space="preserve">l informe no aporta información </w:t>
      </w:r>
      <w:r w:rsidR="002F2A93">
        <w:rPr>
          <w:color w:val="000000" w:themeColor="text1"/>
          <w:spacing w:val="6"/>
          <w:sz w:val="26"/>
          <w:szCs w:val="24"/>
        </w:rPr>
        <w:t>acerca de</w:t>
      </w:r>
      <w:r w:rsidR="00C775B8">
        <w:rPr>
          <w:color w:val="000000" w:themeColor="text1"/>
          <w:spacing w:val="6"/>
          <w:sz w:val="26"/>
          <w:szCs w:val="24"/>
        </w:rPr>
        <w:t xml:space="preserve"> </w:t>
      </w:r>
      <w:r>
        <w:rPr>
          <w:color w:val="000000" w:themeColor="text1"/>
          <w:spacing w:val="6"/>
          <w:sz w:val="26"/>
          <w:szCs w:val="24"/>
        </w:rPr>
        <w:t>la misma</w:t>
      </w:r>
      <w:r w:rsidR="00C775B8">
        <w:rPr>
          <w:color w:val="000000" w:themeColor="text1"/>
          <w:spacing w:val="6"/>
          <w:sz w:val="26"/>
          <w:szCs w:val="24"/>
        </w:rPr>
        <w:t xml:space="preserve">. En la información que a este respecto publica trimestralmente el Ministerio de Hacienda figuran únicamente datos relativos a </w:t>
      </w:r>
      <w:r w:rsidR="008E43F9">
        <w:rPr>
          <w:color w:val="000000" w:themeColor="text1"/>
          <w:spacing w:val="6"/>
          <w:sz w:val="26"/>
          <w:szCs w:val="24"/>
        </w:rPr>
        <w:t xml:space="preserve">entre 53 y </w:t>
      </w:r>
      <w:r w:rsidR="00C775B8">
        <w:rPr>
          <w:color w:val="000000" w:themeColor="text1"/>
          <w:spacing w:val="6"/>
          <w:sz w:val="26"/>
          <w:szCs w:val="24"/>
        </w:rPr>
        <w:t>58 entidades locales de Navarra</w:t>
      </w:r>
      <w:r w:rsidR="008E43F9">
        <w:rPr>
          <w:color w:val="000000" w:themeColor="text1"/>
          <w:spacing w:val="6"/>
          <w:sz w:val="26"/>
          <w:szCs w:val="24"/>
        </w:rPr>
        <w:t xml:space="preserve"> (dependiendo del trimestre)</w:t>
      </w:r>
      <w:r w:rsidR="00C775B8">
        <w:rPr>
          <w:color w:val="000000" w:themeColor="text1"/>
          <w:spacing w:val="6"/>
          <w:sz w:val="26"/>
          <w:szCs w:val="24"/>
        </w:rPr>
        <w:t>, es decir, solo el ocho por ciento de las entidades locales de Navarra remiten esta información. De acuerdo con la misma, para el conjunto de entidades locales que han facilitado la información, el periodo medio de pago se situó claramente por debajo del máximo de 30 días legalmente establecido en los cuatro trimestres del año y, concretamente, en el cuarto trimestre fue de 12,47 días.</w:t>
      </w:r>
      <w:bookmarkStart w:id="93" w:name="_Toc24100147"/>
      <w:bookmarkStart w:id="94" w:name="_Toc52348295"/>
      <w:r w:rsidR="00345C6C" w:rsidRPr="00B81E61">
        <w:rPr>
          <w:color w:val="000000" w:themeColor="text1"/>
        </w:rPr>
        <w:br w:type="page"/>
      </w:r>
    </w:p>
    <w:p w14:paraId="7704C036" w14:textId="77777777" w:rsidR="00345C6C" w:rsidRPr="004248BF" w:rsidRDefault="00345C6C" w:rsidP="004248BF">
      <w:pPr>
        <w:pStyle w:val="Ttulo1"/>
        <w:ind w:firstLine="0"/>
        <w:rPr>
          <w:szCs w:val="25"/>
        </w:rPr>
      </w:pPr>
      <w:bookmarkStart w:id="95" w:name="_Toc88727720"/>
      <w:bookmarkStart w:id="96" w:name="_Toc123724205"/>
      <w:r w:rsidRPr="004248BF">
        <w:rPr>
          <w:szCs w:val="25"/>
        </w:rPr>
        <w:lastRenderedPageBreak/>
        <w:t>V</w:t>
      </w:r>
      <w:r w:rsidR="00683931" w:rsidRPr="004248BF">
        <w:rPr>
          <w:szCs w:val="25"/>
        </w:rPr>
        <w:t>I</w:t>
      </w:r>
      <w:r w:rsidRPr="004248BF">
        <w:rPr>
          <w:szCs w:val="25"/>
        </w:rPr>
        <w:t>I. Contratación administrativa</w:t>
      </w:r>
      <w:bookmarkEnd w:id="93"/>
      <w:bookmarkEnd w:id="94"/>
      <w:bookmarkEnd w:id="95"/>
      <w:bookmarkEnd w:id="96"/>
    </w:p>
    <w:p w14:paraId="0C4ECB29" w14:textId="55F8FC42" w:rsidR="00345C6C" w:rsidRPr="00B81E61" w:rsidRDefault="00345C6C" w:rsidP="00442CCA">
      <w:pPr>
        <w:pStyle w:val="texto"/>
        <w:spacing w:after="240"/>
        <w:rPr>
          <w:color w:val="000000" w:themeColor="text1"/>
        </w:rPr>
      </w:pPr>
      <w:r w:rsidRPr="00B81E61">
        <w:rPr>
          <w:color w:val="000000" w:themeColor="text1"/>
        </w:rPr>
        <w:t>En este epígrafe se analizan los contratos adjudicados en el año 20</w:t>
      </w:r>
      <w:r w:rsidR="00442CCA">
        <w:rPr>
          <w:color w:val="000000" w:themeColor="text1"/>
        </w:rPr>
        <w:t>20</w:t>
      </w:r>
      <w:r w:rsidRPr="00B81E61">
        <w:rPr>
          <w:color w:val="000000" w:themeColor="text1"/>
        </w:rPr>
        <w:t xml:space="preserve"> por las entidades locales y sus entes dependientes, según la información del registro de contratos gestionado por l</w:t>
      </w:r>
      <w:r w:rsidR="0084582D">
        <w:rPr>
          <w:color w:val="000000" w:themeColor="text1"/>
        </w:rPr>
        <w:t>a Junta de Contratación Pública</w:t>
      </w:r>
      <w:r w:rsidR="002F2A93">
        <w:rPr>
          <w:color w:val="000000" w:themeColor="text1"/>
        </w:rPr>
        <w:t>.</w:t>
      </w:r>
    </w:p>
    <w:p w14:paraId="45D49AF8" w14:textId="3F83D87B" w:rsidR="00345C6C" w:rsidRDefault="00345C6C" w:rsidP="00442CCA">
      <w:pPr>
        <w:pStyle w:val="texto"/>
        <w:spacing w:after="240"/>
        <w:rPr>
          <w:color w:val="000000" w:themeColor="text1"/>
        </w:rPr>
      </w:pPr>
      <w:r w:rsidRPr="00B81E61">
        <w:rPr>
          <w:color w:val="000000" w:themeColor="text1"/>
        </w:rPr>
        <w:t>Los datos básicos de los contratos adjudicados por las entidades locales fueron los siguientes:</w:t>
      </w:r>
    </w:p>
    <w:p w14:paraId="1CFB953E" w14:textId="2C2662CA" w:rsidR="00440397" w:rsidRPr="0003647B" w:rsidRDefault="009E536C" w:rsidP="00440397">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440397">
        <w:rPr>
          <w:rFonts w:ascii="Arial Narrow" w:hAnsi="Arial Narrow"/>
          <w:color w:val="000000" w:themeColor="text1"/>
          <w:sz w:val="18"/>
          <w:szCs w:val="18"/>
        </w:rPr>
        <w:t>Miles</w:t>
      </w:r>
      <w:r>
        <w:rPr>
          <w:rFonts w:ascii="Arial Narrow" w:hAnsi="Arial Narrow"/>
          <w:color w:val="000000" w:themeColor="text1"/>
          <w:sz w:val="18"/>
          <w:szCs w:val="18"/>
        </w:rPr>
        <w:t>)</w:t>
      </w:r>
    </w:p>
    <w:tbl>
      <w:tblPr>
        <w:tblW w:w="5077" w:type="pct"/>
        <w:jc w:val="center"/>
        <w:tblLayout w:type="fixed"/>
        <w:tblCellMar>
          <w:left w:w="70" w:type="dxa"/>
          <w:right w:w="70" w:type="dxa"/>
        </w:tblCellMar>
        <w:tblLook w:val="04A0" w:firstRow="1" w:lastRow="0" w:firstColumn="1" w:lastColumn="0" w:noHBand="0" w:noVBand="1"/>
      </w:tblPr>
      <w:tblGrid>
        <w:gridCol w:w="1843"/>
        <w:gridCol w:w="494"/>
        <w:gridCol w:w="917"/>
        <w:gridCol w:w="427"/>
        <w:gridCol w:w="775"/>
        <w:gridCol w:w="7"/>
        <w:gridCol w:w="477"/>
        <w:gridCol w:w="869"/>
        <w:gridCol w:w="703"/>
        <w:gridCol w:w="855"/>
        <w:gridCol w:w="493"/>
        <w:gridCol w:w="1064"/>
      </w:tblGrid>
      <w:tr w:rsidR="004A12BD" w:rsidRPr="009E536C" w14:paraId="3F580CCB" w14:textId="77777777" w:rsidTr="009E536C">
        <w:trPr>
          <w:trHeight w:val="255"/>
          <w:jc w:val="center"/>
        </w:trPr>
        <w:tc>
          <w:tcPr>
            <w:tcW w:w="1033" w:type="pct"/>
            <w:vMerge w:val="restart"/>
            <w:tcBorders>
              <w:top w:val="single" w:sz="4" w:space="0" w:color="auto"/>
              <w:left w:val="nil"/>
              <w:right w:val="nil"/>
            </w:tcBorders>
            <w:shd w:val="clear" w:color="auto" w:fill="FABF8F" w:themeFill="accent6" w:themeFillTint="99"/>
            <w:noWrap/>
            <w:vAlign w:val="center"/>
          </w:tcPr>
          <w:p w14:paraId="755D13F2" w14:textId="688DBF6B" w:rsidR="00474131" w:rsidRPr="009E536C" w:rsidRDefault="00474131" w:rsidP="009E536C">
            <w:pPr>
              <w:pStyle w:val="cuadroCabe"/>
              <w:spacing w:line="240" w:lineRule="auto"/>
              <w:rPr>
                <w:sz w:val="16"/>
                <w:szCs w:val="16"/>
                <w:lang w:val="es-ES" w:eastAsia="es-ES"/>
              </w:rPr>
            </w:pPr>
            <w:r w:rsidRPr="009E536C">
              <w:rPr>
                <w:sz w:val="16"/>
                <w:szCs w:val="16"/>
                <w:lang w:val="es-ES" w:eastAsia="es-ES"/>
              </w:rPr>
              <w:t>Tipo de contrato</w:t>
            </w:r>
          </w:p>
        </w:tc>
        <w:tc>
          <w:tcPr>
            <w:tcW w:w="791" w:type="pct"/>
            <w:gridSpan w:val="2"/>
            <w:tcBorders>
              <w:top w:val="single" w:sz="4" w:space="0" w:color="auto"/>
              <w:left w:val="nil"/>
              <w:bottom w:val="single" w:sz="2" w:space="0" w:color="auto"/>
              <w:right w:val="nil"/>
            </w:tcBorders>
            <w:shd w:val="clear" w:color="auto" w:fill="FABF8F" w:themeFill="accent6" w:themeFillTint="99"/>
            <w:vAlign w:val="center"/>
          </w:tcPr>
          <w:p w14:paraId="528C594A" w14:textId="5E760772" w:rsidR="00474131" w:rsidRPr="009E536C" w:rsidRDefault="00474131" w:rsidP="009E536C">
            <w:pPr>
              <w:pStyle w:val="cuadroCabe"/>
              <w:spacing w:line="240" w:lineRule="auto"/>
              <w:jc w:val="right"/>
              <w:rPr>
                <w:color w:val="000000"/>
                <w:sz w:val="16"/>
                <w:szCs w:val="16"/>
                <w:lang w:val="es-ES" w:eastAsia="es-ES"/>
              </w:rPr>
            </w:pPr>
            <w:r w:rsidRPr="009E536C">
              <w:rPr>
                <w:color w:val="000000"/>
                <w:sz w:val="16"/>
                <w:szCs w:val="16"/>
                <w:lang w:eastAsia="es-ES"/>
              </w:rPr>
              <w:t>Ayuntamientos</w:t>
            </w:r>
          </w:p>
        </w:tc>
        <w:tc>
          <w:tcPr>
            <w:tcW w:w="677" w:type="pct"/>
            <w:gridSpan w:val="3"/>
            <w:tcBorders>
              <w:top w:val="single" w:sz="4" w:space="0" w:color="auto"/>
              <w:left w:val="nil"/>
              <w:bottom w:val="single" w:sz="2" w:space="0" w:color="auto"/>
              <w:right w:val="nil"/>
            </w:tcBorders>
            <w:shd w:val="clear" w:color="auto" w:fill="FABF8F" w:themeFill="accent6" w:themeFillTint="99"/>
            <w:vAlign w:val="center"/>
          </w:tcPr>
          <w:p w14:paraId="54000BC9" w14:textId="28F00353" w:rsidR="00474131" w:rsidRPr="009E536C" w:rsidRDefault="00474131" w:rsidP="009E536C">
            <w:pPr>
              <w:pStyle w:val="cuadroCabe"/>
              <w:spacing w:line="240" w:lineRule="auto"/>
              <w:jc w:val="right"/>
              <w:rPr>
                <w:color w:val="000000"/>
                <w:sz w:val="16"/>
                <w:szCs w:val="16"/>
                <w:lang w:val="es-ES" w:eastAsia="es-ES"/>
              </w:rPr>
            </w:pPr>
            <w:r w:rsidRPr="009E536C">
              <w:rPr>
                <w:color w:val="000000"/>
                <w:sz w:val="16"/>
                <w:szCs w:val="16"/>
                <w:lang w:eastAsia="es-ES"/>
              </w:rPr>
              <w:t>Concejos</w:t>
            </w:r>
          </w:p>
        </w:tc>
        <w:tc>
          <w:tcPr>
            <w:tcW w:w="754" w:type="pct"/>
            <w:gridSpan w:val="2"/>
            <w:tcBorders>
              <w:top w:val="single" w:sz="4" w:space="0" w:color="auto"/>
              <w:left w:val="nil"/>
              <w:bottom w:val="single" w:sz="2" w:space="0" w:color="auto"/>
              <w:right w:val="nil"/>
            </w:tcBorders>
            <w:shd w:val="clear" w:color="auto" w:fill="FABF8F" w:themeFill="accent6" w:themeFillTint="99"/>
            <w:noWrap/>
            <w:vAlign w:val="center"/>
          </w:tcPr>
          <w:p w14:paraId="0CEC7726" w14:textId="3EB41B6E" w:rsidR="00474131" w:rsidRPr="009E536C" w:rsidRDefault="00474131" w:rsidP="009E536C">
            <w:pPr>
              <w:pStyle w:val="cuadroCabe"/>
              <w:spacing w:line="240" w:lineRule="auto"/>
              <w:jc w:val="right"/>
              <w:rPr>
                <w:color w:val="000000"/>
                <w:sz w:val="16"/>
                <w:szCs w:val="16"/>
                <w:lang w:val="es-ES" w:eastAsia="es-ES"/>
              </w:rPr>
            </w:pPr>
            <w:r w:rsidRPr="009E536C">
              <w:rPr>
                <w:color w:val="000000"/>
                <w:sz w:val="16"/>
                <w:szCs w:val="16"/>
                <w:lang w:val="es-ES" w:eastAsia="es-ES"/>
              </w:rPr>
              <w:t>Agrupaciones</w:t>
            </w:r>
          </w:p>
        </w:tc>
        <w:tc>
          <w:tcPr>
            <w:tcW w:w="873" w:type="pct"/>
            <w:gridSpan w:val="2"/>
            <w:tcBorders>
              <w:top w:val="single" w:sz="4" w:space="0" w:color="auto"/>
              <w:left w:val="nil"/>
              <w:bottom w:val="single" w:sz="2" w:space="0" w:color="auto"/>
              <w:right w:val="nil"/>
            </w:tcBorders>
            <w:shd w:val="clear" w:color="auto" w:fill="FABF8F" w:themeFill="accent6" w:themeFillTint="99"/>
            <w:noWrap/>
            <w:vAlign w:val="center"/>
          </w:tcPr>
          <w:p w14:paraId="2D3A87FC" w14:textId="345E75BC" w:rsidR="00474131" w:rsidRPr="009E536C" w:rsidRDefault="00474131" w:rsidP="009E536C">
            <w:pPr>
              <w:pStyle w:val="cuadroCabe"/>
              <w:spacing w:line="240" w:lineRule="auto"/>
              <w:jc w:val="right"/>
              <w:rPr>
                <w:color w:val="000000"/>
                <w:sz w:val="16"/>
                <w:szCs w:val="16"/>
                <w:lang w:val="es-ES" w:eastAsia="es-ES"/>
              </w:rPr>
            </w:pPr>
            <w:r w:rsidRPr="009E536C">
              <w:rPr>
                <w:color w:val="000000"/>
                <w:sz w:val="16"/>
                <w:szCs w:val="16"/>
                <w:lang w:eastAsia="es-ES"/>
              </w:rPr>
              <w:t>Mancomunidades</w:t>
            </w:r>
          </w:p>
        </w:tc>
        <w:tc>
          <w:tcPr>
            <w:tcW w:w="872" w:type="pct"/>
            <w:gridSpan w:val="2"/>
            <w:tcBorders>
              <w:top w:val="single" w:sz="4" w:space="0" w:color="auto"/>
              <w:left w:val="nil"/>
              <w:bottom w:val="single" w:sz="2" w:space="0" w:color="auto"/>
              <w:right w:val="nil"/>
            </w:tcBorders>
            <w:shd w:val="clear" w:color="auto" w:fill="FABF8F" w:themeFill="accent6" w:themeFillTint="99"/>
            <w:noWrap/>
            <w:vAlign w:val="center"/>
          </w:tcPr>
          <w:p w14:paraId="1739A520" w14:textId="77777777" w:rsidR="00474131" w:rsidRPr="009E536C" w:rsidRDefault="00474131" w:rsidP="009E536C">
            <w:pPr>
              <w:pStyle w:val="cuadroCabe"/>
              <w:spacing w:line="240" w:lineRule="auto"/>
              <w:jc w:val="right"/>
              <w:rPr>
                <w:color w:val="000000"/>
                <w:sz w:val="16"/>
                <w:szCs w:val="16"/>
                <w:lang w:val="es-ES" w:eastAsia="es-ES"/>
              </w:rPr>
            </w:pPr>
            <w:r w:rsidRPr="009E536C">
              <w:rPr>
                <w:color w:val="000000"/>
                <w:sz w:val="16"/>
                <w:szCs w:val="16"/>
                <w:lang w:val="es-ES" w:eastAsia="es-ES"/>
              </w:rPr>
              <w:t>Total</w:t>
            </w:r>
          </w:p>
          <w:p w14:paraId="71EA29F2" w14:textId="19808768" w:rsidR="00474131" w:rsidRPr="009E536C" w:rsidRDefault="00474131" w:rsidP="009E536C">
            <w:pPr>
              <w:pStyle w:val="cuadroCabe"/>
              <w:spacing w:line="240" w:lineRule="auto"/>
              <w:jc w:val="right"/>
              <w:rPr>
                <w:color w:val="000000"/>
                <w:sz w:val="16"/>
                <w:szCs w:val="16"/>
                <w:lang w:val="es-ES" w:eastAsia="es-ES"/>
              </w:rPr>
            </w:pPr>
            <w:r w:rsidRPr="009E536C">
              <w:rPr>
                <w:color w:val="000000"/>
                <w:sz w:val="16"/>
                <w:szCs w:val="16"/>
                <w:lang w:val="es-ES" w:eastAsia="es-ES"/>
              </w:rPr>
              <w:t>entidades locales</w:t>
            </w:r>
          </w:p>
        </w:tc>
      </w:tr>
      <w:tr w:rsidR="004A12BD" w:rsidRPr="009E536C" w14:paraId="01A427E1" w14:textId="77777777" w:rsidTr="009E536C">
        <w:trPr>
          <w:trHeight w:val="255"/>
          <w:jc w:val="center"/>
        </w:trPr>
        <w:tc>
          <w:tcPr>
            <w:tcW w:w="1033" w:type="pct"/>
            <w:vMerge/>
            <w:tcBorders>
              <w:left w:val="nil"/>
              <w:bottom w:val="single" w:sz="2" w:space="0" w:color="auto"/>
              <w:right w:val="nil"/>
            </w:tcBorders>
            <w:shd w:val="clear" w:color="auto" w:fill="FABF8F" w:themeFill="accent6" w:themeFillTint="99"/>
            <w:noWrap/>
            <w:vAlign w:val="center"/>
          </w:tcPr>
          <w:p w14:paraId="6E230C29" w14:textId="77777777" w:rsidR="00474131" w:rsidRPr="009E536C" w:rsidRDefault="00474131" w:rsidP="009E536C">
            <w:pPr>
              <w:pStyle w:val="cuadroCabe"/>
              <w:spacing w:line="240" w:lineRule="auto"/>
              <w:rPr>
                <w:sz w:val="16"/>
                <w:szCs w:val="16"/>
                <w:lang w:val="es-ES" w:eastAsia="es-ES"/>
              </w:rPr>
            </w:pPr>
          </w:p>
        </w:tc>
        <w:tc>
          <w:tcPr>
            <w:tcW w:w="277" w:type="pct"/>
            <w:tcBorders>
              <w:top w:val="nil"/>
              <w:left w:val="nil"/>
              <w:bottom w:val="single" w:sz="2" w:space="0" w:color="auto"/>
              <w:right w:val="nil"/>
            </w:tcBorders>
            <w:shd w:val="clear" w:color="auto" w:fill="FABF8F" w:themeFill="accent6" w:themeFillTint="99"/>
            <w:vAlign w:val="center"/>
          </w:tcPr>
          <w:p w14:paraId="519684D8" w14:textId="708152BE" w:rsidR="00474131" w:rsidRPr="009E536C" w:rsidRDefault="00474131" w:rsidP="009E536C">
            <w:pPr>
              <w:pStyle w:val="cuadroCabe"/>
              <w:spacing w:line="240" w:lineRule="auto"/>
              <w:jc w:val="right"/>
              <w:rPr>
                <w:color w:val="000000"/>
                <w:sz w:val="16"/>
                <w:szCs w:val="16"/>
              </w:rPr>
            </w:pPr>
            <w:proofErr w:type="spellStart"/>
            <w:r w:rsidRPr="009E536C">
              <w:rPr>
                <w:color w:val="000000"/>
                <w:sz w:val="16"/>
                <w:szCs w:val="16"/>
                <w:lang w:val="es-ES" w:eastAsia="es-ES"/>
              </w:rPr>
              <w:t>Nº</w:t>
            </w:r>
            <w:proofErr w:type="spellEnd"/>
          </w:p>
        </w:tc>
        <w:tc>
          <w:tcPr>
            <w:tcW w:w="513" w:type="pct"/>
            <w:tcBorders>
              <w:top w:val="nil"/>
              <w:left w:val="nil"/>
              <w:bottom w:val="single" w:sz="2" w:space="0" w:color="auto"/>
              <w:right w:val="nil"/>
            </w:tcBorders>
            <w:shd w:val="clear" w:color="auto" w:fill="FABF8F" w:themeFill="accent6" w:themeFillTint="99"/>
            <w:vAlign w:val="center"/>
          </w:tcPr>
          <w:p w14:paraId="1673275E" w14:textId="2C503524" w:rsidR="00474131" w:rsidRPr="009E536C" w:rsidRDefault="00474131" w:rsidP="009E536C">
            <w:pPr>
              <w:pStyle w:val="cuadroCabe"/>
              <w:spacing w:line="240" w:lineRule="auto"/>
              <w:jc w:val="right"/>
              <w:rPr>
                <w:color w:val="000000"/>
                <w:sz w:val="16"/>
                <w:szCs w:val="16"/>
              </w:rPr>
            </w:pPr>
            <w:r w:rsidRPr="009E536C">
              <w:rPr>
                <w:color w:val="000000"/>
                <w:sz w:val="16"/>
                <w:szCs w:val="16"/>
                <w:lang w:val="es-ES" w:eastAsia="es-ES"/>
              </w:rPr>
              <w:t xml:space="preserve">Importe </w:t>
            </w:r>
          </w:p>
        </w:tc>
        <w:tc>
          <w:tcPr>
            <w:tcW w:w="239" w:type="pct"/>
            <w:tcBorders>
              <w:top w:val="nil"/>
              <w:left w:val="nil"/>
              <w:bottom w:val="single" w:sz="2" w:space="0" w:color="auto"/>
              <w:right w:val="nil"/>
            </w:tcBorders>
            <w:shd w:val="clear" w:color="auto" w:fill="FABF8F" w:themeFill="accent6" w:themeFillTint="99"/>
            <w:vAlign w:val="center"/>
          </w:tcPr>
          <w:p w14:paraId="5AB9ECE8" w14:textId="39DFE05C" w:rsidR="00474131" w:rsidRPr="009E536C" w:rsidRDefault="00474131" w:rsidP="009E536C">
            <w:pPr>
              <w:pStyle w:val="cuadroCabe"/>
              <w:spacing w:line="240" w:lineRule="auto"/>
              <w:jc w:val="right"/>
              <w:rPr>
                <w:color w:val="000000"/>
                <w:sz w:val="16"/>
                <w:szCs w:val="16"/>
              </w:rPr>
            </w:pPr>
            <w:proofErr w:type="spellStart"/>
            <w:r w:rsidRPr="009E536C">
              <w:rPr>
                <w:color w:val="000000"/>
                <w:sz w:val="16"/>
                <w:szCs w:val="16"/>
                <w:lang w:val="es-ES" w:eastAsia="es-ES"/>
              </w:rPr>
              <w:t>Nº</w:t>
            </w:r>
            <w:proofErr w:type="spellEnd"/>
          </w:p>
        </w:tc>
        <w:tc>
          <w:tcPr>
            <w:tcW w:w="434" w:type="pct"/>
            <w:tcBorders>
              <w:top w:val="nil"/>
              <w:left w:val="nil"/>
              <w:bottom w:val="single" w:sz="2" w:space="0" w:color="auto"/>
              <w:right w:val="nil"/>
            </w:tcBorders>
            <w:shd w:val="clear" w:color="auto" w:fill="FABF8F" w:themeFill="accent6" w:themeFillTint="99"/>
            <w:vAlign w:val="center"/>
          </w:tcPr>
          <w:p w14:paraId="29C25D1E" w14:textId="5CAEEDD4" w:rsidR="00474131" w:rsidRPr="009E536C" w:rsidRDefault="00474131" w:rsidP="009E536C">
            <w:pPr>
              <w:pStyle w:val="cuadroCabe"/>
              <w:spacing w:line="240" w:lineRule="auto"/>
              <w:jc w:val="right"/>
              <w:rPr>
                <w:color w:val="000000"/>
                <w:sz w:val="16"/>
                <w:szCs w:val="16"/>
              </w:rPr>
            </w:pPr>
            <w:r w:rsidRPr="009E536C">
              <w:rPr>
                <w:color w:val="000000"/>
                <w:sz w:val="16"/>
                <w:szCs w:val="16"/>
                <w:lang w:val="es-ES" w:eastAsia="es-ES"/>
              </w:rPr>
              <w:t xml:space="preserve">Importe </w:t>
            </w:r>
          </w:p>
        </w:tc>
        <w:tc>
          <w:tcPr>
            <w:tcW w:w="271" w:type="pct"/>
            <w:gridSpan w:val="2"/>
            <w:tcBorders>
              <w:top w:val="nil"/>
              <w:left w:val="nil"/>
              <w:bottom w:val="single" w:sz="2" w:space="0" w:color="auto"/>
              <w:right w:val="nil"/>
            </w:tcBorders>
            <w:shd w:val="clear" w:color="auto" w:fill="FABF8F" w:themeFill="accent6" w:themeFillTint="99"/>
            <w:noWrap/>
            <w:vAlign w:val="center"/>
          </w:tcPr>
          <w:p w14:paraId="207B23C3" w14:textId="392C0ECE" w:rsidR="00474131" w:rsidRPr="009E536C" w:rsidRDefault="00474131" w:rsidP="009E536C">
            <w:pPr>
              <w:pStyle w:val="cuadroCabe"/>
              <w:spacing w:line="240" w:lineRule="auto"/>
              <w:jc w:val="right"/>
              <w:rPr>
                <w:color w:val="000000"/>
                <w:sz w:val="16"/>
                <w:szCs w:val="16"/>
              </w:rPr>
            </w:pPr>
            <w:proofErr w:type="spellStart"/>
            <w:r w:rsidRPr="009E536C">
              <w:rPr>
                <w:color w:val="000000"/>
                <w:sz w:val="16"/>
                <w:szCs w:val="16"/>
                <w:lang w:val="es-ES" w:eastAsia="es-ES"/>
              </w:rPr>
              <w:t>Nº</w:t>
            </w:r>
            <w:proofErr w:type="spellEnd"/>
          </w:p>
        </w:tc>
        <w:tc>
          <w:tcPr>
            <w:tcW w:w="487" w:type="pct"/>
            <w:tcBorders>
              <w:top w:val="nil"/>
              <w:left w:val="nil"/>
              <w:bottom w:val="single" w:sz="2" w:space="0" w:color="auto"/>
              <w:right w:val="nil"/>
            </w:tcBorders>
            <w:shd w:val="clear" w:color="auto" w:fill="FABF8F" w:themeFill="accent6" w:themeFillTint="99"/>
            <w:vAlign w:val="center"/>
          </w:tcPr>
          <w:p w14:paraId="2F17BDD7" w14:textId="6A40C681" w:rsidR="00474131" w:rsidRPr="009E536C" w:rsidRDefault="00474131" w:rsidP="009E536C">
            <w:pPr>
              <w:pStyle w:val="cuadroCabe"/>
              <w:spacing w:line="240" w:lineRule="auto"/>
              <w:jc w:val="right"/>
              <w:rPr>
                <w:color w:val="000000"/>
                <w:sz w:val="16"/>
                <w:szCs w:val="16"/>
              </w:rPr>
            </w:pPr>
            <w:r w:rsidRPr="009E536C">
              <w:rPr>
                <w:color w:val="000000"/>
                <w:sz w:val="16"/>
                <w:szCs w:val="16"/>
                <w:lang w:val="es-ES" w:eastAsia="es-ES"/>
              </w:rPr>
              <w:t xml:space="preserve">Importe </w:t>
            </w:r>
          </w:p>
        </w:tc>
        <w:tc>
          <w:tcPr>
            <w:tcW w:w="394" w:type="pct"/>
            <w:tcBorders>
              <w:top w:val="nil"/>
              <w:left w:val="nil"/>
              <w:bottom w:val="single" w:sz="2" w:space="0" w:color="auto"/>
              <w:right w:val="nil"/>
            </w:tcBorders>
            <w:shd w:val="clear" w:color="auto" w:fill="FABF8F" w:themeFill="accent6" w:themeFillTint="99"/>
            <w:noWrap/>
            <w:vAlign w:val="center"/>
          </w:tcPr>
          <w:p w14:paraId="3CDABE51" w14:textId="50A2C88E" w:rsidR="00474131" w:rsidRPr="009E536C" w:rsidRDefault="00474131" w:rsidP="009E536C">
            <w:pPr>
              <w:pStyle w:val="cuadroCabe"/>
              <w:spacing w:line="240" w:lineRule="auto"/>
              <w:jc w:val="right"/>
              <w:rPr>
                <w:color w:val="000000"/>
                <w:sz w:val="16"/>
                <w:szCs w:val="16"/>
              </w:rPr>
            </w:pPr>
            <w:proofErr w:type="spellStart"/>
            <w:r w:rsidRPr="009E536C">
              <w:rPr>
                <w:color w:val="000000"/>
                <w:sz w:val="16"/>
                <w:szCs w:val="16"/>
                <w:lang w:val="es-ES" w:eastAsia="es-ES"/>
              </w:rPr>
              <w:t>Nº</w:t>
            </w:r>
            <w:proofErr w:type="spellEnd"/>
          </w:p>
        </w:tc>
        <w:tc>
          <w:tcPr>
            <w:tcW w:w="479" w:type="pct"/>
            <w:tcBorders>
              <w:top w:val="nil"/>
              <w:left w:val="nil"/>
              <w:bottom w:val="single" w:sz="2" w:space="0" w:color="auto"/>
              <w:right w:val="nil"/>
            </w:tcBorders>
            <w:shd w:val="clear" w:color="auto" w:fill="FABF8F" w:themeFill="accent6" w:themeFillTint="99"/>
            <w:noWrap/>
            <w:vAlign w:val="center"/>
          </w:tcPr>
          <w:p w14:paraId="2EC401C5" w14:textId="0FF4C29C" w:rsidR="00474131" w:rsidRPr="009E536C" w:rsidRDefault="00474131" w:rsidP="009E536C">
            <w:pPr>
              <w:pStyle w:val="cuadroCabe"/>
              <w:spacing w:line="240" w:lineRule="auto"/>
              <w:jc w:val="right"/>
              <w:rPr>
                <w:color w:val="000000"/>
                <w:sz w:val="16"/>
                <w:szCs w:val="16"/>
              </w:rPr>
            </w:pPr>
            <w:r w:rsidRPr="009E536C">
              <w:rPr>
                <w:color w:val="000000"/>
                <w:sz w:val="16"/>
                <w:szCs w:val="16"/>
                <w:lang w:val="es-ES" w:eastAsia="es-ES"/>
              </w:rPr>
              <w:t xml:space="preserve">Importe </w:t>
            </w:r>
          </w:p>
        </w:tc>
        <w:tc>
          <w:tcPr>
            <w:tcW w:w="276" w:type="pct"/>
            <w:tcBorders>
              <w:top w:val="nil"/>
              <w:left w:val="nil"/>
              <w:bottom w:val="single" w:sz="2" w:space="0" w:color="auto"/>
              <w:right w:val="nil"/>
            </w:tcBorders>
            <w:shd w:val="clear" w:color="auto" w:fill="FABF8F" w:themeFill="accent6" w:themeFillTint="99"/>
            <w:noWrap/>
            <w:vAlign w:val="center"/>
          </w:tcPr>
          <w:p w14:paraId="30849BF6" w14:textId="4E0A035B" w:rsidR="00474131" w:rsidRPr="009E536C" w:rsidRDefault="00474131" w:rsidP="009E536C">
            <w:pPr>
              <w:pStyle w:val="cuadroCabe"/>
              <w:spacing w:line="240" w:lineRule="auto"/>
              <w:jc w:val="right"/>
              <w:rPr>
                <w:color w:val="000000"/>
                <w:sz w:val="16"/>
                <w:szCs w:val="16"/>
              </w:rPr>
            </w:pPr>
            <w:proofErr w:type="spellStart"/>
            <w:r w:rsidRPr="009E536C">
              <w:rPr>
                <w:color w:val="000000"/>
                <w:sz w:val="16"/>
                <w:szCs w:val="16"/>
                <w:lang w:val="es-ES" w:eastAsia="es-ES"/>
              </w:rPr>
              <w:t>Nº</w:t>
            </w:r>
            <w:proofErr w:type="spellEnd"/>
          </w:p>
        </w:tc>
        <w:tc>
          <w:tcPr>
            <w:tcW w:w="597" w:type="pct"/>
            <w:tcBorders>
              <w:top w:val="nil"/>
              <w:left w:val="nil"/>
              <w:bottom w:val="single" w:sz="2" w:space="0" w:color="auto"/>
              <w:right w:val="nil"/>
            </w:tcBorders>
            <w:shd w:val="clear" w:color="auto" w:fill="FABF8F" w:themeFill="accent6" w:themeFillTint="99"/>
            <w:noWrap/>
            <w:vAlign w:val="center"/>
          </w:tcPr>
          <w:p w14:paraId="6A600B73" w14:textId="712F98D7" w:rsidR="00474131" w:rsidRPr="009E536C" w:rsidRDefault="00474131" w:rsidP="009E536C">
            <w:pPr>
              <w:pStyle w:val="cuadroCabe"/>
              <w:spacing w:line="240" w:lineRule="auto"/>
              <w:jc w:val="right"/>
              <w:rPr>
                <w:color w:val="000000"/>
                <w:sz w:val="16"/>
                <w:szCs w:val="16"/>
              </w:rPr>
            </w:pPr>
            <w:r w:rsidRPr="009E536C">
              <w:rPr>
                <w:color w:val="000000"/>
                <w:sz w:val="16"/>
                <w:szCs w:val="16"/>
                <w:lang w:val="es-ES" w:eastAsia="es-ES"/>
              </w:rPr>
              <w:t xml:space="preserve">Importe </w:t>
            </w:r>
          </w:p>
        </w:tc>
      </w:tr>
      <w:tr w:rsidR="004A12BD" w:rsidRPr="00474131" w14:paraId="0B9D3E6C" w14:textId="77777777" w:rsidTr="009E536C">
        <w:trPr>
          <w:trHeight w:val="255"/>
          <w:jc w:val="center"/>
        </w:trPr>
        <w:tc>
          <w:tcPr>
            <w:tcW w:w="1033" w:type="pct"/>
            <w:tcBorders>
              <w:top w:val="nil"/>
              <w:left w:val="nil"/>
              <w:bottom w:val="single" w:sz="2" w:space="0" w:color="auto"/>
              <w:right w:val="nil"/>
            </w:tcBorders>
            <w:shd w:val="clear" w:color="auto" w:fill="auto"/>
            <w:noWrap/>
            <w:vAlign w:val="center"/>
            <w:hideMark/>
          </w:tcPr>
          <w:p w14:paraId="23BDB4AD" w14:textId="77777777" w:rsidR="00474131" w:rsidRPr="00474131" w:rsidRDefault="00474131" w:rsidP="009E536C">
            <w:pPr>
              <w:pStyle w:val="cuatexto"/>
              <w:spacing w:line="240" w:lineRule="auto"/>
              <w:rPr>
                <w:color w:val="000000"/>
                <w:szCs w:val="20"/>
                <w:lang w:val="es-ES" w:eastAsia="es-ES"/>
              </w:rPr>
            </w:pPr>
            <w:r w:rsidRPr="00474131">
              <w:rPr>
                <w:szCs w:val="20"/>
                <w:lang w:val="es-ES" w:eastAsia="es-ES"/>
              </w:rPr>
              <w:t>Obras</w:t>
            </w:r>
          </w:p>
        </w:tc>
        <w:tc>
          <w:tcPr>
            <w:tcW w:w="277" w:type="pct"/>
            <w:tcBorders>
              <w:top w:val="nil"/>
              <w:left w:val="nil"/>
              <w:bottom w:val="single" w:sz="2" w:space="0" w:color="auto"/>
              <w:right w:val="nil"/>
            </w:tcBorders>
            <w:shd w:val="clear" w:color="auto" w:fill="auto"/>
            <w:vAlign w:val="center"/>
            <w:hideMark/>
          </w:tcPr>
          <w:p w14:paraId="3FC92119" w14:textId="77777777" w:rsidR="00474131" w:rsidRPr="00474131" w:rsidRDefault="00474131" w:rsidP="009E536C">
            <w:pPr>
              <w:pStyle w:val="cuatexto"/>
              <w:spacing w:line="240" w:lineRule="auto"/>
              <w:jc w:val="right"/>
              <w:rPr>
                <w:color w:val="000000"/>
                <w:szCs w:val="20"/>
                <w:lang w:val="es-ES" w:eastAsia="es-ES"/>
              </w:rPr>
            </w:pPr>
            <w:r w:rsidRPr="00474131">
              <w:rPr>
                <w:color w:val="000000"/>
                <w:szCs w:val="20"/>
              </w:rPr>
              <w:t>148</w:t>
            </w:r>
          </w:p>
        </w:tc>
        <w:tc>
          <w:tcPr>
            <w:tcW w:w="513" w:type="pct"/>
            <w:tcBorders>
              <w:top w:val="nil"/>
              <w:left w:val="nil"/>
              <w:bottom w:val="single" w:sz="2" w:space="0" w:color="auto"/>
              <w:right w:val="nil"/>
            </w:tcBorders>
            <w:shd w:val="clear" w:color="auto" w:fill="auto"/>
            <w:vAlign w:val="center"/>
            <w:hideMark/>
          </w:tcPr>
          <w:p w14:paraId="2207842A" w14:textId="3A3CC5FF" w:rsidR="00474131" w:rsidRPr="00474131" w:rsidRDefault="00474131" w:rsidP="009E536C">
            <w:pPr>
              <w:pStyle w:val="cuatexto"/>
              <w:spacing w:line="240" w:lineRule="auto"/>
              <w:jc w:val="right"/>
              <w:rPr>
                <w:color w:val="000000"/>
                <w:szCs w:val="20"/>
                <w:lang w:val="es-ES" w:eastAsia="es-ES"/>
              </w:rPr>
            </w:pPr>
            <w:r w:rsidRPr="00474131">
              <w:rPr>
                <w:rFonts w:cs="Arial"/>
                <w:color w:val="000000"/>
                <w:szCs w:val="20"/>
              </w:rPr>
              <w:t>38.690</w:t>
            </w:r>
          </w:p>
        </w:tc>
        <w:tc>
          <w:tcPr>
            <w:tcW w:w="239" w:type="pct"/>
            <w:tcBorders>
              <w:top w:val="nil"/>
              <w:left w:val="nil"/>
              <w:bottom w:val="single" w:sz="2" w:space="0" w:color="auto"/>
              <w:right w:val="nil"/>
            </w:tcBorders>
            <w:shd w:val="clear" w:color="auto" w:fill="auto"/>
            <w:vAlign w:val="center"/>
            <w:hideMark/>
          </w:tcPr>
          <w:p w14:paraId="15660F0F" w14:textId="77777777" w:rsidR="00474131" w:rsidRPr="00474131" w:rsidRDefault="00474131" w:rsidP="009E536C">
            <w:pPr>
              <w:pStyle w:val="cuatexto"/>
              <w:spacing w:line="240" w:lineRule="auto"/>
              <w:jc w:val="right"/>
              <w:rPr>
                <w:color w:val="000000"/>
                <w:szCs w:val="20"/>
              </w:rPr>
            </w:pPr>
            <w:r w:rsidRPr="00474131">
              <w:rPr>
                <w:color w:val="000000"/>
                <w:szCs w:val="20"/>
              </w:rPr>
              <w:t>5</w:t>
            </w:r>
          </w:p>
        </w:tc>
        <w:tc>
          <w:tcPr>
            <w:tcW w:w="434" w:type="pct"/>
            <w:tcBorders>
              <w:top w:val="nil"/>
              <w:left w:val="nil"/>
              <w:bottom w:val="single" w:sz="2" w:space="0" w:color="auto"/>
              <w:right w:val="nil"/>
            </w:tcBorders>
            <w:shd w:val="clear" w:color="auto" w:fill="auto"/>
            <w:vAlign w:val="center"/>
            <w:hideMark/>
          </w:tcPr>
          <w:p w14:paraId="075C7716" w14:textId="488487ED" w:rsidR="00474131" w:rsidRPr="00474131" w:rsidRDefault="00474131" w:rsidP="009E536C">
            <w:pPr>
              <w:pStyle w:val="cuatexto"/>
              <w:spacing w:line="240" w:lineRule="auto"/>
              <w:jc w:val="right"/>
              <w:rPr>
                <w:color w:val="000000"/>
                <w:szCs w:val="20"/>
                <w:lang w:val="es-ES" w:eastAsia="es-ES"/>
              </w:rPr>
            </w:pPr>
            <w:r w:rsidRPr="00474131">
              <w:rPr>
                <w:rFonts w:cs="Arial"/>
                <w:color w:val="000000"/>
                <w:szCs w:val="20"/>
              </w:rPr>
              <w:t>273</w:t>
            </w:r>
          </w:p>
        </w:tc>
        <w:tc>
          <w:tcPr>
            <w:tcW w:w="271" w:type="pct"/>
            <w:gridSpan w:val="2"/>
            <w:tcBorders>
              <w:top w:val="nil"/>
              <w:left w:val="nil"/>
              <w:bottom w:val="single" w:sz="2" w:space="0" w:color="auto"/>
              <w:right w:val="nil"/>
            </w:tcBorders>
            <w:shd w:val="clear" w:color="auto" w:fill="auto"/>
            <w:noWrap/>
            <w:vAlign w:val="center"/>
            <w:hideMark/>
          </w:tcPr>
          <w:p w14:paraId="01514928" w14:textId="77777777" w:rsidR="00474131" w:rsidRPr="00474131" w:rsidRDefault="00474131" w:rsidP="009E536C">
            <w:pPr>
              <w:pStyle w:val="cuatexto"/>
              <w:spacing w:line="240" w:lineRule="auto"/>
              <w:jc w:val="right"/>
              <w:rPr>
                <w:color w:val="000000"/>
                <w:szCs w:val="20"/>
              </w:rPr>
            </w:pPr>
            <w:r w:rsidRPr="00474131">
              <w:rPr>
                <w:color w:val="000000"/>
                <w:szCs w:val="20"/>
              </w:rPr>
              <w:t>6</w:t>
            </w:r>
          </w:p>
        </w:tc>
        <w:tc>
          <w:tcPr>
            <w:tcW w:w="487" w:type="pct"/>
            <w:tcBorders>
              <w:top w:val="nil"/>
              <w:left w:val="nil"/>
              <w:bottom w:val="single" w:sz="2" w:space="0" w:color="auto"/>
              <w:right w:val="nil"/>
            </w:tcBorders>
            <w:shd w:val="clear" w:color="auto" w:fill="auto"/>
            <w:vAlign w:val="center"/>
            <w:hideMark/>
          </w:tcPr>
          <w:p w14:paraId="267045EB" w14:textId="29695AF3" w:rsidR="00474131" w:rsidRPr="00474131" w:rsidRDefault="00474131" w:rsidP="009E536C">
            <w:pPr>
              <w:pStyle w:val="cuatexto"/>
              <w:spacing w:line="240" w:lineRule="auto"/>
              <w:jc w:val="right"/>
              <w:rPr>
                <w:color w:val="000000"/>
                <w:szCs w:val="20"/>
                <w:lang w:val="es-ES" w:eastAsia="es-ES"/>
              </w:rPr>
            </w:pPr>
            <w:r w:rsidRPr="00474131">
              <w:rPr>
                <w:rFonts w:cs="Arial"/>
                <w:color w:val="000000"/>
                <w:szCs w:val="20"/>
              </w:rPr>
              <w:t>434</w:t>
            </w:r>
          </w:p>
        </w:tc>
        <w:tc>
          <w:tcPr>
            <w:tcW w:w="394" w:type="pct"/>
            <w:tcBorders>
              <w:top w:val="nil"/>
              <w:left w:val="nil"/>
              <w:bottom w:val="single" w:sz="2" w:space="0" w:color="auto"/>
              <w:right w:val="nil"/>
            </w:tcBorders>
            <w:shd w:val="clear" w:color="auto" w:fill="auto"/>
            <w:noWrap/>
            <w:vAlign w:val="center"/>
            <w:hideMark/>
          </w:tcPr>
          <w:p w14:paraId="3C371FAA" w14:textId="77777777" w:rsidR="00474131" w:rsidRPr="00474131" w:rsidRDefault="00474131" w:rsidP="009E536C">
            <w:pPr>
              <w:pStyle w:val="cuatexto"/>
              <w:spacing w:line="240" w:lineRule="auto"/>
              <w:jc w:val="right"/>
              <w:rPr>
                <w:color w:val="000000"/>
                <w:szCs w:val="20"/>
              </w:rPr>
            </w:pPr>
            <w:r w:rsidRPr="00474131">
              <w:rPr>
                <w:color w:val="000000"/>
                <w:szCs w:val="20"/>
              </w:rPr>
              <w:t>3</w:t>
            </w:r>
          </w:p>
        </w:tc>
        <w:tc>
          <w:tcPr>
            <w:tcW w:w="479" w:type="pct"/>
            <w:tcBorders>
              <w:top w:val="nil"/>
              <w:left w:val="nil"/>
              <w:bottom w:val="single" w:sz="2" w:space="0" w:color="auto"/>
              <w:right w:val="nil"/>
            </w:tcBorders>
            <w:shd w:val="clear" w:color="auto" w:fill="auto"/>
            <w:noWrap/>
            <w:vAlign w:val="center"/>
            <w:hideMark/>
          </w:tcPr>
          <w:p w14:paraId="29C69330" w14:textId="39955879" w:rsidR="00474131" w:rsidRPr="00474131" w:rsidRDefault="00474131" w:rsidP="009E536C">
            <w:pPr>
              <w:pStyle w:val="cuatexto"/>
              <w:spacing w:line="240" w:lineRule="auto"/>
              <w:jc w:val="right"/>
              <w:rPr>
                <w:color w:val="000000"/>
                <w:szCs w:val="20"/>
                <w:lang w:val="es-ES" w:eastAsia="es-ES"/>
              </w:rPr>
            </w:pPr>
            <w:r w:rsidRPr="00474131">
              <w:rPr>
                <w:rFonts w:cs="Arial"/>
                <w:color w:val="000000"/>
                <w:szCs w:val="20"/>
              </w:rPr>
              <w:t>576</w:t>
            </w:r>
          </w:p>
        </w:tc>
        <w:tc>
          <w:tcPr>
            <w:tcW w:w="276" w:type="pct"/>
            <w:tcBorders>
              <w:top w:val="nil"/>
              <w:left w:val="nil"/>
              <w:bottom w:val="single" w:sz="2" w:space="0" w:color="auto"/>
              <w:right w:val="nil"/>
            </w:tcBorders>
            <w:shd w:val="clear" w:color="auto" w:fill="auto"/>
            <w:noWrap/>
            <w:vAlign w:val="center"/>
            <w:hideMark/>
          </w:tcPr>
          <w:p w14:paraId="4209731A" w14:textId="77777777" w:rsidR="00474131" w:rsidRPr="00474131" w:rsidRDefault="00474131" w:rsidP="009E536C">
            <w:pPr>
              <w:pStyle w:val="cuatexto"/>
              <w:spacing w:line="240" w:lineRule="auto"/>
              <w:jc w:val="right"/>
              <w:rPr>
                <w:color w:val="000000"/>
                <w:szCs w:val="20"/>
              </w:rPr>
            </w:pPr>
            <w:r w:rsidRPr="00474131">
              <w:rPr>
                <w:color w:val="000000"/>
                <w:szCs w:val="20"/>
              </w:rPr>
              <w:t>162</w:t>
            </w:r>
          </w:p>
        </w:tc>
        <w:tc>
          <w:tcPr>
            <w:tcW w:w="597" w:type="pct"/>
            <w:tcBorders>
              <w:top w:val="nil"/>
              <w:left w:val="nil"/>
              <w:bottom w:val="single" w:sz="2" w:space="0" w:color="auto"/>
              <w:right w:val="nil"/>
            </w:tcBorders>
            <w:shd w:val="clear" w:color="auto" w:fill="auto"/>
            <w:noWrap/>
            <w:vAlign w:val="center"/>
          </w:tcPr>
          <w:p w14:paraId="7F917E0A" w14:textId="2DB7F87E" w:rsidR="00474131" w:rsidRPr="00474131" w:rsidRDefault="00474131" w:rsidP="009E536C">
            <w:pPr>
              <w:pStyle w:val="cuatexto"/>
              <w:spacing w:line="240" w:lineRule="auto"/>
              <w:jc w:val="right"/>
              <w:rPr>
                <w:color w:val="000000"/>
                <w:szCs w:val="20"/>
                <w:lang w:val="es-ES" w:eastAsia="es-ES"/>
              </w:rPr>
            </w:pPr>
            <w:r w:rsidRPr="00474131">
              <w:rPr>
                <w:rFonts w:cs="Arial"/>
                <w:color w:val="000000"/>
                <w:szCs w:val="20"/>
              </w:rPr>
              <w:t>39.974</w:t>
            </w:r>
          </w:p>
        </w:tc>
      </w:tr>
      <w:tr w:rsidR="004A12BD" w:rsidRPr="00474131" w14:paraId="448F44C0" w14:textId="77777777" w:rsidTr="009E536C">
        <w:trPr>
          <w:trHeight w:val="255"/>
          <w:jc w:val="center"/>
        </w:trPr>
        <w:tc>
          <w:tcPr>
            <w:tcW w:w="1033" w:type="pct"/>
            <w:tcBorders>
              <w:top w:val="single" w:sz="2" w:space="0" w:color="auto"/>
              <w:left w:val="nil"/>
              <w:bottom w:val="single" w:sz="2" w:space="0" w:color="auto"/>
              <w:right w:val="nil"/>
            </w:tcBorders>
            <w:shd w:val="clear" w:color="auto" w:fill="auto"/>
            <w:noWrap/>
            <w:vAlign w:val="center"/>
            <w:hideMark/>
          </w:tcPr>
          <w:p w14:paraId="2A706138" w14:textId="77777777" w:rsidR="00474131" w:rsidRPr="00474131" w:rsidRDefault="00474131" w:rsidP="009E536C">
            <w:pPr>
              <w:pStyle w:val="cuatexto"/>
              <w:spacing w:line="240" w:lineRule="auto"/>
              <w:rPr>
                <w:szCs w:val="20"/>
                <w:lang w:val="es-ES" w:eastAsia="es-ES"/>
              </w:rPr>
            </w:pPr>
            <w:r w:rsidRPr="00474131">
              <w:rPr>
                <w:szCs w:val="20"/>
                <w:lang w:val="es-ES" w:eastAsia="es-ES"/>
              </w:rPr>
              <w:t>Servicios</w:t>
            </w:r>
          </w:p>
        </w:tc>
        <w:tc>
          <w:tcPr>
            <w:tcW w:w="277" w:type="pct"/>
            <w:tcBorders>
              <w:top w:val="single" w:sz="2" w:space="0" w:color="auto"/>
              <w:left w:val="nil"/>
              <w:bottom w:val="single" w:sz="2" w:space="0" w:color="auto"/>
              <w:right w:val="nil"/>
            </w:tcBorders>
            <w:shd w:val="clear" w:color="auto" w:fill="auto"/>
            <w:vAlign w:val="center"/>
            <w:hideMark/>
          </w:tcPr>
          <w:p w14:paraId="344E6CB9" w14:textId="77777777" w:rsidR="00474131" w:rsidRPr="00474131" w:rsidRDefault="00474131" w:rsidP="009E536C">
            <w:pPr>
              <w:pStyle w:val="cuatexto"/>
              <w:spacing w:line="240" w:lineRule="auto"/>
              <w:jc w:val="right"/>
              <w:rPr>
                <w:szCs w:val="20"/>
                <w:lang w:val="es-ES" w:eastAsia="es-ES"/>
              </w:rPr>
            </w:pPr>
            <w:r w:rsidRPr="00474131">
              <w:rPr>
                <w:szCs w:val="20"/>
                <w:lang w:val="es-ES" w:eastAsia="es-ES"/>
              </w:rPr>
              <w:t>83</w:t>
            </w:r>
          </w:p>
        </w:tc>
        <w:tc>
          <w:tcPr>
            <w:tcW w:w="513" w:type="pct"/>
            <w:tcBorders>
              <w:top w:val="single" w:sz="2" w:space="0" w:color="auto"/>
              <w:left w:val="nil"/>
              <w:bottom w:val="single" w:sz="2" w:space="0" w:color="auto"/>
              <w:right w:val="nil"/>
            </w:tcBorders>
            <w:shd w:val="clear" w:color="auto" w:fill="auto"/>
            <w:vAlign w:val="center"/>
            <w:hideMark/>
          </w:tcPr>
          <w:p w14:paraId="3FADC4B5" w14:textId="05C4BBA4" w:rsidR="00474131" w:rsidRPr="00474131" w:rsidRDefault="00474131" w:rsidP="009E536C">
            <w:pPr>
              <w:pStyle w:val="cuatexto"/>
              <w:spacing w:line="240" w:lineRule="auto"/>
              <w:jc w:val="right"/>
              <w:rPr>
                <w:szCs w:val="20"/>
                <w:lang w:val="es-ES" w:eastAsia="es-ES"/>
              </w:rPr>
            </w:pPr>
            <w:r w:rsidRPr="00474131">
              <w:rPr>
                <w:szCs w:val="20"/>
                <w:lang w:val="es-ES" w:eastAsia="es-ES"/>
              </w:rPr>
              <w:t>18.468</w:t>
            </w:r>
          </w:p>
        </w:tc>
        <w:tc>
          <w:tcPr>
            <w:tcW w:w="239" w:type="pct"/>
            <w:tcBorders>
              <w:top w:val="single" w:sz="2" w:space="0" w:color="auto"/>
              <w:left w:val="nil"/>
              <w:bottom w:val="single" w:sz="2" w:space="0" w:color="auto"/>
              <w:right w:val="nil"/>
            </w:tcBorders>
            <w:shd w:val="clear" w:color="auto" w:fill="auto"/>
            <w:vAlign w:val="center"/>
            <w:hideMark/>
          </w:tcPr>
          <w:p w14:paraId="086022E2" w14:textId="675F2917" w:rsidR="00474131" w:rsidRPr="00474131" w:rsidRDefault="00474131" w:rsidP="009E536C">
            <w:pPr>
              <w:pStyle w:val="cuatexto"/>
              <w:spacing w:line="240" w:lineRule="auto"/>
              <w:jc w:val="right"/>
              <w:rPr>
                <w:szCs w:val="20"/>
                <w:lang w:val="es-ES" w:eastAsia="es-ES"/>
              </w:rPr>
            </w:pPr>
          </w:p>
        </w:tc>
        <w:tc>
          <w:tcPr>
            <w:tcW w:w="434" w:type="pct"/>
            <w:tcBorders>
              <w:top w:val="single" w:sz="2" w:space="0" w:color="auto"/>
              <w:left w:val="nil"/>
              <w:bottom w:val="single" w:sz="2" w:space="0" w:color="auto"/>
              <w:right w:val="nil"/>
            </w:tcBorders>
            <w:shd w:val="clear" w:color="auto" w:fill="auto"/>
            <w:vAlign w:val="center"/>
            <w:hideMark/>
          </w:tcPr>
          <w:p w14:paraId="6B26E462" w14:textId="5F5AC4C8" w:rsidR="00474131" w:rsidRPr="00474131" w:rsidRDefault="00474131" w:rsidP="009E536C">
            <w:pPr>
              <w:pStyle w:val="cuatexto"/>
              <w:spacing w:line="240" w:lineRule="auto"/>
              <w:jc w:val="right"/>
              <w:rPr>
                <w:szCs w:val="20"/>
                <w:lang w:val="es-ES" w:eastAsia="es-ES"/>
              </w:rPr>
            </w:pPr>
            <w:r w:rsidRPr="00474131">
              <w:rPr>
                <w:szCs w:val="20"/>
                <w:lang w:val="es-ES" w:eastAsia="es-ES"/>
              </w:rPr>
              <w:t>-</w:t>
            </w:r>
          </w:p>
        </w:tc>
        <w:tc>
          <w:tcPr>
            <w:tcW w:w="271" w:type="pct"/>
            <w:gridSpan w:val="2"/>
            <w:tcBorders>
              <w:top w:val="single" w:sz="2" w:space="0" w:color="auto"/>
              <w:left w:val="nil"/>
              <w:bottom w:val="single" w:sz="2" w:space="0" w:color="auto"/>
              <w:right w:val="nil"/>
            </w:tcBorders>
            <w:shd w:val="clear" w:color="auto" w:fill="auto"/>
            <w:noWrap/>
            <w:vAlign w:val="center"/>
            <w:hideMark/>
          </w:tcPr>
          <w:p w14:paraId="4E146ADA" w14:textId="383C06CC" w:rsidR="00474131" w:rsidRPr="00474131" w:rsidRDefault="00474131" w:rsidP="009E536C">
            <w:pPr>
              <w:pStyle w:val="cuatexto"/>
              <w:spacing w:line="240" w:lineRule="auto"/>
              <w:jc w:val="right"/>
              <w:rPr>
                <w:szCs w:val="20"/>
                <w:lang w:val="es-ES" w:eastAsia="es-ES"/>
              </w:rPr>
            </w:pPr>
          </w:p>
        </w:tc>
        <w:tc>
          <w:tcPr>
            <w:tcW w:w="487" w:type="pct"/>
            <w:tcBorders>
              <w:top w:val="single" w:sz="2" w:space="0" w:color="auto"/>
              <w:left w:val="nil"/>
              <w:bottom w:val="single" w:sz="2" w:space="0" w:color="auto"/>
              <w:right w:val="nil"/>
            </w:tcBorders>
            <w:shd w:val="clear" w:color="auto" w:fill="auto"/>
            <w:vAlign w:val="center"/>
            <w:hideMark/>
          </w:tcPr>
          <w:p w14:paraId="005412BA" w14:textId="5A9C1126" w:rsidR="00474131" w:rsidRPr="00474131" w:rsidRDefault="00474131" w:rsidP="009E536C">
            <w:pPr>
              <w:pStyle w:val="cuatexto"/>
              <w:spacing w:line="240" w:lineRule="auto"/>
              <w:jc w:val="right"/>
              <w:rPr>
                <w:szCs w:val="20"/>
                <w:lang w:val="es-ES" w:eastAsia="es-ES"/>
              </w:rPr>
            </w:pPr>
            <w:r w:rsidRPr="00474131">
              <w:rPr>
                <w:szCs w:val="20"/>
                <w:lang w:val="es-ES" w:eastAsia="es-ES"/>
              </w:rPr>
              <w:t>-</w:t>
            </w:r>
          </w:p>
        </w:tc>
        <w:tc>
          <w:tcPr>
            <w:tcW w:w="394" w:type="pct"/>
            <w:tcBorders>
              <w:top w:val="single" w:sz="2" w:space="0" w:color="auto"/>
              <w:left w:val="nil"/>
              <w:bottom w:val="single" w:sz="2" w:space="0" w:color="auto"/>
              <w:right w:val="nil"/>
            </w:tcBorders>
            <w:shd w:val="clear" w:color="auto" w:fill="auto"/>
            <w:noWrap/>
            <w:vAlign w:val="center"/>
            <w:hideMark/>
          </w:tcPr>
          <w:p w14:paraId="345F21C4" w14:textId="77777777" w:rsidR="00474131" w:rsidRPr="00474131" w:rsidRDefault="00474131" w:rsidP="009E536C">
            <w:pPr>
              <w:pStyle w:val="cuatexto"/>
              <w:spacing w:line="240" w:lineRule="auto"/>
              <w:jc w:val="right"/>
              <w:rPr>
                <w:szCs w:val="20"/>
                <w:lang w:val="es-ES" w:eastAsia="es-ES"/>
              </w:rPr>
            </w:pPr>
            <w:r w:rsidRPr="00474131">
              <w:rPr>
                <w:szCs w:val="20"/>
                <w:lang w:val="es-ES" w:eastAsia="es-ES"/>
              </w:rPr>
              <w:t>15</w:t>
            </w:r>
          </w:p>
        </w:tc>
        <w:tc>
          <w:tcPr>
            <w:tcW w:w="479" w:type="pct"/>
            <w:tcBorders>
              <w:top w:val="single" w:sz="2" w:space="0" w:color="auto"/>
              <w:left w:val="nil"/>
              <w:bottom w:val="single" w:sz="2" w:space="0" w:color="auto"/>
              <w:right w:val="nil"/>
            </w:tcBorders>
            <w:shd w:val="clear" w:color="auto" w:fill="auto"/>
            <w:noWrap/>
            <w:vAlign w:val="center"/>
            <w:hideMark/>
          </w:tcPr>
          <w:p w14:paraId="409F3EE3" w14:textId="41D8F2BA" w:rsidR="00474131" w:rsidRPr="00474131" w:rsidRDefault="00474131" w:rsidP="009E536C">
            <w:pPr>
              <w:pStyle w:val="cuatexto"/>
              <w:spacing w:line="240" w:lineRule="auto"/>
              <w:jc w:val="right"/>
              <w:rPr>
                <w:szCs w:val="20"/>
                <w:lang w:val="es-ES" w:eastAsia="es-ES"/>
              </w:rPr>
            </w:pPr>
            <w:r w:rsidRPr="00474131">
              <w:rPr>
                <w:szCs w:val="20"/>
                <w:lang w:val="es-ES" w:eastAsia="es-ES"/>
              </w:rPr>
              <w:t>25.453</w:t>
            </w:r>
          </w:p>
        </w:tc>
        <w:tc>
          <w:tcPr>
            <w:tcW w:w="276" w:type="pct"/>
            <w:tcBorders>
              <w:top w:val="single" w:sz="2" w:space="0" w:color="auto"/>
              <w:left w:val="nil"/>
              <w:bottom w:val="single" w:sz="2" w:space="0" w:color="auto"/>
              <w:right w:val="nil"/>
            </w:tcBorders>
            <w:shd w:val="clear" w:color="auto" w:fill="auto"/>
            <w:noWrap/>
            <w:vAlign w:val="center"/>
            <w:hideMark/>
          </w:tcPr>
          <w:p w14:paraId="383C54CB" w14:textId="77777777" w:rsidR="00474131" w:rsidRPr="00474131" w:rsidRDefault="00474131" w:rsidP="009E536C">
            <w:pPr>
              <w:pStyle w:val="cuatexto"/>
              <w:spacing w:line="240" w:lineRule="auto"/>
              <w:jc w:val="right"/>
              <w:rPr>
                <w:szCs w:val="20"/>
                <w:lang w:val="es-ES" w:eastAsia="es-ES"/>
              </w:rPr>
            </w:pPr>
            <w:r w:rsidRPr="00474131">
              <w:rPr>
                <w:szCs w:val="20"/>
                <w:lang w:val="es-ES" w:eastAsia="es-ES"/>
              </w:rPr>
              <w:t>98</w:t>
            </w:r>
          </w:p>
        </w:tc>
        <w:tc>
          <w:tcPr>
            <w:tcW w:w="597" w:type="pct"/>
            <w:tcBorders>
              <w:top w:val="single" w:sz="2" w:space="0" w:color="auto"/>
              <w:left w:val="nil"/>
              <w:bottom w:val="single" w:sz="2" w:space="0" w:color="auto"/>
              <w:right w:val="nil"/>
            </w:tcBorders>
            <w:shd w:val="clear" w:color="auto" w:fill="auto"/>
            <w:noWrap/>
            <w:vAlign w:val="center"/>
          </w:tcPr>
          <w:p w14:paraId="7D8DD0C6" w14:textId="72912B77" w:rsidR="00474131" w:rsidRPr="00474131" w:rsidRDefault="00474131" w:rsidP="009E536C">
            <w:pPr>
              <w:pStyle w:val="cuatexto"/>
              <w:spacing w:line="240" w:lineRule="auto"/>
              <w:jc w:val="right"/>
              <w:rPr>
                <w:szCs w:val="20"/>
                <w:lang w:val="es-ES" w:eastAsia="es-ES"/>
              </w:rPr>
            </w:pPr>
            <w:r w:rsidRPr="00474131">
              <w:rPr>
                <w:szCs w:val="20"/>
                <w:lang w:val="es-ES" w:eastAsia="es-ES"/>
              </w:rPr>
              <w:t>43.921</w:t>
            </w:r>
          </w:p>
        </w:tc>
      </w:tr>
      <w:tr w:rsidR="004A12BD" w:rsidRPr="00474131" w14:paraId="6D539748" w14:textId="77777777" w:rsidTr="009E536C">
        <w:trPr>
          <w:trHeight w:val="255"/>
          <w:jc w:val="center"/>
        </w:trPr>
        <w:tc>
          <w:tcPr>
            <w:tcW w:w="1033" w:type="pct"/>
            <w:tcBorders>
              <w:top w:val="single" w:sz="2" w:space="0" w:color="auto"/>
              <w:left w:val="nil"/>
              <w:bottom w:val="single" w:sz="2" w:space="0" w:color="auto"/>
              <w:right w:val="nil"/>
            </w:tcBorders>
            <w:shd w:val="clear" w:color="auto" w:fill="auto"/>
            <w:noWrap/>
            <w:vAlign w:val="center"/>
            <w:hideMark/>
          </w:tcPr>
          <w:p w14:paraId="474D474D" w14:textId="77777777" w:rsidR="00474131" w:rsidRPr="00474131" w:rsidRDefault="00474131" w:rsidP="009E536C">
            <w:pPr>
              <w:pStyle w:val="cuatexto"/>
              <w:spacing w:line="240" w:lineRule="auto"/>
              <w:rPr>
                <w:szCs w:val="20"/>
                <w:lang w:val="es-ES" w:eastAsia="es-ES"/>
              </w:rPr>
            </w:pPr>
            <w:r w:rsidRPr="00474131">
              <w:rPr>
                <w:szCs w:val="20"/>
                <w:lang w:val="es-ES" w:eastAsia="es-ES"/>
              </w:rPr>
              <w:t>Suministros</w:t>
            </w:r>
          </w:p>
        </w:tc>
        <w:tc>
          <w:tcPr>
            <w:tcW w:w="277" w:type="pct"/>
            <w:tcBorders>
              <w:top w:val="single" w:sz="2" w:space="0" w:color="auto"/>
              <w:left w:val="nil"/>
              <w:bottom w:val="single" w:sz="2" w:space="0" w:color="auto"/>
              <w:right w:val="nil"/>
            </w:tcBorders>
            <w:shd w:val="clear" w:color="auto" w:fill="auto"/>
            <w:vAlign w:val="center"/>
            <w:hideMark/>
          </w:tcPr>
          <w:p w14:paraId="7AB52EBC" w14:textId="77777777" w:rsidR="00474131" w:rsidRPr="00474131" w:rsidRDefault="00474131" w:rsidP="009E536C">
            <w:pPr>
              <w:pStyle w:val="cuatexto"/>
              <w:spacing w:line="240" w:lineRule="auto"/>
              <w:jc w:val="right"/>
              <w:rPr>
                <w:szCs w:val="20"/>
                <w:lang w:val="es-ES" w:eastAsia="es-ES"/>
              </w:rPr>
            </w:pPr>
            <w:r w:rsidRPr="00474131">
              <w:rPr>
                <w:szCs w:val="20"/>
                <w:lang w:val="es-ES" w:eastAsia="es-ES"/>
              </w:rPr>
              <w:t>46</w:t>
            </w:r>
          </w:p>
        </w:tc>
        <w:tc>
          <w:tcPr>
            <w:tcW w:w="513" w:type="pct"/>
            <w:tcBorders>
              <w:top w:val="single" w:sz="2" w:space="0" w:color="auto"/>
              <w:left w:val="nil"/>
              <w:bottom w:val="single" w:sz="2" w:space="0" w:color="auto"/>
              <w:right w:val="nil"/>
            </w:tcBorders>
            <w:shd w:val="clear" w:color="auto" w:fill="auto"/>
            <w:vAlign w:val="center"/>
            <w:hideMark/>
          </w:tcPr>
          <w:p w14:paraId="13CED35E" w14:textId="463D71E3" w:rsidR="00474131" w:rsidRPr="00474131" w:rsidRDefault="00474131" w:rsidP="009E536C">
            <w:pPr>
              <w:pStyle w:val="cuatexto"/>
              <w:spacing w:line="240" w:lineRule="auto"/>
              <w:jc w:val="right"/>
              <w:rPr>
                <w:szCs w:val="20"/>
                <w:lang w:val="es-ES" w:eastAsia="es-ES"/>
              </w:rPr>
            </w:pPr>
            <w:r w:rsidRPr="00474131">
              <w:rPr>
                <w:szCs w:val="20"/>
                <w:lang w:val="es-ES" w:eastAsia="es-ES"/>
              </w:rPr>
              <w:t>3.156</w:t>
            </w:r>
          </w:p>
        </w:tc>
        <w:tc>
          <w:tcPr>
            <w:tcW w:w="239" w:type="pct"/>
            <w:tcBorders>
              <w:top w:val="single" w:sz="2" w:space="0" w:color="auto"/>
              <w:left w:val="nil"/>
              <w:bottom w:val="single" w:sz="2" w:space="0" w:color="auto"/>
              <w:right w:val="nil"/>
            </w:tcBorders>
            <w:shd w:val="clear" w:color="auto" w:fill="auto"/>
            <w:vAlign w:val="center"/>
            <w:hideMark/>
          </w:tcPr>
          <w:p w14:paraId="008F7460" w14:textId="3E46DC78" w:rsidR="00474131" w:rsidRPr="00474131" w:rsidRDefault="00474131" w:rsidP="009E536C">
            <w:pPr>
              <w:pStyle w:val="cuatexto"/>
              <w:spacing w:line="240" w:lineRule="auto"/>
              <w:jc w:val="right"/>
              <w:rPr>
                <w:szCs w:val="20"/>
                <w:lang w:val="es-ES" w:eastAsia="es-ES"/>
              </w:rPr>
            </w:pPr>
          </w:p>
        </w:tc>
        <w:tc>
          <w:tcPr>
            <w:tcW w:w="434" w:type="pct"/>
            <w:tcBorders>
              <w:top w:val="single" w:sz="2" w:space="0" w:color="auto"/>
              <w:left w:val="nil"/>
              <w:bottom w:val="single" w:sz="2" w:space="0" w:color="auto"/>
              <w:right w:val="nil"/>
            </w:tcBorders>
            <w:shd w:val="clear" w:color="auto" w:fill="auto"/>
            <w:vAlign w:val="center"/>
            <w:hideMark/>
          </w:tcPr>
          <w:p w14:paraId="1A703555" w14:textId="61F7FCC3" w:rsidR="00474131" w:rsidRPr="00474131" w:rsidRDefault="00474131" w:rsidP="009E536C">
            <w:pPr>
              <w:pStyle w:val="cuatexto"/>
              <w:spacing w:line="240" w:lineRule="auto"/>
              <w:jc w:val="right"/>
              <w:rPr>
                <w:szCs w:val="20"/>
                <w:lang w:val="es-ES" w:eastAsia="es-ES"/>
              </w:rPr>
            </w:pPr>
            <w:r w:rsidRPr="00474131">
              <w:rPr>
                <w:szCs w:val="20"/>
                <w:lang w:val="es-ES" w:eastAsia="es-ES"/>
              </w:rPr>
              <w:t>-</w:t>
            </w:r>
          </w:p>
        </w:tc>
        <w:tc>
          <w:tcPr>
            <w:tcW w:w="271" w:type="pct"/>
            <w:gridSpan w:val="2"/>
            <w:tcBorders>
              <w:top w:val="single" w:sz="2" w:space="0" w:color="auto"/>
              <w:left w:val="nil"/>
              <w:bottom w:val="single" w:sz="2" w:space="0" w:color="auto"/>
              <w:right w:val="nil"/>
            </w:tcBorders>
            <w:shd w:val="clear" w:color="auto" w:fill="auto"/>
            <w:noWrap/>
            <w:vAlign w:val="center"/>
            <w:hideMark/>
          </w:tcPr>
          <w:p w14:paraId="5DBAC908" w14:textId="77777777" w:rsidR="00474131" w:rsidRPr="00474131" w:rsidRDefault="00474131" w:rsidP="009E536C">
            <w:pPr>
              <w:pStyle w:val="cuatexto"/>
              <w:spacing w:line="240" w:lineRule="auto"/>
              <w:jc w:val="right"/>
              <w:rPr>
                <w:szCs w:val="20"/>
                <w:lang w:val="es-ES" w:eastAsia="es-ES"/>
              </w:rPr>
            </w:pPr>
            <w:r w:rsidRPr="00474131">
              <w:rPr>
                <w:szCs w:val="20"/>
                <w:lang w:val="es-ES" w:eastAsia="es-ES"/>
              </w:rPr>
              <w:t>1</w:t>
            </w:r>
          </w:p>
        </w:tc>
        <w:tc>
          <w:tcPr>
            <w:tcW w:w="487" w:type="pct"/>
            <w:tcBorders>
              <w:top w:val="single" w:sz="2" w:space="0" w:color="auto"/>
              <w:left w:val="nil"/>
              <w:bottom w:val="single" w:sz="2" w:space="0" w:color="auto"/>
              <w:right w:val="nil"/>
            </w:tcBorders>
            <w:shd w:val="clear" w:color="auto" w:fill="auto"/>
            <w:vAlign w:val="center"/>
            <w:hideMark/>
          </w:tcPr>
          <w:p w14:paraId="61BF245D" w14:textId="41403851" w:rsidR="00474131" w:rsidRPr="00474131" w:rsidRDefault="00474131" w:rsidP="009E536C">
            <w:pPr>
              <w:pStyle w:val="cuatexto"/>
              <w:spacing w:line="240" w:lineRule="auto"/>
              <w:jc w:val="right"/>
              <w:rPr>
                <w:szCs w:val="20"/>
                <w:lang w:val="es-ES" w:eastAsia="es-ES"/>
              </w:rPr>
            </w:pPr>
            <w:r w:rsidRPr="00474131">
              <w:rPr>
                <w:szCs w:val="20"/>
                <w:lang w:val="es-ES" w:eastAsia="es-ES"/>
              </w:rPr>
              <w:t>43</w:t>
            </w:r>
          </w:p>
        </w:tc>
        <w:tc>
          <w:tcPr>
            <w:tcW w:w="394" w:type="pct"/>
            <w:tcBorders>
              <w:top w:val="single" w:sz="2" w:space="0" w:color="auto"/>
              <w:left w:val="nil"/>
              <w:bottom w:val="single" w:sz="2" w:space="0" w:color="auto"/>
              <w:right w:val="nil"/>
            </w:tcBorders>
            <w:shd w:val="clear" w:color="auto" w:fill="auto"/>
            <w:noWrap/>
            <w:vAlign w:val="center"/>
            <w:hideMark/>
          </w:tcPr>
          <w:p w14:paraId="7CE2EDE1" w14:textId="77777777" w:rsidR="00474131" w:rsidRPr="00474131" w:rsidRDefault="00474131" w:rsidP="009E536C">
            <w:pPr>
              <w:pStyle w:val="cuatexto"/>
              <w:spacing w:line="240" w:lineRule="auto"/>
              <w:jc w:val="right"/>
              <w:rPr>
                <w:szCs w:val="20"/>
                <w:lang w:val="es-ES" w:eastAsia="es-ES"/>
              </w:rPr>
            </w:pPr>
            <w:r w:rsidRPr="00474131">
              <w:rPr>
                <w:szCs w:val="20"/>
                <w:lang w:val="es-ES" w:eastAsia="es-ES"/>
              </w:rPr>
              <w:t>3</w:t>
            </w:r>
          </w:p>
        </w:tc>
        <w:tc>
          <w:tcPr>
            <w:tcW w:w="479" w:type="pct"/>
            <w:tcBorders>
              <w:top w:val="single" w:sz="2" w:space="0" w:color="auto"/>
              <w:left w:val="nil"/>
              <w:bottom w:val="single" w:sz="2" w:space="0" w:color="auto"/>
              <w:right w:val="nil"/>
            </w:tcBorders>
            <w:shd w:val="clear" w:color="auto" w:fill="auto"/>
            <w:noWrap/>
            <w:vAlign w:val="center"/>
            <w:hideMark/>
          </w:tcPr>
          <w:p w14:paraId="28CCD8BC" w14:textId="1568CFBF" w:rsidR="00474131" w:rsidRPr="00474131" w:rsidRDefault="00474131" w:rsidP="009E536C">
            <w:pPr>
              <w:pStyle w:val="cuatexto"/>
              <w:spacing w:line="240" w:lineRule="auto"/>
              <w:jc w:val="right"/>
              <w:rPr>
                <w:szCs w:val="20"/>
                <w:lang w:val="es-ES" w:eastAsia="es-ES"/>
              </w:rPr>
            </w:pPr>
            <w:r w:rsidRPr="00474131">
              <w:rPr>
                <w:szCs w:val="20"/>
                <w:lang w:val="es-ES" w:eastAsia="es-ES"/>
              </w:rPr>
              <w:t>355</w:t>
            </w:r>
          </w:p>
        </w:tc>
        <w:tc>
          <w:tcPr>
            <w:tcW w:w="276" w:type="pct"/>
            <w:tcBorders>
              <w:top w:val="single" w:sz="2" w:space="0" w:color="auto"/>
              <w:left w:val="nil"/>
              <w:bottom w:val="single" w:sz="2" w:space="0" w:color="auto"/>
              <w:right w:val="nil"/>
            </w:tcBorders>
            <w:shd w:val="clear" w:color="auto" w:fill="auto"/>
            <w:noWrap/>
            <w:vAlign w:val="center"/>
            <w:hideMark/>
          </w:tcPr>
          <w:p w14:paraId="55A371D9" w14:textId="77777777" w:rsidR="00474131" w:rsidRPr="00474131" w:rsidRDefault="00474131" w:rsidP="009E536C">
            <w:pPr>
              <w:pStyle w:val="cuatexto"/>
              <w:spacing w:line="240" w:lineRule="auto"/>
              <w:jc w:val="right"/>
              <w:rPr>
                <w:szCs w:val="20"/>
                <w:lang w:val="es-ES" w:eastAsia="es-ES"/>
              </w:rPr>
            </w:pPr>
            <w:r w:rsidRPr="00474131">
              <w:rPr>
                <w:szCs w:val="20"/>
                <w:lang w:val="es-ES" w:eastAsia="es-ES"/>
              </w:rPr>
              <w:t>50</w:t>
            </w:r>
          </w:p>
        </w:tc>
        <w:tc>
          <w:tcPr>
            <w:tcW w:w="597" w:type="pct"/>
            <w:tcBorders>
              <w:top w:val="single" w:sz="2" w:space="0" w:color="auto"/>
              <w:left w:val="nil"/>
              <w:bottom w:val="single" w:sz="2" w:space="0" w:color="auto"/>
              <w:right w:val="nil"/>
            </w:tcBorders>
            <w:shd w:val="clear" w:color="auto" w:fill="auto"/>
            <w:noWrap/>
            <w:vAlign w:val="center"/>
          </w:tcPr>
          <w:p w14:paraId="7A536B98" w14:textId="3F881DC8" w:rsidR="00474131" w:rsidRPr="00474131" w:rsidRDefault="00474131" w:rsidP="009E536C">
            <w:pPr>
              <w:pStyle w:val="cuatexto"/>
              <w:spacing w:line="240" w:lineRule="auto"/>
              <w:jc w:val="right"/>
              <w:rPr>
                <w:szCs w:val="20"/>
                <w:lang w:val="es-ES" w:eastAsia="es-ES"/>
              </w:rPr>
            </w:pPr>
            <w:r w:rsidRPr="00474131">
              <w:rPr>
                <w:szCs w:val="20"/>
                <w:lang w:val="es-ES" w:eastAsia="es-ES"/>
              </w:rPr>
              <w:t>3.554</w:t>
            </w:r>
          </w:p>
        </w:tc>
      </w:tr>
      <w:tr w:rsidR="004A12BD" w:rsidRPr="00474131" w14:paraId="5595CB7F" w14:textId="77777777" w:rsidTr="009E536C">
        <w:trPr>
          <w:trHeight w:val="255"/>
          <w:jc w:val="center"/>
        </w:trPr>
        <w:tc>
          <w:tcPr>
            <w:tcW w:w="1033" w:type="pct"/>
            <w:tcBorders>
              <w:top w:val="single" w:sz="2" w:space="0" w:color="auto"/>
              <w:left w:val="nil"/>
              <w:bottom w:val="single" w:sz="4" w:space="0" w:color="auto"/>
              <w:right w:val="nil"/>
            </w:tcBorders>
            <w:shd w:val="clear" w:color="auto" w:fill="auto"/>
            <w:noWrap/>
            <w:vAlign w:val="center"/>
            <w:hideMark/>
          </w:tcPr>
          <w:p w14:paraId="3ADFA91B" w14:textId="4C8E3923" w:rsidR="00474131" w:rsidRPr="00474131" w:rsidRDefault="00474131" w:rsidP="009E536C">
            <w:pPr>
              <w:pStyle w:val="cuatexto"/>
              <w:spacing w:line="240" w:lineRule="auto"/>
              <w:rPr>
                <w:szCs w:val="20"/>
                <w:lang w:val="es-ES" w:eastAsia="es-ES"/>
              </w:rPr>
            </w:pPr>
            <w:r w:rsidRPr="00474131">
              <w:rPr>
                <w:szCs w:val="20"/>
                <w:lang w:val="es-ES" w:eastAsia="es-ES"/>
              </w:rPr>
              <w:t>Concesión servicios</w:t>
            </w:r>
          </w:p>
        </w:tc>
        <w:tc>
          <w:tcPr>
            <w:tcW w:w="277" w:type="pct"/>
            <w:tcBorders>
              <w:top w:val="single" w:sz="2" w:space="0" w:color="auto"/>
              <w:left w:val="nil"/>
              <w:bottom w:val="single" w:sz="4" w:space="0" w:color="auto"/>
              <w:right w:val="nil"/>
            </w:tcBorders>
            <w:shd w:val="clear" w:color="auto" w:fill="auto"/>
            <w:vAlign w:val="center"/>
            <w:hideMark/>
          </w:tcPr>
          <w:p w14:paraId="316745B4" w14:textId="77777777" w:rsidR="00474131" w:rsidRPr="00474131" w:rsidRDefault="00474131" w:rsidP="009E536C">
            <w:pPr>
              <w:pStyle w:val="cuatexto"/>
              <w:spacing w:line="240" w:lineRule="auto"/>
              <w:jc w:val="right"/>
              <w:rPr>
                <w:szCs w:val="20"/>
                <w:lang w:val="es-ES" w:eastAsia="es-ES"/>
              </w:rPr>
            </w:pPr>
            <w:r w:rsidRPr="00474131">
              <w:rPr>
                <w:szCs w:val="20"/>
                <w:lang w:val="es-ES" w:eastAsia="es-ES"/>
              </w:rPr>
              <w:t>11</w:t>
            </w:r>
          </w:p>
        </w:tc>
        <w:tc>
          <w:tcPr>
            <w:tcW w:w="513" w:type="pct"/>
            <w:tcBorders>
              <w:top w:val="single" w:sz="2" w:space="0" w:color="auto"/>
              <w:left w:val="nil"/>
              <w:bottom w:val="single" w:sz="4" w:space="0" w:color="auto"/>
              <w:right w:val="nil"/>
            </w:tcBorders>
            <w:shd w:val="clear" w:color="auto" w:fill="auto"/>
            <w:vAlign w:val="center"/>
            <w:hideMark/>
          </w:tcPr>
          <w:p w14:paraId="61E9DC83" w14:textId="63EB52CD" w:rsidR="00474131" w:rsidRPr="00474131" w:rsidRDefault="00474131" w:rsidP="009E536C">
            <w:pPr>
              <w:pStyle w:val="cuatexto"/>
              <w:spacing w:line="240" w:lineRule="auto"/>
              <w:jc w:val="right"/>
              <w:rPr>
                <w:szCs w:val="20"/>
                <w:lang w:val="es-ES" w:eastAsia="es-ES"/>
              </w:rPr>
            </w:pPr>
            <w:r w:rsidRPr="00474131">
              <w:rPr>
                <w:szCs w:val="20"/>
                <w:lang w:val="es-ES" w:eastAsia="es-ES"/>
              </w:rPr>
              <w:t>1.103</w:t>
            </w:r>
          </w:p>
        </w:tc>
        <w:tc>
          <w:tcPr>
            <w:tcW w:w="239" w:type="pct"/>
            <w:tcBorders>
              <w:top w:val="single" w:sz="2" w:space="0" w:color="auto"/>
              <w:left w:val="nil"/>
              <w:bottom w:val="single" w:sz="4" w:space="0" w:color="auto"/>
              <w:right w:val="nil"/>
            </w:tcBorders>
            <w:shd w:val="clear" w:color="auto" w:fill="auto"/>
            <w:vAlign w:val="center"/>
            <w:hideMark/>
          </w:tcPr>
          <w:p w14:paraId="63BD6A6D" w14:textId="55D477CF" w:rsidR="00474131" w:rsidRPr="00474131" w:rsidRDefault="00474131" w:rsidP="009E536C">
            <w:pPr>
              <w:pStyle w:val="cuatexto"/>
              <w:spacing w:line="240" w:lineRule="auto"/>
              <w:jc w:val="right"/>
              <w:rPr>
                <w:szCs w:val="20"/>
                <w:lang w:val="es-ES" w:eastAsia="es-ES"/>
              </w:rPr>
            </w:pPr>
          </w:p>
        </w:tc>
        <w:tc>
          <w:tcPr>
            <w:tcW w:w="434" w:type="pct"/>
            <w:tcBorders>
              <w:top w:val="single" w:sz="2" w:space="0" w:color="auto"/>
              <w:left w:val="nil"/>
              <w:bottom w:val="single" w:sz="4" w:space="0" w:color="auto"/>
              <w:right w:val="nil"/>
            </w:tcBorders>
            <w:shd w:val="clear" w:color="auto" w:fill="auto"/>
            <w:vAlign w:val="center"/>
            <w:hideMark/>
          </w:tcPr>
          <w:p w14:paraId="74A8B375" w14:textId="0859E590" w:rsidR="00474131" w:rsidRPr="00474131" w:rsidRDefault="00474131" w:rsidP="009E536C">
            <w:pPr>
              <w:pStyle w:val="cuatexto"/>
              <w:spacing w:line="240" w:lineRule="auto"/>
              <w:jc w:val="right"/>
              <w:rPr>
                <w:szCs w:val="20"/>
                <w:lang w:val="es-ES" w:eastAsia="es-ES"/>
              </w:rPr>
            </w:pPr>
            <w:r w:rsidRPr="00474131">
              <w:rPr>
                <w:szCs w:val="20"/>
                <w:lang w:val="es-ES" w:eastAsia="es-ES"/>
              </w:rPr>
              <w:t>-</w:t>
            </w:r>
          </w:p>
        </w:tc>
        <w:tc>
          <w:tcPr>
            <w:tcW w:w="271" w:type="pct"/>
            <w:gridSpan w:val="2"/>
            <w:tcBorders>
              <w:top w:val="single" w:sz="2" w:space="0" w:color="auto"/>
              <w:left w:val="nil"/>
              <w:bottom w:val="single" w:sz="4" w:space="0" w:color="auto"/>
              <w:right w:val="nil"/>
            </w:tcBorders>
            <w:shd w:val="clear" w:color="auto" w:fill="auto"/>
            <w:noWrap/>
            <w:vAlign w:val="center"/>
            <w:hideMark/>
          </w:tcPr>
          <w:p w14:paraId="06F983DF" w14:textId="7BC88393" w:rsidR="00474131" w:rsidRPr="00474131" w:rsidRDefault="00474131" w:rsidP="009E536C">
            <w:pPr>
              <w:pStyle w:val="cuatexto"/>
              <w:spacing w:line="240" w:lineRule="auto"/>
              <w:jc w:val="right"/>
              <w:rPr>
                <w:szCs w:val="20"/>
                <w:lang w:val="es-ES" w:eastAsia="es-ES"/>
              </w:rPr>
            </w:pPr>
          </w:p>
        </w:tc>
        <w:tc>
          <w:tcPr>
            <w:tcW w:w="487" w:type="pct"/>
            <w:tcBorders>
              <w:top w:val="single" w:sz="2" w:space="0" w:color="auto"/>
              <w:left w:val="nil"/>
              <w:bottom w:val="single" w:sz="4" w:space="0" w:color="auto"/>
              <w:right w:val="nil"/>
            </w:tcBorders>
            <w:shd w:val="clear" w:color="auto" w:fill="auto"/>
            <w:vAlign w:val="center"/>
            <w:hideMark/>
          </w:tcPr>
          <w:p w14:paraId="2D44B8F0" w14:textId="1FBA15E2" w:rsidR="00474131" w:rsidRPr="00474131" w:rsidRDefault="00474131" w:rsidP="009E536C">
            <w:pPr>
              <w:pStyle w:val="cuatexto"/>
              <w:spacing w:line="240" w:lineRule="auto"/>
              <w:jc w:val="right"/>
              <w:rPr>
                <w:szCs w:val="20"/>
                <w:lang w:val="es-ES" w:eastAsia="es-ES"/>
              </w:rPr>
            </w:pPr>
            <w:r w:rsidRPr="00474131">
              <w:rPr>
                <w:szCs w:val="20"/>
                <w:lang w:val="es-ES" w:eastAsia="es-ES"/>
              </w:rPr>
              <w:t>-</w:t>
            </w:r>
          </w:p>
        </w:tc>
        <w:tc>
          <w:tcPr>
            <w:tcW w:w="394" w:type="pct"/>
            <w:tcBorders>
              <w:top w:val="single" w:sz="2" w:space="0" w:color="auto"/>
              <w:left w:val="nil"/>
              <w:bottom w:val="single" w:sz="4" w:space="0" w:color="auto"/>
              <w:right w:val="nil"/>
            </w:tcBorders>
            <w:shd w:val="clear" w:color="auto" w:fill="auto"/>
            <w:noWrap/>
            <w:vAlign w:val="center"/>
          </w:tcPr>
          <w:p w14:paraId="40778822" w14:textId="40E6447C" w:rsidR="00474131" w:rsidRPr="00474131" w:rsidRDefault="00474131" w:rsidP="009E536C">
            <w:pPr>
              <w:pStyle w:val="cuatexto"/>
              <w:spacing w:line="240" w:lineRule="auto"/>
              <w:jc w:val="right"/>
              <w:rPr>
                <w:szCs w:val="20"/>
                <w:lang w:val="es-ES" w:eastAsia="es-ES"/>
              </w:rPr>
            </w:pPr>
          </w:p>
        </w:tc>
        <w:tc>
          <w:tcPr>
            <w:tcW w:w="479" w:type="pct"/>
            <w:tcBorders>
              <w:top w:val="single" w:sz="2" w:space="0" w:color="auto"/>
              <w:left w:val="nil"/>
              <w:bottom w:val="single" w:sz="4" w:space="0" w:color="auto"/>
              <w:right w:val="nil"/>
            </w:tcBorders>
            <w:shd w:val="clear" w:color="000000" w:fill="FFFFFF" w:themeFill="background1"/>
            <w:noWrap/>
            <w:vAlign w:val="center"/>
          </w:tcPr>
          <w:p w14:paraId="44AE5BFD" w14:textId="521262F2" w:rsidR="00474131" w:rsidRPr="00474131" w:rsidRDefault="00474131" w:rsidP="009E536C">
            <w:pPr>
              <w:pStyle w:val="cuatexto"/>
              <w:spacing w:line="240" w:lineRule="auto"/>
              <w:jc w:val="right"/>
              <w:rPr>
                <w:szCs w:val="20"/>
                <w:lang w:val="es-ES" w:eastAsia="es-ES"/>
              </w:rPr>
            </w:pPr>
            <w:r w:rsidRPr="00474131">
              <w:rPr>
                <w:szCs w:val="20"/>
                <w:lang w:val="es-ES" w:eastAsia="es-ES"/>
              </w:rPr>
              <w:t>-</w:t>
            </w:r>
          </w:p>
        </w:tc>
        <w:tc>
          <w:tcPr>
            <w:tcW w:w="276" w:type="pct"/>
            <w:tcBorders>
              <w:top w:val="single" w:sz="2" w:space="0" w:color="auto"/>
              <w:left w:val="nil"/>
              <w:bottom w:val="single" w:sz="4" w:space="0" w:color="auto"/>
              <w:right w:val="nil"/>
            </w:tcBorders>
            <w:shd w:val="clear" w:color="auto" w:fill="auto"/>
            <w:noWrap/>
            <w:vAlign w:val="center"/>
            <w:hideMark/>
          </w:tcPr>
          <w:p w14:paraId="700BD85E" w14:textId="77777777" w:rsidR="00474131" w:rsidRPr="00474131" w:rsidRDefault="00474131" w:rsidP="009E536C">
            <w:pPr>
              <w:pStyle w:val="cuatexto"/>
              <w:spacing w:line="240" w:lineRule="auto"/>
              <w:jc w:val="right"/>
              <w:rPr>
                <w:szCs w:val="20"/>
                <w:lang w:val="es-ES" w:eastAsia="es-ES"/>
              </w:rPr>
            </w:pPr>
            <w:r w:rsidRPr="00474131">
              <w:rPr>
                <w:szCs w:val="20"/>
                <w:lang w:val="es-ES" w:eastAsia="es-ES"/>
              </w:rPr>
              <w:t>11</w:t>
            </w:r>
          </w:p>
        </w:tc>
        <w:tc>
          <w:tcPr>
            <w:tcW w:w="597" w:type="pct"/>
            <w:tcBorders>
              <w:top w:val="single" w:sz="2" w:space="0" w:color="auto"/>
              <w:left w:val="nil"/>
              <w:bottom w:val="single" w:sz="4" w:space="0" w:color="auto"/>
              <w:right w:val="nil"/>
            </w:tcBorders>
            <w:shd w:val="clear" w:color="auto" w:fill="auto"/>
            <w:noWrap/>
            <w:vAlign w:val="center"/>
          </w:tcPr>
          <w:p w14:paraId="117877BA" w14:textId="674636B7" w:rsidR="00474131" w:rsidRPr="00474131" w:rsidRDefault="00474131" w:rsidP="009E536C">
            <w:pPr>
              <w:pStyle w:val="cuatexto"/>
              <w:spacing w:line="240" w:lineRule="auto"/>
              <w:jc w:val="right"/>
              <w:rPr>
                <w:szCs w:val="20"/>
                <w:lang w:val="es-ES" w:eastAsia="es-ES"/>
              </w:rPr>
            </w:pPr>
            <w:r w:rsidRPr="00474131">
              <w:rPr>
                <w:szCs w:val="20"/>
                <w:lang w:val="es-ES" w:eastAsia="es-ES"/>
              </w:rPr>
              <w:t>1.103</w:t>
            </w:r>
          </w:p>
        </w:tc>
      </w:tr>
      <w:tr w:rsidR="004A12BD" w:rsidRPr="00CE2ACA" w14:paraId="26F4F3D2" w14:textId="77777777" w:rsidTr="009E536C">
        <w:trPr>
          <w:trHeight w:val="255"/>
          <w:jc w:val="center"/>
        </w:trPr>
        <w:tc>
          <w:tcPr>
            <w:tcW w:w="1033" w:type="pct"/>
            <w:tcBorders>
              <w:top w:val="nil"/>
              <w:left w:val="nil"/>
              <w:bottom w:val="single" w:sz="4" w:space="0" w:color="auto"/>
              <w:right w:val="nil"/>
            </w:tcBorders>
            <w:shd w:val="clear" w:color="auto" w:fill="FABF8F" w:themeFill="accent6" w:themeFillTint="99"/>
            <w:noWrap/>
            <w:vAlign w:val="center"/>
            <w:hideMark/>
          </w:tcPr>
          <w:p w14:paraId="6EACB86D" w14:textId="77777777" w:rsidR="00474131" w:rsidRPr="00CE2ACA" w:rsidRDefault="00474131" w:rsidP="009E536C">
            <w:pPr>
              <w:pStyle w:val="cuadroCabe"/>
              <w:spacing w:line="240" w:lineRule="auto"/>
              <w:rPr>
                <w:rFonts w:cs="Arial"/>
                <w:color w:val="000000"/>
                <w:szCs w:val="18"/>
                <w:lang w:val="es-ES" w:eastAsia="es-ES"/>
              </w:rPr>
            </w:pPr>
            <w:proofErr w:type="gramStart"/>
            <w:r w:rsidRPr="00CE2ACA">
              <w:rPr>
                <w:rFonts w:cs="Arial"/>
                <w:szCs w:val="18"/>
                <w:lang w:val="es-ES" w:eastAsia="es-ES"/>
              </w:rPr>
              <w:t>Total</w:t>
            </w:r>
            <w:proofErr w:type="gramEnd"/>
            <w:r w:rsidRPr="00CE2ACA">
              <w:rPr>
                <w:rFonts w:cs="Arial"/>
                <w:szCs w:val="18"/>
                <w:lang w:val="es-ES" w:eastAsia="es-ES"/>
              </w:rPr>
              <w:t xml:space="preserve"> general</w:t>
            </w:r>
          </w:p>
        </w:tc>
        <w:tc>
          <w:tcPr>
            <w:tcW w:w="277" w:type="pct"/>
            <w:tcBorders>
              <w:top w:val="nil"/>
              <w:left w:val="nil"/>
              <w:bottom w:val="single" w:sz="4" w:space="0" w:color="auto"/>
              <w:right w:val="nil"/>
            </w:tcBorders>
            <w:shd w:val="clear" w:color="auto" w:fill="FABF8F" w:themeFill="accent6" w:themeFillTint="99"/>
            <w:vAlign w:val="center"/>
          </w:tcPr>
          <w:p w14:paraId="732C2003" w14:textId="04989758" w:rsidR="00474131" w:rsidRPr="00CE2ACA" w:rsidRDefault="00576A54" w:rsidP="009E536C">
            <w:pPr>
              <w:pStyle w:val="cuadroCabe"/>
              <w:spacing w:line="240" w:lineRule="auto"/>
              <w:jc w:val="right"/>
              <w:rPr>
                <w:rFonts w:cs="Arial"/>
                <w:color w:val="000000"/>
                <w:szCs w:val="18"/>
              </w:rPr>
            </w:pPr>
            <w:r w:rsidRPr="00CE2ACA">
              <w:rPr>
                <w:rFonts w:cs="Arial"/>
                <w:color w:val="000000"/>
                <w:szCs w:val="18"/>
              </w:rPr>
              <w:t>2</w:t>
            </w:r>
            <w:r w:rsidR="00474131" w:rsidRPr="00CE2ACA">
              <w:rPr>
                <w:rFonts w:cs="Arial"/>
                <w:color w:val="000000"/>
                <w:szCs w:val="18"/>
              </w:rPr>
              <w:t>88</w:t>
            </w:r>
          </w:p>
        </w:tc>
        <w:tc>
          <w:tcPr>
            <w:tcW w:w="513" w:type="pct"/>
            <w:tcBorders>
              <w:top w:val="nil"/>
              <w:left w:val="nil"/>
              <w:bottom w:val="single" w:sz="4" w:space="0" w:color="auto"/>
              <w:right w:val="nil"/>
            </w:tcBorders>
            <w:shd w:val="clear" w:color="auto" w:fill="FABF8F" w:themeFill="accent6" w:themeFillTint="99"/>
            <w:vAlign w:val="center"/>
          </w:tcPr>
          <w:p w14:paraId="7ED4FB03" w14:textId="2AA99D9E" w:rsidR="00474131" w:rsidRPr="00CE2ACA" w:rsidRDefault="00474131" w:rsidP="009E536C">
            <w:pPr>
              <w:pStyle w:val="cuadroCabe"/>
              <w:spacing w:line="240" w:lineRule="auto"/>
              <w:jc w:val="right"/>
              <w:rPr>
                <w:rFonts w:cs="Arial"/>
                <w:color w:val="000000"/>
                <w:szCs w:val="18"/>
              </w:rPr>
            </w:pPr>
            <w:r w:rsidRPr="00CE2ACA">
              <w:rPr>
                <w:rFonts w:cs="Arial"/>
                <w:color w:val="000000"/>
                <w:szCs w:val="18"/>
              </w:rPr>
              <w:t>61.416</w:t>
            </w:r>
          </w:p>
        </w:tc>
        <w:tc>
          <w:tcPr>
            <w:tcW w:w="239" w:type="pct"/>
            <w:tcBorders>
              <w:top w:val="nil"/>
              <w:left w:val="nil"/>
              <w:bottom w:val="single" w:sz="4" w:space="0" w:color="auto"/>
              <w:right w:val="nil"/>
            </w:tcBorders>
            <w:shd w:val="clear" w:color="auto" w:fill="FABF8F" w:themeFill="accent6" w:themeFillTint="99"/>
            <w:vAlign w:val="center"/>
          </w:tcPr>
          <w:p w14:paraId="4BAE9FE5" w14:textId="39ABFD2F" w:rsidR="00474131" w:rsidRPr="00CE2ACA" w:rsidRDefault="00474131" w:rsidP="009E536C">
            <w:pPr>
              <w:pStyle w:val="cuadroCabe"/>
              <w:spacing w:line="240" w:lineRule="auto"/>
              <w:jc w:val="right"/>
              <w:rPr>
                <w:rFonts w:cs="Arial"/>
                <w:color w:val="000000"/>
                <w:szCs w:val="18"/>
              </w:rPr>
            </w:pPr>
            <w:r w:rsidRPr="00CE2ACA">
              <w:rPr>
                <w:rFonts w:cs="Arial"/>
                <w:color w:val="000000"/>
                <w:szCs w:val="18"/>
              </w:rPr>
              <w:t>5</w:t>
            </w:r>
          </w:p>
        </w:tc>
        <w:tc>
          <w:tcPr>
            <w:tcW w:w="434" w:type="pct"/>
            <w:tcBorders>
              <w:top w:val="nil"/>
              <w:left w:val="nil"/>
              <w:bottom w:val="single" w:sz="4" w:space="0" w:color="auto"/>
              <w:right w:val="nil"/>
            </w:tcBorders>
            <w:shd w:val="clear" w:color="auto" w:fill="FABF8F" w:themeFill="accent6" w:themeFillTint="99"/>
            <w:vAlign w:val="center"/>
          </w:tcPr>
          <w:p w14:paraId="0538ED23" w14:textId="69E09E01" w:rsidR="00474131" w:rsidRPr="00CE2ACA" w:rsidRDefault="00474131" w:rsidP="009E536C">
            <w:pPr>
              <w:pStyle w:val="cuadroCabe"/>
              <w:spacing w:line="240" w:lineRule="auto"/>
              <w:jc w:val="right"/>
              <w:rPr>
                <w:rFonts w:cs="Arial"/>
                <w:color w:val="000000"/>
                <w:szCs w:val="18"/>
              </w:rPr>
            </w:pPr>
            <w:r w:rsidRPr="00CE2ACA">
              <w:rPr>
                <w:rFonts w:cs="Arial"/>
                <w:color w:val="000000"/>
                <w:szCs w:val="18"/>
              </w:rPr>
              <w:t>273</w:t>
            </w:r>
          </w:p>
        </w:tc>
        <w:tc>
          <w:tcPr>
            <w:tcW w:w="271" w:type="pct"/>
            <w:gridSpan w:val="2"/>
            <w:tcBorders>
              <w:top w:val="nil"/>
              <w:left w:val="nil"/>
              <w:bottom w:val="single" w:sz="4" w:space="0" w:color="auto"/>
              <w:right w:val="nil"/>
            </w:tcBorders>
            <w:shd w:val="clear" w:color="auto" w:fill="FABF8F" w:themeFill="accent6" w:themeFillTint="99"/>
            <w:noWrap/>
            <w:vAlign w:val="center"/>
          </w:tcPr>
          <w:p w14:paraId="73EDFC21" w14:textId="3A1C6D85" w:rsidR="00474131" w:rsidRPr="00CE2ACA" w:rsidRDefault="00474131" w:rsidP="009E536C">
            <w:pPr>
              <w:pStyle w:val="cuadroCabe"/>
              <w:spacing w:line="240" w:lineRule="auto"/>
              <w:jc w:val="right"/>
              <w:rPr>
                <w:rFonts w:cs="Arial"/>
                <w:color w:val="000000"/>
                <w:szCs w:val="18"/>
              </w:rPr>
            </w:pPr>
            <w:r w:rsidRPr="00CE2ACA">
              <w:rPr>
                <w:rFonts w:cs="Arial"/>
                <w:color w:val="000000"/>
                <w:szCs w:val="18"/>
              </w:rPr>
              <w:t>7</w:t>
            </w:r>
          </w:p>
        </w:tc>
        <w:tc>
          <w:tcPr>
            <w:tcW w:w="487" w:type="pct"/>
            <w:tcBorders>
              <w:top w:val="nil"/>
              <w:left w:val="nil"/>
              <w:bottom w:val="single" w:sz="4" w:space="0" w:color="auto"/>
              <w:right w:val="nil"/>
            </w:tcBorders>
            <w:shd w:val="clear" w:color="auto" w:fill="FABF8F" w:themeFill="accent6" w:themeFillTint="99"/>
            <w:noWrap/>
            <w:vAlign w:val="center"/>
          </w:tcPr>
          <w:p w14:paraId="0BEE6278" w14:textId="4519BA52" w:rsidR="00474131" w:rsidRPr="00CE2ACA" w:rsidRDefault="00474131" w:rsidP="009E536C">
            <w:pPr>
              <w:pStyle w:val="cuadroCabe"/>
              <w:spacing w:line="240" w:lineRule="auto"/>
              <w:jc w:val="right"/>
              <w:rPr>
                <w:rFonts w:cs="Arial"/>
                <w:color w:val="000000"/>
                <w:szCs w:val="18"/>
              </w:rPr>
            </w:pPr>
            <w:r w:rsidRPr="00CE2ACA">
              <w:rPr>
                <w:rFonts w:cs="Arial"/>
                <w:color w:val="000000"/>
                <w:szCs w:val="18"/>
              </w:rPr>
              <w:t>477</w:t>
            </w:r>
          </w:p>
        </w:tc>
        <w:tc>
          <w:tcPr>
            <w:tcW w:w="394" w:type="pct"/>
            <w:tcBorders>
              <w:top w:val="nil"/>
              <w:left w:val="nil"/>
              <w:bottom w:val="single" w:sz="4" w:space="0" w:color="auto"/>
              <w:right w:val="nil"/>
            </w:tcBorders>
            <w:shd w:val="clear" w:color="auto" w:fill="FABF8F" w:themeFill="accent6" w:themeFillTint="99"/>
            <w:noWrap/>
            <w:vAlign w:val="center"/>
          </w:tcPr>
          <w:p w14:paraId="53445F66" w14:textId="35BE1EFC" w:rsidR="00474131" w:rsidRPr="00CE2ACA" w:rsidRDefault="00474131" w:rsidP="009E536C">
            <w:pPr>
              <w:pStyle w:val="cuadroCabe"/>
              <w:spacing w:line="240" w:lineRule="auto"/>
              <w:jc w:val="right"/>
              <w:rPr>
                <w:rFonts w:cs="Arial"/>
                <w:color w:val="000000"/>
                <w:szCs w:val="18"/>
              </w:rPr>
            </w:pPr>
            <w:r w:rsidRPr="00CE2ACA">
              <w:rPr>
                <w:rFonts w:cs="Arial"/>
                <w:color w:val="000000"/>
                <w:szCs w:val="18"/>
              </w:rPr>
              <w:t>21</w:t>
            </w:r>
          </w:p>
        </w:tc>
        <w:tc>
          <w:tcPr>
            <w:tcW w:w="479" w:type="pct"/>
            <w:tcBorders>
              <w:top w:val="nil"/>
              <w:left w:val="nil"/>
              <w:bottom w:val="single" w:sz="4" w:space="0" w:color="auto"/>
              <w:right w:val="nil"/>
            </w:tcBorders>
            <w:shd w:val="clear" w:color="auto" w:fill="FABF8F" w:themeFill="accent6" w:themeFillTint="99"/>
            <w:noWrap/>
            <w:vAlign w:val="center"/>
          </w:tcPr>
          <w:p w14:paraId="010CA2AD" w14:textId="718B6F60" w:rsidR="00474131" w:rsidRPr="00CE2ACA" w:rsidRDefault="00474131" w:rsidP="009E536C">
            <w:pPr>
              <w:pStyle w:val="cuadroCabe"/>
              <w:spacing w:line="240" w:lineRule="auto"/>
              <w:jc w:val="right"/>
              <w:rPr>
                <w:rFonts w:cs="Arial"/>
                <w:color w:val="000000"/>
                <w:szCs w:val="18"/>
              </w:rPr>
            </w:pPr>
            <w:r w:rsidRPr="00CE2ACA">
              <w:rPr>
                <w:rFonts w:cs="Arial"/>
                <w:color w:val="000000"/>
                <w:szCs w:val="18"/>
              </w:rPr>
              <w:t>26.384</w:t>
            </w:r>
          </w:p>
        </w:tc>
        <w:tc>
          <w:tcPr>
            <w:tcW w:w="276" w:type="pct"/>
            <w:tcBorders>
              <w:top w:val="nil"/>
              <w:left w:val="nil"/>
              <w:bottom w:val="single" w:sz="4" w:space="0" w:color="auto"/>
              <w:right w:val="nil"/>
            </w:tcBorders>
            <w:shd w:val="clear" w:color="auto" w:fill="FABF8F" w:themeFill="accent6" w:themeFillTint="99"/>
            <w:noWrap/>
            <w:vAlign w:val="center"/>
          </w:tcPr>
          <w:p w14:paraId="5CC9796C" w14:textId="692E1C88" w:rsidR="00474131" w:rsidRPr="00CE2ACA" w:rsidRDefault="00474131" w:rsidP="009E536C">
            <w:pPr>
              <w:pStyle w:val="cuadroCabe"/>
              <w:spacing w:line="240" w:lineRule="auto"/>
              <w:jc w:val="right"/>
              <w:rPr>
                <w:rFonts w:cs="Arial"/>
                <w:color w:val="000000"/>
                <w:szCs w:val="18"/>
              </w:rPr>
            </w:pPr>
            <w:r w:rsidRPr="00CE2ACA">
              <w:rPr>
                <w:rFonts w:cs="Arial"/>
                <w:color w:val="000000"/>
                <w:szCs w:val="18"/>
              </w:rPr>
              <w:t>321</w:t>
            </w:r>
          </w:p>
        </w:tc>
        <w:tc>
          <w:tcPr>
            <w:tcW w:w="597" w:type="pct"/>
            <w:tcBorders>
              <w:top w:val="nil"/>
              <w:left w:val="nil"/>
              <w:bottom w:val="single" w:sz="4" w:space="0" w:color="auto"/>
              <w:right w:val="nil"/>
            </w:tcBorders>
            <w:shd w:val="clear" w:color="auto" w:fill="FABF8F" w:themeFill="accent6" w:themeFillTint="99"/>
            <w:noWrap/>
            <w:vAlign w:val="center"/>
          </w:tcPr>
          <w:p w14:paraId="38441561" w14:textId="6E708C81" w:rsidR="00474131" w:rsidRPr="00CE2ACA" w:rsidRDefault="00474131" w:rsidP="009E536C">
            <w:pPr>
              <w:pStyle w:val="cuadroCabe"/>
              <w:spacing w:line="240" w:lineRule="auto"/>
              <w:jc w:val="right"/>
              <w:rPr>
                <w:rFonts w:cs="Arial"/>
                <w:color w:val="000000"/>
                <w:szCs w:val="18"/>
              </w:rPr>
            </w:pPr>
            <w:r w:rsidRPr="00CE2ACA">
              <w:rPr>
                <w:rFonts w:cs="Arial"/>
                <w:color w:val="000000"/>
                <w:szCs w:val="18"/>
              </w:rPr>
              <w:t>88.551</w:t>
            </w:r>
          </w:p>
        </w:tc>
      </w:tr>
    </w:tbl>
    <w:p w14:paraId="4573C24E" w14:textId="1D92944E" w:rsidR="00921E56" w:rsidRDefault="00921E56" w:rsidP="00440397">
      <w:pPr>
        <w:pStyle w:val="texto"/>
        <w:spacing w:before="240" w:after="120"/>
        <w:rPr>
          <w:color w:val="000000" w:themeColor="text1"/>
        </w:rPr>
      </w:pPr>
      <w:r>
        <w:rPr>
          <w:color w:val="000000" w:themeColor="text1"/>
        </w:rPr>
        <w:t>Por su parte</w:t>
      </w:r>
      <w:r w:rsidRPr="00B81E61">
        <w:rPr>
          <w:color w:val="000000" w:themeColor="text1"/>
        </w:rPr>
        <w:t>, los entes dependientes de las entidades locales adjudicaron los siguientes contratos:</w:t>
      </w:r>
    </w:p>
    <w:p w14:paraId="3D66714F" w14:textId="79AB85A3" w:rsidR="00440397" w:rsidRPr="0003647B" w:rsidRDefault="009E536C" w:rsidP="00440397">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440397">
        <w:rPr>
          <w:rFonts w:ascii="Arial Narrow" w:hAnsi="Arial Narrow"/>
          <w:color w:val="000000" w:themeColor="text1"/>
          <w:sz w:val="18"/>
          <w:szCs w:val="18"/>
        </w:rPr>
        <w:t>Miles</w:t>
      </w:r>
      <w:r>
        <w:rPr>
          <w:rFonts w:ascii="Arial Narrow" w:hAnsi="Arial Narrow"/>
          <w:color w:val="000000" w:themeColor="text1"/>
          <w:sz w:val="18"/>
          <w:szCs w:val="18"/>
        </w:rPr>
        <w:t>)</w:t>
      </w:r>
    </w:p>
    <w:tbl>
      <w:tblPr>
        <w:tblW w:w="5000" w:type="pct"/>
        <w:jc w:val="center"/>
        <w:tblCellMar>
          <w:left w:w="70" w:type="dxa"/>
          <w:right w:w="70" w:type="dxa"/>
        </w:tblCellMar>
        <w:tblLook w:val="04A0" w:firstRow="1" w:lastRow="0" w:firstColumn="1" w:lastColumn="0" w:noHBand="0" w:noVBand="1"/>
      </w:tblPr>
      <w:tblGrid>
        <w:gridCol w:w="1827"/>
        <w:gridCol w:w="1003"/>
        <w:gridCol w:w="956"/>
        <w:gridCol w:w="550"/>
        <w:gridCol w:w="1062"/>
        <w:gridCol w:w="110"/>
        <w:gridCol w:w="447"/>
        <w:gridCol w:w="554"/>
        <w:gridCol w:w="232"/>
        <w:gridCol w:w="666"/>
        <w:gridCol w:w="1382"/>
      </w:tblGrid>
      <w:tr w:rsidR="00440397" w:rsidRPr="009E536C" w14:paraId="78B8DF46" w14:textId="77777777" w:rsidTr="009E536C">
        <w:trPr>
          <w:trHeight w:val="227"/>
          <w:jc w:val="center"/>
        </w:trPr>
        <w:tc>
          <w:tcPr>
            <w:tcW w:w="1039"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04F1F3FF" w14:textId="6D20265C" w:rsidR="00440397" w:rsidRPr="009E536C" w:rsidRDefault="00440397" w:rsidP="009E536C">
            <w:pPr>
              <w:pStyle w:val="cuadroCabe"/>
              <w:spacing w:line="240" w:lineRule="auto"/>
              <w:rPr>
                <w:color w:val="000000"/>
                <w:sz w:val="16"/>
                <w:szCs w:val="16"/>
                <w:lang w:val="es-ES" w:eastAsia="es-ES"/>
              </w:rPr>
            </w:pPr>
            <w:r w:rsidRPr="009E536C">
              <w:rPr>
                <w:sz w:val="16"/>
                <w:szCs w:val="16"/>
                <w:lang w:val="es-ES" w:eastAsia="es-ES"/>
              </w:rPr>
              <w:t>Tipo de contrato</w:t>
            </w:r>
          </w:p>
        </w:tc>
        <w:tc>
          <w:tcPr>
            <w:tcW w:w="1114"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14:paraId="512A1FF4" w14:textId="77777777" w:rsidR="00440397" w:rsidRPr="009E536C" w:rsidRDefault="00440397" w:rsidP="009E536C">
            <w:pPr>
              <w:pStyle w:val="cuadroCabe"/>
              <w:spacing w:line="240" w:lineRule="auto"/>
              <w:jc w:val="right"/>
              <w:rPr>
                <w:color w:val="000000"/>
                <w:sz w:val="16"/>
                <w:szCs w:val="16"/>
                <w:lang w:val="es-ES" w:eastAsia="es-ES"/>
              </w:rPr>
            </w:pPr>
            <w:r w:rsidRPr="009E536C">
              <w:rPr>
                <w:sz w:val="16"/>
                <w:szCs w:val="16"/>
                <w:lang w:val="es-ES" w:eastAsia="es-ES"/>
              </w:rPr>
              <w:t>Organismos autónomos</w:t>
            </w:r>
          </w:p>
        </w:tc>
        <w:tc>
          <w:tcPr>
            <w:tcW w:w="980" w:type="pct"/>
            <w:gridSpan w:val="3"/>
            <w:tcBorders>
              <w:top w:val="single" w:sz="4" w:space="0" w:color="auto"/>
              <w:left w:val="nil"/>
              <w:bottom w:val="single" w:sz="4" w:space="0" w:color="auto"/>
              <w:right w:val="nil"/>
            </w:tcBorders>
            <w:shd w:val="clear" w:color="auto" w:fill="FABF8F" w:themeFill="accent6" w:themeFillTint="99"/>
            <w:noWrap/>
            <w:vAlign w:val="center"/>
            <w:hideMark/>
          </w:tcPr>
          <w:p w14:paraId="5818B4D2" w14:textId="77777777" w:rsidR="00440397" w:rsidRPr="009E536C" w:rsidRDefault="00440397" w:rsidP="009E536C">
            <w:pPr>
              <w:pStyle w:val="cuadroCabe"/>
              <w:spacing w:line="240" w:lineRule="auto"/>
              <w:jc w:val="right"/>
              <w:rPr>
                <w:color w:val="000000"/>
                <w:sz w:val="16"/>
                <w:szCs w:val="16"/>
                <w:lang w:val="es-ES" w:eastAsia="es-ES"/>
              </w:rPr>
            </w:pPr>
            <w:r w:rsidRPr="009E536C">
              <w:rPr>
                <w:sz w:val="16"/>
                <w:szCs w:val="16"/>
                <w:lang w:val="es-ES" w:eastAsia="es-ES"/>
              </w:rPr>
              <w:t>Sociedades públicas</w:t>
            </w:r>
          </w:p>
        </w:tc>
        <w:tc>
          <w:tcPr>
            <w:tcW w:w="570"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14:paraId="46DDCCAE" w14:textId="77777777" w:rsidR="00440397" w:rsidRPr="009E536C" w:rsidRDefault="00440397" w:rsidP="009E536C">
            <w:pPr>
              <w:pStyle w:val="cuadroCabe"/>
              <w:spacing w:line="240" w:lineRule="auto"/>
              <w:jc w:val="right"/>
              <w:rPr>
                <w:color w:val="000000"/>
                <w:sz w:val="16"/>
                <w:szCs w:val="16"/>
                <w:lang w:val="es-ES" w:eastAsia="es-ES"/>
              </w:rPr>
            </w:pPr>
            <w:r w:rsidRPr="009E536C">
              <w:rPr>
                <w:sz w:val="16"/>
                <w:szCs w:val="16"/>
                <w:lang w:val="es-ES" w:eastAsia="es-ES"/>
              </w:rPr>
              <w:t>Consorcios</w:t>
            </w:r>
          </w:p>
        </w:tc>
        <w:tc>
          <w:tcPr>
            <w:tcW w:w="1297" w:type="pct"/>
            <w:gridSpan w:val="3"/>
            <w:tcBorders>
              <w:top w:val="single" w:sz="4" w:space="0" w:color="auto"/>
              <w:left w:val="nil"/>
              <w:bottom w:val="single" w:sz="4" w:space="0" w:color="auto"/>
            </w:tcBorders>
            <w:shd w:val="clear" w:color="auto" w:fill="FABF8F" w:themeFill="accent6" w:themeFillTint="99"/>
            <w:noWrap/>
            <w:vAlign w:val="center"/>
            <w:hideMark/>
          </w:tcPr>
          <w:p w14:paraId="46021ABC" w14:textId="77777777" w:rsidR="00440397" w:rsidRPr="009E536C" w:rsidRDefault="00440397" w:rsidP="009E536C">
            <w:pPr>
              <w:pStyle w:val="cuadroCabe"/>
              <w:spacing w:line="240" w:lineRule="auto"/>
              <w:jc w:val="right"/>
              <w:rPr>
                <w:sz w:val="16"/>
                <w:szCs w:val="16"/>
                <w:lang w:val="es-ES" w:eastAsia="es-ES"/>
              </w:rPr>
            </w:pPr>
            <w:proofErr w:type="gramStart"/>
            <w:r w:rsidRPr="009E536C">
              <w:rPr>
                <w:sz w:val="16"/>
                <w:szCs w:val="16"/>
                <w:lang w:val="es-ES" w:eastAsia="es-ES"/>
              </w:rPr>
              <w:t>Total</w:t>
            </w:r>
            <w:proofErr w:type="gramEnd"/>
            <w:r w:rsidRPr="009E536C">
              <w:rPr>
                <w:sz w:val="16"/>
                <w:szCs w:val="16"/>
                <w:lang w:val="es-ES" w:eastAsia="es-ES"/>
              </w:rPr>
              <w:t xml:space="preserve"> entes dependientes </w:t>
            </w:r>
          </w:p>
          <w:p w14:paraId="59C86ADF" w14:textId="77777777" w:rsidR="00440397" w:rsidRPr="009E536C" w:rsidRDefault="00440397" w:rsidP="009E536C">
            <w:pPr>
              <w:pStyle w:val="cuadroCabe"/>
              <w:spacing w:line="240" w:lineRule="auto"/>
              <w:jc w:val="right"/>
              <w:rPr>
                <w:color w:val="000000"/>
                <w:sz w:val="16"/>
                <w:szCs w:val="16"/>
                <w:lang w:val="es-ES" w:eastAsia="es-ES"/>
              </w:rPr>
            </w:pPr>
            <w:r w:rsidRPr="009E536C">
              <w:rPr>
                <w:sz w:val="16"/>
                <w:szCs w:val="16"/>
                <w:lang w:val="es-ES" w:eastAsia="es-ES"/>
              </w:rPr>
              <w:t>y consorcios</w:t>
            </w:r>
          </w:p>
        </w:tc>
      </w:tr>
      <w:tr w:rsidR="00440397" w:rsidRPr="009E536C" w14:paraId="18012041" w14:textId="77777777" w:rsidTr="009E536C">
        <w:trPr>
          <w:trHeight w:val="227"/>
          <w:jc w:val="center"/>
        </w:trPr>
        <w:tc>
          <w:tcPr>
            <w:tcW w:w="1039" w:type="pct"/>
            <w:vMerge/>
            <w:tcBorders>
              <w:top w:val="single" w:sz="4" w:space="0" w:color="auto"/>
              <w:left w:val="nil"/>
              <w:bottom w:val="single" w:sz="4" w:space="0" w:color="auto"/>
              <w:right w:val="nil"/>
            </w:tcBorders>
            <w:shd w:val="clear" w:color="auto" w:fill="FABF8F" w:themeFill="accent6" w:themeFillTint="99"/>
            <w:vAlign w:val="center"/>
            <w:hideMark/>
          </w:tcPr>
          <w:p w14:paraId="675A80B4" w14:textId="77777777" w:rsidR="00921E56" w:rsidRPr="009E536C" w:rsidRDefault="00921E56" w:rsidP="009E536C">
            <w:pPr>
              <w:pStyle w:val="cuadroCabe"/>
              <w:spacing w:line="240" w:lineRule="auto"/>
              <w:rPr>
                <w:color w:val="000000"/>
                <w:sz w:val="16"/>
                <w:szCs w:val="16"/>
                <w:lang w:val="es-ES" w:eastAsia="es-ES"/>
              </w:rPr>
            </w:pPr>
          </w:p>
        </w:tc>
        <w:tc>
          <w:tcPr>
            <w:tcW w:w="570" w:type="pct"/>
            <w:tcBorders>
              <w:top w:val="nil"/>
              <w:left w:val="nil"/>
              <w:bottom w:val="single" w:sz="4" w:space="0" w:color="auto"/>
              <w:right w:val="nil"/>
            </w:tcBorders>
            <w:shd w:val="clear" w:color="auto" w:fill="FABF8F" w:themeFill="accent6" w:themeFillTint="99"/>
            <w:noWrap/>
            <w:vAlign w:val="center"/>
            <w:hideMark/>
          </w:tcPr>
          <w:p w14:paraId="16087866" w14:textId="77777777" w:rsidR="00921E56" w:rsidRPr="009E536C" w:rsidRDefault="00921E56" w:rsidP="009E536C">
            <w:pPr>
              <w:pStyle w:val="cuadroCabe"/>
              <w:spacing w:line="240" w:lineRule="auto"/>
              <w:jc w:val="right"/>
              <w:rPr>
                <w:color w:val="000000"/>
                <w:sz w:val="16"/>
                <w:szCs w:val="16"/>
                <w:lang w:val="es-ES" w:eastAsia="es-ES"/>
              </w:rPr>
            </w:pPr>
            <w:proofErr w:type="spellStart"/>
            <w:r w:rsidRPr="009E536C">
              <w:rPr>
                <w:sz w:val="16"/>
                <w:szCs w:val="16"/>
                <w:lang w:val="es-ES" w:eastAsia="es-ES"/>
              </w:rPr>
              <w:t>Nº</w:t>
            </w:r>
            <w:proofErr w:type="spellEnd"/>
          </w:p>
        </w:tc>
        <w:tc>
          <w:tcPr>
            <w:tcW w:w="544" w:type="pct"/>
            <w:tcBorders>
              <w:top w:val="nil"/>
              <w:left w:val="nil"/>
              <w:bottom w:val="single" w:sz="4" w:space="0" w:color="auto"/>
              <w:right w:val="nil"/>
            </w:tcBorders>
            <w:shd w:val="clear" w:color="auto" w:fill="FABF8F" w:themeFill="accent6" w:themeFillTint="99"/>
            <w:vAlign w:val="center"/>
            <w:hideMark/>
          </w:tcPr>
          <w:p w14:paraId="5DFF8FF5" w14:textId="77777777" w:rsidR="00921E56" w:rsidRPr="009E536C" w:rsidRDefault="00921E56" w:rsidP="009E536C">
            <w:pPr>
              <w:pStyle w:val="cuadroCabe"/>
              <w:spacing w:line="240" w:lineRule="auto"/>
              <w:jc w:val="right"/>
              <w:rPr>
                <w:color w:val="000000"/>
                <w:sz w:val="16"/>
                <w:szCs w:val="16"/>
                <w:lang w:val="es-ES" w:eastAsia="es-ES"/>
              </w:rPr>
            </w:pPr>
            <w:r w:rsidRPr="009E536C">
              <w:rPr>
                <w:sz w:val="16"/>
                <w:szCs w:val="16"/>
                <w:lang w:val="es-ES" w:eastAsia="es-ES"/>
              </w:rPr>
              <w:t xml:space="preserve">Importe </w:t>
            </w:r>
          </w:p>
        </w:tc>
        <w:tc>
          <w:tcPr>
            <w:tcW w:w="313" w:type="pct"/>
            <w:tcBorders>
              <w:top w:val="nil"/>
              <w:left w:val="nil"/>
              <w:bottom w:val="single" w:sz="4" w:space="0" w:color="auto"/>
              <w:right w:val="nil"/>
            </w:tcBorders>
            <w:shd w:val="clear" w:color="auto" w:fill="FABF8F" w:themeFill="accent6" w:themeFillTint="99"/>
            <w:noWrap/>
            <w:vAlign w:val="center"/>
            <w:hideMark/>
          </w:tcPr>
          <w:p w14:paraId="30429EF8" w14:textId="77777777" w:rsidR="00921E56" w:rsidRPr="009E536C" w:rsidRDefault="00921E56" w:rsidP="009E536C">
            <w:pPr>
              <w:pStyle w:val="cuadroCabe"/>
              <w:spacing w:line="240" w:lineRule="auto"/>
              <w:jc w:val="right"/>
              <w:rPr>
                <w:color w:val="000000"/>
                <w:sz w:val="16"/>
                <w:szCs w:val="16"/>
                <w:lang w:val="es-ES" w:eastAsia="es-ES"/>
              </w:rPr>
            </w:pPr>
            <w:proofErr w:type="spellStart"/>
            <w:r w:rsidRPr="009E536C">
              <w:rPr>
                <w:sz w:val="16"/>
                <w:szCs w:val="16"/>
                <w:lang w:val="es-ES" w:eastAsia="es-ES"/>
              </w:rPr>
              <w:t>Nº</w:t>
            </w:r>
            <w:proofErr w:type="spellEnd"/>
          </w:p>
        </w:tc>
        <w:tc>
          <w:tcPr>
            <w:tcW w:w="604" w:type="pct"/>
            <w:tcBorders>
              <w:top w:val="nil"/>
              <w:left w:val="nil"/>
              <w:bottom w:val="single" w:sz="4" w:space="0" w:color="auto"/>
              <w:right w:val="nil"/>
            </w:tcBorders>
            <w:shd w:val="clear" w:color="auto" w:fill="FABF8F" w:themeFill="accent6" w:themeFillTint="99"/>
            <w:vAlign w:val="center"/>
            <w:hideMark/>
          </w:tcPr>
          <w:p w14:paraId="06D95854" w14:textId="77777777" w:rsidR="00921E56" w:rsidRPr="009E536C" w:rsidRDefault="00921E56" w:rsidP="009E536C">
            <w:pPr>
              <w:pStyle w:val="cuadroCabe"/>
              <w:spacing w:line="240" w:lineRule="auto"/>
              <w:jc w:val="right"/>
              <w:rPr>
                <w:color w:val="000000"/>
                <w:sz w:val="16"/>
                <w:szCs w:val="16"/>
                <w:lang w:val="es-ES" w:eastAsia="es-ES"/>
              </w:rPr>
            </w:pPr>
            <w:r w:rsidRPr="009E536C">
              <w:rPr>
                <w:sz w:val="16"/>
                <w:szCs w:val="16"/>
                <w:lang w:val="es-ES" w:eastAsia="es-ES"/>
              </w:rPr>
              <w:t xml:space="preserve">Importe </w:t>
            </w:r>
          </w:p>
        </w:tc>
        <w:tc>
          <w:tcPr>
            <w:tcW w:w="317" w:type="pct"/>
            <w:gridSpan w:val="2"/>
            <w:tcBorders>
              <w:top w:val="nil"/>
              <w:left w:val="nil"/>
              <w:bottom w:val="single" w:sz="4" w:space="0" w:color="auto"/>
              <w:right w:val="nil"/>
            </w:tcBorders>
            <w:shd w:val="clear" w:color="auto" w:fill="FABF8F" w:themeFill="accent6" w:themeFillTint="99"/>
            <w:noWrap/>
            <w:vAlign w:val="center"/>
            <w:hideMark/>
          </w:tcPr>
          <w:p w14:paraId="5B1E45E3" w14:textId="77777777" w:rsidR="00921E56" w:rsidRPr="009E536C" w:rsidRDefault="00921E56" w:rsidP="009E536C">
            <w:pPr>
              <w:pStyle w:val="cuadroCabe"/>
              <w:spacing w:line="240" w:lineRule="auto"/>
              <w:jc w:val="right"/>
              <w:rPr>
                <w:color w:val="000000"/>
                <w:sz w:val="16"/>
                <w:szCs w:val="16"/>
                <w:lang w:val="es-ES" w:eastAsia="es-ES"/>
              </w:rPr>
            </w:pPr>
            <w:proofErr w:type="spellStart"/>
            <w:r w:rsidRPr="009E536C">
              <w:rPr>
                <w:sz w:val="16"/>
                <w:szCs w:val="16"/>
                <w:lang w:val="es-ES" w:eastAsia="es-ES"/>
              </w:rPr>
              <w:t>Nº</w:t>
            </w:r>
            <w:proofErr w:type="spellEnd"/>
          </w:p>
        </w:tc>
        <w:tc>
          <w:tcPr>
            <w:tcW w:w="448" w:type="pct"/>
            <w:gridSpan w:val="2"/>
            <w:tcBorders>
              <w:top w:val="nil"/>
              <w:left w:val="nil"/>
              <w:bottom w:val="single" w:sz="4" w:space="0" w:color="auto"/>
              <w:right w:val="nil"/>
            </w:tcBorders>
            <w:shd w:val="clear" w:color="auto" w:fill="FABF8F" w:themeFill="accent6" w:themeFillTint="99"/>
            <w:vAlign w:val="center"/>
            <w:hideMark/>
          </w:tcPr>
          <w:p w14:paraId="336BF839" w14:textId="28EC0517" w:rsidR="00921E56" w:rsidRPr="009E536C" w:rsidRDefault="00921E56" w:rsidP="009E536C">
            <w:pPr>
              <w:pStyle w:val="cuadroCabe"/>
              <w:spacing w:line="240" w:lineRule="auto"/>
              <w:jc w:val="right"/>
              <w:rPr>
                <w:color w:val="000000"/>
                <w:sz w:val="16"/>
                <w:szCs w:val="16"/>
                <w:lang w:val="es-ES" w:eastAsia="es-ES"/>
              </w:rPr>
            </w:pPr>
            <w:r w:rsidRPr="009E536C">
              <w:rPr>
                <w:sz w:val="16"/>
                <w:szCs w:val="16"/>
                <w:lang w:val="es-ES" w:eastAsia="es-ES"/>
              </w:rPr>
              <w:t>Importe</w:t>
            </w:r>
          </w:p>
        </w:tc>
        <w:tc>
          <w:tcPr>
            <w:tcW w:w="379" w:type="pct"/>
            <w:tcBorders>
              <w:top w:val="nil"/>
              <w:left w:val="nil"/>
              <w:bottom w:val="single" w:sz="4" w:space="0" w:color="auto"/>
              <w:right w:val="nil"/>
            </w:tcBorders>
            <w:shd w:val="clear" w:color="auto" w:fill="FABF8F" w:themeFill="accent6" w:themeFillTint="99"/>
            <w:vAlign w:val="center"/>
            <w:hideMark/>
          </w:tcPr>
          <w:p w14:paraId="501E659E" w14:textId="77777777" w:rsidR="00921E56" w:rsidRPr="009E536C" w:rsidRDefault="00921E56" w:rsidP="009E536C">
            <w:pPr>
              <w:pStyle w:val="cuadroCabe"/>
              <w:spacing w:line="240" w:lineRule="auto"/>
              <w:jc w:val="right"/>
              <w:rPr>
                <w:color w:val="000000"/>
                <w:sz w:val="16"/>
                <w:szCs w:val="16"/>
                <w:lang w:val="es-ES" w:eastAsia="es-ES"/>
              </w:rPr>
            </w:pPr>
            <w:proofErr w:type="spellStart"/>
            <w:r w:rsidRPr="009E536C">
              <w:rPr>
                <w:sz w:val="16"/>
                <w:szCs w:val="16"/>
                <w:lang w:val="es-ES" w:eastAsia="es-ES"/>
              </w:rPr>
              <w:t>Nº</w:t>
            </w:r>
            <w:proofErr w:type="spellEnd"/>
          </w:p>
        </w:tc>
        <w:tc>
          <w:tcPr>
            <w:tcW w:w="785" w:type="pct"/>
            <w:tcBorders>
              <w:top w:val="nil"/>
              <w:left w:val="nil"/>
              <w:bottom w:val="single" w:sz="4" w:space="0" w:color="auto"/>
              <w:right w:val="nil"/>
            </w:tcBorders>
            <w:shd w:val="clear" w:color="auto" w:fill="FABF8F" w:themeFill="accent6" w:themeFillTint="99"/>
            <w:vAlign w:val="center"/>
            <w:hideMark/>
          </w:tcPr>
          <w:p w14:paraId="392D401B" w14:textId="77777777" w:rsidR="00921E56" w:rsidRPr="009E536C" w:rsidRDefault="00921E56" w:rsidP="009E536C">
            <w:pPr>
              <w:pStyle w:val="cuadroCabe"/>
              <w:spacing w:line="240" w:lineRule="auto"/>
              <w:jc w:val="right"/>
              <w:rPr>
                <w:color w:val="000000"/>
                <w:sz w:val="16"/>
                <w:szCs w:val="16"/>
                <w:lang w:val="es-ES" w:eastAsia="es-ES"/>
              </w:rPr>
            </w:pPr>
            <w:r w:rsidRPr="009E536C">
              <w:rPr>
                <w:sz w:val="16"/>
                <w:szCs w:val="16"/>
                <w:lang w:val="es-ES" w:eastAsia="es-ES"/>
              </w:rPr>
              <w:t xml:space="preserve">Importe </w:t>
            </w:r>
          </w:p>
        </w:tc>
      </w:tr>
      <w:tr w:rsidR="00440397" w:rsidRPr="00474131" w14:paraId="1506F268" w14:textId="77777777" w:rsidTr="009E536C">
        <w:trPr>
          <w:trHeight w:val="227"/>
          <w:jc w:val="center"/>
        </w:trPr>
        <w:tc>
          <w:tcPr>
            <w:tcW w:w="1039" w:type="pct"/>
            <w:tcBorders>
              <w:top w:val="nil"/>
              <w:left w:val="nil"/>
              <w:bottom w:val="single" w:sz="4" w:space="0" w:color="auto"/>
              <w:right w:val="nil"/>
            </w:tcBorders>
            <w:shd w:val="clear" w:color="auto" w:fill="auto"/>
            <w:noWrap/>
            <w:vAlign w:val="center"/>
            <w:hideMark/>
          </w:tcPr>
          <w:p w14:paraId="7E3F2C49" w14:textId="77777777" w:rsidR="004C5885" w:rsidRPr="00474131" w:rsidRDefault="004C5885" w:rsidP="009E536C">
            <w:pPr>
              <w:spacing w:after="0"/>
              <w:ind w:firstLine="0"/>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Obras</w:t>
            </w:r>
          </w:p>
        </w:tc>
        <w:tc>
          <w:tcPr>
            <w:tcW w:w="570" w:type="pct"/>
            <w:tcBorders>
              <w:top w:val="nil"/>
              <w:left w:val="nil"/>
              <w:bottom w:val="single" w:sz="4" w:space="0" w:color="auto"/>
              <w:right w:val="nil"/>
            </w:tcBorders>
            <w:shd w:val="clear" w:color="auto" w:fill="auto"/>
            <w:vAlign w:val="center"/>
          </w:tcPr>
          <w:p w14:paraId="5892E215"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w:t>
            </w:r>
          </w:p>
        </w:tc>
        <w:tc>
          <w:tcPr>
            <w:tcW w:w="544" w:type="pct"/>
            <w:tcBorders>
              <w:top w:val="nil"/>
              <w:left w:val="nil"/>
              <w:bottom w:val="single" w:sz="4" w:space="0" w:color="auto"/>
              <w:right w:val="nil"/>
            </w:tcBorders>
            <w:shd w:val="clear" w:color="auto" w:fill="auto"/>
            <w:vAlign w:val="center"/>
          </w:tcPr>
          <w:p w14:paraId="15F81952" w14:textId="7F8F5475"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w:t>
            </w:r>
            <w:r w:rsidRPr="00474131">
              <w:rPr>
                <w:rFonts w:ascii="Arial Narrow" w:hAnsi="Arial Narrow" w:cs="Calibri"/>
                <w:color w:val="000000" w:themeColor="text1"/>
                <w:lang w:val="es-ES" w:eastAsia="es-ES"/>
              </w:rPr>
              <w:t xml:space="preserve"> </w:t>
            </w:r>
          </w:p>
        </w:tc>
        <w:tc>
          <w:tcPr>
            <w:tcW w:w="313" w:type="pct"/>
            <w:tcBorders>
              <w:top w:val="nil"/>
              <w:left w:val="nil"/>
              <w:bottom w:val="single" w:sz="4" w:space="0" w:color="auto"/>
              <w:right w:val="nil"/>
            </w:tcBorders>
            <w:shd w:val="clear" w:color="auto" w:fill="auto"/>
            <w:vAlign w:val="center"/>
            <w:hideMark/>
          </w:tcPr>
          <w:p w14:paraId="69F02286"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16</w:t>
            </w:r>
          </w:p>
        </w:tc>
        <w:tc>
          <w:tcPr>
            <w:tcW w:w="604" w:type="pct"/>
            <w:tcBorders>
              <w:top w:val="nil"/>
              <w:left w:val="nil"/>
              <w:bottom w:val="single" w:sz="4" w:space="0" w:color="auto"/>
              <w:right w:val="nil"/>
            </w:tcBorders>
            <w:shd w:val="clear" w:color="auto" w:fill="auto"/>
            <w:vAlign w:val="center"/>
            <w:hideMark/>
          </w:tcPr>
          <w:p w14:paraId="3C695050" w14:textId="48C035ED"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 xml:space="preserve">9.765 </w:t>
            </w:r>
          </w:p>
        </w:tc>
        <w:tc>
          <w:tcPr>
            <w:tcW w:w="317" w:type="pct"/>
            <w:gridSpan w:val="2"/>
            <w:tcBorders>
              <w:top w:val="nil"/>
              <w:left w:val="nil"/>
              <w:bottom w:val="single" w:sz="4" w:space="0" w:color="auto"/>
              <w:right w:val="nil"/>
            </w:tcBorders>
            <w:shd w:val="clear" w:color="auto" w:fill="auto"/>
            <w:vAlign w:val="center"/>
            <w:hideMark/>
          </w:tcPr>
          <w:p w14:paraId="2F3ADA8A"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w:t>
            </w:r>
          </w:p>
        </w:tc>
        <w:tc>
          <w:tcPr>
            <w:tcW w:w="448" w:type="pct"/>
            <w:gridSpan w:val="2"/>
            <w:tcBorders>
              <w:top w:val="nil"/>
              <w:left w:val="nil"/>
              <w:bottom w:val="single" w:sz="4" w:space="0" w:color="auto"/>
              <w:right w:val="nil"/>
            </w:tcBorders>
            <w:shd w:val="clear" w:color="auto" w:fill="auto"/>
            <w:vAlign w:val="center"/>
            <w:hideMark/>
          </w:tcPr>
          <w:p w14:paraId="7FDEB2ED" w14:textId="756BAE4D"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w:t>
            </w:r>
          </w:p>
        </w:tc>
        <w:tc>
          <w:tcPr>
            <w:tcW w:w="379" w:type="pct"/>
            <w:tcBorders>
              <w:top w:val="nil"/>
              <w:left w:val="nil"/>
              <w:bottom w:val="single" w:sz="4" w:space="0" w:color="auto"/>
              <w:right w:val="nil"/>
            </w:tcBorders>
            <w:shd w:val="clear" w:color="auto" w:fill="auto"/>
            <w:noWrap/>
            <w:vAlign w:val="center"/>
            <w:hideMark/>
          </w:tcPr>
          <w:p w14:paraId="1D83234A"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16</w:t>
            </w:r>
          </w:p>
        </w:tc>
        <w:tc>
          <w:tcPr>
            <w:tcW w:w="785" w:type="pct"/>
            <w:tcBorders>
              <w:top w:val="nil"/>
              <w:left w:val="nil"/>
              <w:bottom w:val="single" w:sz="4" w:space="0" w:color="auto"/>
              <w:right w:val="nil"/>
            </w:tcBorders>
            <w:shd w:val="clear" w:color="auto" w:fill="auto"/>
            <w:noWrap/>
            <w:vAlign w:val="center"/>
            <w:hideMark/>
          </w:tcPr>
          <w:p w14:paraId="4AED84A8" w14:textId="568BD935"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 xml:space="preserve">9.765 </w:t>
            </w:r>
          </w:p>
        </w:tc>
      </w:tr>
      <w:tr w:rsidR="00440397" w:rsidRPr="00474131" w14:paraId="3D2C196C" w14:textId="77777777" w:rsidTr="009E536C">
        <w:trPr>
          <w:trHeight w:val="227"/>
          <w:jc w:val="center"/>
        </w:trPr>
        <w:tc>
          <w:tcPr>
            <w:tcW w:w="1039" w:type="pct"/>
            <w:tcBorders>
              <w:top w:val="nil"/>
              <w:left w:val="nil"/>
              <w:bottom w:val="single" w:sz="4" w:space="0" w:color="auto"/>
              <w:right w:val="nil"/>
            </w:tcBorders>
            <w:shd w:val="clear" w:color="auto" w:fill="auto"/>
            <w:noWrap/>
            <w:vAlign w:val="center"/>
            <w:hideMark/>
          </w:tcPr>
          <w:p w14:paraId="468E3D4C" w14:textId="77777777" w:rsidR="004C5885" w:rsidRPr="00474131" w:rsidRDefault="004C5885" w:rsidP="009E536C">
            <w:pPr>
              <w:spacing w:after="0"/>
              <w:ind w:firstLine="0"/>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Servicios</w:t>
            </w:r>
          </w:p>
        </w:tc>
        <w:tc>
          <w:tcPr>
            <w:tcW w:w="570" w:type="pct"/>
            <w:tcBorders>
              <w:top w:val="nil"/>
              <w:left w:val="nil"/>
              <w:bottom w:val="single" w:sz="4" w:space="0" w:color="auto"/>
              <w:right w:val="nil"/>
            </w:tcBorders>
            <w:shd w:val="clear" w:color="auto" w:fill="auto"/>
            <w:vAlign w:val="center"/>
          </w:tcPr>
          <w:p w14:paraId="59D26B51"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w:t>
            </w:r>
          </w:p>
        </w:tc>
        <w:tc>
          <w:tcPr>
            <w:tcW w:w="544" w:type="pct"/>
            <w:tcBorders>
              <w:top w:val="nil"/>
              <w:left w:val="nil"/>
              <w:bottom w:val="single" w:sz="4" w:space="0" w:color="auto"/>
              <w:right w:val="nil"/>
            </w:tcBorders>
            <w:shd w:val="clear" w:color="auto" w:fill="auto"/>
            <w:vAlign w:val="center"/>
          </w:tcPr>
          <w:p w14:paraId="786BF30A" w14:textId="5A5CBE9E"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w:t>
            </w:r>
            <w:r w:rsidRPr="00474131">
              <w:rPr>
                <w:rFonts w:ascii="Arial Narrow" w:hAnsi="Arial Narrow" w:cs="Calibri"/>
                <w:color w:val="000000" w:themeColor="text1"/>
                <w:lang w:val="es-ES" w:eastAsia="es-ES"/>
              </w:rPr>
              <w:t xml:space="preserve"> </w:t>
            </w:r>
          </w:p>
        </w:tc>
        <w:tc>
          <w:tcPr>
            <w:tcW w:w="313" w:type="pct"/>
            <w:tcBorders>
              <w:top w:val="nil"/>
              <w:left w:val="nil"/>
              <w:bottom w:val="single" w:sz="4" w:space="0" w:color="auto"/>
              <w:right w:val="nil"/>
            </w:tcBorders>
            <w:shd w:val="clear" w:color="auto" w:fill="auto"/>
            <w:vAlign w:val="center"/>
            <w:hideMark/>
          </w:tcPr>
          <w:p w14:paraId="6057C70F"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38</w:t>
            </w:r>
          </w:p>
        </w:tc>
        <w:tc>
          <w:tcPr>
            <w:tcW w:w="604" w:type="pct"/>
            <w:tcBorders>
              <w:top w:val="nil"/>
              <w:left w:val="nil"/>
              <w:bottom w:val="single" w:sz="4" w:space="0" w:color="auto"/>
              <w:right w:val="nil"/>
            </w:tcBorders>
            <w:shd w:val="clear" w:color="auto" w:fill="auto"/>
            <w:vAlign w:val="center"/>
            <w:hideMark/>
          </w:tcPr>
          <w:p w14:paraId="227C712E" w14:textId="0DD89303"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 xml:space="preserve">5.660 </w:t>
            </w:r>
          </w:p>
        </w:tc>
        <w:tc>
          <w:tcPr>
            <w:tcW w:w="317" w:type="pct"/>
            <w:gridSpan w:val="2"/>
            <w:tcBorders>
              <w:top w:val="nil"/>
              <w:left w:val="nil"/>
              <w:bottom w:val="single" w:sz="4" w:space="0" w:color="auto"/>
              <w:right w:val="nil"/>
            </w:tcBorders>
            <w:shd w:val="clear" w:color="auto" w:fill="auto"/>
            <w:vAlign w:val="center"/>
            <w:hideMark/>
          </w:tcPr>
          <w:p w14:paraId="1B0EA650"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1</w:t>
            </w:r>
          </w:p>
        </w:tc>
        <w:tc>
          <w:tcPr>
            <w:tcW w:w="448" w:type="pct"/>
            <w:gridSpan w:val="2"/>
            <w:tcBorders>
              <w:top w:val="nil"/>
              <w:left w:val="nil"/>
              <w:bottom w:val="single" w:sz="4" w:space="0" w:color="auto"/>
              <w:right w:val="nil"/>
            </w:tcBorders>
            <w:shd w:val="clear" w:color="auto" w:fill="auto"/>
            <w:vAlign w:val="center"/>
            <w:hideMark/>
          </w:tcPr>
          <w:p w14:paraId="1C0F122C" w14:textId="1972E789"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1.923</w:t>
            </w:r>
          </w:p>
        </w:tc>
        <w:tc>
          <w:tcPr>
            <w:tcW w:w="379" w:type="pct"/>
            <w:tcBorders>
              <w:top w:val="nil"/>
              <w:left w:val="nil"/>
              <w:bottom w:val="single" w:sz="4" w:space="0" w:color="auto"/>
              <w:right w:val="nil"/>
            </w:tcBorders>
            <w:shd w:val="clear" w:color="auto" w:fill="auto"/>
            <w:noWrap/>
            <w:vAlign w:val="center"/>
            <w:hideMark/>
          </w:tcPr>
          <w:p w14:paraId="0938E3ED"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39</w:t>
            </w:r>
          </w:p>
        </w:tc>
        <w:tc>
          <w:tcPr>
            <w:tcW w:w="785" w:type="pct"/>
            <w:tcBorders>
              <w:top w:val="nil"/>
              <w:left w:val="nil"/>
              <w:bottom w:val="single" w:sz="4" w:space="0" w:color="auto"/>
              <w:right w:val="nil"/>
            </w:tcBorders>
            <w:shd w:val="clear" w:color="auto" w:fill="auto"/>
            <w:noWrap/>
            <w:vAlign w:val="center"/>
            <w:hideMark/>
          </w:tcPr>
          <w:p w14:paraId="668CA894" w14:textId="74074D2A"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 xml:space="preserve">7.583 </w:t>
            </w:r>
          </w:p>
        </w:tc>
      </w:tr>
      <w:tr w:rsidR="00440397" w:rsidRPr="00474131" w14:paraId="4BB7A0E4" w14:textId="77777777" w:rsidTr="009E536C">
        <w:trPr>
          <w:trHeight w:val="227"/>
          <w:jc w:val="center"/>
        </w:trPr>
        <w:tc>
          <w:tcPr>
            <w:tcW w:w="1039" w:type="pct"/>
            <w:tcBorders>
              <w:top w:val="nil"/>
              <w:left w:val="nil"/>
              <w:bottom w:val="single" w:sz="4" w:space="0" w:color="auto"/>
              <w:right w:val="nil"/>
            </w:tcBorders>
            <w:shd w:val="clear" w:color="auto" w:fill="auto"/>
            <w:noWrap/>
            <w:vAlign w:val="center"/>
            <w:hideMark/>
          </w:tcPr>
          <w:p w14:paraId="5FD80E0A" w14:textId="77777777" w:rsidR="004C5885" w:rsidRPr="00474131" w:rsidRDefault="004C5885" w:rsidP="009E536C">
            <w:pPr>
              <w:spacing w:after="0"/>
              <w:ind w:firstLine="0"/>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Suministros</w:t>
            </w:r>
          </w:p>
        </w:tc>
        <w:tc>
          <w:tcPr>
            <w:tcW w:w="570" w:type="pct"/>
            <w:tcBorders>
              <w:top w:val="nil"/>
              <w:left w:val="nil"/>
              <w:bottom w:val="single" w:sz="4" w:space="0" w:color="auto"/>
              <w:right w:val="nil"/>
            </w:tcBorders>
            <w:shd w:val="clear" w:color="auto" w:fill="auto"/>
            <w:vAlign w:val="center"/>
          </w:tcPr>
          <w:p w14:paraId="7E9F6C3F"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w:t>
            </w:r>
          </w:p>
        </w:tc>
        <w:tc>
          <w:tcPr>
            <w:tcW w:w="544" w:type="pct"/>
            <w:tcBorders>
              <w:top w:val="nil"/>
              <w:left w:val="nil"/>
              <w:bottom w:val="single" w:sz="4" w:space="0" w:color="auto"/>
              <w:right w:val="nil"/>
            </w:tcBorders>
            <w:shd w:val="clear" w:color="auto" w:fill="auto"/>
            <w:vAlign w:val="center"/>
          </w:tcPr>
          <w:p w14:paraId="4508AC31" w14:textId="12D4F3CE"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w:t>
            </w:r>
            <w:r w:rsidRPr="00474131">
              <w:rPr>
                <w:rFonts w:ascii="Arial Narrow" w:hAnsi="Arial Narrow" w:cs="Calibri"/>
                <w:color w:val="000000" w:themeColor="text1"/>
                <w:lang w:val="es-ES" w:eastAsia="es-ES"/>
              </w:rPr>
              <w:t xml:space="preserve"> </w:t>
            </w:r>
          </w:p>
        </w:tc>
        <w:tc>
          <w:tcPr>
            <w:tcW w:w="313" w:type="pct"/>
            <w:tcBorders>
              <w:top w:val="nil"/>
              <w:left w:val="nil"/>
              <w:bottom w:val="single" w:sz="4" w:space="0" w:color="auto"/>
              <w:right w:val="nil"/>
            </w:tcBorders>
            <w:shd w:val="clear" w:color="auto" w:fill="auto"/>
            <w:vAlign w:val="center"/>
            <w:hideMark/>
          </w:tcPr>
          <w:p w14:paraId="78C29EA7"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15</w:t>
            </w:r>
          </w:p>
        </w:tc>
        <w:tc>
          <w:tcPr>
            <w:tcW w:w="604" w:type="pct"/>
            <w:tcBorders>
              <w:top w:val="nil"/>
              <w:left w:val="nil"/>
              <w:bottom w:val="single" w:sz="4" w:space="0" w:color="auto"/>
              <w:right w:val="nil"/>
            </w:tcBorders>
            <w:shd w:val="clear" w:color="auto" w:fill="auto"/>
            <w:vAlign w:val="center"/>
            <w:hideMark/>
          </w:tcPr>
          <w:p w14:paraId="5D4D581D" w14:textId="38521655"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 xml:space="preserve">8.709 </w:t>
            </w:r>
          </w:p>
        </w:tc>
        <w:tc>
          <w:tcPr>
            <w:tcW w:w="317" w:type="pct"/>
            <w:gridSpan w:val="2"/>
            <w:tcBorders>
              <w:top w:val="nil"/>
              <w:left w:val="nil"/>
              <w:bottom w:val="single" w:sz="4" w:space="0" w:color="auto"/>
              <w:right w:val="nil"/>
            </w:tcBorders>
            <w:shd w:val="clear" w:color="auto" w:fill="auto"/>
            <w:vAlign w:val="center"/>
          </w:tcPr>
          <w:p w14:paraId="7B3A3CA7"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w:t>
            </w:r>
          </w:p>
        </w:tc>
        <w:tc>
          <w:tcPr>
            <w:tcW w:w="448" w:type="pct"/>
            <w:gridSpan w:val="2"/>
            <w:tcBorders>
              <w:top w:val="nil"/>
              <w:left w:val="nil"/>
              <w:bottom w:val="single" w:sz="4" w:space="0" w:color="auto"/>
              <w:right w:val="nil"/>
            </w:tcBorders>
            <w:shd w:val="clear" w:color="auto" w:fill="auto"/>
            <w:vAlign w:val="center"/>
          </w:tcPr>
          <w:p w14:paraId="0435D6FF" w14:textId="0DD26EE1"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w:t>
            </w:r>
          </w:p>
        </w:tc>
        <w:tc>
          <w:tcPr>
            <w:tcW w:w="379" w:type="pct"/>
            <w:tcBorders>
              <w:top w:val="nil"/>
              <w:left w:val="nil"/>
              <w:bottom w:val="single" w:sz="4" w:space="0" w:color="auto"/>
              <w:right w:val="nil"/>
            </w:tcBorders>
            <w:shd w:val="clear" w:color="auto" w:fill="auto"/>
            <w:noWrap/>
            <w:vAlign w:val="center"/>
            <w:hideMark/>
          </w:tcPr>
          <w:p w14:paraId="20859FB9"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15</w:t>
            </w:r>
          </w:p>
        </w:tc>
        <w:tc>
          <w:tcPr>
            <w:tcW w:w="785" w:type="pct"/>
            <w:tcBorders>
              <w:top w:val="nil"/>
              <w:left w:val="nil"/>
              <w:bottom w:val="single" w:sz="4" w:space="0" w:color="auto"/>
              <w:right w:val="nil"/>
            </w:tcBorders>
            <w:shd w:val="clear" w:color="auto" w:fill="auto"/>
            <w:noWrap/>
            <w:vAlign w:val="center"/>
            <w:hideMark/>
          </w:tcPr>
          <w:p w14:paraId="414D40B1" w14:textId="43998881"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 xml:space="preserve">8.709 </w:t>
            </w:r>
          </w:p>
        </w:tc>
      </w:tr>
      <w:tr w:rsidR="00440397" w:rsidRPr="00474131" w14:paraId="6DE75363" w14:textId="77777777" w:rsidTr="009E536C">
        <w:trPr>
          <w:trHeight w:val="227"/>
          <w:jc w:val="center"/>
        </w:trPr>
        <w:tc>
          <w:tcPr>
            <w:tcW w:w="1039" w:type="pct"/>
            <w:tcBorders>
              <w:top w:val="nil"/>
              <w:left w:val="nil"/>
              <w:bottom w:val="single" w:sz="4" w:space="0" w:color="auto"/>
              <w:right w:val="nil"/>
            </w:tcBorders>
            <w:shd w:val="clear" w:color="auto" w:fill="auto"/>
            <w:noWrap/>
            <w:vAlign w:val="center"/>
            <w:hideMark/>
          </w:tcPr>
          <w:p w14:paraId="5EA41575" w14:textId="77777777" w:rsidR="004C5885" w:rsidRPr="00474131" w:rsidRDefault="004C5885" w:rsidP="009E536C">
            <w:pPr>
              <w:spacing w:after="0"/>
              <w:ind w:firstLine="0"/>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Concesión de servicios</w:t>
            </w:r>
          </w:p>
        </w:tc>
        <w:tc>
          <w:tcPr>
            <w:tcW w:w="570" w:type="pct"/>
            <w:tcBorders>
              <w:top w:val="nil"/>
              <w:left w:val="nil"/>
              <w:bottom w:val="single" w:sz="4" w:space="0" w:color="auto"/>
              <w:right w:val="nil"/>
            </w:tcBorders>
            <w:shd w:val="clear" w:color="auto" w:fill="auto"/>
            <w:vAlign w:val="center"/>
          </w:tcPr>
          <w:p w14:paraId="57D8000C"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1</w:t>
            </w:r>
          </w:p>
        </w:tc>
        <w:tc>
          <w:tcPr>
            <w:tcW w:w="544" w:type="pct"/>
            <w:tcBorders>
              <w:top w:val="nil"/>
              <w:left w:val="nil"/>
              <w:bottom w:val="single" w:sz="4" w:space="0" w:color="auto"/>
              <w:right w:val="nil"/>
            </w:tcBorders>
            <w:shd w:val="clear" w:color="auto" w:fill="auto"/>
            <w:vAlign w:val="center"/>
          </w:tcPr>
          <w:p w14:paraId="14869E55" w14:textId="38DF21ED"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 xml:space="preserve">4 </w:t>
            </w:r>
          </w:p>
        </w:tc>
        <w:tc>
          <w:tcPr>
            <w:tcW w:w="313" w:type="pct"/>
            <w:tcBorders>
              <w:top w:val="nil"/>
              <w:left w:val="nil"/>
              <w:bottom w:val="single" w:sz="4" w:space="0" w:color="auto"/>
              <w:right w:val="nil"/>
            </w:tcBorders>
            <w:shd w:val="clear" w:color="auto" w:fill="auto"/>
            <w:vAlign w:val="center"/>
            <w:hideMark/>
          </w:tcPr>
          <w:p w14:paraId="0B74F1C8"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w:t>
            </w:r>
          </w:p>
        </w:tc>
        <w:tc>
          <w:tcPr>
            <w:tcW w:w="604" w:type="pct"/>
            <w:tcBorders>
              <w:top w:val="nil"/>
              <w:left w:val="nil"/>
              <w:bottom w:val="single" w:sz="4" w:space="0" w:color="auto"/>
              <w:right w:val="nil"/>
            </w:tcBorders>
            <w:shd w:val="clear" w:color="auto" w:fill="auto"/>
            <w:vAlign w:val="center"/>
            <w:hideMark/>
          </w:tcPr>
          <w:p w14:paraId="206C4366" w14:textId="279AC357"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w:t>
            </w:r>
            <w:r w:rsidRPr="00474131">
              <w:rPr>
                <w:rFonts w:ascii="Arial Narrow" w:hAnsi="Arial Narrow" w:cs="Calibri"/>
                <w:color w:val="000000" w:themeColor="text1"/>
                <w:lang w:val="es-ES" w:eastAsia="es-ES"/>
              </w:rPr>
              <w:t xml:space="preserve"> </w:t>
            </w:r>
          </w:p>
        </w:tc>
        <w:tc>
          <w:tcPr>
            <w:tcW w:w="317" w:type="pct"/>
            <w:gridSpan w:val="2"/>
            <w:tcBorders>
              <w:top w:val="nil"/>
              <w:left w:val="nil"/>
              <w:bottom w:val="single" w:sz="4" w:space="0" w:color="auto"/>
              <w:right w:val="nil"/>
            </w:tcBorders>
            <w:shd w:val="clear" w:color="auto" w:fill="auto"/>
            <w:vAlign w:val="center"/>
            <w:hideMark/>
          </w:tcPr>
          <w:p w14:paraId="74626D4E"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w:t>
            </w:r>
          </w:p>
        </w:tc>
        <w:tc>
          <w:tcPr>
            <w:tcW w:w="448" w:type="pct"/>
            <w:gridSpan w:val="2"/>
            <w:tcBorders>
              <w:top w:val="nil"/>
              <w:left w:val="nil"/>
              <w:bottom w:val="single" w:sz="4" w:space="0" w:color="auto"/>
              <w:right w:val="nil"/>
            </w:tcBorders>
            <w:shd w:val="clear" w:color="auto" w:fill="auto"/>
            <w:vAlign w:val="center"/>
            <w:hideMark/>
          </w:tcPr>
          <w:p w14:paraId="7F082D96" w14:textId="29A94578"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w:t>
            </w:r>
          </w:p>
        </w:tc>
        <w:tc>
          <w:tcPr>
            <w:tcW w:w="379" w:type="pct"/>
            <w:tcBorders>
              <w:top w:val="nil"/>
              <w:left w:val="nil"/>
              <w:bottom w:val="single" w:sz="4" w:space="0" w:color="auto"/>
              <w:right w:val="nil"/>
            </w:tcBorders>
            <w:shd w:val="clear" w:color="auto" w:fill="auto"/>
            <w:noWrap/>
            <w:vAlign w:val="center"/>
            <w:hideMark/>
          </w:tcPr>
          <w:p w14:paraId="77C9D531" w14:textId="77777777" w:rsidR="004C5885" w:rsidRPr="00474131" w:rsidRDefault="004C588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1</w:t>
            </w:r>
          </w:p>
        </w:tc>
        <w:tc>
          <w:tcPr>
            <w:tcW w:w="785" w:type="pct"/>
            <w:tcBorders>
              <w:top w:val="nil"/>
              <w:left w:val="nil"/>
              <w:bottom w:val="single" w:sz="4" w:space="0" w:color="auto"/>
              <w:right w:val="nil"/>
            </w:tcBorders>
            <w:shd w:val="clear" w:color="auto" w:fill="auto"/>
            <w:noWrap/>
            <w:vAlign w:val="center"/>
            <w:hideMark/>
          </w:tcPr>
          <w:p w14:paraId="1504A2D4" w14:textId="4FD47759" w:rsidR="004C5885" w:rsidRPr="00474131" w:rsidRDefault="00AC06A5" w:rsidP="009E536C">
            <w:pPr>
              <w:spacing w:after="0"/>
              <w:ind w:firstLine="0"/>
              <w:jc w:val="right"/>
              <w:rPr>
                <w:rFonts w:ascii="Arial Narrow" w:hAnsi="Arial Narrow" w:cs="Calibri"/>
                <w:color w:val="000000" w:themeColor="text1"/>
                <w:lang w:val="es-ES" w:eastAsia="es-ES"/>
              </w:rPr>
            </w:pPr>
            <w:r w:rsidRPr="00474131">
              <w:rPr>
                <w:rFonts w:ascii="Arial Narrow" w:hAnsi="Arial Narrow" w:cs="Calibri"/>
                <w:color w:val="000000" w:themeColor="text1"/>
                <w:lang w:val="es-ES" w:eastAsia="es-ES"/>
              </w:rPr>
              <w:t xml:space="preserve"> </w:t>
            </w:r>
            <w:r w:rsidR="004C5885" w:rsidRPr="00474131">
              <w:rPr>
                <w:rFonts w:ascii="Arial Narrow" w:hAnsi="Arial Narrow" w:cs="Calibri"/>
                <w:color w:val="000000" w:themeColor="text1"/>
                <w:lang w:val="es-ES" w:eastAsia="es-ES"/>
              </w:rPr>
              <w:t xml:space="preserve">4 </w:t>
            </w:r>
          </w:p>
        </w:tc>
      </w:tr>
      <w:tr w:rsidR="00440397" w:rsidRPr="009E536C" w14:paraId="09566C48" w14:textId="77777777" w:rsidTr="009E536C">
        <w:trPr>
          <w:trHeight w:val="227"/>
          <w:jc w:val="center"/>
        </w:trPr>
        <w:tc>
          <w:tcPr>
            <w:tcW w:w="1039" w:type="pct"/>
            <w:tcBorders>
              <w:top w:val="single" w:sz="4" w:space="0" w:color="auto"/>
              <w:left w:val="nil"/>
              <w:bottom w:val="single" w:sz="4" w:space="0" w:color="auto"/>
              <w:right w:val="nil"/>
            </w:tcBorders>
            <w:shd w:val="clear" w:color="auto" w:fill="FABF8F" w:themeFill="accent6" w:themeFillTint="99"/>
            <w:noWrap/>
            <w:vAlign w:val="center"/>
          </w:tcPr>
          <w:p w14:paraId="5E76FBE4" w14:textId="77777777" w:rsidR="004C5885" w:rsidRPr="009E536C" w:rsidRDefault="004C5885" w:rsidP="009E536C">
            <w:pPr>
              <w:pStyle w:val="cuadroCabe"/>
              <w:spacing w:line="240" w:lineRule="auto"/>
              <w:rPr>
                <w:sz w:val="16"/>
                <w:szCs w:val="16"/>
                <w:lang w:val="es-ES" w:eastAsia="es-ES"/>
              </w:rPr>
            </w:pPr>
            <w:proofErr w:type="gramStart"/>
            <w:r w:rsidRPr="009E536C">
              <w:rPr>
                <w:sz w:val="16"/>
                <w:szCs w:val="16"/>
                <w:lang w:val="es-ES" w:eastAsia="es-ES"/>
              </w:rPr>
              <w:t>Total</w:t>
            </w:r>
            <w:proofErr w:type="gramEnd"/>
            <w:r w:rsidRPr="009E536C">
              <w:rPr>
                <w:sz w:val="16"/>
                <w:szCs w:val="16"/>
                <w:lang w:val="es-ES" w:eastAsia="es-ES"/>
              </w:rPr>
              <w:t xml:space="preserve"> general</w:t>
            </w:r>
          </w:p>
        </w:tc>
        <w:tc>
          <w:tcPr>
            <w:tcW w:w="570" w:type="pct"/>
            <w:tcBorders>
              <w:top w:val="single" w:sz="4" w:space="0" w:color="auto"/>
              <w:left w:val="nil"/>
              <w:bottom w:val="single" w:sz="4" w:space="0" w:color="auto"/>
              <w:right w:val="nil"/>
            </w:tcBorders>
            <w:shd w:val="clear" w:color="auto" w:fill="FABF8F" w:themeFill="accent6" w:themeFillTint="99"/>
            <w:vAlign w:val="center"/>
          </w:tcPr>
          <w:p w14:paraId="15AA4EA5" w14:textId="77777777" w:rsidR="004C5885" w:rsidRPr="009E536C" w:rsidRDefault="004C5885" w:rsidP="009E536C">
            <w:pPr>
              <w:pStyle w:val="cuadroCabe"/>
              <w:spacing w:line="240" w:lineRule="auto"/>
              <w:jc w:val="right"/>
              <w:rPr>
                <w:sz w:val="16"/>
                <w:szCs w:val="16"/>
                <w:lang w:val="es-ES" w:eastAsia="es-ES"/>
              </w:rPr>
            </w:pPr>
            <w:r w:rsidRPr="009E536C">
              <w:rPr>
                <w:sz w:val="16"/>
                <w:szCs w:val="16"/>
                <w:lang w:val="es-ES" w:eastAsia="es-ES"/>
              </w:rPr>
              <w:t>1</w:t>
            </w:r>
          </w:p>
        </w:tc>
        <w:tc>
          <w:tcPr>
            <w:tcW w:w="544" w:type="pct"/>
            <w:tcBorders>
              <w:top w:val="single" w:sz="4" w:space="0" w:color="auto"/>
              <w:left w:val="nil"/>
              <w:bottom w:val="single" w:sz="4" w:space="0" w:color="auto"/>
              <w:right w:val="nil"/>
            </w:tcBorders>
            <w:shd w:val="clear" w:color="auto" w:fill="FABF8F" w:themeFill="accent6" w:themeFillTint="99"/>
            <w:vAlign w:val="center"/>
          </w:tcPr>
          <w:p w14:paraId="4197CA3C" w14:textId="2832965E" w:rsidR="004C5885" w:rsidRPr="009E536C" w:rsidRDefault="00AC06A5" w:rsidP="009E536C">
            <w:pPr>
              <w:pStyle w:val="cuadroCabe"/>
              <w:spacing w:line="240" w:lineRule="auto"/>
              <w:jc w:val="right"/>
              <w:rPr>
                <w:sz w:val="16"/>
                <w:szCs w:val="16"/>
                <w:lang w:val="es-ES" w:eastAsia="es-ES"/>
              </w:rPr>
            </w:pPr>
            <w:r w:rsidRPr="009E536C">
              <w:rPr>
                <w:sz w:val="16"/>
                <w:szCs w:val="16"/>
                <w:lang w:val="es-ES" w:eastAsia="es-ES"/>
              </w:rPr>
              <w:t xml:space="preserve"> </w:t>
            </w:r>
            <w:r w:rsidR="004C5885" w:rsidRPr="009E536C">
              <w:rPr>
                <w:sz w:val="16"/>
                <w:szCs w:val="16"/>
                <w:lang w:val="es-ES" w:eastAsia="es-ES"/>
              </w:rPr>
              <w:t xml:space="preserve">4 </w:t>
            </w:r>
          </w:p>
        </w:tc>
        <w:tc>
          <w:tcPr>
            <w:tcW w:w="313" w:type="pct"/>
            <w:tcBorders>
              <w:top w:val="single" w:sz="4" w:space="0" w:color="auto"/>
              <w:left w:val="nil"/>
              <w:bottom w:val="single" w:sz="4" w:space="0" w:color="auto"/>
              <w:right w:val="nil"/>
            </w:tcBorders>
            <w:shd w:val="clear" w:color="auto" w:fill="FABF8F" w:themeFill="accent6" w:themeFillTint="99"/>
            <w:vAlign w:val="center"/>
          </w:tcPr>
          <w:p w14:paraId="773645C5" w14:textId="77777777" w:rsidR="004C5885" w:rsidRPr="009E536C" w:rsidRDefault="004C5885" w:rsidP="009E536C">
            <w:pPr>
              <w:pStyle w:val="cuadroCabe"/>
              <w:spacing w:line="240" w:lineRule="auto"/>
              <w:jc w:val="right"/>
              <w:rPr>
                <w:sz w:val="16"/>
                <w:szCs w:val="16"/>
                <w:lang w:val="es-ES" w:eastAsia="es-ES"/>
              </w:rPr>
            </w:pPr>
            <w:r w:rsidRPr="009E536C">
              <w:rPr>
                <w:sz w:val="16"/>
                <w:szCs w:val="16"/>
                <w:lang w:val="es-ES" w:eastAsia="es-ES"/>
              </w:rPr>
              <w:t>69</w:t>
            </w:r>
          </w:p>
        </w:tc>
        <w:tc>
          <w:tcPr>
            <w:tcW w:w="604" w:type="pct"/>
            <w:tcBorders>
              <w:top w:val="single" w:sz="4" w:space="0" w:color="auto"/>
              <w:left w:val="nil"/>
              <w:bottom w:val="single" w:sz="4" w:space="0" w:color="auto"/>
              <w:right w:val="nil"/>
            </w:tcBorders>
            <w:shd w:val="clear" w:color="auto" w:fill="FABF8F" w:themeFill="accent6" w:themeFillTint="99"/>
            <w:vAlign w:val="center"/>
          </w:tcPr>
          <w:p w14:paraId="781F9EEF" w14:textId="11212EDF" w:rsidR="004C5885" w:rsidRPr="009E536C" w:rsidRDefault="00AC06A5" w:rsidP="009E536C">
            <w:pPr>
              <w:pStyle w:val="cuadroCabe"/>
              <w:spacing w:line="240" w:lineRule="auto"/>
              <w:jc w:val="right"/>
              <w:rPr>
                <w:sz w:val="16"/>
                <w:szCs w:val="16"/>
                <w:lang w:val="es-ES" w:eastAsia="es-ES"/>
              </w:rPr>
            </w:pPr>
            <w:r w:rsidRPr="009E536C">
              <w:rPr>
                <w:sz w:val="16"/>
                <w:szCs w:val="16"/>
                <w:lang w:val="es-ES" w:eastAsia="es-ES"/>
              </w:rPr>
              <w:t xml:space="preserve"> </w:t>
            </w:r>
            <w:r w:rsidR="004C5885" w:rsidRPr="009E536C">
              <w:rPr>
                <w:sz w:val="16"/>
                <w:szCs w:val="16"/>
                <w:lang w:val="es-ES" w:eastAsia="es-ES"/>
              </w:rPr>
              <w:t xml:space="preserve">24.135 </w:t>
            </w:r>
          </w:p>
        </w:tc>
        <w:tc>
          <w:tcPr>
            <w:tcW w:w="317" w:type="pct"/>
            <w:gridSpan w:val="2"/>
            <w:tcBorders>
              <w:top w:val="single" w:sz="4" w:space="0" w:color="auto"/>
              <w:left w:val="nil"/>
              <w:bottom w:val="single" w:sz="4" w:space="0" w:color="auto"/>
              <w:right w:val="nil"/>
            </w:tcBorders>
            <w:shd w:val="clear" w:color="auto" w:fill="FABF8F" w:themeFill="accent6" w:themeFillTint="99"/>
            <w:vAlign w:val="center"/>
          </w:tcPr>
          <w:p w14:paraId="70212724" w14:textId="77777777" w:rsidR="004C5885" w:rsidRPr="009E536C" w:rsidRDefault="004C5885" w:rsidP="009E536C">
            <w:pPr>
              <w:pStyle w:val="cuadroCabe"/>
              <w:spacing w:line="240" w:lineRule="auto"/>
              <w:jc w:val="right"/>
              <w:rPr>
                <w:sz w:val="16"/>
                <w:szCs w:val="16"/>
                <w:lang w:val="es-ES" w:eastAsia="es-ES"/>
              </w:rPr>
            </w:pPr>
            <w:r w:rsidRPr="009E536C">
              <w:rPr>
                <w:sz w:val="16"/>
                <w:szCs w:val="16"/>
                <w:lang w:val="es-ES" w:eastAsia="es-ES"/>
              </w:rPr>
              <w:t>1</w:t>
            </w:r>
          </w:p>
        </w:tc>
        <w:tc>
          <w:tcPr>
            <w:tcW w:w="448" w:type="pct"/>
            <w:gridSpan w:val="2"/>
            <w:tcBorders>
              <w:top w:val="single" w:sz="4" w:space="0" w:color="auto"/>
              <w:left w:val="nil"/>
              <w:bottom w:val="single" w:sz="4" w:space="0" w:color="auto"/>
              <w:right w:val="nil"/>
            </w:tcBorders>
            <w:shd w:val="clear" w:color="auto" w:fill="FABF8F" w:themeFill="accent6" w:themeFillTint="99"/>
            <w:vAlign w:val="center"/>
          </w:tcPr>
          <w:p w14:paraId="42E774B5" w14:textId="2E8E071D" w:rsidR="004C5885" w:rsidRPr="009E536C" w:rsidRDefault="004C5885" w:rsidP="009E536C">
            <w:pPr>
              <w:pStyle w:val="cuadroCabe"/>
              <w:spacing w:line="240" w:lineRule="auto"/>
              <w:jc w:val="right"/>
              <w:rPr>
                <w:sz w:val="16"/>
                <w:szCs w:val="16"/>
                <w:lang w:val="es-ES" w:eastAsia="es-ES"/>
              </w:rPr>
            </w:pPr>
            <w:r w:rsidRPr="009E536C">
              <w:rPr>
                <w:sz w:val="16"/>
                <w:szCs w:val="16"/>
                <w:lang w:val="es-ES" w:eastAsia="es-ES"/>
              </w:rPr>
              <w:t>1.923</w:t>
            </w:r>
          </w:p>
        </w:tc>
        <w:tc>
          <w:tcPr>
            <w:tcW w:w="379" w:type="pct"/>
            <w:tcBorders>
              <w:top w:val="single" w:sz="4" w:space="0" w:color="auto"/>
              <w:left w:val="nil"/>
              <w:bottom w:val="single" w:sz="4" w:space="0" w:color="auto"/>
              <w:right w:val="nil"/>
            </w:tcBorders>
            <w:shd w:val="clear" w:color="auto" w:fill="FABF8F" w:themeFill="accent6" w:themeFillTint="99"/>
            <w:noWrap/>
            <w:vAlign w:val="center"/>
          </w:tcPr>
          <w:p w14:paraId="44751B7F" w14:textId="77777777" w:rsidR="004C5885" w:rsidRPr="009E536C" w:rsidRDefault="004C5885" w:rsidP="009E536C">
            <w:pPr>
              <w:pStyle w:val="cuadroCabe"/>
              <w:spacing w:line="240" w:lineRule="auto"/>
              <w:jc w:val="right"/>
              <w:rPr>
                <w:sz w:val="16"/>
                <w:szCs w:val="16"/>
                <w:lang w:val="es-ES" w:eastAsia="es-ES"/>
              </w:rPr>
            </w:pPr>
            <w:r w:rsidRPr="009E536C">
              <w:rPr>
                <w:sz w:val="16"/>
                <w:szCs w:val="16"/>
                <w:lang w:val="es-ES" w:eastAsia="es-ES"/>
              </w:rPr>
              <w:t>71</w:t>
            </w:r>
          </w:p>
        </w:tc>
        <w:tc>
          <w:tcPr>
            <w:tcW w:w="785" w:type="pct"/>
            <w:tcBorders>
              <w:top w:val="single" w:sz="4" w:space="0" w:color="auto"/>
              <w:left w:val="nil"/>
              <w:bottom w:val="single" w:sz="4" w:space="0" w:color="auto"/>
              <w:right w:val="nil"/>
            </w:tcBorders>
            <w:shd w:val="clear" w:color="auto" w:fill="FABF8F" w:themeFill="accent6" w:themeFillTint="99"/>
            <w:noWrap/>
            <w:vAlign w:val="center"/>
          </w:tcPr>
          <w:p w14:paraId="5BACA583" w14:textId="01298AD7" w:rsidR="004C5885" w:rsidRPr="009E536C" w:rsidRDefault="00AC06A5" w:rsidP="009E536C">
            <w:pPr>
              <w:pStyle w:val="cuadroCabe"/>
              <w:spacing w:line="240" w:lineRule="auto"/>
              <w:jc w:val="right"/>
              <w:rPr>
                <w:sz w:val="16"/>
                <w:szCs w:val="16"/>
                <w:lang w:val="es-ES" w:eastAsia="es-ES"/>
              </w:rPr>
            </w:pPr>
            <w:r w:rsidRPr="009E536C">
              <w:rPr>
                <w:sz w:val="16"/>
                <w:szCs w:val="16"/>
                <w:lang w:val="es-ES" w:eastAsia="es-ES"/>
              </w:rPr>
              <w:t xml:space="preserve"> </w:t>
            </w:r>
            <w:r w:rsidR="004C5885" w:rsidRPr="009E536C">
              <w:rPr>
                <w:sz w:val="16"/>
                <w:szCs w:val="16"/>
                <w:lang w:val="es-ES" w:eastAsia="es-ES"/>
              </w:rPr>
              <w:t xml:space="preserve">26.062 </w:t>
            </w:r>
          </w:p>
        </w:tc>
      </w:tr>
    </w:tbl>
    <w:p w14:paraId="5384C9E4" w14:textId="77777777" w:rsidR="00921E56" w:rsidRDefault="00921E56" w:rsidP="00440397">
      <w:pPr>
        <w:pStyle w:val="texto"/>
        <w:tabs>
          <w:tab w:val="left" w:pos="2977"/>
        </w:tabs>
        <w:spacing w:after="0"/>
        <w:rPr>
          <w:color w:val="000000" w:themeColor="text1"/>
          <w:w w:val="103"/>
        </w:rPr>
      </w:pPr>
    </w:p>
    <w:p w14:paraId="28421176" w14:textId="77777777" w:rsidR="00921E56" w:rsidRDefault="00442CCA" w:rsidP="00921E56">
      <w:pPr>
        <w:pStyle w:val="texto"/>
        <w:tabs>
          <w:tab w:val="left" w:pos="2977"/>
        </w:tabs>
        <w:rPr>
          <w:color w:val="000000" w:themeColor="text1"/>
          <w:w w:val="103"/>
        </w:rPr>
      </w:pPr>
      <w:r>
        <w:rPr>
          <w:color w:val="000000" w:themeColor="text1"/>
          <w:w w:val="103"/>
        </w:rPr>
        <w:t>En 2020 las entidades locales</w:t>
      </w:r>
      <w:r w:rsidR="00921E56">
        <w:rPr>
          <w:color w:val="000000" w:themeColor="text1"/>
          <w:w w:val="103"/>
        </w:rPr>
        <w:t>, los entes dependientes de las mismas y los consorcios</w:t>
      </w:r>
      <w:r>
        <w:rPr>
          <w:color w:val="000000" w:themeColor="text1"/>
          <w:w w:val="103"/>
        </w:rPr>
        <w:t xml:space="preserve"> adjudicaron</w:t>
      </w:r>
      <w:r w:rsidR="00921E56">
        <w:rPr>
          <w:color w:val="000000" w:themeColor="text1"/>
          <w:w w:val="103"/>
        </w:rPr>
        <w:t xml:space="preserve"> un total de 392 contratos por un importe total de 114,61 millones. </w:t>
      </w:r>
    </w:p>
    <w:p w14:paraId="09A4A959" w14:textId="7C07DBCD" w:rsidR="00921E56" w:rsidRDefault="00921E56" w:rsidP="00921E56">
      <w:pPr>
        <w:pStyle w:val="texto"/>
        <w:tabs>
          <w:tab w:val="left" w:pos="2977"/>
        </w:tabs>
        <w:rPr>
          <w:color w:val="000000" w:themeColor="text1"/>
          <w:w w:val="103"/>
        </w:rPr>
      </w:pPr>
      <w:r>
        <w:rPr>
          <w:color w:val="000000" w:themeColor="text1"/>
          <w:w w:val="103"/>
        </w:rPr>
        <w:t>La actividad de contratación se concentra en los ayuntamientos, que han adjudicado el 73 por ciento de los contratos y el 54 por ciento del importe, seguidos de las mancomunidades, con el cinco por ciento de los contratos y el 23 por ciento del importe, si bien est</w:t>
      </w:r>
      <w:r w:rsidR="002F2A93">
        <w:rPr>
          <w:color w:val="000000" w:themeColor="text1"/>
          <w:w w:val="103"/>
        </w:rPr>
        <w:t>os</w:t>
      </w:r>
      <w:r>
        <w:rPr>
          <w:color w:val="000000" w:themeColor="text1"/>
          <w:w w:val="103"/>
        </w:rPr>
        <w:t xml:space="preserve"> porcentaje</w:t>
      </w:r>
      <w:r w:rsidR="002F2A93">
        <w:rPr>
          <w:color w:val="000000" w:themeColor="text1"/>
          <w:w w:val="103"/>
        </w:rPr>
        <w:t>s</w:t>
      </w:r>
      <w:r>
        <w:rPr>
          <w:color w:val="000000" w:themeColor="text1"/>
          <w:w w:val="103"/>
        </w:rPr>
        <w:t xml:space="preserve"> está</w:t>
      </w:r>
      <w:r w:rsidR="002F2A93">
        <w:rPr>
          <w:color w:val="000000" w:themeColor="text1"/>
          <w:w w:val="103"/>
        </w:rPr>
        <w:t>n</w:t>
      </w:r>
      <w:r>
        <w:rPr>
          <w:color w:val="000000" w:themeColor="text1"/>
          <w:w w:val="103"/>
        </w:rPr>
        <w:t xml:space="preserve"> muy condicionado</w:t>
      </w:r>
      <w:r w:rsidR="002F2A93">
        <w:rPr>
          <w:color w:val="000000" w:themeColor="text1"/>
          <w:w w:val="103"/>
        </w:rPr>
        <w:t>s</w:t>
      </w:r>
      <w:r>
        <w:rPr>
          <w:color w:val="000000" w:themeColor="text1"/>
          <w:w w:val="103"/>
        </w:rPr>
        <w:t xml:space="preserve"> por la adjudicación de</w:t>
      </w:r>
      <w:r w:rsidR="002F2A93">
        <w:rPr>
          <w:color w:val="000000" w:themeColor="text1"/>
          <w:w w:val="103"/>
        </w:rPr>
        <w:t xml:space="preserve"> </w:t>
      </w:r>
      <w:r w:rsidR="002F2A93" w:rsidRPr="008B5AD0">
        <w:rPr>
          <w:color w:val="000000" w:themeColor="text1"/>
          <w:w w:val="103"/>
        </w:rPr>
        <w:t>un contrato de servicios por</w:t>
      </w:r>
      <w:r w:rsidRPr="008B5AD0">
        <w:rPr>
          <w:color w:val="000000" w:themeColor="text1"/>
          <w:w w:val="103"/>
        </w:rPr>
        <w:t xml:space="preserve"> importe de 24,5 millones por parte de </w:t>
      </w:r>
      <w:r w:rsidR="00425AFD" w:rsidRPr="008B5AD0">
        <w:rPr>
          <w:color w:val="000000" w:themeColor="text1"/>
          <w:w w:val="103"/>
        </w:rPr>
        <w:t>la Mancomunidad de la Ribera</w:t>
      </w:r>
      <w:r w:rsidR="00B25349" w:rsidRPr="008B5AD0">
        <w:rPr>
          <w:color w:val="000000" w:themeColor="text1"/>
          <w:w w:val="103"/>
        </w:rPr>
        <w:t>,</w:t>
      </w:r>
      <w:r w:rsidR="00B25349">
        <w:rPr>
          <w:color w:val="000000" w:themeColor="text1"/>
          <w:w w:val="103"/>
        </w:rPr>
        <w:t xml:space="preserve"> relativo a servicios de limpieza y barrido de calles</w:t>
      </w:r>
      <w:r>
        <w:rPr>
          <w:color w:val="000000" w:themeColor="text1"/>
          <w:w w:val="103"/>
        </w:rPr>
        <w:t>.</w:t>
      </w:r>
      <w:r w:rsidR="00176B58">
        <w:rPr>
          <w:color w:val="000000" w:themeColor="text1"/>
          <w:w w:val="103"/>
        </w:rPr>
        <w:t xml:space="preserve"> Entre los entes dependientes, la práctica totalidad de la actividad de contratación registrada corresponde a las sociedades públicas.</w:t>
      </w:r>
    </w:p>
    <w:p w14:paraId="21BC08F1" w14:textId="77777777" w:rsidR="009E536C" w:rsidRDefault="009E536C">
      <w:pPr>
        <w:spacing w:after="0"/>
        <w:ind w:firstLine="0"/>
        <w:jc w:val="left"/>
        <w:rPr>
          <w:color w:val="000000" w:themeColor="text1"/>
          <w:spacing w:val="6"/>
          <w:w w:val="103"/>
          <w:sz w:val="26"/>
          <w:szCs w:val="24"/>
        </w:rPr>
      </w:pPr>
      <w:r>
        <w:rPr>
          <w:color w:val="000000" w:themeColor="text1"/>
          <w:w w:val="103"/>
        </w:rPr>
        <w:br w:type="page"/>
      </w:r>
    </w:p>
    <w:p w14:paraId="0D0167C5" w14:textId="4C4F855C" w:rsidR="00176B58" w:rsidRDefault="00176B58" w:rsidP="00BE511E">
      <w:pPr>
        <w:pStyle w:val="texto"/>
        <w:tabs>
          <w:tab w:val="left" w:pos="2977"/>
        </w:tabs>
        <w:spacing w:after="120"/>
        <w:rPr>
          <w:color w:val="000000" w:themeColor="text1"/>
          <w:w w:val="103"/>
        </w:rPr>
      </w:pPr>
      <w:r>
        <w:rPr>
          <w:color w:val="000000" w:themeColor="text1"/>
          <w:w w:val="103"/>
        </w:rPr>
        <w:lastRenderedPageBreak/>
        <w:t xml:space="preserve">La tabla siguiente resume la actividad de contratación </w:t>
      </w:r>
      <w:r w:rsidR="008E43F9">
        <w:rPr>
          <w:color w:val="000000" w:themeColor="text1"/>
          <w:w w:val="103"/>
        </w:rPr>
        <w:t xml:space="preserve">indicando el número de contratos e importe de adjudicación, </w:t>
      </w:r>
      <w:r>
        <w:rPr>
          <w:color w:val="000000" w:themeColor="text1"/>
          <w:w w:val="103"/>
        </w:rPr>
        <w:t>en función del tipo de contrato y el procedimiento de adjudicación.</w:t>
      </w:r>
    </w:p>
    <w:p w14:paraId="3B863BA2" w14:textId="5C143BC2" w:rsidR="00545944" w:rsidRPr="0003647B" w:rsidRDefault="009E536C" w:rsidP="00545944">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545944">
        <w:rPr>
          <w:rFonts w:ascii="Arial Narrow" w:hAnsi="Arial Narrow"/>
          <w:color w:val="000000" w:themeColor="text1"/>
          <w:sz w:val="18"/>
          <w:szCs w:val="18"/>
        </w:rPr>
        <w:t>Miles</w:t>
      </w:r>
      <w:r>
        <w:rPr>
          <w:rFonts w:ascii="Arial Narrow" w:hAnsi="Arial Narrow"/>
          <w:color w:val="000000" w:themeColor="text1"/>
          <w:sz w:val="18"/>
          <w:szCs w:val="18"/>
        </w:rPr>
        <w:t>)</w:t>
      </w:r>
      <w:r w:rsidR="00545944">
        <w:rPr>
          <w:rFonts w:ascii="Arial Narrow" w:hAnsi="Arial Narrow"/>
          <w:color w:val="000000" w:themeColor="text1"/>
          <w:sz w:val="18"/>
          <w:szCs w:val="18"/>
        </w:rPr>
        <w:t xml:space="preserve"> </w:t>
      </w:r>
    </w:p>
    <w:tbl>
      <w:tblPr>
        <w:tblW w:w="9060" w:type="dxa"/>
        <w:tblBorders>
          <w:top w:val="single" w:sz="2" w:space="0" w:color="auto"/>
          <w:bottom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990"/>
        <w:gridCol w:w="498"/>
        <w:gridCol w:w="705"/>
        <w:gridCol w:w="308"/>
        <w:gridCol w:w="476"/>
        <w:gridCol w:w="425"/>
        <w:gridCol w:w="564"/>
        <w:gridCol w:w="401"/>
        <w:gridCol w:w="588"/>
        <w:gridCol w:w="405"/>
        <w:gridCol w:w="591"/>
        <w:gridCol w:w="424"/>
        <w:gridCol w:w="568"/>
        <w:gridCol w:w="425"/>
        <w:gridCol w:w="558"/>
        <w:gridCol w:w="425"/>
        <w:gridCol w:w="709"/>
      </w:tblGrid>
      <w:tr w:rsidR="00176B58" w:rsidRPr="009E536C" w14:paraId="4A026018" w14:textId="77777777" w:rsidTr="004E2CFD">
        <w:trPr>
          <w:trHeight w:val="284"/>
        </w:trPr>
        <w:tc>
          <w:tcPr>
            <w:tcW w:w="990" w:type="dxa"/>
            <w:vMerge w:val="restart"/>
            <w:tcBorders>
              <w:top w:val="single" w:sz="4" w:space="0" w:color="auto"/>
            </w:tcBorders>
            <w:shd w:val="clear" w:color="auto" w:fill="FABF8F" w:themeFill="accent6" w:themeFillTint="99"/>
            <w:noWrap/>
            <w:vAlign w:val="center"/>
            <w:hideMark/>
          </w:tcPr>
          <w:p w14:paraId="09F69908" w14:textId="7CF8CE17" w:rsidR="00176B58" w:rsidRPr="009E536C" w:rsidRDefault="00176B58" w:rsidP="00FE675C">
            <w:pPr>
              <w:pStyle w:val="cuadroCabe"/>
              <w:spacing w:line="240" w:lineRule="auto"/>
              <w:rPr>
                <w:sz w:val="14"/>
                <w:szCs w:val="14"/>
              </w:rPr>
            </w:pPr>
          </w:p>
        </w:tc>
        <w:tc>
          <w:tcPr>
            <w:tcW w:w="1203" w:type="dxa"/>
            <w:gridSpan w:val="2"/>
            <w:tcBorders>
              <w:top w:val="single" w:sz="4" w:space="0" w:color="auto"/>
            </w:tcBorders>
            <w:shd w:val="clear" w:color="auto" w:fill="FABF8F" w:themeFill="accent6" w:themeFillTint="99"/>
            <w:vAlign w:val="center"/>
            <w:hideMark/>
          </w:tcPr>
          <w:p w14:paraId="54597EAE" w14:textId="77777777" w:rsidR="00176B58" w:rsidRPr="009E536C" w:rsidRDefault="00176B58" w:rsidP="00FE675C">
            <w:pPr>
              <w:pStyle w:val="cuadroCabe"/>
              <w:spacing w:line="240" w:lineRule="auto"/>
              <w:jc w:val="right"/>
              <w:rPr>
                <w:sz w:val="14"/>
                <w:szCs w:val="14"/>
              </w:rPr>
            </w:pPr>
            <w:r w:rsidRPr="009E536C">
              <w:rPr>
                <w:sz w:val="14"/>
                <w:szCs w:val="14"/>
              </w:rPr>
              <w:t>Abierto</w:t>
            </w:r>
          </w:p>
        </w:tc>
        <w:tc>
          <w:tcPr>
            <w:tcW w:w="784" w:type="dxa"/>
            <w:gridSpan w:val="2"/>
            <w:tcBorders>
              <w:top w:val="single" w:sz="4" w:space="0" w:color="auto"/>
            </w:tcBorders>
            <w:shd w:val="clear" w:color="auto" w:fill="FABF8F" w:themeFill="accent6" w:themeFillTint="99"/>
            <w:vAlign w:val="center"/>
            <w:hideMark/>
          </w:tcPr>
          <w:p w14:paraId="085DAA96" w14:textId="77777777" w:rsidR="00176B58" w:rsidRPr="009E536C" w:rsidRDefault="00176B58" w:rsidP="00FE675C">
            <w:pPr>
              <w:pStyle w:val="cuadroCabe"/>
              <w:spacing w:line="240" w:lineRule="auto"/>
              <w:jc w:val="right"/>
              <w:rPr>
                <w:sz w:val="14"/>
                <w:szCs w:val="14"/>
              </w:rPr>
            </w:pPr>
            <w:r w:rsidRPr="009E536C">
              <w:rPr>
                <w:sz w:val="14"/>
                <w:szCs w:val="14"/>
              </w:rPr>
              <w:t>Restringido</w:t>
            </w:r>
          </w:p>
        </w:tc>
        <w:tc>
          <w:tcPr>
            <w:tcW w:w="989" w:type="dxa"/>
            <w:gridSpan w:val="2"/>
            <w:tcBorders>
              <w:top w:val="single" w:sz="4" w:space="0" w:color="auto"/>
            </w:tcBorders>
            <w:shd w:val="clear" w:color="auto" w:fill="FABF8F" w:themeFill="accent6" w:themeFillTint="99"/>
            <w:vAlign w:val="center"/>
            <w:hideMark/>
          </w:tcPr>
          <w:p w14:paraId="0C65FA03" w14:textId="77777777" w:rsidR="00176B58" w:rsidRPr="009E536C" w:rsidRDefault="00176B58" w:rsidP="00FE675C">
            <w:pPr>
              <w:pStyle w:val="cuadroCabe"/>
              <w:spacing w:line="240" w:lineRule="auto"/>
              <w:rPr>
                <w:sz w:val="14"/>
                <w:szCs w:val="14"/>
              </w:rPr>
            </w:pPr>
            <w:r w:rsidRPr="009E536C">
              <w:rPr>
                <w:sz w:val="14"/>
                <w:szCs w:val="14"/>
              </w:rPr>
              <w:t>Negociado</w:t>
            </w:r>
          </w:p>
        </w:tc>
        <w:tc>
          <w:tcPr>
            <w:tcW w:w="989" w:type="dxa"/>
            <w:gridSpan w:val="2"/>
            <w:tcBorders>
              <w:top w:val="single" w:sz="4" w:space="0" w:color="auto"/>
            </w:tcBorders>
            <w:shd w:val="clear" w:color="auto" w:fill="FABF8F" w:themeFill="accent6" w:themeFillTint="99"/>
            <w:vAlign w:val="center"/>
            <w:hideMark/>
          </w:tcPr>
          <w:p w14:paraId="3F34FD70" w14:textId="77777777" w:rsidR="00176B58" w:rsidRPr="009E536C" w:rsidRDefault="00176B58" w:rsidP="00FE675C">
            <w:pPr>
              <w:pStyle w:val="cuadroCabe"/>
              <w:spacing w:line="240" w:lineRule="auto"/>
              <w:jc w:val="right"/>
              <w:rPr>
                <w:sz w:val="14"/>
                <w:szCs w:val="14"/>
              </w:rPr>
            </w:pPr>
            <w:r w:rsidRPr="009E536C">
              <w:rPr>
                <w:sz w:val="14"/>
                <w:szCs w:val="14"/>
              </w:rPr>
              <w:t>Simplificado</w:t>
            </w:r>
          </w:p>
        </w:tc>
        <w:tc>
          <w:tcPr>
            <w:tcW w:w="996" w:type="dxa"/>
            <w:gridSpan w:val="2"/>
            <w:tcBorders>
              <w:top w:val="single" w:sz="4" w:space="0" w:color="auto"/>
            </w:tcBorders>
            <w:shd w:val="clear" w:color="auto" w:fill="FABF8F" w:themeFill="accent6" w:themeFillTint="99"/>
            <w:vAlign w:val="center"/>
            <w:hideMark/>
          </w:tcPr>
          <w:p w14:paraId="6EEB7BF0" w14:textId="39BA5E5E" w:rsidR="00176B58" w:rsidRPr="009E536C" w:rsidRDefault="00A42B4F" w:rsidP="00FE675C">
            <w:pPr>
              <w:pStyle w:val="cuadroCabe"/>
              <w:spacing w:line="240" w:lineRule="auto"/>
              <w:jc w:val="right"/>
              <w:rPr>
                <w:sz w:val="14"/>
                <w:szCs w:val="14"/>
              </w:rPr>
            </w:pPr>
            <w:r w:rsidRPr="009E536C">
              <w:rPr>
                <w:sz w:val="14"/>
                <w:szCs w:val="14"/>
              </w:rPr>
              <w:t>B</w:t>
            </w:r>
            <w:r w:rsidR="00176B58" w:rsidRPr="009E536C">
              <w:rPr>
                <w:sz w:val="14"/>
                <w:szCs w:val="14"/>
              </w:rPr>
              <w:t>asado</w:t>
            </w:r>
            <w:r w:rsidRPr="009E536C">
              <w:rPr>
                <w:sz w:val="14"/>
                <w:szCs w:val="14"/>
              </w:rPr>
              <w:t xml:space="preserve"> en</w:t>
            </w:r>
            <w:r w:rsidR="00377DEA" w:rsidRPr="009E536C">
              <w:rPr>
                <w:sz w:val="14"/>
                <w:szCs w:val="14"/>
              </w:rPr>
              <w:t xml:space="preserve"> </w:t>
            </w:r>
            <w:r w:rsidRPr="009E536C">
              <w:rPr>
                <w:sz w:val="14"/>
                <w:szCs w:val="14"/>
              </w:rPr>
              <w:t>a</w:t>
            </w:r>
            <w:r w:rsidR="00176B58" w:rsidRPr="009E536C">
              <w:rPr>
                <w:sz w:val="14"/>
                <w:szCs w:val="14"/>
              </w:rPr>
              <w:t>cuerdo marco</w:t>
            </w:r>
          </w:p>
        </w:tc>
        <w:tc>
          <w:tcPr>
            <w:tcW w:w="992" w:type="dxa"/>
            <w:gridSpan w:val="2"/>
            <w:tcBorders>
              <w:top w:val="single" w:sz="4" w:space="0" w:color="auto"/>
            </w:tcBorders>
            <w:shd w:val="clear" w:color="auto" w:fill="FABF8F" w:themeFill="accent6" w:themeFillTint="99"/>
            <w:vAlign w:val="center"/>
            <w:hideMark/>
          </w:tcPr>
          <w:p w14:paraId="5AFEA69D" w14:textId="55BC1B0E" w:rsidR="00176B58" w:rsidRPr="009E536C" w:rsidRDefault="00176B58" w:rsidP="00FE675C">
            <w:pPr>
              <w:pStyle w:val="cuadroCabe"/>
              <w:spacing w:line="240" w:lineRule="auto"/>
              <w:jc w:val="right"/>
              <w:rPr>
                <w:sz w:val="14"/>
                <w:szCs w:val="14"/>
              </w:rPr>
            </w:pPr>
            <w:r w:rsidRPr="009E536C">
              <w:rPr>
                <w:sz w:val="14"/>
                <w:szCs w:val="14"/>
              </w:rPr>
              <w:t xml:space="preserve">Negociado sin </w:t>
            </w:r>
            <w:proofErr w:type="spellStart"/>
            <w:r w:rsidRPr="009E536C">
              <w:rPr>
                <w:sz w:val="14"/>
                <w:szCs w:val="14"/>
              </w:rPr>
              <w:t>convoc</w:t>
            </w:r>
            <w:proofErr w:type="spellEnd"/>
            <w:r w:rsidR="00377DEA" w:rsidRPr="009E536C">
              <w:rPr>
                <w:sz w:val="14"/>
                <w:szCs w:val="14"/>
              </w:rPr>
              <w:t xml:space="preserve">. </w:t>
            </w:r>
            <w:proofErr w:type="spellStart"/>
            <w:r w:rsidR="00474131" w:rsidRPr="009E536C">
              <w:rPr>
                <w:sz w:val="14"/>
                <w:szCs w:val="14"/>
              </w:rPr>
              <w:t>l</w:t>
            </w:r>
            <w:r w:rsidRPr="009E536C">
              <w:rPr>
                <w:sz w:val="14"/>
                <w:szCs w:val="14"/>
              </w:rPr>
              <w:t>icit</w:t>
            </w:r>
            <w:r w:rsidR="00377DEA" w:rsidRPr="009E536C">
              <w:rPr>
                <w:sz w:val="14"/>
                <w:szCs w:val="14"/>
              </w:rPr>
              <w:t>ac</w:t>
            </w:r>
            <w:proofErr w:type="spellEnd"/>
            <w:r w:rsidR="00377DEA" w:rsidRPr="009E536C">
              <w:rPr>
                <w:sz w:val="14"/>
                <w:szCs w:val="14"/>
              </w:rPr>
              <w:t>.</w:t>
            </w:r>
          </w:p>
        </w:tc>
        <w:tc>
          <w:tcPr>
            <w:tcW w:w="983" w:type="dxa"/>
            <w:gridSpan w:val="2"/>
            <w:tcBorders>
              <w:top w:val="single" w:sz="4" w:space="0" w:color="auto"/>
            </w:tcBorders>
            <w:shd w:val="clear" w:color="auto" w:fill="FABF8F" w:themeFill="accent6" w:themeFillTint="99"/>
            <w:vAlign w:val="center"/>
            <w:hideMark/>
          </w:tcPr>
          <w:p w14:paraId="764ABBC2" w14:textId="7998C7A8" w:rsidR="00176B58" w:rsidRPr="009E536C" w:rsidRDefault="00AC06A5" w:rsidP="00FE675C">
            <w:pPr>
              <w:pStyle w:val="cuadroCabe"/>
              <w:spacing w:line="240" w:lineRule="auto"/>
              <w:jc w:val="right"/>
              <w:rPr>
                <w:sz w:val="14"/>
                <w:szCs w:val="14"/>
              </w:rPr>
            </w:pPr>
            <w:r w:rsidRPr="009E536C">
              <w:rPr>
                <w:sz w:val="14"/>
                <w:szCs w:val="14"/>
              </w:rPr>
              <w:t>No consta</w:t>
            </w:r>
            <w:r w:rsidR="00176B58" w:rsidRPr="009E536C">
              <w:rPr>
                <w:sz w:val="14"/>
                <w:szCs w:val="14"/>
              </w:rPr>
              <w:t>*</w:t>
            </w:r>
          </w:p>
        </w:tc>
        <w:tc>
          <w:tcPr>
            <w:tcW w:w="1134" w:type="dxa"/>
            <w:gridSpan w:val="2"/>
            <w:tcBorders>
              <w:top w:val="single" w:sz="4" w:space="0" w:color="auto"/>
            </w:tcBorders>
            <w:shd w:val="clear" w:color="auto" w:fill="FABF8F" w:themeFill="accent6" w:themeFillTint="99"/>
            <w:vAlign w:val="center"/>
            <w:hideMark/>
          </w:tcPr>
          <w:p w14:paraId="2C1202CE" w14:textId="77777777" w:rsidR="00176B58" w:rsidRPr="009E536C" w:rsidRDefault="00176B58" w:rsidP="00FE675C">
            <w:pPr>
              <w:pStyle w:val="cuadroCabe"/>
              <w:spacing w:line="240" w:lineRule="auto"/>
              <w:jc w:val="right"/>
              <w:rPr>
                <w:sz w:val="14"/>
                <w:szCs w:val="14"/>
              </w:rPr>
            </w:pPr>
            <w:r w:rsidRPr="009E536C">
              <w:rPr>
                <w:sz w:val="14"/>
                <w:szCs w:val="14"/>
              </w:rPr>
              <w:t>Total</w:t>
            </w:r>
          </w:p>
        </w:tc>
      </w:tr>
      <w:tr w:rsidR="00176B58" w:rsidRPr="00CE2ACA" w14:paraId="7530DDA7" w14:textId="77777777" w:rsidTr="004E2CFD">
        <w:trPr>
          <w:trHeight w:val="284"/>
        </w:trPr>
        <w:tc>
          <w:tcPr>
            <w:tcW w:w="990" w:type="dxa"/>
            <w:vMerge/>
            <w:shd w:val="clear" w:color="auto" w:fill="FABF8F" w:themeFill="accent6" w:themeFillTint="99"/>
            <w:vAlign w:val="center"/>
            <w:hideMark/>
          </w:tcPr>
          <w:p w14:paraId="582D4897" w14:textId="77777777" w:rsidR="00176B58" w:rsidRPr="00CE2ACA" w:rsidRDefault="00176B58" w:rsidP="00FE675C">
            <w:pPr>
              <w:pStyle w:val="cuadroCabe"/>
              <w:spacing w:line="240" w:lineRule="auto"/>
              <w:rPr>
                <w:rFonts w:cs="Arial"/>
                <w:sz w:val="14"/>
                <w:szCs w:val="14"/>
                <w:lang w:val="es-ES" w:eastAsia="es-ES"/>
              </w:rPr>
            </w:pPr>
          </w:p>
        </w:tc>
        <w:tc>
          <w:tcPr>
            <w:tcW w:w="498" w:type="dxa"/>
            <w:shd w:val="clear" w:color="auto" w:fill="FABF8F" w:themeFill="accent6" w:themeFillTint="99"/>
            <w:vAlign w:val="center"/>
            <w:hideMark/>
          </w:tcPr>
          <w:p w14:paraId="5C46BAD2" w14:textId="77777777" w:rsidR="00176B58" w:rsidRPr="00CE2ACA" w:rsidRDefault="00176B58" w:rsidP="00FE675C">
            <w:pPr>
              <w:pStyle w:val="cuadroCabe"/>
              <w:spacing w:line="240" w:lineRule="auto"/>
              <w:jc w:val="right"/>
              <w:rPr>
                <w:rFonts w:cs="Arial"/>
                <w:sz w:val="14"/>
                <w:szCs w:val="14"/>
                <w:lang w:val="es-ES" w:eastAsia="es-ES"/>
              </w:rPr>
            </w:pPr>
            <w:proofErr w:type="spellStart"/>
            <w:r w:rsidRPr="00CE2ACA">
              <w:rPr>
                <w:rFonts w:cs="Arial"/>
                <w:sz w:val="14"/>
                <w:szCs w:val="14"/>
                <w:lang w:val="es-ES" w:eastAsia="es-ES"/>
              </w:rPr>
              <w:t>Nº</w:t>
            </w:r>
            <w:proofErr w:type="spellEnd"/>
          </w:p>
        </w:tc>
        <w:tc>
          <w:tcPr>
            <w:tcW w:w="705" w:type="dxa"/>
            <w:shd w:val="clear" w:color="auto" w:fill="FABF8F" w:themeFill="accent6" w:themeFillTint="99"/>
            <w:vAlign w:val="center"/>
            <w:hideMark/>
          </w:tcPr>
          <w:p w14:paraId="2079EEB2" w14:textId="77777777" w:rsidR="00176B58" w:rsidRPr="00CE2ACA" w:rsidRDefault="00176B58" w:rsidP="00FE675C">
            <w:pPr>
              <w:pStyle w:val="cuadroCabe"/>
              <w:spacing w:line="240" w:lineRule="auto"/>
              <w:jc w:val="right"/>
              <w:rPr>
                <w:rFonts w:cs="Arial"/>
                <w:sz w:val="14"/>
                <w:szCs w:val="14"/>
                <w:lang w:val="es-ES" w:eastAsia="es-ES"/>
              </w:rPr>
            </w:pPr>
            <w:r w:rsidRPr="00CE2ACA">
              <w:rPr>
                <w:rFonts w:cs="Arial"/>
                <w:sz w:val="14"/>
                <w:szCs w:val="14"/>
                <w:lang w:val="es-ES" w:eastAsia="es-ES"/>
              </w:rPr>
              <w:t>Imp.</w:t>
            </w:r>
          </w:p>
        </w:tc>
        <w:tc>
          <w:tcPr>
            <w:tcW w:w="308" w:type="dxa"/>
            <w:shd w:val="clear" w:color="auto" w:fill="FABF8F" w:themeFill="accent6" w:themeFillTint="99"/>
            <w:vAlign w:val="center"/>
            <w:hideMark/>
          </w:tcPr>
          <w:p w14:paraId="00C6E56E" w14:textId="02FB3B3B" w:rsidR="00176B58" w:rsidRPr="00CE2ACA" w:rsidRDefault="00176B58" w:rsidP="00FE675C">
            <w:pPr>
              <w:pStyle w:val="cuadroCabe"/>
              <w:spacing w:line="240" w:lineRule="auto"/>
              <w:jc w:val="right"/>
              <w:rPr>
                <w:rFonts w:cs="Arial"/>
                <w:sz w:val="14"/>
                <w:szCs w:val="14"/>
                <w:lang w:val="es-ES" w:eastAsia="es-ES"/>
              </w:rPr>
            </w:pPr>
            <w:r w:rsidRPr="00CE2ACA">
              <w:rPr>
                <w:rFonts w:cs="Arial"/>
                <w:sz w:val="14"/>
                <w:szCs w:val="14"/>
                <w:lang w:val="es-ES" w:eastAsia="es-ES"/>
              </w:rPr>
              <w:t>N</w:t>
            </w:r>
          </w:p>
        </w:tc>
        <w:tc>
          <w:tcPr>
            <w:tcW w:w="476" w:type="dxa"/>
            <w:shd w:val="clear" w:color="auto" w:fill="FABF8F" w:themeFill="accent6" w:themeFillTint="99"/>
            <w:vAlign w:val="center"/>
            <w:hideMark/>
          </w:tcPr>
          <w:p w14:paraId="695C5A5E" w14:textId="77777777" w:rsidR="00176B58" w:rsidRPr="00CE2ACA" w:rsidRDefault="00176B58" w:rsidP="00FE675C">
            <w:pPr>
              <w:pStyle w:val="cuadroCabe"/>
              <w:spacing w:line="240" w:lineRule="auto"/>
              <w:jc w:val="right"/>
              <w:rPr>
                <w:rFonts w:cs="Arial"/>
                <w:sz w:val="14"/>
                <w:szCs w:val="14"/>
                <w:lang w:val="es-ES" w:eastAsia="es-ES"/>
              </w:rPr>
            </w:pPr>
            <w:r w:rsidRPr="00CE2ACA">
              <w:rPr>
                <w:rFonts w:cs="Arial"/>
                <w:sz w:val="14"/>
                <w:szCs w:val="14"/>
                <w:lang w:val="es-ES" w:eastAsia="es-ES"/>
              </w:rPr>
              <w:t>Imp.</w:t>
            </w:r>
          </w:p>
        </w:tc>
        <w:tc>
          <w:tcPr>
            <w:tcW w:w="425" w:type="dxa"/>
            <w:shd w:val="clear" w:color="auto" w:fill="FABF8F" w:themeFill="accent6" w:themeFillTint="99"/>
            <w:vAlign w:val="center"/>
            <w:hideMark/>
          </w:tcPr>
          <w:p w14:paraId="1703A4D7" w14:textId="1374C4EA" w:rsidR="00176B58" w:rsidRPr="00CE2ACA" w:rsidRDefault="00176B58" w:rsidP="00FE675C">
            <w:pPr>
              <w:pStyle w:val="cuadroCabe"/>
              <w:spacing w:line="240" w:lineRule="auto"/>
              <w:jc w:val="right"/>
              <w:rPr>
                <w:rFonts w:cs="Arial"/>
                <w:sz w:val="14"/>
                <w:szCs w:val="14"/>
                <w:lang w:val="es-ES" w:eastAsia="es-ES"/>
              </w:rPr>
            </w:pPr>
            <w:r w:rsidRPr="00CE2ACA">
              <w:rPr>
                <w:rFonts w:cs="Arial"/>
                <w:sz w:val="14"/>
                <w:szCs w:val="14"/>
                <w:lang w:val="es-ES" w:eastAsia="es-ES"/>
              </w:rPr>
              <w:t>N</w:t>
            </w:r>
          </w:p>
        </w:tc>
        <w:tc>
          <w:tcPr>
            <w:tcW w:w="564" w:type="dxa"/>
            <w:shd w:val="clear" w:color="auto" w:fill="FABF8F" w:themeFill="accent6" w:themeFillTint="99"/>
            <w:vAlign w:val="center"/>
            <w:hideMark/>
          </w:tcPr>
          <w:p w14:paraId="01D77F23" w14:textId="77777777" w:rsidR="00176B58" w:rsidRPr="00CE2ACA" w:rsidRDefault="00176B58" w:rsidP="00FE675C">
            <w:pPr>
              <w:pStyle w:val="cuadroCabe"/>
              <w:spacing w:line="240" w:lineRule="auto"/>
              <w:jc w:val="right"/>
              <w:rPr>
                <w:rFonts w:cs="Arial"/>
                <w:sz w:val="14"/>
                <w:szCs w:val="14"/>
                <w:lang w:val="es-ES" w:eastAsia="es-ES"/>
              </w:rPr>
            </w:pPr>
            <w:r w:rsidRPr="00CE2ACA">
              <w:rPr>
                <w:rFonts w:cs="Arial"/>
                <w:sz w:val="14"/>
                <w:szCs w:val="14"/>
                <w:lang w:val="es-ES" w:eastAsia="es-ES"/>
              </w:rPr>
              <w:t>Imp.</w:t>
            </w:r>
          </w:p>
        </w:tc>
        <w:tc>
          <w:tcPr>
            <w:tcW w:w="401" w:type="dxa"/>
            <w:shd w:val="clear" w:color="auto" w:fill="FABF8F" w:themeFill="accent6" w:themeFillTint="99"/>
            <w:vAlign w:val="center"/>
            <w:hideMark/>
          </w:tcPr>
          <w:p w14:paraId="43350994" w14:textId="77777777" w:rsidR="00176B58" w:rsidRPr="00CE2ACA" w:rsidRDefault="00176B58" w:rsidP="00FE675C">
            <w:pPr>
              <w:pStyle w:val="cuadroCabe"/>
              <w:spacing w:line="240" w:lineRule="auto"/>
              <w:jc w:val="right"/>
              <w:rPr>
                <w:rFonts w:cs="Arial"/>
                <w:sz w:val="14"/>
                <w:szCs w:val="14"/>
                <w:lang w:val="es-ES" w:eastAsia="es-ES"/>
              </w:rPr>
            </w:pPr>
            <w:proofErr w:type="spellStart"/>
            <w:r w:rsidRPr="00CE2ACA">
              <w:rPr>
                <w:rFonts w:cs="Arial"/>
                <w:sz w:val="14"/>
                <w:szCs w:val="14"/>
                <w:lang w:val="es-ES" w:eastAsia="es-ES"/>
              </w:rPr>
              <w:t>Nº</w:t>
            </w:r>
            <w:proofErr w:type="spellEnd"/>
          </w:p>
        </w:tc>
        <w:tc>
          <w:tcPr>
            <w:tcW w:w="588" w:type="dxa"/>
            <w:shd w:val="clear" w:color="auto" w:fill="FABF8F" w:themeFill="accent6" w:themeFillTint="99"/>
            <w:vAlign w:val="center"/>
            <w:hideMark/>
          </w:tcPr>
          <w:p w14:paraId="64BD3E85" w14:textId="77777777" w:rsidR="00176B58" w:rsidRPr="00CE2ACA" w:rsidRDefault="00176B58" w:rsidP="00FE675C">
            <w:pPr>
              <w:pStyle w:val="cuadroCabe"/>
              <w:spacing w:line="240" w:lineRule="auto"/>
              <w:jc w:val="right"/>
              <w:rPr>
                <w:rFonts w:cs="Arial"/>
                <w:sz w:val="14"/>
                <w:szCs w:val="14"/>
                <w:lang w:val="es-ES" w:eastAsia="es-ES"/>
              </w:rPr>
            </w:pPr>
            <w:r w:rsidRPr="00CE2ACA">
              <w:rPr>
                <w:rFonts w:cs="Arial"/>
                <w:sz w:val="14"/>
                <w:szCs w:val="14"/>
                <w:lang w:val="es-ES" w:eastAsia="es-ES"/>
              </w:rPr>
              <w:t>Imp.</w:t>
            </w:r>
          </w:p>
        </w:tc>
        <w:tc>
          <w:tcPr>
            <w:tcW w:w="405" w:type="dxa"/>
            <w:shd w:val="clear" w:color="auto" w:fill="FABF8F" w:themeFill="accent6" w:themeFillTint="99"/>
            <w:vAlign w:val="center"/>
            <w:hideMark/>
          </w:tcPr>
          <w:p w14:paraId="4B14574C" w14:textId="77777777" w:rsidR="00176B58" w:rsidRPr="00CE2ACA" w:rsidRDefault="00176B58" w:rsidP="00FE675C">
            <w:pPr>
              <w:pStyle w:val="cuadroCabe"/>
              <w:spacing w:line="240" w:lineRule="auto"/>
              <w:jc w:val="right"/>
              <w:rPr>
                <w:rFonts w:cs="Arial"/>
                <w:sz w:val="14"/>
                <w:szCs w:val="14"/>
                <w:lang w:val="es-ES" w:eastAsia="es-ES"/>
              </w:rPr>
            </w:pPr>
            <w:proofErr w:type="spellStart"/>
            <w:r w:rsidRPr="00CE2ACA">
              <w:rPr>
                <w:rFonts w:cs="Arial"/>
                <w:sz w:val="14"/>
                <w:szCs w:val="14"/>
                <w:lang w:val="es-ES" w:eastAsia="es-ES"/>
              </w:rPr>
              <w:t>Nº</w:t>
            </w:r>
            <w:proofErr w:type="spellEnd"/>
          </w:p>
        </w:tc>
        <w:tc>
          <w:tcPr>
            <w:tcW w:w="591" w:type="dxa"/>
            <w:shd w:val="clear" w:color="auto" w:fill="FABF8F" w:themeFill="accent6" w:themeFillTint="99"/>
            <w:vAlign w:val="center"/>
            <w:hideMark/>
          </w:tcPr>
          <w:p w14:paraId="6665D66C" w14:textId="77777777" w:rsidR="00176B58" w:rsidRPr="00CE2ACA" w:rsidRDefault="00176B58" w:rsidP="00FE675C">
            <w:pPr>
              <w:pStyle w:val="cuadroCabe"/>
              <w:spacing w:line="240" w:lineRule="auto"/>
              <w:jc w:val="right"/>
              <w:rPr>
                <w:rFonts w:cs="Arial"/>
                <w:sz w:val="14"/>
                <w:szCs w:val="14"/>
                <w:lang w:val="es-ES" w:eastAsia="es-ES"/>
              </w:rPr>
            </w:pPr>
            <w:r w:rsidRPr="00CE2ACA">
              <w:rPr>
                <w:rFonts w:cs="Arial"/>
                <w:sz w:val="14"/>
                <w:szCs w:val="14"/>
                <w:lang w:val="es-ES" w:eastAsia="es-ES"/>
              </w:rPr>
              <w:t>Imp.</w:t>
            </w:r>
          </w:p>
        </w:tc>
        <w:tc>
          <w:tcPr>
            <w:tcW w:w="424" w:type="dxa"/>
            <w:shd w:val="clear" w:color="auto" w:fill="FABF8F" w:themeFill="accent6" w:themeFillTint="99"/>
            <w:vAlign w:val="center"/>
            <w:hideMark/>
          </w:tcPr>
          <w:p w14:paraId="6BDFE8F0" w14:textId="77777777" w:rsidR="00176B58" w:rsidRPr="00CE2ACA" w:rsidRDefault="00176B58" w:rsidP="00FE675C">
            <w:pPr>
              <w:pStyle w:val="cuadroCabe"/>
              <w:spacing w:line="240" w:lineRule="auto"/>
              <w:jc w:val="right"/>
              <w:rPr>
                <w:rFonts w:cs="Arial"/>
                <w:sz w:val="14"/>
                <w:szCs w:val="14"/>
                <w:lang w:val="es-ES" w:eastAsia="es-ES"/>
              </w:rPr>
            </w:pPr>
            <w:proofErr w:type="spellStart"/>
            <w:r w:rsidRPr="00CE2ACA">
              <w:rPr>
                <w:rFonts w:cs="Arial"/>
                <w:sz w:val="14"/>
                <w:szCs w:val="14"/>
                <w:lang w:val="es-ES" w:eastAsia="es-ES"/>
              </w:rPr>
              <w:t>Nº</w:t>
            </w:r>
            <w:proofErr w:type="spellEnd"/>
          </w:p>
        </w:tc>
        <w:tc>
          <w:tcPr>
            <w:tcW w:w="568" w:type="dxa"/>
            <w:shd w:val="clear" w:color="auto" w:fill="FABF8F" w:themeFill="accent6" w:themeFillTint="99"/>
            <w:vAlign w:val="center"/>
            <w:hideMark/>
          </w:tcPr>
          <w:p w14:paraId="07F83B1F" w14:textId="77777777" w:rsidR="00176B58" w:rsidRPr="00CE2ACA" w:rsidRDefault="00176B58" w:rsidP="00FE675C">
            <w:pPr>
              <w:pStyle w:val="cuadroCabe"/>
              <w:spacing w:line="240" w:lineRule="auto"/>
              <w:jc w:val="right"/>
              <w:rPr>
                <w:rFonts w:cs="Arial"/>
                <w:sz w:val="14"/>
                <w:szCs w:val="14"/>
                <w:lang w:val="es-ES" w:eastAsia="es-ES"/>
              </w:rPr>
            </w:pPr>
            <w:r w:rsidRPr="00CE2ACA">
              <w:rPr>
                <w:rFonts w:cs="Arial"/>
                <w:sz w:val="14"/>
                <w:szCs w:val="14"/>
                <w:lang w:val="es-ES" w:eastAsia="es-ES"/>
              </w:rPr>
              <w:t>Imp.</w:t>
            </w:r>
          </w:p>
        </w:tc>
        <w:tc>
          <w:tcPr>
            <w:tcW w:w="425" w:type="dxa"/>
            <w:shd w:val="clear" w:color="auto" w:fill="FABF8F" w:themeFill="accent6" w:themeFillTint="99"/>
            <w:vAlign w:val="center"/>
            <w:hideMark/>
          </w:tcPr>
          <w:p w14:paraId="5900D885" w14:textId="77777777" w:rsidR="00176B58" w:rsidRPr="00CE2ACA" w:rsidRDefault="00176B58" w:rsidP="00FE675C">
            <w:pPr>
              <w:pStyle w:val="cuadroCabe"/>
              <w:spacing w:line="240" w:lineRule="auto"/>
              <w:jc w:val="right"/>
              <w:rPr>
                <w:rFonts w:cs="Arial"/>
                <w:sz w:val="14"/>
                <w:szCs w:val="14"/>
                <w:lang w:val="es-ES" w:eastAsia="es-ES"/>
              </w:rPr>
            </w:pPr>
            <w:proofErr w:type="spellStart"/>
            <w:r w:rsidRPr="00CE2ACA">
              <w:rPr>
                <w:rFonts w:cs="Arial"/>
                <w:sz w:val="14"/>
                <w:szCs w:val="14"/>
                <w:lang w:val="es-ES" w:eastAsia="es-ES"/>
              </w:rPr>
              <w:t>Nº</w:t>
            </w:r>
            <w:proofErr w:type="spellEnd"/>
          </w:p>
        </w:tc>
        <w:tc>
          <w:tcPr>
            <w:tcW w:w="558" w:type="dxa"/>
            <w:shd w:val="clear" w:color="auto" w:fill="FABF8F" w:themeFill="accent6" w:themeFillTint="99"/>
            <w:vAlign w:val="center"/>
            <w:hideMark/>
          </w:tcPr>
          <w:p w14:paraId="107F525E" w14:textId="77777777" w:rsidR="00176B58" w:rsidRPr="00CE2ACA" w:rsidRDefault="00176B58" w:rsidP="00FE675C">
            <w:pPr>
              <w:pStyle w:val="cuadroCabe"/>
              <w:spacing w:line="240" w:lineRule="auto"/>
              <w:jc w:val="right"/>
              <w:rPr>
                <w:rFonts w:cs="Arial"/>
                <w:sz w:val="14"/>
                <w:szCs w:val="14"/>
                <w:lang w:val="es-ES" w:eastAsia="es-ES"/>
              </w:rPr>
            </w:pPr>
            <w:r w:rsidRPr="00CE2ACA">
              <w:rPr>
                <w:rFonts w:cs="Arial"/>
                <w:sz w:val="14"/>
                <w:szCs w:val="14"/>
                <w:lang w:val="es-ES" w:eastAsia="es-ES"/>
              </w:rPr>
              <w:t>Imp.</w:t>
            </w:r>
          </w:p>
        </w:tc>
        <w:tc>
          <w:tcPr>
            <w:tcW w:w="425" w:type="dxa"/>
            <w:shd w:val="clear" w:color="auto" w:fill="FABF8F" w:themeFill="accent6" w:themeFillTint="99"/>
            <w:vAlign w:val="center"/>
            <w:hideMark/>
          </w:tcPr>
          <w:p w14:paraId="7F8790C6" w14:textId="77777777" w:rsidR="00176B58" w:rsidRPr="00CE2ACA" w:rsidRDefault="00176B58" w:rsidP="00FE675C">
            <w:pPr>
              <w:pStyle w:val="cuadroCabe"/>
              <w:spacing w:line="240" w:lineRule="auto"/>
              <w:jc w:val="right"/>
              <w:rPr>
                <w:rFonts w:cs="Arial"/>
                <w:sz w:val="14"/>
                <w:szCs w:val="14"/>
                <w:lang w:val="es-ES" w:eastAsia="es-ES"/>
              </w:rPr>
            </w:pPr>
            <w:proofErr w:type="spellStart"/>
            <w:r w:rsidRPr="00CE2ACA">
              <w:rPr>
                <w:rFonts w:cs="Arial"/>
                <w:sz w:val="14"/>
                <w:szCs w:val="14"/>
                <w:lang w:val="es-ES" w:eastAsia="es-ES"/>
              </w:rPr>
              <w:t>Nº</w:t>
            </w:r>
            <w:proofErr w:type="spellEnd"/>
          </w:p>
        </w:tc>
        <w:tc>
          <w:tcPr>
            <w:tcW w:w="709" w:type="dxa"/>
            <w:shd w:val="clear" w:color="auto" w:fill="FABF8F" w:themeFill="accent6" w:themeFillTint="99"/>
            <w:vAlign w:val="center"/>
            <w:hideMark/>
          </w:tcPr>
          <w:p w14:paraId="0EC9F7B7" w14:textId="77777777" w:rsidR="00176B58" w:rsidRPr="00CE2ACA" w:rsidRDefault="00176B58" w:rsidP="00FE675C">
            <w:pPr>
              <w:pStyle w:val="cuadroCabe"/>
              <w:spacing w:line="240" w:lineRule="auto"/>
              <w:jc w:val="right"/>
              <w:rPr>
                <w:rFonts w:cs="Arial"/>
                <w:sz w:val="14"/>
                <w:szCs w:val="14"/>
                <w:lang w:val="es-ES" w:eastAsia="es-ES"/>
              </w:rPr>
            </w:pPr>
            <w:r w:rsidRPr="00CE2ACA">
              <w:rPr>
                <w:rFonts w:cs="Arial"/>
                <w:sz w:val="14"/>
                <w:szCs w:val="14"/>
                <w:lang w:val="es-ES" w:eastAsia="es-ES"/>
              </w:rPr>
              <w:t>Imp.</w:t>
            </w:r>
          </w:p>
        </w:tc>
      </w:tr>
      <w:tr w:rsidR="004C5885" w:rsidRPr="00474131" w14:paraId="098A4A93" w14:textId="77777777" w:rsidTr="004E2CFD">
        <w:trPr>
          <w:trHeight w:val="284"/>
        </w:trPr>
        <w:tc>
          <w:tcPr>
            <w:tcW w:w="990" w:type="dxa"/>
            <w:shd w:val="clear" w:color="auto" w:fill="auto"/>
            <w:noWrap/>
            <w:vAlign w:val="center"/>
            <w:hideMark/>
          </w:tcPr>
          <w:p w14:paraId="6EB43604" w14:textId="77777777" w:rsidR="004C5885" w:rsidRPr="00474131" w:rsidRDefault="004C5885" w:rsidP="00FE675C">
            <w:pPr>
              <w:pStyle w:val="cuatexto"/>
              <w:spacing w:line="240" w:lineRule="auto"/>
              <w:rPr>
                <w:sz w:val="18"/>
                <w:szCs w:val="18"/>
                <w:lang w:val="es-ES" w:eastAsia="es-ES"/>
              </w:rPr>
            </w:pPr>
            <w:r w:rsidRPr="00474131">
              <w:rPr>
                <w:sz w:val="18"/>
                <w:szCs w:val="18"/>
                <w:lang w:val="es-ES" w:eastAsia="es-ES"/>
              </w:rPr>
              <w:t>Obras</w:t>
            </w:r>
          </w:p>
        </w:tc>
        <w:tc>
          <w:tcPr>
            <w:tcW w:w="498" w:type="dxa"/>
            <w:shd w:val="clear" w:color="auto" w:fill="auto"/>
            <w:noWrap/>
            <w:vAlign w:val="center"/>
            <w:hideMark/>
          </w:tcPr>
          <w:p w14:paraId="12893C74" w14:textId="28B7F1B7"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111 </w:t>
            </w:r>
          </w:p>
        </w:tc>
        <w:tc>
          <w:tcPr>
            <w:tcW w:w="705" w:type="dxa"/>
            <w:shd w:val="clear" w:color="auto" w:fill="auto"/>
            <w:noWrap/>
            <w:vAlign w:val="center"/>
            <w:hideMark/>
          </w:tcPr>
          <w:p w14:paraId="35E0F181" w14:textId="04A3630E"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44.515 </w:t>
            </w:r>
          </w:p>
        </w:tc>
        <w:tc>
          <w:tcPr>
            <w:tcW w:w="308" w:type="dxa"/>
            <w:shd w:val="clear" w:color="auto" w:fill="auto"/>
            <w:noWrap/>
            <w:vAlign w:val="center"/>
            <w:hideMark/>
          </w:tcPr>
          <w:p w14:paraId="119DA0A8" w14:textId="4380791B"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476" w:type="dxa"/>
            <w:shd w:val="clear" w:color="auto" w:fill="auto"/>
            <w:noWrap/>
            <w:vAlign w:val="center"/>
            <w:hideMark/>
          </w:tcPr>
          <w:p w14:paraId="672908BF" w14:textId="1121F380"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425" w:type="dxa"/>
            <w:shd w:val="clear" w:color="auto" w:fill="auto"/>
            <w:noWrap/>
            <w:vAlign w:val="center"/>
            <w:hideMark/>
          </w:tcPr>
          <w:p w14:paraId="2C417EAD" w14:textId="01899884"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564" w:type="dxa"/>
            <w:shd w:val="clear" w:color="auto" w:fill="auto"/>
            <w:noWrap/>
            <w:vAlign w:val="center"/>
            <w:hideMark/>
          </w:tcPr>
          <w:p w14:paraId="67A56CEA" w14:textId="7866EBE9"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401" w:type="dxa"/>
            <w:shd w:val="clear" w:color="auto" w:fill="auto"/>
            <w:noWrap/>
            <w:vAlign w:val="center"/>
            <w:hideMark/>
          </w:tcPr>
          <w:p w14:paraId="50504471" w14:textId="6F758482"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62 </w:t>
            </w:r>
          </w:p>
        </w:tc>
        <w:tc>
          <w:tcPr>
            <w:tcW w:w="588" w:type="dxa"/>
            <w:shd w:val="clear" w:color="auto" w:fill="auto"/>
            <w:noWrap/>
            <w:vAlign w:val="center"/>
            <w:hideMark/>
          </w:tcPr>
          <w:p w14:paraId="325E916C"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4.405</w:t>
            </w:r>
          </w:p>
        </w:tc>
        <w:tc>
          <w:tcPr>
            <w:tcW w:w="405" w:type="dxa"/>
            <w:shd w:val="clear" w:color="auto" w:fill="auto"/>
            <w:noWrap/>
            <w:vAlign w:val="center"/>
            <w:hideMark/>
          </w:tcPr>
          <w:p w14:paraId="70FDA510" w14:textId="098B84A5"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 </w:t>
            </w:r>
          </w:p>
        </w:tc>
        <w:tc>
          <w:tcPr>
            <w:tcW w:w="591" w:type="dxa"/>
            <w:shd w:val="clear" w:color="auto" w:fill="auto"/>
            <w:noWrap/>
            <w:vAlign w:val="center"/>
            <w:hideMark/>
          </w:tcPr>
          <w:p w14:paraId="4DB245EE"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41</w:t>
            </w:r>
          </w:p>
        </w:tc>
        <w:tc>
          <w:tcPr>
            <w:tcW w:w="424" w:type="dxa"/>
            <w:shd w:val="clear" w:color="auto" w:fill="auto"/>
            <w:noWrap/>
            <w:vAlign w:val="center"/>
            <w:hideMark/>
          </w:tcPr>
          <w:p w14:paraId="4B31A3B0" w14:textId="02B6A278"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2 </w:t>
            </w:r>
          </w:p>
        </w:tc>
        <w:tc>
          <w:tcPr>
            <w:tcW w:w="568" w:type="dxa"/>
            <w:shd w:val="clear" w:color="auto" w:fill="auto"/>
            <w:noWrap/>
            <w:vAlign w:val="center"/>
            <w:hideMark/>
          </w:tcPr>
          <w:p w14:paraId="4A6163D0"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676</w:t>
            </w:r>
          </w:p>
        </w:tc>
        <w:tc>
          <w:tcPr>
            <w:tcW w:w="425" w:type="dxa"/>
            <w:shd w:val="clear" w:color="auto" w:fill="auto"/>
            <w:noWrap/>
            <w:vAlign w:val="center"/>
            <w:hideMark/>
          </w:tcPr>
          <w:p w14:paraId="153F0A57" w14:textId="552ECBBE"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2 </w:t>
            </w:r>
          </w:p>
        </w:tc>
        <w:tc>
          <w:tcPr>
            <w:tcW w:w="558" w:type="dxa"/>
            <w:shd w:val="clear" w:color="auto" w:fill="auto"/>
            <w:noWrap/>
            <w:vAlign w:val="center"/>
            <w:hideMark/>
          </w:tcPr>
          <w:p w14:paraId="2E7C7509"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103</w:t>
            </w:r>
          </w:p>
        </w:tc>
        <w:tc>
          <w:tcPr>
            <w:tcW w:w="425" w:type="dxa"/>
            <w:shd w:val="clear" w:color="auto" w:fill="auto"/>
            <w:noWrap/>
            <w:vAlign w:val="center"/>
            <w:hideMark/>
          </w:tcPr>
          <w:p w14:paraId="77A2B468" w14:textId="7F85CB1B"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178 </w:t>
            </w:r>
          </w:p>
        </w:tc>
        <w:tc>
          <w:tcPr>
            <w:tcW w:w="709" w:type="dxa"/>
            <w:shd w:val="clear" w:color="auto" w:fill="auto"/>
            <w:noWrap/>
            <w:vAlign w:val="center"/>
            <w:hideMark/>
          </w:tcPr>
          <w:p w14:paraId="37EFE754"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49.739</w:t>
            </w:r>
          </w:p>
        </w:tc>
      </w:tr>
      <w:tr w:rsidR="004C5885" w:rsidRPr="00474131" w14:paraId="3C74AA6F" w14:textId="77777777" w:rsidTr="004E2CFD">
        <w:trPr>
          <w:trHeight w:val="284"/>
        </w:trPr>
        <w:tc>
          <w:tcPr>
            <w:tcW w:w="990" w:type="dxa"/>
            <w:shd w:val="clear" w:color="auto" w:fill="auto"/>
            <w:noWrap/>
            <w:vAlign w:val="center"/>
            <w:hideMark/>
          </w:tcPr>
          <w:p w14:paraId="195BA0B4" w14:textId="77777777" w:rsidR="004C5885" w:rsidRPr="00474131" w:rsidRDefault="004C5885" w:rsidP="00FE675C">
            <w:pPr>
              <w:pStyle w:val="cuatexto"/>
              <w:spacing w:line="240" w:lineRule="auto"/>
              <w:rPr>
                <w:sz w:val="18"/>
                <w:szCs w:val="18"/>
                <w:lang w:val="es-ES" w:eastAsia="es-ES"/>
              </w:rPr>
            </w:pPr>
            <w:r w:rsidRPr="00474131">
              <w:rPr>
                <w:sz w:val="18"/>
                <w:szCs w:val="18"/>
                <w:lang w:val="es-ES" w:eastAsia="es-ES"/>
              </w:rPr>
              <w:t>Servicios</w:t>
            </w:r>
          </w:p>
        </w:tc>
        <w:tc>
          <w:tcPr>
            <w:tcW w:w="498" w:type="dxa"/>
            <w:shd w:val="clear" w:color="auto" w:fill="auto"/>
            <w:noWrap/>
            <w:vAlign w:val="center"/>
            <w:hideMark/>
          </w:tcPr>
          <w:p w14:paraId="6B30CED0" w14:textId="54E378F9"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114 </w:t>
            </w:r>
          </w:p>
        </w:tc>
        <w:tc>
          <w:tcPr>
            <w:tcW w:w="705" w:type="dxa"/>
            <w:shd w:val="clear" w:color="auto" w:fill="auto"/>
            <w:noWrap/>
            <w:vAlign w:val="center"/>
            <w:hideMark/>
          </w:tcPr>
          <w:p w14:paraId="4A7AEEF5" w14:textId="0D964596"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50.231 </w:t>
            </w:r>
          </w:p>
        </w:tc>
        <w:tc>
          <w:tcPr>
            <w:tcW w:w="308" w:type="dxa"/>
            <w:shd w:val="clear" w:color="auto" w:fill="auto"/>
            <w:noWrap/>
            <w:vAlign w:val="center"/>
            <w:hideMark/>
          </w:tcPr>
          <w:p w14:paraId="692E0E55" w14:textId="462FE64B"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 </w:t>
            </w:r>
          </w:p>
        </w:tc>
        <w:tc>
          <w:tcPr>
            <w:tcW w:w="476" w:type="dxa"/>
            <w:shd w:val="clear" w:color="auto" w:fill="auto"/>
            <w:noWrap/>
            <w:vAlign w:val="center"/>
            <w:hideMark/>
          </w:tcPr>
          <w:p w14:paraId="26E8D136" w14:textId="17313F5A"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10 </w:t>
            </w:r>
          </w:p>
        </w:tc>
        <w:tc>
          <w:tcPr>
            <w:tcW w:w="425" w:type="dxa"/>
            <w:shd w:val="clear" w:color="auto" w:fill="auto"/>
            <w:noWrap/>
            <w:vAlign w:val="center"/>
            <w:hideMark/>
          </w:tcPr>
          <w:p w14:paraId="4CAEC189" w14:textId="68013ADF"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564" w:type="dxa"/>
            <w:shd w:val="clear" w:color="auto" w:fill="auto"/>
            <w:noWrap/>
            <w:vAlign w:val="center"/>
            <w:hideMark/>
          </w:tcPr>
          <w:p w14:paraId="67437218" w14:textId="32973B71"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401" w:type="dxa"/>
            <w:shd w:val="clear" w:color="auto" w:fill="auto"/>
            <w:noWrap/>
            <w:vAlign w:val="center"/>
            <w:hideMark/>
          </w:tcPr>
          <w:p w14:paraId="217CEDF1" w14:textId="44535F21"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10 </w:t>
            </w:r>
          </w:p>
        </w:tc>
        <w:tc>
          <w:tcPr>
            <w:tcW w:w="588" w:type="dxa"/>
            <w:shd w:val="clear" w:color="auto" w:fill="auto"/>
            <w:noWrap/>
            <w:vAlign w:val="center"/>
            <w:hideMark/>
          </w:tcPr>
          <w:p w14:paraId="50C10D9E"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296</w:t>
            </w:r>
          </w:p>
        </w:tc>
        <w:tc>
          <w:tcPr>
            <w:tcW w:w="405" w:type="dxa"/>
            <w:shd w:val="clear" w:color="auto" w:fill="auto"/>
            <w:noWrap/>
            <w:vAlign w:val="center"/>
            <w:hideMark/>
          </w:tcPr>
          <w:p w14:paraId="193442CA" w14:textId="2A40D6F6"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2 </w:t>
            </w:r>
          </w:p>
        </w:tc>
        <w:tc>
          <w:tcPr>
            <w:tcW w:w="591" w:type="dxa"/>
            <w:shd w:val="clear" w:color="auto" w:fill="auto"/>
            <w:noWrap/>
            <w:vAlign w:val="center"/>
            <w:hideMark/>
          </w:tcPr>
          <w:p w14:paraId="04F2F170"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808</w:t>
            </w:r>
          </w:p>
        </w:tc>
        <w:tc>
          <w:tcPr>
            <w:tcW w:w="424" w:type="dxa"/>
            <w:shd w:val="clear" w:color="auto" w:fill="auto"/>
            <w:noWrap/>
            <w:vAlign w:val="center"/>
            <w:hideMark/>
          </w:tcPr>
          <w:p w14:paraId="7725160C" w14:textId="11DE07CF"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8 </w:t>
            </w:r>
          </w:p>
        </w:tc>
        <w:tc>
          <w:tcPr>
            <w:tcW w:w="568" w:type="dxa"/>
            <w:shd w:val="clear" w:color="auto" w:fill="auto"/>
            <w:noWrap/>
            <w:vAlign w:val="center"/>
            <w:hideMark/>
          </w:tcPr>
          <w:p w14:paraId="64CBCBAF"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105</w:t>
            </w:r>
          </w:p>
        </w:tc>
        <w:tc>
          <w:tcPr>
            <w:tcW w:w="425" w:type="dxa"/>
            <w:shd w:val="clear" w:color="auto" w:fill="auto"/>
            <w:noWrap/>
            <w:vAlign w:val="center"/>
            <w:hideMark/>
          </w:tcPr>
          <w:p w14:paraId="7951E631" w14:textId="240D878E"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2 </w:t>
            </w:r>
          </w:p>
        </w:tc>
        <w:tc>
          <w:tcPr>
            <w:tcW w:w="558" w:type="dxa"/>
            <w:shd w:val="clear" w:color="auto" w:fill="auto"/>
            <w:noWrap/>
            <w:vAlign w:val="center"/>
            <w:hideMark/>
          </w:tcPr>
          <w:p w14:paraId="55F8DC09"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54</w:t>
            </w:r>
          </w:p>
        </w:tc>
        <w:tc>
          <w:tcPr>
            <w:tcW w:w="425" w:type="dxa"/>
            <w:shd w:val="clear" w:color="auto" w:fill="auto"/>
            <w:noWrap/>
            <w:vAlign w:val="center"/>
            <w:hideMark/>
          </w:tcPr>
          <w:p w14:paraId="471E3763" w14:textId="082C8BE2"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137 </w:t>
            </w:r>
          </w:p>
        </w:tc>
        <w:tc>
          <w:tcPr>
            <w:tcW w:w="709" w:type="dxa"/>
            <w:shd w:val="clear" w:color="auto" w:fill="auto"/>
            <w:noWrap/>
            <w:vAlign w:val="center"/>
            <w:hideMark/>
          </w:tcPr>
          <w:p w14:paraId="6D3F9CF1"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51.504</w:t>
            </w:r>
          </w:p>
        </w:tc>
      </w:tr>
      <w:tr w:rsidR="004C5885" w:rsidRPr="00474131" w14:paraId="7CF5B587" w14:textId="77777777" w:rsidTr="004E2CFD">
        <w:trPr>
          <w:trHeight w:val="284"/>
        </w:trPr>
        <w:tc>
          <w:tcPr>
            <w:tcW w:w="990" w:type="dxa"/>
            <w:shd w:val="clear" w:color="auto" w:fill="auto"/>
            <w:noWrap/>
            <w:vAlign w:val="center"/>
            <w:hideMark/>
          </w:tcPr>
          <w:p w14:paraId="62BB38EB" w14:textId="77777777" w:rsidR="004C5885" w:rsidRPr="00474131" w:rsidRDefault="004C5885" w:rsidP="00FE675C">
            <w:pPr>
              <w:pStyle w:val="cuatexto"/>
              <w:spacing w:line="240" w:lineRule="auto"/>
              <w:rPr>
                <w:sz w:val="18"/>
                <w:szCs w:val="18"/>
                <w:lang w:val="es-ES" w:eastAsia="es-ES"/>
              </w:rPr>
            </w:pPr>
            <w:r w:rsidRPr="00474131">
              <w:rPr>
                <w:sz w:val="18"/>
                <w:szCs w:val="18"/>
                <w:lang w:val="es-ES" w:eastAsia="es-ES"/>
              </w:rPr>
              <w:t>Suministros</w:t>
            </w:r>
          </w:p>
        </w:tc>
        <w:tc>
          <w:tcPr>
            <w:tcW w:w="498" w:type="dxa"/>
            <w:shd w:val="clear" w:color="auto" w:fill="auto"/>
            <w:noWrap/>
            <w:vAlign w:val="center"/>
            <w:hideMark/>
          </w:tcPr>
          <w:p w14:paraId="43836BFC" w14:textId="658DE20F"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45 </w:t>
            </w:r>
          </w:p>
        </w:tc>
        <w:tc>
          <w:tcPr>
            <w:tcW w:w="705" w:type="dxa"/>
            <w:shd w:val="clear" w:color="auto" w:fill="auto"/>
            <w:noWrap/>
            <w:vAlign w:val="center"/>
            <w:hideMark/>
          </w:tcPr>
          <w:p w14:paraId="23D26982" w14:textId="4A2B114B"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11.560 </w:t>
            </w:r>
          </w:p>
        </w:tc>
        <w:tc>
          <w:tcPr>
            <w:tcW w:w="308" w:type="dxa"/>
            <w:shd w:val="clear" w:color="auto" w:fill="auto"/>
            <w:noWrap/>
            <w:vAlign w:val="center"/>
            <w:hideMark/>
          </w:tcPr>
          <w:p w14:paraId="5A26543A" w14:textId="3BBD5B7E"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476" w:type="dxa"/>
            <w:shd w:val="clear" w:color="auto" w:fill="auto"/>
            <w:noWrap/>
            <w:vAlign w:val="center"/>
            <w:hideMark/>
          </w:tcPr>
          <w:p w14:paraId="0B7A1129" w14:textId="452EB05C"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425" w:type="dxa"/>
            <w:shd w:val="clear" w:color="auto" w:fill="auto"/>
            <w:noWrap/>
            <w:vAlign w:val="center"/>
            <w:hideMark/>
          </w:tcPr>
          <w:p w14:paraId="64F10E6F" w14:textId="03D2E8E4"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 </w:t>
            </w:r>
          </w:p>
        </w:tc>
        <w:tc>
          <w:tcPr>
            <w:tcW w:w="564" w:type="dxa"/>
            <w:shd w:val="clear" w:color="auto" w:fill="auto"/>
            <w:noWrap/>
            <w:vAlign w:val="center"/>
            <w:hideMark/>
          </w:tcPr>
          <w:p w14:paraId="0EC3AF8A" w14:textId="3F9CBCDE"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37 </w:t>
            </w:r>
          </w:p>
        </w:tc>
        <w:tc>
          <w:tcPr>
            <w:tcW w:w="401" w:type="dxa"/>
            <w:shd w:val="clear" w:color="auto" w:fill="auto"/>
            <w:noWrap/>
            <w:vAlign w:val="center"/>
            <w:hideMark/>
          </w:tcPr>
          <w:p w14:paraId="0431F43D" w14:textId="40B44922"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16 </w:t>
            </w:r>
          </w:p>
        </w:tc>
        <w:tc>
          <w:tcPr>
            <w:tcW w:w="588" w:type="dxa"/>
            <w:shd w:val="clear" w:color="auto" w:fill="auto"/>
            <w:noWrap/>
            <w:vAlign w:val="center"/>
            <w:hideMark/>
          </w:tcPr>
          <w:p w14:paraId="0B7376FE"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431</w:t>
            </w:r>
          </w:p>
        </w:tc>
        <w:tc>
          <w:tcPr>
            <w:tcW w:w="405" w:type="dxa"/>
            <w:shd w:val="clear" w:color="auto" w:fill="auto"/>
            <w:noWrap/>
            <w:vAlign w:val="center"/>
            <w:hideMark/>
          </w:tcPr>
          <w:p w14:paraId="67A8B5E7" w14:textId="793C615E"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 </w:t>
            </w:r>
          </w:p>
        </w:tc>
        <w:tc>
          <w:tcPr>
            <w:tcW w:w="591" w:type="dxa"/>
            <w:shd w:val="clear" w:color="auto" w:fill="auto"/>
            <w:noWrap/>
            <w:vAlign w:val="center"/>
            <w:hideMark/>
          </w:tcPr>
          <w:p w14:paraId="4E5751A2"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185</w:t>
            </w:r>
          </w:p>
        </w:tc>
        <w:tc>
          <w:tcPr>
            <w:tcW w:w="424" w:type="dxa"/>
            <w:shd w:val="clear" w:color="auto" w:fill="auto"/>
            <w:noWrap/>
            <w:vAlign w:val="center"/>
            <w:hideMark/>
          </w:tcPr>
          <w:p w14:paraId="06E39137" w14:textId="18D65C80"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2 </w:t>
            </w:r>
          </w:p>
        </w:tc>
        <w:tc>
          <w:tcPr>
            <w:tcW w:w="568" w:type="dxa"/>
            <w:shd w:val="clear" w:color="auto" w:fill="auto"/>
            <w:noWrap/>
            <w:vAlign w:val="center"/>
            <w:hideMark/>
          </w:tcPr>
          <w:p w14:paraId="6346AAE4"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50</w:t>
            </w:r>
          </w:p>
        </w:tc>
        <w:tc>
          <w:tcPr>
            <w:tcW w:w="425" w:type="dxa"/>
            <w:shd w:val="clear" w:color="auto" w:fill="auto"/>
            <w:noWrap/>
            <w:vAlign w:val="center"/>
            <w:hideMark/>
          </w:tcPr>
          <w:p w14:paraId="2916EAB6" w14:textId="1AEAF904"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558" w:type="dxa"/>
            <w:shd w:val="clear" w:color="auto" w:fill="auto"/>
            <w:noWrap/>
            <w:vAlign w:val="center"/>
            <w:hideMark/>
          </w:tcPr>
          <w:p w14:paraId="6F370196"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0</w:t>
            </w:r>
          </w:p>
        </w:tc>
        <w:tc>
          <w:tcPr>
            <w:tcW w:w="425" w:type="dxa"/>
            <w:shd w:val="clear" w:color="auto" w:fill="auto"/>
            <w:noWrap/>
            <w:vAlign w:val="center"/>
            <w:hideMark/>
          </w:tcPr>
          <w:p w14:paraId="2C44BD8C" w14:textId="4DBC00D2"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65 </w:t>
            </w:r>
          </w:p>
        </w:tc>
        <w:tc>
          <w:tcPr>
            <w:tcW w:w="709" w:type="dxa"/>
            <w:shd w:val="clear" w:color="auto" w:fill="auto"/>
            <w:noWrap/>
            <w:vAlign w:val="center"/>
            <w:hideMark/>
          </w:tcPr>
          <w:p w14:paraId="6428669E"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12.263</w:t>
            </w:r>
          </w:p>
        </w:tc>
      </w:tr>
      <w:tr w:rsidR="004C5885" w:rsidRPr="00474131" w14:paraId="54AF651E" w14:textId="77777777" w:rsidTr="004E2CFD">
        <w:trPr>
          <w:trHeight w:val="284"/>
        </w:trPr>
        <w:tc>
          <w:tcPr>
            <w:tcW w:w="990" w:type="dxa"/>
            <w:tcBorders>
              <w:bottom w:val="single" w:sz="4" w:space="0" w:color="auto"/>
            </w:tcBorders>
            <w:shd w:val="clear" w:color="auto" w:fill="auto"/>
            <w:noWrap/>
            <w:vAlign w:val="center"/>
            <w:hideMark/>
          </w:tcPr>
          <w:p w14:paraId="7941FF17" w14:textId="2BD643B9" w:rsidR="004C5885" w:rsidRPr="00474131" w:rsidRDefault="004C5885" w:rsidP="00FE675C">
            <w:pPr>
              <w:pStyle w:val="cuatexto"/>
              <w:spacing w:line="240" w:lineRule="auto"/>
              <w:rPr>
                <w:sz w:val="18"/>
                <w:szCs w:val="18"/>
                <w:lang w:val="es-ES" w:eastAsia="es-ES"/>
              </w:rPr>
            </w:pPr>
            <w:r w:rsidRPr="00474131">
              <w:rPr>
                <w:sz w:val="18"/>
                <w:szCs w:val="18"/>
                <w:lang w:val="es-ES" w:eastAsia="es-ES"/>
              </w:rPr>
              <w:t>Concesión</w:t>
            </w:r>
            <w:r w:rsidR="00AC06A5" w:rsidRPr="00474131">
              <w:rPr>
                <w:sz w:val="18"/>
                <w:szCs w:val="18"/>
                <w:lang w:val="es-ES" w:eastAsia="es-ES"/>
              </w:rPr>
              <w:t xml:space="preserve"> </w:t>
            </w:r>
            <w:r w:rsidRPr="00474131">
              <w:rPr>
                <w:sz w:val="18"/>
                <w:szCs w:val="18"/>
                <w:lang w:val="es-ES" w:eastAsia="es-ES"/>
              </w:rPr>
              <w:t>servicios</w:t>
            </w:r>
          </w:p>
        </w:tc>
        <w:tc>
          <w:tcPr>
            <w:tcW w:w="498" w:type="dxa"/>
            <w:tcBorders>
              <w:bottom w:val="single" w:sz="4" w:space="0" w:color="auto"/>
            </w:tcBorders>
            <w:shd w:val="clear" w:color="auto" w:fill="auto"/>
            <w:noWrap/>
            <w:vAlign w:val="center"/>
            <w:hideMark/>
          </w:tcPr>
          <w:p w14:paraId="73E409B7" w14:textId="61C2DB5E"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11 </w:t>
            </w:r>
          </w:p>
        </w:tc>
        <w:tc>
          <w:tcPr>
            <w:tcW w:w="705" w:type="dxa"/>
            <w:tcBorders>
              <w:bottom w:val="single" w:sz="4" w:space="0" w:color="auto"/>
            </w:tcBorders>
            <w:shd w:val="clear" w:color="auto" w:fill="auto"/>
            <w:noWrap/>
            <w:vAlign w:val="center"/>
            <w:hideMark/>
          </w:tcPr>
          <w:p w14:paraId="0E55B522" w14:textId="784A68C0"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1.087 </w:t>
            </w:r>
          </w:p>
        </w:tc>
        <w:tc>
          <w:tcPr>
            <w:tcW w:w="308" w:type="dxa"/>
            <w:tcBorders>
              <w:bottom w:val="single" w:sz="4" w:space="0" w:color="auto"/>
            </w:tcBorders>
            <w:shd w:val="clear" w:color="auto" w:fill="auto"/>
            <w:noWrap/>
            <w:vAlign w:val="center"/>
            <w:hideMark/>
          </w:tcPr>
          <w:p w14:paraId="09129260" w14:textId="2226858D"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476" w:type="dxa"/>
            <w:tcBorders>
              <w:bottom w:val="single" w:sz="4" w:space="0" w:color="auto"/>
            </w:tcBorders>
            <w:shd w:val="clear" w:color="auto" w:fill="auto"/>
            <w:noWrap/>
            <w:vAlign w:val="center"/>
            <w:hideMark/>
          </w:tcPr>
          <w:p w14:paraId="2886291E" w14:textId="786FE927"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425" w:type="dxa"/>
            <w:tcBorders>
              <w:bottom w:val="single" w:sz="4" w:space="0" w:color="auto"/>
            </w:tcBorders>
            <w:shd w:val="clear" w:color="auto" w:fill="auto"/>
            <w:noWrap/>
            <w:vAlign w:val="center"/>
            <w:hideMark/>
          </w:tcPr>
          <w:p w14:paraId="3DE43F3D" w14:textId="406B33EA"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564" w:type="dxa"/>
            <w:tcBorders>
              <w:bottom w:val="single" w:sz="4" w:space="0" w:color="auto"/>
            </w:tcBorders>
            <w:shd w:val="clear" w:color="auto" w:fill="auto"/>
            <w:noWrap/>
            <w:vAlign w:val="center"/>
            <w:hideMark/>
          </w:tcPr>
          <w:p w14:paraId="785ACABE" w14:textId="5EAD5D4B"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401" w:type="dxa"/>
            <w:tcBorders>
              <w:bottom w:val="single" w:sz="4" w:space="0" w:color="auto"/>
            </w:tcBorders>
            <w:shd w:val="clear" w:color="auto" w:fill="auto"/>
            <w:noWrap/>
            <w:vAlign w:val="center"/>
            <w:hideMark/>
          </w:tcPr>
          <w:p w14:paraId="4E20D515" w14:textId="41CFC650"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588" w:type="dxa"/>
            <w:tcBorders>
              <w:bottom w:val="single" w:sz="4" w:space="0" w:color="auto"/>
            </w:tcBorders>
            <w:shd w:val="clear" w:color="auto" w:fill="auto"/>
            <w:noWrap/>
            <w:vAlign w:val="center"/>
            <w:hideMark/>
          </w:tcPr>
          <w:p w14:paraId="5C9B5C6C"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0</w:t>
            </w:r>
          </w:p>
        </w:tc>
        <w:tc>
          <w:tcPr>
            <w:tcW w:w="405" w:type="dxa"/>
            <w:tcBorders>
              <w:bottom w:val="single" w:sz="4" w:space="0" w:color="auto"/>
            </w:tcBorders>
            <w:shd w:val="clear" w:color="auto" w:fill="auto"/>
            <w:noWrap/>
            <w:vAlign w:val="center"/>
            <w:hideMark/>
          </w:tcPr>
          <w:p w14:paraId="4F357440" w14:textId="6E5AE2D0"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591" w:type="dxa"/>
            <w:tcBorders>
              <w:bottom w:val="single" w:sz="4" w:space="0" w:color="auto"/>
            </w:tcBorders>
            <w:shd w:val="clear" w:color="auto" w:fill="auto"/>
            <w:noWrap/>
            <w:vAlign w:val="center"/>
            <w:hideMark/>
          </w:tcPr>
          <w:p w14:paraId="50B98CFF"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0</w:t>
            </w:r>
          </w:p>
        </w:tc>
        <w:tc>
          <w:tcPr>
            <w:tcW w:w="424" w:type="dxa"/>
            <w:tcBorders>
              <w:bottom w:val="single" w:sz="4" w:space="0" w:color="auto"/>
            </w:tcBorders>
            <w:shd w:val="clear" w:color="auto" w:fill="auto"/>
            <w:noWrap/>
            <w:vAlign w:val="center"/>
            <w:hideMark/>
          </w:tcPr>
          <w:p w14:paraId="7962F2FE" w14:textId="61076D67"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w:t>
            </w:r>
            <w:r w:rsidRPr="00474131">
              <w:rPr>
                <w:sz w:val="16"/>
                <w:szCs w:val="16"/>
                <w:lang w:val="es-ES" w:eastAsia="es-ES"/>
              </w:rPr>
              <w:t xml:space="preserve"> </w:t>
            </w:r>
          </w:p>
        </w:tc>
        <w:tc>
          <w:tcPr>
            <w:tcW w:w="568" w:type="dxa"/>
            <w:tcBorders>
              <w:bottom w:val="single" w:sz="4" w:space="0" w:color="auto"/>
            </w:tcBorders>
            <w:shd w:val="clear" w:color="auto" w:fill="auto"/>
            <w:noWrap/>
            <w:vAlign w:val="center"/>
            <w:hideMark/>
          </w:tcPr>
          <w:p w14:paraId="6410EABD"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0</w:t>
            </w:r>
          </w:p>
        </w:tc>
        <w:tc>
          <w:tcPr>
            <w:tcW w:w="425" w:type="dxa"/>
            <w:tcBorders>
              <w:bottom w:val="single" w:sz="4" w:space="0" w:color="auto"/>
            </w:tcBorders>
            <w:shd w:val="clear" w:color="auto" w:fill="auto"/>
            <w:noWrap/>
            <w:vAlign w:val="center"/>
            <w:hideMark/>
          </w:tcPr>
          <w:p w14:paraId="780A4739" w14:textId="2604DE31"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 </w:t>
            </w:r>
          </w:p>
        </w:tc>
        <w:tc>
          <w:tcPr>
            <w:tcW w:w="558" w:type="dxa"/>
            <w:tcBorders>
              <w:bottom w:val="single" w:sz="4" w:space="0" w:color="auto"/>
            </w:tcBorders>
            <w:shd w:val="clear" w:color="auto" w:fill="auto"/>
            <w:noWrap/>
            <w:vAlign w:val="center"/>
            <w:hideMark/>
          </w:tcPr>
          <w:p w14:paraId="3D5B4B7F"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20</w:t>
            </w:r>
          </w:p>
        </w:tc>
        <w:tc>
          <w:tcPr>
            <w:tcW w:w="425" w:type="dxa"/>
            <w:tcBorders>
              <w:bottom w:val="single" w:sz="4" w:space="0" w:color="auto"/>
            </w:tcBorders>
            <w:shd w:val="clear" w:color="auto" w:fill="auto"/>
            <w:noWrap/>
            <w:vAlign w:val="center"/>
            <w:hideMark/>
          </w:tcPr>
          <w:p w14:paraId="726C0F4A" w14:textId="01886223" w:rsidR="004C5885" w:rsidRPr="00474131" w:rsidRDefault="00AC06A5" w:rsidP="00FE675C">
            <w:pPr>
              <w:pStyle w:val="cuatexto"/>
              <w:spacing w:line="240" w:lineRule="auto"/>
              <w:jc w:val="right"/>
              <w:rPr>
                <w:sz w:val="16"/>
                <w:szCs w:val="16"/>
                <w:lang w:val="es-ES" w:eastAsia="es-ES"/>
              </w:rPr>
            </w:pPr>
            <w:r w:rsidRPr="00474131">
              <w:rPr>
                <w:sz w:val="16"/>
                <w:szCs w:val="16"/>
                <w:lang w:val="es-ES" w:eastAsia="es-ES"/>
              </w:rPr>
              <w:t xml:space="preserve"> </w:t>
            </w:r>
            <w:r w:rsidR="004C5885" w:rsidRPr="00474131">
              <w:rPr>
                <w:sz w:val="16"/>
                <w:szCs w:val="16"/>
                <w:lang w:val="es-ES" w:eastAsia="es-ES"/>
              </w:rPr>
              <w:t xml:space="preserve">12 </w:t>
            </w:r>
          </w:p>
        </w:tc>
        <w:tc>
          <w:tcPr>
            <w:tcW w:w="709" w:type="dxa"/>
            <w:tcBorders>
              <w:bottom w:val="single" w:sz="4" w:space="0" w:color="auto"/>
            </w:tcBorders>
            <w:shd w:val="clear" w:color="auto" w:fill="auto"/>
            <w:noWrap/>
            <w:vAlign w:val="center"/>
            <w:hideMark/>
          </w:tcPr>
          <w:p w14:paraId="36938704" w14:textId="77777777" w:rsidR="004C5885" w:rsidRPr="00474131" w:rsidRDefault="004C5885" w:rsidP="00FE675C">
            <w:pPr>
              <w:pStyle w:val="cuatexto"/>
              <w:spacing w:line="240" w:lineRule="auto"/>
              <w:jc w:val="right"/>
              <w:rPr>
                <w:sz w:val="16"/>
                <w:szCs w:val="16"/>
                <w:lang w:val="es-ES" w:eastAsia="es-ES"/>
              </w:rPr>
            </w:pPr>
            <w:r w:rsidRPr="00474131">
              <w:rPr>
                <w:sz w:val="16"/>
                <w:szCs w:val="16"/>
                <w:lang w:val="es-ES" w:eastAsia="es-ES"/>
              </w:rPr>
              <w:t>1.107</w:t>
            </w:r>
          </w:p>
        </w:tc>
      </w:tr>
      <w:tr w:rsidR="004C5885" w:rsidRPr="009E536C" w14:paraId="1EF10889" w14:textId="77777777" w:rsidTr="004E2CFD">
        <w:trPr>
          <w:trHeight w:val="284"/>
        </w:trPr>
        <w:tc>
          <w:tcPr>
            <w:tcW w:w="990" w:type="dxa"/>
            <w:tcBorders>
              <w:top w:val="single" w:sz="4" w:space="0" w:color="auto"/>
              <w:bottom w:val="single" w:sz="4" w:space="0" w:color="auto"/>
            </w:tcBorders>
            <w:shd w:val="clear" w:color="auto" w:fill="FABF8F" w:themeFill="accent6" w:themeFillTint="99"/>
            <w:noWrap/>
            <w:vAlign w:val="center"/>
            <w:hideMark/>
          </w:tcPr>
          <w:p w14:paraId="2040E1A5" w14:textId="77777777" w:rsidR="00E57B08" w:rsidRDefault="004C5885" w:rsidP="00FE675C">
            <w:pPr>
              <w:pStyle w:val="cuadroCabe"/>
              <w:spacing w:line="240" w:lineRule="auto"/>
              <w:rPr>
                <w:sz w:val="14"/>
                <w:szCs w:val="14"/>
              </w:rPr>
            </w:pPr>
            <w:r w:rsidRPr="009E536C">
              <w:rPr>
                <w:sz w:val="14"/>
                <w:szCs w:val="14"/>
              </w:rPr>
              <w:t xml:space="preserve">Total </w:t>
            </w:r>
          </w:p>
          <w:p w14:paraId="67C7005F" w14:textId="1DD8C66C" w:rsidR="004C5885" w:rsidRPr="009E536C" w:rsidRDefault="00474131" w:rsidP="00FE675C">
            <w:pPr>
              <w:pStyle w:val="cuadroCabe"/>
              <w:spacing w:line="240" w:lineRule="auto"/>
              <w:rPr>
                <w:sz w:val="14"/>
                <w:szCs w:val="14"/>
              </w:rPr>
            </w:pPr>
            <w:r w:rsidRPr="009E536C">
              <w:rPr>
                <w:sz w:val="14"/>
                <w:szCs w:val="14"/>
              </w:rPr>
              <w:t>general</w:t>
            </w:r>
          </w:p>
        </w:tc>
        <w:tc>
          <w:tcPr>
            <w:tcW w:w="498" w:type="dxa"/>
            <w:tcBorders>
              <w:top w:val="single" w:sz="4" w:space="0" w:color="auto"/>
              <w:bottom w:val="single" w:sz="4" w:space="0" w:color="auto"/>
            </w:tcBorders>
            <w:shd w:val="clear" w:color="auto" w:fill="FABF8F" w:themeFill="accent6" w:themeFillTint="99"/>
            <w:noWrap/>
            <w:vAlign w:val="center"/>
            <w:hideMark/>
          </w:tcPr>
          <w:p w14:paraId="5866197F" w14:textId="1DB77CAF" w:rsidR="004C5885" w:rsidRPr="009E536C" w:rsidRDefault="00AC06A5" w:rsidP="00FE675C">
            <w:pPr>
              <w:pStyle w:val="cuadroCabe"/>
              <w:spacing w:line="240" w:lineRule="auto"/>
              <w:jc w:val="right"/>
              <w:rPr>
                <w:sz w:val="14"/>
                <w:szCs w:val="14"/>
              </w:rPr>
            </w:pPr>
            <w:r w:rsidRPr="009E536C">
              <w:rPr>
                <w:sz w:val="14"/>
                <w:szCs w:val="14"/>
              </w:rPr>
              <w:t xml:space="preserve"> </w:t>
            </w:r>
            <w:r w:rsidR="004C5885" w:rsidRPr="009E536C">
              <w:rPr>
                <w:sz w:val="14"/>
                <w:szCs w:val="14"/>
              </w:rPr>
              <w:t xml:space="preserve">281 </w:t>
            </w:r>
          </w:p>
        </w:tc>
        <w:tc>
          <w:tcPr>
            <w:tcW w:w="705" w:type="dxa"/>
            <w:tcBorders>
              <w:top w:val="single" w:sz="4" w:space="0" w:color="auto"/>
              <w:bottom w:val="single" w:sz="4" w:space="0" w:color="auto"/>
            </w:tcBorders>
            <w:shd w:val="clear" w:color="auto" w:fill="FABF8F" w:themeFill="accent6" w:themeFillTint="99"/>
            <w:noWrap/>
            <w:vAlign w:val="center"/>
            <w:hideMark/>
          </w:tcPr>
          <w:p w14:paraId="5FED06EF" w14:textId="77777777" w:rsidR="004C5885" w:rsidRPr="009E536C" w:rsidRDefault="004C5885" w:rsidP="00FE675C">
            <w:pPr>
              <w:pStyle w:val="cuadroCabe"/>
              <w:spacing w:line="240" w:lineRule="auto"/>
              <w:jc w:val="right"/>
              <w:rPr>
                <w:sz w:val="14"/>
                <w:szCs w:val="14"/>
              </w:rPr>
            </w:pPr>
            <w:r w:rsidRPr="009E536C">
              <w:rPr>
                <w:sz w:val="14"/>
                <w:szCs w:val="14"/>
              </w:rPr>
              <w:t>107.393</w:t>
            </w:r>
          </w:p>
        </w:tc>
        <w:tc>
          <w:tcPr>
            <w:tcW w:w="308" w:type="dxa"/>
            <w:tcBorders>
              <w:top w:val="single" w:sz="4" w:space="0" w:color="auto"/>
              <w:bottom w:val="single" w:sz="4" w:space="0" w:color="auto"/>
            </w:tcBorders>
            <w:shd w:val="clear" w:color="auto" w:fill="FABF8F" w:themeFill="accent6" w:themeFillTint="99"/>
            <w:noWrap/>
            <w:vAlign w:val="center"/>
            <w:hideMark/>
          </w:tcPr>
          <w:p w14:paraId="232FEAF3" w14:textId="0EE35A90" w:rsidR="004C5885" w:rsidRPr="009E536C" w:rsidRDefault="00AC06A5" w:rsidP="00FE675C">
            <w:pPr>
              <w:pStyle w:val="cuadroCabe"/>
              <w:spacing w:line="240" w:lineRule="auto"/>
              <w:jc w:val="right"/>
              <w:rPr>
                <w:sz w:val="14"/>
                <w:szCs w:val="14"/>
              </w:rPr>
            </w:pPr>
            <w:r w:rsidRPr="009E536C">
              <w:rPr>
                <w:sz w:val="14"/>
                <w:szCs w:val="14"/>
              </w:rPr>
              <w:t xml:space="preserve"> </w:t>
            </w:r>
            <w:r w:rsidR="004C5885" w:rsidRPr="009E536C">
              <w:rPr>
                <w:sz w:val="14"/>
                <w:szCs w:val="14"/>
              </w:rPr>
              <w:t xml:space="preserve">1 </w:t>
            </w:r>
          </w:p>
        </w:tc>
        <w:tc>
          <w:tcPr>
            <w:tcW w:w="476" w:type="dxa"/>
            <w:tcBorders>
              <w:top w:val="single" w:sz="4" w:space="0" w:color="auto"/>
              <w:bottom w:val="single" w:sz="4" w:space="0" w:color="auto"/>
            </w:tcBorders>
            <w:shd w:val="clear" w:color="auto" w:fill="FABF8F" w:themeFill="accent6" w:themeFillTint="99"/>
            <w:noWrap/>
            <w:vAlign w:val="center"/>
            <w:hideMark/>
          </w:tcPr>
          <w:p w14:paraId="005523E1" w14:textId="77777777" w:rsidR="004C5885" w:rsidRPr="009E536C" w:rsidRDefault="004C5885" w:rsidP="00FE675C">
            <w:pPr>
              <w:pStyle w:val="cuadroCabe"/>
              <w:spacing w:line="240" w:lineRule="auto"/>
              <w:jc w:val="right"/>
              <w:rPr>
                <w:sz w:val="14"/>
                <w:szCs w:val="14"/>
              </w:rPr>
            </w:pPr>
            <w:r w:rsidRPr="009E536C">
              <w:rPr>
                <w:sz w:val="14"/>
                <w:szCs w:val="14"/>
              </w:rPr>
              <w:t>10</w:t>
            </w:r>
          </w:p>
        </w:tc>
        <w:tc>
          <w:tcPr>
            <w:tcW w:w="425" w:type="dxa"/>
            <w:tcBorders>
              <w:top w:val="single" w:sz="4" w:space="0" w:color="auto"/>
              <w:bottom w:val="single" w:sz="4" w:space="0" w:color="auto"/>
            </w:tcBorders>
            <w:shd w:val="clear" w:color="auto" w:fill="FABF8F" w:themeFill="accent6" w:themeFillTint="99"/>
            <w:noWrap/>
            <w:vAlign w:val="center"/>
            <w:hideMark/>
          </w:tcPr>
          <w:p w14:paraId="5D4E19AC" w14:textId="3CDA6F08" w:rsidR="004C5885" w:rsidRPr="009E536C" w:rsidRDefault="00AC06A5" w:rsidP="00FE675C">
            <w:pPr>
              <w:pStyle w:val="cuadroCabe"/>
              <w:spacing w:line="240" w:lineRule="auto"/>
              <w:jc w:val="right"/>
              <w:rPr>
                <w:sz w:val="14"/>
                <w:szCs w:val="14"/>
              </w:rPr>
            </w:pPr>
            <w:r w:rsidRPr="009E536C">
              <w:rPr>
                <w:sz w:val="14"/>
                <w:szCs w:val="14"/>
              </w:rPr>
              <w:t xml:space="preserve"> </w:t>
            </w:r>
            <w:r w:rsidR="004C5885" w:rsidRPr="009E536C">
              <w:rPr>
                <w:sz w:val="14"/>
                <w:szCs w:val="14"/>
              </w:rPr>
              <w:t xml:space="preserve">1 </w:t>
            </w:r>
          </w:p>
        </w:tc>
        <w:tc>
          <w:tcPr>
            <w:tcW w:w="564" w:type="dxa"/>
            <w:tcBorders>
              <w:top w:val="single" w:sz="4" w:space="0" w:color="auto"/>
              <w:bottom w:val="single" w:sz="4" w:space="0" w:color="auto"/>
            </w:tcBorders>
            <w:shd w:val="clear" w:color="auto" w:fill="FABF8F" w:themeFill="accent6" w:themeFillTint="99"/>
            <w:noWrap/>
            <w:vAlign w:val="center"/>
            <w:hideMark/>
          </w:tcPr>
          <w:p w14:paraId="183BB866" w14:textId="77777777" w:rsidR="004C5885" w:rsidRPr="009E536C" w:rsidRDefault="004C5885" w:rsidP="00FE675C">
            <w:pPr>
              <w:pStyle w:val="cuadroCabe"/>
              <w:spacing w:line="240" w:lineRule="auto"/>
              <w:jc w:val="right"/>
              <w:rPr>
                <w:sz w:val="14"/>
                <w:szCs w:val="14"/>
              </w:rPr>
            </w:pPr>
            <w:r w:rsidRPr="009E536C">
              <w:rPr>
                <w:sz w:val="14"/>
                <w:szCs w:val="14"/>
              </w:rPr>
              <w:t>37</w:t>
            </w:r>
          </w:p>
        </w:tc>
        <w:tc>
          <w:tcPr>
            <w:tcW w:w="401" w:type="dxa"/>
            <w:tcBorders>
              <w:top w:val="single" w:sz="4" w:space="0" w:color="auto"/>
              <w:bottom w:val="single" w:sz="4" w:space="0" w:color="auto"/>
            </w:tcBorders>
            <w:shd w:val="clear" w:color="auto" w:fill="FABF8F" w:themeFill="accent6" w:themeFillTint="99"/>
            <w:noWrap/>
            <w:vAlign w:val="center"/>
            <w:hideMark/>
          </w:tcPr>
          <w:p w14:paraId="461DEBE8" w14:textId="5E63B7E1" w:rsidR="004C5885" w:rsidRPr="009E536C" w:rsidRDefault="00AC06A5" w:rsidP="00FE675C">
            <w:pPr>
              <w:pStyle w:val="cuadroCabe"/>
              <w:spacing w:line="240" w:lineRule="auto"/>
              <w:jc w:val="right"/>
              <w:rPr>
                <w:sz w:val="14"/>
                <w:szCs w:val="14"/>
              </w:rPr>
            </w:pPr>
            <w:r w:rsidRPr="009E536C">
              <w:rPr>
                <w:sz w:val="14"/>
                <w:szCs w:val="14"/>
              </w:rPr>
              <w:t xml:space="preserve"> </w:t>
            </w:r>
            <w:r w:rsidR="004C5885" w:rsidRPr="009E536C">
              <w:rPr>
                <w:sz w:val="14"/>
                <w:szCs w:val="14"/>
              </w:rPr>
              <w:t xml:space="preserve">88 </w:t>
            </w:r>
          </w:p>
        </w:tc>
        <w:tc>
          <w:tcPr>
            <w:tcW w:w="588" w:type="dxa"/>
            <w:tcBorders>
              <w:top w:val="single" w:sz="4" w:space="0" w:color="auto"/>
              <w:bottom w:val="single" w:sz="4" w:space="0" w:color="auto"/>
            </w:tcBorders>
            <w:shd w:val="clear" w:color="auto" w:fill="FABF8F" w:themeFill="accent6" w:themeFillTint="99"/>
            <w:noWrap/>
            <w:vAlign w:val="center"/>
            <w:hideMark/>
          </w:tcPr>
          <w:p w14:paraId="04F00EBB" w14:textId="77777777" w:rsidR="004C5885" w:rsidRPr="009E536C" w:rsidRDefault="004C5885" w:rsidP="00FE675C">
            <w:pPr>
              <w:pStyle w:val="cuadroCabe"/>
              <w:spacing w:line="240" w:lineRule="auto"/>
              <w:jc w:val="right"/>
              <w:rPr>
                <w:sz w:val="14"/>
                <w:szCs w:val="14"/>
              </w:rPr>
            </w:pPr>
            <w:r w:rsidRPr="009E536C">
              <w:rPr>
                <w:sz w:val="14"/>
                <w:szCs w:val="14"/>
              </w:rPr>
              <w:t>5.133</w:t>
            </w:r>
          </w:p>
        </w:tc>
        <w:tc>
          <w:tcPr>
            <w:tcW w:w="405" w:type="dxa"/>
            <w:tcBorders>
              <w:top w:val="single" w:sz="4" w:space="0" w:color="auto"/>
              <w:bottom w:val="single" w:sz="4" w:space="0" w:color="auto"/>
            </w:tcBorders>
            <w:shd w:val="clear" w:color="auto" w:fill="FABF8F" w:themeFill="accent6" w:themeFillTint="99"/>
            <w:noWrap/>
            <w:vAlign w:val="center"/>
            <w:hideMark/>
          </w:tcPr>
          <w:p w14:paraId="0871E18C" w14:textId="2C408A2A" w:rsidR="004C5885" w:rsidRPr="009E536C" w:rsidRDefault="00AC06A5" w:rsidP="00FE675C">
            <w:pPr>
              <w:pStyle w:val="cuadroCabe"/>
              <w:spacing w:line="240" w:lineRule="auto"/>
              <w:jc w:val="right"/>
              <w:rPr>
                <w:sz w:val="14"/>
                <w:szCs w:val="14"/>
              </w:rPr>
            </w:pPr>
            <w:r w:rsidRPr="009E536C">
              <w:rPr>
                <w:sz w:val="14"/>
                <w:szCs w:val="14"/>
              </w:rPr>
              <w:t xml:space="preserve"> </w:t>
            </w:r>
            <w:r w:rsidR="004C5885" w:rsidRPr="009E536C">
              <w:rPr>
                <w:sz w:val="14"/>
                <w:szCs w:val="14"/>
              </w:rPr>
              <w:t xml:space="preserve">4 </w:t>
            </w:r>
          </w:p>
        </w:tc>
        <w:tc>
          <w:tcPr>
            <w:tcW w:w="591" w:type="dxa"/>
            <w:tcBorders>
              <w:top w:val="single" w:sz="4" w:space="0" w:color="auto"/>
              <w:bottom w:val="single" w:sz="4" w:space="0" w:color="auto"/>
            </w:tcBorders>
            <w:shd w:val="clear" w:color="auto" w:fill="FABF8F" w:themeFill="accent6" w:themeFillTint="99"/>
            <w:noWrap/>
            <w:vAlign w:val="center"/>
            <w:hideMark/>
          </w:tcPr>
          <w:p w14:paraId="13E66186" w14:textId="77777777" w:rsidR="004C5885" w:rsidRPr="009E536C" w:rsidRDefault="004C5885" w:rsidP="00FE675C">
            <w:pPr>
              <w:pStyle w:val="cuadroCabe"/>
              <w:spacing w:line="240" w:lineRule="auto"/>
              <w:jc w:val="right"/>
              <w:rPr>
                <w:sz w:val="14"/>
                <w:szCs w:val="14"/>
              </w:rPr>
            </w:pPr>
            <w:r w:rsidRPr="009E536C">
              <w:rPr>
                <w:sz w:val="14"/>
                <w:szCs w:val="14"/>
              </w:rPr>
              <w:t>1.034</w:t>
            </w:r>
          </w:p>
        </w:tc>
        <w:tc>
          <w:tcPr>
            <w:tcW w:w="424" w:type="dxa"/>
            <w:tcBorders>
              <w:top w:val="single" w:sz="4" w:space="0" w:color="auto"/>
              <w:bottom w:val="single" w:sz="4" w:space="0" w:color="auto"/>
            </w:tcBorders>
            <w:shd w:val="clear" w:color="auto" w:fill="FABF8F" w:themeFill="accent6" w:themeFillTint="99"/>
            <w:noWrap/>
            <w:vAlign w:val="center"/>
            <w:hideMark/>
          </w:tcPr>
          <w:p w14:paraId="083804DC" w14:textId="236A77BF" w:rsidR="004C5885" w:rsidRPr="009E536C" w:rsidRDefault="00AC06A5" w:rsidP="00FE675C">
            <w:pPr>
              <w:pStyle w:val="cuadroCabe"/>
              <w:spacing w:line="240" w:lineRule="auto"/>
              <w:jc w:val="right"/>
              <w:rPr>
                <w:sz w:val="14"/>
                <w:szCs w:val="14"/>
              </w:rPr>
            </w:pPr>
            <w:r w:rsidRPr="009E536C">
              <w:rPr>
                <w:sz w:val="14"/>
                <w:szCs w:val="14"/>
              </w:rPr>
              <w:t xml:space="preserve"> </w:t>
            </w:r>
            <w:r w:rsidR="004C5885" w:rsidRPr="009E536C">
              <w:rPr>
                <w:sz w:val="14"/>
                <w:szCs w:val="14"/>
              </w:rPr>
              <w:t xml:space="preserve">12 </w:t>
            </w:r>
          </w:p>
        </w:tc>
        <w:tc>
          <w:tcPr>
            <w:tcW w:w="568" w:type="dxa"/>
            <w:tcBorders>
              <w:top w:val="single" w:sz="4" w:space="0" w:color="auto"/>
              <w:bottom w:val="single" w:sz="4" w:space="0" w:color="auto"/>
            </w:tcBorders>
            <w:shd w:val="clear" w:color="auto" w:fill="FABF8F" w:themeFill="accent6" w:themeFillTint="99"/>
            <w:noWrap/>
            <w:vAlign w:val="center"/>
            <w:hideMark/>
          </w:tcPr>
          <w:p w14:paraId="681F21B8" w14:textId="77777777" w:rsidR="004C5885" w:rsidRPr="009E536C" w:rsidRDefault="004C5885" w:rsidP="00FE675C">
            <w:pPr>
              <w:pStyle w:val="cuadroCabe"/>
              <w:spacing w:line="240" w:lineRule="auto"/>
              <w:jc w:val="right"/>
              <w:rPr>
                <w:sz w:val="14"/>
                <w:szCs w:val="14"/>
              </w:rPr>
            </w:pPr>
            <w:r w:rsidRPr="009E536C">
              <w:rPr>
                <w:sz w:val="14"/>
                <w:szCs w:val="14"/>
              </w:rPr>
              <w:t>831</w:t>
            </w:r>
          </w:p>
        </w:tc>
        <w:tc>
          <w:tcPr>
            <w:tcW w:w="425" w:type="dxa"/>
            <w:tcBorders>
              <w:top w:val="single" w:sz="4" w:space="0" w:color="auto"/>
              <w:bottom w:val="single" w:sz="4" w:space="0" w:color="auto"/>
            </w:tcBorders>
            <w:shd w:val="clear" w:color="auto" w:fill="FABF8F" w:themeFill="accent6" w:themeFillTint="99"/>
            <w:noWrap/>
            <w:vAlign w:val="center"/>
            <w:hideMark/>
          </w:tcPr>
          <w:p w14:paraId="0D5D79B9" w14:textId="5097DD60" w:rsidR="004C5885" w:rsidRPr="009E536C" w:rsidRDefault="00AC06A5" w:rsidP="00FE675C">
            <w:pPr>
              <w:pStyle w:val="cuadroCabe"/>
              <w:spacing w:line="240" w:lineRule="auto"/>
              <w:jc w:val="right"/>
              <w:rPr>
                <w:sz w:val="14"/>
                <w:szCs w:val="14"/>
              </w:rPr>
            </w:pPr>
            <w:r w:rsidRPr="009E536C">
              <w:rPr>
                <w:sz w:val="14"/>
                <w:szCs w:val="14"/>
              </w:rPr>
              <w:t xml:space="preserve"> </w:t>
            </w:r>
            <w:r w:rsidR="004C5885" w:rsidRPr="009E536C">
              <w:rPr>
                <w:sz w:val="14"/>
                <w:szCs w:val="14"/>
              </w:rPr>
              <w:t xml:space="preserve">5 </w:t>
            </w:r>
          </w:p>
        </w:tc>
        <w:tc>
          <w:tcPr>
            <w:tcW w:w="558" w:type="dxa"/>
            <w:tcBorders>
              <w:top w:val="single" w:sz="4" w:space="0" w:color="auto"/>
              <w:bottom w:val="single" w:sz="4" w:space="0" w:color="auto"/>
            </w:tcBorders>
            <w:shd w:val="clear" w:color="auto" w:fill="FABF8F" w:themeFill="accent6" w:themeFillTint="99"/>
            <w:noWrap/>
            <w:vAlign w:val="center"/>
            <w:hideMark/>
          </w:tcPr>
          <w:p w14:paraId="56135492" w14:textId="77777777" w:rsidR="004C5885" w:rsidRPr="009E536C" w:rsidRDefault="004C5885" w:rsidP="00FE675C">
            <w:pPr>
              <w:pStyle w:val="cuadroCabe"/>
              <w:spacing w:line="240" w:lineRule="auto"/>
              <w:jc w:val="right"/>
              <w:rPr>
                <w:sz w:val="14"/>
                <w:szCs w:val="14"/>
              </w:rPr>
            </w:pPr>
            <w:r w:rsidRPr="009E536C">
              <w:rPr>
                <w:sz w:val="14"/>
                <w:szCs w:val="14"/>
              </w:rPr>
              <w:t>176</w:t>
            </w:r>
          </w:p>
        </w:tc>
        <w:tc>
          <w:tcPr>
            <w:tcW w:w="425" w:type="dxa"/>
            <w:tcBorders>
              <w:top w:val="single" w:sz="4" w:space="0" w:color="auto"/>
              <w:bottom w:val="single" w:sz="4" w:space="0" w:color="auto"/>
            </w:tcBorders>
            <w:shd w:val="clear" w:color="auto" w:fill="FABF8F" w:themeFill="accent6" w:themeFillTint="99"/>
            <w:noWrap/>
            <w:vAlign w:val="center"/>
            <w:hideMark/>
          </w:tcPr>
          <w:p w14:paraId="3EA03EE1" w14:textId="6BF3AB1F" w:rsidR="004C5885" w:rsidRPr="009E536C" w:rsidRDefault="004C5885" w:rsidP="00FE675C">
            <w:pPr>
              <w:pStyle w:val="cuadroCabe"/>
              <w:spacing w:line="240" w:lineRule="auto"/>
              <w:jc w:val="right"/>
              <w:rPr>
                <w:sz w:val="14"/>
                <w:szCs w:val="14"/>
              </w:rPr>
            </w:pPr>
            <w:r w:rsidRPr="009E536C">
              <w:rPr>
                <w:sz w:val="14"/>
                <w:szCs w:val="14"/>
              </w:rPr>
              <w:t xml:space="preserve">392 </w:t>
            </w:r>
          </w:p>
        </w:tc>
        <w:tc>
          <w:tcPr>
            <w:tcW w:w="709" w:type="dxa"/>
            <w:tcBorders>
              <w:top w:val="single" w:sz="4" w:space="0" w:color="auto"/>
              <w:bottom w:val="single" w:sz="4" w:space="0" w:color="auto"/>
            </w:tcBorders>
            <w:shd w:val="clear" w:color="auto" w:fill="FABF8F" w:themeFill="accent6" w:themeFillTint="99"/>
            <w:noWrap/>
            <w:vAlign w:val="center"/>
            <w:hideMark/>
          </w:tcPr>
          <w:p w14:paraId="24990F6A" w14:textId="77777777" w:rsidR="004C5885" w:rsidRPr="009E536C" w:rsidRDefault="004C5885" w:rsidP="00FE675C">
            <w:pPr>
              <w:pStyle w:val="cuadroCabe"/>
              <w:spacing w:line="240" w:lineRule="auto"/>
              <w:jc w:val="right"/>
              <w:rPr>
                <w:sz w:val="14"/>
                <w:szCs w:val="14"/>
              </w:rPr>
            </w:pPr>
            <w:r w:rsidRPr="009E536C">
              <w:rPr>
                <w:sz w:val="14"/>
                <w:szCs w:val="14"/>
              </w:rPr>
              <w:t>114.613</w:t>
            </w:r>
          </w:p>
        </w:tc>
      </w:tr>
    </w:tbl>
    <w:p w14:paraId="1FE13DFF" w14:textId="6278C6AD" w:rsidR="00176B58" w:rsidRPr="00BE511E" w:rsidRDefault="00176B58" w:rsidP="00176B58">
      <w:pPr>
        <w:pStyle w:val="Prrafodelista"/>
        <w:spacing w:before="120" w:after="60"/>
        <w:ind w:left="0"/>
        <w:contextualSpacing w:val="0"/>
        <w:jc w:val="both"/>
        <w:rPr>
          <w:rFonts w:ascii="Arial" w:hAnsi="Arial" w:cs="Arial"/>
          <w:color w:val="000000" w:themeColor="text1"/>
          <w:sz w:val="14"/>
          <w:szCs w:val="14"/>
        </w:rPr>
      </w:pPr>
      <w:r w:rsidRPr="00BE511E">
        <w:rPr>
          <w:rFonts w:ascii="Arial" w:hAnsi="Arial" w:cs="Arial"/>
          <w:color w:val="000000" w:themeColor="text1"/>
          <w:sz w:val="14"/>
          <w:szCs w:val="14"/>
        </w:rPr>
        <w:t>(*) Contratos para los que en el Registro de Contratos no figura el procedimiento de adjudicación.</w:t>
      </w:r>
    </w:p>
    <w:p w14:paraId="4E6AB6A2" w14:textId="77777777" w:rsidR="008E43F9" w:rsidRPr="00193D8B" w:rsidRDefault="008E43F9" w:rsidP="00176B58">
      <w:pPr>
        <w:pStyle w:val="Prrafodelista"/>
        <w:spacing w:before="120" w:after="60"/>
        <w:ind w:left="0"/>
        <w:contextualSpacing w:val="0"/>
        <w:jc w:val="both"/>
        <w:rPr>
          <w:i/>
          <w:color w:val="000000" w:themeColor="text1"/>
        </w:rPr>
      </w:pPr>
    </w:p>
    <w:p w14:paraId="1F142B64" w14:textId="77777777" w:rsidR="00176B58" w:rsidRDefault="00176B58" w:rsidP="00BE511E">
      <w:pPr>
        <w:pStyle w:val="texto"/>
        <w:rPr>
          <w:color w:val="000000" w:themeColor="text1"/>
        </w:rPr>
      </w:pPr>
      <w:r>
        <w:rPr>
          <w:color w:val="000000" w:themeColor="text1"/>
        </w:rPr>
        <w:t xml:space="preserve">Los contratos de obras representan el 45 por ciento del total de adjudicaciones y el 43 por ciento del importe, mientras que los de servicios, el 35 por ciento de las adjudicaciones y el 45 por ciento del importe, si bien este porcentaje está muy condicionado por el contrato de 24,5 millones mencionado anteriormente. </w:t>
      </w:r>
    </w:p>
    <w:p w14:paraId="63D1674E" w14:textId="77777777" w:rsidR="00176B58" w:rsidRDefault="00176B58" w:rsidP="00BE511E">
      <w:pPr>
        <w:pStyle w:val="texto"/>
        <w:rPr>
          <w:color w:val="000000" w:themeColor="text1"/>
        </w:rPr>
      </w:pPr>
      <w:r>
        <w:rPr>
          <w:color w:val="000000" w:themeColor="text1"/>
        </w:rPr>
        <w:t xml:space="preserve">El procedimiento de contratación más utilizado es el abierto, que concentra el 72 por ciento de los contratos y el 94 </w:t>
      </w:r>
      <w:r w:rsidRPr="00AC06A5">
        <w:rPr>
          <w:color w:val="000000" w:themeColor="text1"/>
        </w:rPr>
        <w:t xml:space="preserve">por ciento del importe total adjudicado y le sigue el procedimiento simplificado, utilizado en el 22 por ciento de los contratos y el cuatro por ciento del importe, </w:t>
      </w:r>
      <w:r w:rsidR="004C5885" w:rsidRPr="00AC06A5">
        <w:rPr>
          <w:color w:val="000000" w:themeColor="text1"/>
        </w:rPr>
        <w:t xml:space="preserve">cifras </w:t>
      </w:r>
      <w:r w:rsidRPr="00AC06A5">
        <w:rPr>
          <w:color w:val="000000" w:themeColor="text1"/>
        </w:rPr>
        <w:t>similares a las de</w:t>
      </w:r>
      <w:r w:rsidR="001B2567" w:rsidRPr="00AC06A5">
        <w:rPr>
          <w:color w:val="000000" w:themeColor="text1"/>
        </w:rPr>
        <w:t xml:space="preserve"> 2019</w:t>
      </w:r>
      <w:r w:rsidR="001B2567">
        <w:rPr>
          <w:color w:val="000000" w:themeColor="text1"/>
        </w:rPr>
        <w:t>.</w:t>
      </w:r>
    </w:p>
    <w:p w14:paraId="7374FC37" w14:textId="4232E26E" w:rsidR="009956B1" w:rsidRDefault="009956B1" w:rsidP="00BE511E">
      <w:pPr>
        <w:pStyle w:val="texto"/>
        <w:rPr>
          <w:color w:val="000000" w:themeColor="text1"/>
        </w:rPr>
      </w:pPr>
      <w:r>
        <w:rPr>
          <w:color w:val="000000" w:themeColor="text1"/>
        </w:rPr>
        <w:t xml:space="preserve">Por otra parte, en la tabla siguiente puede observarse que el importe de contratación se concentra </w:t>
      </w:r>
      <w:r w:rsidR="008E43F9">
        <w:rPr>
          <w:color w:val="000000" w:themeColor="text1"/>
        </w:rPr>
        <w:t xml:space="preserve">en </w:t>
      </w:r>
      <w:r>
        <w:rPr>
          <w:color w:val="000000" w:themeColor="text1"/>
        </w:rPr>
        <w:t>un número reducido de contratos. Hay 98 contratos cuyo importe de adjudicación es superior a 150.000 euros y representan el 25 por ciento del total de contratos y el 86 por ciento del importe total. De hecho, ya solo los 27 contratos de importe de adjudicación superior a 600.000 euros, que son el siete por ciento del total de contratos, representan el 69 por ciento del importe total adjudicado.</w:t>
      </w:r>
    </w:p>
    <w:p w14:paraId="44C447E3" w14:textId="585B6ABD" w:rsidR="00BE511E" w:rsidRPr="0003647B" w:rsidRDefault="00E57B08" w:rsidP="00BE511E">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BE511E">
        <w:rPr>
          <w:rFonts w:ascii="Arial Narrow" w:hAnsi="Arial Narrow"/>
          <w:color w:val="000000" w:themeColor="text1"/>
          <w:sz w:val="18"/>
          <w:szCs w:val="18"/>
        </w:rPr>
        <w:t>Miles</w:t>
      </w:r>
      <w:r>
        <w:rPr>
          <w:rFonts w:ascii="Arial Narrow" w:hAnsi="Arial Narrow"/>
          <w:color w:val="000000" w:themeColor="text1"/>
          <w:sz w:val="18"/>
          <w:szCs w:val="18"/>
        </w:rPr>
        <w:t>)</w:t>
      </w:r>
    </w:p>
    <w:tbl>
      <w:tblPr>
        <w:tblW w:w="8647" w:type="dxa"/>
        <w:jc w:val="center"/>
        <w:tblBorders>
          <w:top w:val="single" w:sz="2" w:space="0" w:color="auto"/>
          <w:bottom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985"/>
        <w:gridCol w:w="567"/>
        <w:gridCol w:w="850"/>
        <w:gridCol w:w="425"/>
        <w:gridCol w:w="851"/>
        <w:gridCol w:w="567"/>
        <w:gridCol w:w="709"/>
        <w:gridCol w:w="426"/>
        <w:gridCol w:w="849"/>
        <w:gridCol w:w="567"/>
        <w:gridCol w:w="851"/>
      </w:tblGrid>
      <w:tr w:rsidR="009956B1" w:rsidRPr="00E57B08" w14:paraId="1A30D857" w14:textId="77777777" w:rsidTr="004E2CFD">
        <w:trPr>
          <w:trHeight w:val="255"/>
          <w:jc w:val="center"/>
        </w:trPr>
        <w:tc>
          <w:tcPr>
            <w:tcW w:w="1985" w:type="dxa"/>
            <w:vMerge w:val="restart"/>
            <w:tcBorders>
              <w:top w:val="single" w:sz="4" w:space="0" w:color="auto"/>
            </w:tcBorders>
            <w:shd w:val="clear" w:color="auto" w:fill="FABF8F" w:themeFill="accent6" w:themeFillTint="99"/>
            <w:noWrap/>
            <w:vAlign w:val="center"/>
            <w:hideMark/>
          </w:tcPr>
          <w:p w14:paraId="5D1DA08A" w14:textId="77777777" w:rsidR="009956B1" w:rsidRPr="00E57B08" w:rsidRDefault="009956B1" w:rsidP="00E57B08">
            <w:pPr>
              <w:pStyle w:val="cuadroCabe"/>
              <w:spacing w:line="240" w:lineRule="auto"/>
              <w:rPr>
                <w:sz w:val="16"/>
                <w:szCs w:val="16"/>
              </w:rPr>
            </w:pPr>
            <w:r w:rsidRPr="00E57B08">
              <w:rPr>
                <w:sz w:val="16"/>
                <w:szCs w:val="16"/>
              </w:rPr>
              <w:t> </w:t>
            </w:r>
          </w:p>
        </w:tc>
        <w:tc>
          <w:tcPr>
            <w:tcW w:w="1417" w:type="dxa"/>
            <w:gridSpan w:val="2"/>
            <w:tcBorders>
              <w:top w:val="single" w:sz="4" w:space="0" w:color="auto"/>
            </w:tcBorders>
            <w:shd w:val="clear" w:color="auto" w:fill="FABF8F" w:themeFill="accent6" w:themeFillTint="99"/>
            <w:vAlign w:val="center"/>
            <w:hideMark/>
          </w:tcPr>
          <w:p w14:paraId="54A4A81F" w14:textId="77777777" w:rsidR="009956B1" w:rsidRPr="00E57B08" w:rsidRDefault="009956B1" w:rsidP="00E57B08">
            <w:pPr>
              <w:pStyle w:val="cuadroCabe"/>
              <w:spacing w:line="240" w:lineRule="auto"/>
              <w:jc w:val="center"/>
              <w:rPr>
                <w:sz w:val="16"/>
                <w:szCs w:val="16"/>
              </w:rPr>
            </w:pPr>
            <w:r w:rsidRPr="00E57B08">
              <w:rPr>
                <w:sz w:val="16"/>
                <w:szCs w:val="16"/>
              </w:rPr>
              <w:t>Obras</w:t>
            </w:r>
          </w:p>
        </w:tc>
        <w:tc>
          <w:tcPr>
            <w:tcW w:w="1276" w:type="dxa"/>
            <w:gridSpan w:val="2"/>
            <w:tcBorders>
              <w:top w:val="single" w:sz="4" w:space="0" w:color="auto"/>
            </w:tcBorders>
            <w:shd w:val="clear" w:color="auto" w:fill="FABF8F" w:themeFill="accent6" w:themeFillTint="99"/>
            <w:vAlign w:val="center"/>
            <w:hideMark/>
          </w:tcPr>
          <w:p w14:paraId="4BD28CDF" w14:textId="77777777" w:rsidR="009956B1" w:rsidRPr="00E57B08" w:rsidRDefault="009956B1" w:rsidP="00E57B08">
            <w:pPr>
              <w:pStyle w:val="cuadroCabe"/>
              <w:spacing w:line="240" w:lineRule="auto"/>
              <w:jc w:val="center"/>
              <w:rPr>
                <w:sz w:val="16"/>
                <w:szCs w:val="16"/>
              </w:rPr>
            </w:pPr>
            <w:r w:rsidRPr="00E57B08">
              <w:rPr>
                <w:sz w:val="16"/>
                <w:szCs w:val="16"/>
              </w:rPr>
              <w:t>Servicios</w:t>
            </w:r>
          </w:p>
        </w:tc>
        <w:tc>
          <w:tcPr>
            <w:tcW w:w="1276" w:type="dxa"/>
            <w:gridSpan w:val="2"/>
            <w:tcBorders>
              <w:top w:val="single" w:sz="4" w:space="0" w:color="auto"/>
            </w:tcBorders>
            <w:shd w:val="clear" w:color="auto" w:fill="FABF8F" w:themeFill="accent6" w:themeFillTint="99"/>
            <w:vAlign w:val="center"/>
            <w:hideMark/>
          </w:tcPr>
          <w:p w14:paraId="67731828" w14:textId="77777777" w:rsidR="009956B1" w:rsidRPr="00E57B08" w:rsidRDefault="009956B1" w:rsidP="00E57B08">
            <w:pPr>
              <w:pStyle w:val="cuadroCabe"/>
              <w:spacing w:line="240" w:lineRule="auto"/>
              <w:jc w:val="center"/>
              <w:rPr>
                <w:sz w:val="16"/>
                <w:szCs w:val="16"/>
              </w:rPr>
            </w:pPr>
            <w:r w:rsidRPr="00E57B08">
              <w:rPr>
                <w:sz w:val="16"/>
                <w:szCs w:val="16"/>
              </w:rPr>
              <w:t>Suministros</w:t>
            </w:r>
          </w:p>
        </w:tc>
        <w:tc>
          <w:tcPr>
            <w:tcW w:w="1275" w:type="dxa"/>
            <w:gridSpan w:val="2"/>
            <w:tcBorders>
              <w:top w:val="single" w:sz="4" w:space="0" w:color="auto"/>
            </w:tcBorders>
            <w:shd w:val="clear" w:color="auto" w:fill="FABF8F" w:themeFill="accent6" w:themeFillTint="99"/>
            <w:vAlign w:val="center"/>
            <w:hideMark/>
          </w:tcPr>
          <w:p w14:paraId="6601AB7C" w14:textId="3EE0DAE6" w:rsidR="00BE511E" w:rsidRPr="00E57B08" w:rsidRDefault="009956B1" w:rsidP="00E57B08">
            <w:pPr>
              <w:pStyle w:val="cuadroCabe"/>
              <w:spacing w:line="240" w:lineRule="auto"/>
              <w:jc w:val="center"/>
              <w:rPr>
                <w:sz w:val="16"/>
                <w:szCs w:val="16"/>
              </w:rPr>
            </w:pPr>
            <w:r w:rsidRPr="00E57B08">
              <w:rPr>
                <w:sz w:val="16"/>
                <w:szCs w:val="16"/>
              </w:rPr>
              <w:t>Concesión</w:t>
            </w:r>
          </w:p>
          <w:p w14:paraId="4572ABDE" w14:textId="274A3C8D" w:rsidR="009956B1" w:rsidRPr="00E57B08" w:rsidRDefault="009956B1" w:rsidP="00E57B08">
            <w:pPr>
              <w:pStyle w:val="cuadroCabe"/>
              <w:spacing w:line="240" w:lineRule="auto"/>
              <w:jc w:val="center"/>
              <w:rPr>
                <w:sz w:val="16"/>
                <w:szCs w:val="16"/>
              </w:rPr>
            </w:pPr>
            <w:r w:rsidRPr="00E57B08">
              <w:rPr>
                <w:sz w:val="16"/>
                <w:szCs w:val="16"/>
              </w:rPr>
              <w:t>servicios</w:t>
            </w:r>
          </w:p>
        </w:tc>
        <w:tc>
          <w:tcPr>
            <w:tcW w:w="1418" w:type="dxa"/>
            <w:gridSpan w:val="2"/>
            <w:tcBorders>
              <w:top w:val="single" w:sz="4" w:space="0" w:color="auto"/>
            </w:tcBorders>
            <w:shd w:val="clear" w:color="auto" w:fill="FABF8F" w:themeFill="accent6" w:themeFillTint="99"/>
            <w:vAlign w:val="center"/>
            <w:hideMark/>
          </w:tcPr>
          <w:p w14:paraId="5B384EB8" w14:textId="77777777" w:rsidR="009956B1" w:rsidRPr="00E57B08" w:rsidRDefault="009956B1" w:rsidP="00E57B08">
            <w:pPr>
              <w:pStyle w:val="cuadroCabe"/>
              <w:spacing w:line="240" w:lineRule="auto"/>
              <w:jc w:val="center"/>
              <w:rPr>
                <w:sz w:val="16"/>
                <w:szCs w:val="16"/>
              </w:rPr>
            </w:pPr>
            <w:r w:rsidRPr="00E57B08">
              <w:rPr>
                <w:sz w:val="16"/>
                <w:szCs w:val="16"/>
              </w:rPr>
              <w:t>Total</w:t>
            </w:r>
          </w:p>
        </w:tc>
      </w:tr>
      <w:tr w:rsidR="009956B1" w:rsidRPr="00E57B08" w14:paraId="612BE5F6" w14:textId="77777777" w:rsidTr="004E2CFD">
        <w:trPr>
          <w:trHeight w:val="255"/>
          <w:jc w:val="center"/>
        </w:trPr>
        <w:tc>
          <w:tcPr>
            <w:tcW w:w="1985" w:type="dxa"/>
            <w:vMerge/>
            <w:shd w:val="clear" w:color="auto" w:fill="FABF8F" w:themeFill="accent6" w:themeFillTint="99"/>
            <w:vAlign w:val="center"/>
            <w:hideMark/>
          </w:tcPr>
          <w:p w14:paraId="5EE83FDF" w14:textId="77777777" w:rsidR="009956B1" w:rsidRPr="00E57B08" w:rsidRDefault="009956B1" w:rsidP="00E57B08">
            <w:pPr>
              <w:pStyle w:val="cuadroCabe"/>
              <w:spacing w:line="240" w:lineRule="auto"/>
              <w:rPr>
                <w:sz w:val="16"/>
                <w:szCs w:val="16"/>
              </w:rPr>
            </w:pPr>
          </w:p>
        </w:tc>
        <w:tc>
          <w:tcPr>
            <w:tcW w:w="567" w:type="dxa"/>
            <w:shd w:val="clear" w:color="auto" w:fill="FABF8F" w:themeFill="accent6" w:themeFillTint="99"/>
            <w:vAlign w:val="center"/>
            <w:hideMark/>
          </w:tcPr>
          <w:p w14:paraId="0EE725AE" w14:textId="77777777" w:rsidR="009956B1" w:rsidRPr="00E57B08" w:rsidRDefault="009956B1" w:rsidP="00E57B08">
            <w:pPr>
              <w:pStyle w:val="cuadroCabe"/>
              <w:spacing w:line="240" w:lineRule="auto"/>
              <w:jc w:val="right"/>
              <w:rPr>
                <w:sz w:val="16"/>
                <w:szCs w:val="16"/>
              </w:rPr>
            </w:pPr>
            <w:proofErr w:type="spellStart"/>
            <w:r w:rsidRPr="00E57B08">
              <w:rPr>
                <w:sz w:val="16"/>
                <w:szCs w:val="16"/>
              </w:rPr>
              <w:t>Nº</w:t>
            </w:r>
            <w:proofErr w:type="spellEnd"/>
          </w:p>
        </w:tc>
        <w:tc>
          <w:tcPr>
            <w:tcW w:w="850" w:type="dxa"/>
            <w:shd w:val="clear" w:color="auto" w:fill="FABF8F" w:themeFill="accent6" w:themeFillTint="99"/>
            <w:vAlign w:val="center"/>
            <w:hideMark/>
          </w:tcPr>
          <w:p w14:paraId="549D4B9E" w14:textId="77777777" w:rsidR="009956B1" w:rsidRPr="00E57B08" w:rsidRDefault="009956B1" w:rsidP="00E57B08">
            <w:pPr>
              <w:pStyle w:val="cuadroCabe"/>
              <w:spacing w:line="240" w:lineRule="auto"/>
              <w:jc w:val="right"/>
              <w:rPr>
                <w:sz w:val="16"/>
                <w:szCs w:val="16"/>
              </w:rPr>
            </w:pPr>
            <w:r w:rsidRPr="00E57B08">
              <w:rPr>
                <w:sz w:val="16"/>
                <w:szCs w:val="16"/>
              </w:rPr>
              <w:t>Imp.</w:t>
            </w:r>
          </w:p>
        </w:tc>
        <w:tc>
          <w:tcPr>
            <w:tcW w:w="425" w:type="dxa"/>
            <w:shd w:val="clear" w:color="auto" w:fill="FABF8F" w:themeFill="accent6" w:themeFillTint="99"/>
            <w:vAlign w:val="center"/>
            <w:hideMark/>
          </w:tcPr>
          <w:p w14:paraId="316ACA36" w14:textId="77777777" w:rsidR="009956B1" w:rsidRPr="00E57B08" w:rsidRDefault="009956B1" w:rsidP="00E57B08">
            <w:pPr>
              <w:pStyle w:val="cuadroCabe"/>
              <w:spacing w:line="240" w:lineRule="auto"/>
              <w:jc w:val="right"/>
              <w:rPr>
                <w:sz w:val="16"/>
                <w:szCs w:val="16"/>
              </w:rPr>
            </w:pPr>
            <w:proofErr w:type="spellStart"/>
            <w:r w:rsidRPr="00E57B08">
              <w:rPr>
                <w:sz w:val="16"/>
                <w:szCs w:val="16"/>
              </w:rPr>
              <w:t>Nº</w:t>
            </w:r>
            <w:proofErr w:type="spellEnd"/>
          </w:p>
        </w:tc>
        <w:tc>
          <w:tcPr>
            <w:tcW w:w="851" w:type="dxa"/>
            <w:shd w:val="clear" w:color="auto" w:fill="FABF8F" w:themeFill="accent6" w:themeFillTint="99"/>
            <w:vAlign w:val="center"/>
            <w:hideMark/>
          </w:tcPr>
          <w:p w14:paraId="68DC3CFA" w14:textId="77777777" w:rsidR="009956B1" w:rsidRPr="00E57B08" w:rsidRDefault="009956B1" w:rsidP="00E57B08">
            <w:pPr>
              <w:pStyle w:val="cuadroCabe"/>
              <w:spacing w:line="240" w:lineRule="auto"/>
              <w:jc w:val="right"/>
              <w:rPr>
                <w:sz w:val="16"/>
                <w:szCs w:val="16"/>
              </w:rPr>
            </w:pPr>
            <w:r w:rsidRPr="00E57B08">
              <w:rPr>
                <w:sz w:val="16"/>
                <w:szCs w:val="16"/>
              </w:rPr>
              <w:t>Imp.</w:t>
            </w:r>
          </w:p>
        </w:tc>
        <w:tc>
          <w:tcPr>
            <w:tcW w:w="567" w:type="dxa"/>
            <w:shd w:val="clear" w:color="auto" w:fill="FABF8F" w:themeFill="accent6" w:themeFillTint="99"/>
            <w:vAlign w:val="center"/>
            <w:hideMark/>
          </w:tcPr>
          <w:p w14:paraId="641C27F9" w14:textId="77777777" w:rsidR="009956B1" w:rsidRPr="00E57B08" w:rsidRDefault="009956B1" w:rsidP="00E57B08">
            <w:pPr>
              <w:pStyle w:val="cuadroCabe"/>
              <w:spacing w:line="240" w:lineRule="auto"/>
              <w:jc w:val="right"/>
              <w:rPr>
                <w:sz w:val="16"/>
                <w:szCs w:val="16"/>
              </w:rPr>
            </w:pPr>
            <w:proofErr w:type="spellStart"/>
            <w:r w:rsidRPr="00E57B08">
              <w:rPr>
                <w:sz w:val="16"/>
                <w:szCs w:val="16"/>
              </w:rPr>
              <w:t>Nº</w:t>
            </w:r>
            <w:proofErr w:type="spellEnd"/>
          </w:p>
        </w:tc>
        <w:tc>
          <w:tcPr>
            <w:tcW w:w="709" w:type="dxa"/>
            <w:shd w:val="clear" w:color="auto" w:fill="FABF8F" w:themeFill="accent6" w:themeFillTint="99"/>
            <w:vAlign w:val="center"/>
            <w:hideMark/>
          </w:tcPr>
          <w:p w14:paraId="27365D8A" w14:textId="77777777" w:rsidR="009956B1" w:rsidRPr="00E57B08" w:rsidRDefault="009956B1" w:rsidP="00E57B08">
            <w:pPr>
              <w:pStyle w:val="cuadroCabe"/>
              <w:spacing w:line="240" w:lineRule="auto"/>
              <w:jc w:val="right"/>
              <w:rPr>
                <w:sz w:val="16"/>
                <w:szCs w:val="16"/>
              </w:rPr>
            </w:pPr>
            <w:r w:rsidRPr="00E57B08">
              <w:rPr>
                <w:sz w:val="16"/>
                <w:szCs w:val="16"/>
              </w:rPr>
              <w:t>Imp.</w:t>
            </w:r>
          </w:p>
        </w:tc>
        <w:tc>
          <w:tcPr>
            <w:tcW w:w="426" w:type="dxa"/>
            <w:shd w:val="clear" w:color="auto" w:fill="FABF8F" w:themeFill="accent6" w:themeFillTint="99"/>
            <w:vAlign w:val="center"/>
            <w:hideMark/>
          </w:tcPr>
          <w:p w14:paraId="6BAF480E" w14:textId="77777777" w:rsidR="009956B1" w:rsidRPr="00E57B08" w:rsidRDefault="009956B1" w:rsidP="00E57B08">
            <w:pPr>
              <w:pStyle w:val="cuadroCabe"/>
              <w:spacing w:line="240" w:lineRule="auto"/>
              <w:jc w:val="right"/>
              <w:rPr>
                <w:sz w:val="16"/>
                <w:szCs w:val="16"/>
              </w:rPr>
            </w:pPr>
            <w:proofErr w:type="spellStart"/>
            <w:r w:rsidRPr="00E57B08">
              <w:rPr>
                <w:sz w:val="16"/>
                <w:szCs w:val="16"/>
              </w:rPr>
              <w:t>Nº</w:t>
            </w:r>
            <w:proofErr w:type="spellEnd"/>
          </w:p>
        </w:tc>
        <w:tc>
          <w:tcPr>
            <w:tcW w:w="849" w:type="dxa"/>
            <w:shd w:val="clear" w:color="auto" w:fill="FABF8F" w:themeFill="accent6" w:themeFillTint="99"/>
            <w:vAlign w:val="center"/>
            <w:hideMark/>
          </w:tcPr>
          <w:p w14:paraId="3E6C2185" w14:textId="77777777" w:rsidR="009956B1" w:rsidRPr="00E57B08" w:rsidRDefault="009956B1" w:rsidP="00E57B08">
            <w:pPr>
              <w:pStyle w:val="cuadroCabe"/>
              <w:spacing w:line="240" w:lineRule="auto"/>
              <w:jc w:val="right"/>
              <w:rPr>
                <w:sz w:val="16"/>
                <w:szCs w:val="16"/>
              </w:rPr>
            </w:pPr>
            <w:r w:rsidRPr="00E57B08">
              <w:rPr>
                <w:sz w:val="16"/>
                <w:szCs w:val="16"/>
              </w:rPr>
              <w:t>Imp.</w:t>
            </w:r>
          </w:p>
        </w:tc>
        <w:tc>
          <w:tcPr>
            <w:tcW w:w="567" w:type="dxa"/>
            <w:shd w:val="clear" w:color="auto" w:fill="FABF8F" w:themeFill="accent6" w:themeFillTint="99"/>
            <w:vAlign w:val="center"/>
            <w:hideMark/>
          </w:tcPr>
          <w:p w14:paraId="554EBC76" w14:textId="77777777" w:rsidR="009956B1" w:rsidRPr="00E57B08" w:rsidRDefault="009956B1" w:rsidP="00E57B08">
            <w:pPr>
              <w:pStyle w:val="cuadroCabe"/>
              <w:spacing w:line="240" w:lineRule="auto"/>
              <w:jc w:val="right"/>
              <w:rPr>
                <w:sz w:val="16"/>
                <w:szCs w:val="16"/>
              </w:rPr>
            </w:pPr>
            <w:proofErr w:type="spellStart"/>
            <w:r w:rsidRPr="00E57B08">
              <w:rPr>
                <w:sz w:val="16"/>
                <w:szCs w:val="16"/>
              </w:rPr>
              <w:t>Nº</w:t>
            </w:r>
            <w:proofErr w:type="spellEnd"/>
          </w:p>
        </w:tc>
        <w:tc>
          <w:tcPr>
            <w:tcW w:w="851" w:type="dxa"/>
            <w:shd w:val="clear" w:color="auto" w:fill="FABF8F" w:themeFill="accent6" w:themeFillTint="99"/>
            <w:vAlign w:val="center"/>
            <w:hideMark/>
          </w:tcPr>
          <w:p w14:paraId="48A0F034" w14:textId="77777777" w:rsidR="009956B1" w:rsidRPr="00E57B08" w:rsidRDefault="009956B1" w:rsidP="00E57B08">
            <w:pPr>
              <w:pStyle w:val="cuadroCabe"/>
              <w:spacing w:line="240" w:lineRule="auto"/>
              <w:jc w:val="right"/>
              <w:rPr>
                <w:sz w:val="16"/>
                <w:szCs w:val="16"/>
              </w:rPr>
            </w:pPr>
            <w:r w:rsidRPr="00E57B08">
              <w:rPr>
                <w:sz w:val="16"/>
                <w:szCs w:val="16"/>
              </w:rPr>
              <w:t>Imp.</w:t>
            </w:r>
          </w:p>
        </w:tc>
      </w:tr>
      <w:tr w:rsidR="004C5885" w:rsidRPr="00E57B08" w14:paraId="2B50A0D9" w14:textId="77777777" w:rsidTr="004E2CFD">
        <w:trPr>
          <w:trHeight w:val="255"/>
          <w:jc w:val="center"/>
        </w:trPr>
        <w:tc>
          <w:tcPr>
            <w:tcW w:w="1985" w:type="dxa"/>
            <w:shd w:val="clear" w:color="auto" w:fill="auto"/>
            <w:noWrap/>
            <w:vAlign w:val="center"/>
            <w:hideMark/>
          </w:tcPr>
          <w:p w14:paraId="6C21FDDC" w14:textId="77777777" w:rsidR="004C5885" w:rsidRPr="00E57B08" w:rsidRDefault="004C5885" w:rsidP="00E57B08">
            <w:pPr>
              <w:pStyle w:val="cuatexto"/>
              <w:spacing w:line="240" w:lineRule="auto"/>
            </w:pPr>
            <w:r w:rsidRPr="00E57B08">
              <w:t>&gt; 600.000</w:t>
            </w:r>
          </w:p>
        </w:tc>
        <w:tc>
          <w:tcPr>
            <w:tcW w:w="567" w:type="dxa"/>
            <w:shd w:val="clear" w:color="auto" w:fill="auto"/>
            <w:noWrap/>
            <w:vAlign w:val="center"/>
            <w:hideMark/>
          </w:tcPr>
          <w:p w14:paraId="6F14C58C" w14:textId="77777777" w:rsidR="004C5885" w:rsidRPr="00E57B08" w:rsidRDefault="004C5885" w:rsidP="00E57B08">
            <w:pPr>
              <w:pStyle w:val="cuatexto"/>
              <w:spacing w:line="240" w:lineRule="auto"/>
              <w:jc w:val="right"/>
            </w:pPr>
            <w:r w:rsidRPr="00E57B08">
              <w:t>15</w:t>
            </w:r>
          </w:p>
        </w:tc>
        <w:tc>
          <w:tcPr>
            <w:tcW w:w="850" w:type="dxa"/>
            <w:shd w:val="clear" w:color="auto" w:fill="auto"/>
            <w:noWrap/>
            <w:vAlign w:val="center"/>
            <w:hideMark/>
          </w:tcPr>
          <w:p w14:paraId="0AEB89F8" w14:textId="43883057" w:rsidR="004C5885" w:rsidRPr="00E57B08" w:rsidRDefault="00AC06A5" w:rsidP="00E57B08">
            <w:pPr>
              <w:pStyle w:val="cuatexto"/>
              <w:spacing w:line="240" w:lineRule="auto"/>
              <w:jc w:val="right"/>
            </w:pPr>
            <w:r w:rsidRPr="00E57B08">
              <w:t xml:space="preserve"> </w:t>
            </w:r>
            <w:r w:rsidR="004C5885" w:rsidRPr="00E57B08">
              <w:t xml:space="preserve">30.298 </w:t>
            </w:r>
          </w:p>
        </w:tc>
        <w:tc>
          <w:tcPr>
            <w:tcW w:w="425" w:type="dxa"/>
            <w:shd w:val="clear" w:color="auto" w:fill="auto"/>
            <w:noWrap/>
            <w:vAlign w:val="center"/>
            <w:hideMark/>
          </w:tcPr>
          <w:p w14:paraId="0918972F" w14:textId="77777777" w:rsidR="004C5885" w:rsidRPr="00E57B08" w:rsidRDefault="004C5885" w:rsidP="00E57B08">
            <w:pPr>
              <w:pStyle w:val="cuatexto"/>
              <w:spacing w:line="240" w:lineRule="auto"/>
              <w:jc w:val="right"/>
            </w:pPr>
            <w:r w:rsidRPr="00E57B08">
              <w:t>9</w:t>
            </w:r>
          </w:p>
        </w:tc>
        <w:tc>
          <w:tcPr>
            <w:tcW w:w="851" w:type="dxa"/>
            <w:shd w:val="clear" w:color="auto" w:fill="auto"/>
            <w:noWrap/>
            <w:vAlign w:val="center"/>
            <w:hideMark/>
          </w:tcPr>
          <w:p w14:paraId="0F6CA05F" w14:textId="2E893796" w:rsidR="004C5885" w:rsidRPr="00E57B08" w:rsidRDefault="00AC06A5" w:rsidP="00E57B08">
            <w:pPr>
              <w:pStyle w:val="cuatexto"/>
              <w:spacing w:line="240" w:lineRule="auto"/>
              <w:jc w:val="right"/>
            </w:pPr>
            <w:r w:rsidRPr="00E57B08">
              <w:t xml:space="preserve"> </w:t>
            </w:r>
            <w:r w:rsidR="004C5885" w:rsidRPr="00E57B08">
              <w:t xml:space="preserve">40.467 </w:t>
            </w:r>
          </w:p>
        </w:tc>
        <w:tc>
          <w:tcPr>
            <w:tcW w:w="567" w:type="dxa"/>
            <w:shd w:val="clear" w:color="auto" w:fill="auto"/>
            <w:noWrap/>
            <w:vAlign w:val="center"/>
            <w:hideMark/>
          </w:tcPr>
          <w:p w14:paraId="55511C20" w14:textId="77777777" w:rsidR="004C5885" w:rsidRPr="00E57B08" w:rsidRDefault="004C5885" w:rsidP="00E57B08">
            <w:pPr>
              <w:pStyle w:val="cuatexto"/>
              <w:spacing w:line="240" w:lineRule="auto"/>
              <w:jc w:val="right"/>
            </w:pPr>
            <w:r w:rsidRPr="00E57B08">
              <w:t>3</w:t>
            </w:r>
          </w:p>
        </w:tc>
        <w:tc>
          <w:tcPr>
            <w:tcW w:w="709" w:type="dxa"/>
            <w:shd w:val="clear" w:color="auto" w:fill="auto"/>
            <w:noWrap/>
            <w:vAlign w:val="center"/>
            <w:hideMark/>
          </w:tcPr>
          <w:p w14:paraId="23B0D9A2" w14:textId="11B3701C" w:rsidR="004C5885" w:rsidRPr="00E57B08" w:rsidRDefault="00AC06A5" w:rsidP="00E57B08">
            <w:pPr>
              <w:pStyle w:val="cuatexto"/>
              <w:spacing w:line="240" w:lineRule="auto"/>
              <w:jc w:val="right"/>
            </w:pPr>
            <w:r w:rsidRPr="00E57B08">
              <w:t xml:space="preserve"> </w:t>
            </w:r>
            <w:r w:rsidR="004C5885" w:rsidRPr="00E57B08">
              <w:t xml:space="preserve">7.754 </w:t>
            </w:r>
          </w:p>
        </w:tc>
        <w:tc>
          <w:tcPr>
            <w:tcW w:w="426" w:type="dxa"/>
            <w:shd w:val="clear" w:color="auto" w:fill="auto"/>
            <w:noWrap/>
            <w:vAlign w:val="center"/>
            <w:hideMark/>
          </w:tcPr>
          <w:p w14:paraId="5299E5CE" w14:textId="77777777" w:rsidR="004C5885" w:rsidRPr="00E57B08" w:rsidRDefault="004C5885" w:rsidP="00E57B08">
            <w:pPr>
              <w:pStyle w:val="cuatexto"/>
              <w:spacing w:line="240" w:lineRule="auto"/>
              <w:jc w:val="right"/>
            </w:pPr>
            <w:r w:rsidRPr="00E57B08">
              <w:t> </w:t>
            </w:r>
          </w:p>
        </w:tc>
        <w:tc>
          <w:tcPr>
            <w:tcW w:w="849" w:type="dxa"/>
            <w:shd w:val="clear" w:color="auto" w:fill="auto"/>
            <w:noWrap/>
            <w:vAlign w:val="center"/>
            <w:hideMark/>
          </w:tcPr>
          <w:p w14:paraId="7511F463" w14:textId="58FFBD30" w:rsidR="004C5885" w:rsidRPr="00E57B08" w:rsidRDefault="00AC06A5" w:rsidP="00E57B08">
            <w:pPr>
              <w:pStyle w:val="cuatexto"/>
              <w:spacing w:line="240" w:lineRule="auto"/>
              <w:jc w:val="right"/>
            </w:pPr>
            <w:r w:rsidRPr="00E57B08">
              <w:t xml:space="preserve"> </w:t>
            </w:r>
            <w:r w:rsidR="004C5885" w:rsidRPr="00E57B08">
              <w:t>-</w:t>
            </w:r>
            <w:r w:rsidRPr="00E57B08">
              <w:t xml:space="preserve"> </w:t>
            </w:r>
          </w:p>
        </w:tc>
        <w:tc>
          <w:tcPr>
            <w:tcW w:w="567" w:type="dxa"/>
            <w:shd w:val="clear" w:color="auto" w:fill="auto"/>
            <w:noWrap/>
            <w:vAlign w:val="center"/>
            <w:hideMark/>
          </w:tcPr>
          <w:p w14:paraId="4CD97107" w14:textId="77777777" w:rsidR="004C5885" w:rsidRPr="00E57B08" w:rsidRDefault="004C5885" w:rsidP="00E57B08">
            <w:pPr>
              <w:pStyle w:val="cuatexto"/>
              <w:spacing w:line="240" w:lineRule="auto"/>
              <w:jc w:val="right"/>
            </w:pPr>
            <w:r w:rsidRPr="00E57B08">
              <w:t>27</w:t>
            </w:r>
          </w:p>
        </w:tc>
        <w:tc>
          <w:tcPr>
            <w:tcW w:w="851" w:type="dxa"/>
            <w:shd w:val="clear" w:color="auto" w:fill="auto"/>
            <w:noWrap/>
            <w:vAlign w:val="center"/>
            <w:hideMark/>
          </w:tcPr>
          <w:p w14:paraId="4CD1E525" w14:textId="210DBC61" w:rsidR="004C5885" w:rsidRPr="00E57B08" w:rsidRDefault="00AC06A5" w:rsidP="00E57B08">
            <w:pPr>
              <w:pStyle w:val="cuatexto"/>
              <w:spacing w:line="240" w:lineRule="auto"/>
              <w:jc w:val="right"/>
            </w:pPr>
            <w:r w:rsidRPr="00E57B08">
              <w:t xml:space="preserve"> </w:t>
            </w:r>
            <w:r w:rsidR="004C5885" w:rsidRPr="00E57B08">
              <w:t xml:space="preserve">78.518 </w:t>
            </w:r>
          </w:p>
        </w:tc>
      </w:tr>
      <w:tr w:rsidR="004C5885" w:rsidRPr="00E57B08" w14:paraId="0ACDD662" w14:textId="77777777" w:rsidTr="004E2CFD">
        <w:trPr>
          <w:trHeight w:val="255"/>
          <w:jc w:val="center"/>
        </w:trPr>
        <w:tc>
          <w:tcPr>
            <w:tcW w:w="1985" w:type="dxa"/>
            <w:shd w:val="clear" w:color="auto" w:fill="auto"/>
            <w:noWrap/>
            <w:vAlign w:val="center"/>
            <w:hideMark/>
          </w:tcPr>
          <w:p w14:paraId="4F376798" w14:textId="77777777" w:rsidR="004C5885" w:rsidRPr="00E57B08" w:rsidRDefault="004C5885" w:rsidP="00E57B08">
            <w:pPr>
              <w:pStyle w:val="cuatexto"/>
              <w:spacing w:line="240" w:lineRule="auto"/>
            </w:pPr>
            <w:r w:rsidRPr="00E57B08">
              <w:t>&gt; 400.000 y &lt;=600.000</w:t>
            </w:r>
          </w:p>
        </w:tc>
        <w:tc>
          <w:tcPr>
            <w:tcW w:w="567" w:type="dxa"/>
            <w:shd w:val="clear" w:color="auto" w:fill="auto"/>
            <w:noWrap/>
            <w:vAlign w:val="center"/>
            <w:hideMark/>
          </w:tcPr>
          <w:p w14:paraId="1B8E05FE" w14:textId="77777777" w:rsidR="004C5885" w:rsidRPr="00E57B08" w:rsidRDefault="004C5885" w:rsidP="00E57B08">
            <w:pPr>
              <w:pStyle w:val="cuatexto"/>
              <w:spacing w:line="240" w:lineRule="auto"/>
              <w:jc w:val="right"/>
            </w:pPr>
            <w:r w:rsidRPr="00E57B08">
              <w:t>5</w:t>
            </w:r>
          </w:p>
        </w:tc>
        <w:tc>
          <w:tcPr>
            <w:tcW w:w="850" w:type="dxa"/>
            <w:shd w:val="clear" w:color="auto" w:fill="auto"/>
            <w:noWrap/>
            <w:vAlign w:val="center"/>
            <w:hideMark/>
          </w:tcPr>
          <w:p w14:paraId="32889799" w14:textId="1F444339" w:rsidR="004C5885" w:rsidRPr="00E57B08" w:rsidRDefault="00AC06A5" w:rsidP="00E57B08">
            <w:pPr>
              <w:pStyle w:val="cuatexto"/>
              <w:spacing w:line="240" w:lineRule="auto"/>
              <w:jc w:val="right"/>
            </w:pPr>
            <w:r w:rsidRPr="00E57B08">
              <w:t xml:space="preserve"> </w:t>
            </w:r>
            <w:r w:rsidR="004C5885" w:rsidRPr="00E57B08">
              <w:t xml:space="preserve">2.316 </w:t>
            </w:r>
          </w:p>
        </w:tc>
        <w:tc>
          <w:tcPr>
            <w:tcW w:w="425" w:type="dxa"/>
            <w:shd w:val="clear" w:color="auto" w:fill="auto"/>
            <w:noWrap/>
            <w:vAlign w:val="center"/>
            <w:hideMark/>
          </w:tcPr>
          <w:p w14:paraId="3D2C9682" w14:textId="77777777" w:rsidR="004C5885" w:rsidRPr="00E57B08" w:rsidRDefault="004C5885" w:rsidP="00E57B08">
            <w:pPr>
              <w:pStyle w:val="cuatexto"/>
              <w:spacing w:line="240" w:lineRule="auto"/>
              <w:jc w:val="right"/>
            </w:pPr>
            <w:r w:rsidRPr="00E57B08">
              <w:t>5</w:t>
            </w:r>
          </w:p>
        </w:tc>
        <w:tc>
          <w:tcPr>
            <w:tcW w:w="851" w:type="dxa"/>
            <w:shd w:val="clear" w:color="auto" w:fill="auto"/>
            <w:noWrap/>
            <w:vAlign w:val="center"/>
            <w:hideMark/>
          </w:tcPr>
          <w:p w14:paraId="7296CF77" w14:textId="453CFE08" w:rsidR="004C5885" w:rsidRPr="00E57B08" w:rsidRDefault="00AC06A5" w:rsidP="00E57B08">
            <w:pPr>
              <w:pStyle w:val="cuatexto"/>
              <w:spacing w:line="240" w:lineRule="auto"/>
              <w:jc w:val="right"/>
            </w:pPr>
            <w:r w:rsidRPr="00E57B08">
              <w:t xml:space="preserve"> </w:t>
            </w:r>
            <w:r w:rsidR="004C5885" w:rsidRPr="00E57B08">
              <w:t xml:space="preserve">2.510 </w:t>
            </w:r>
          </w:p>
        </w:tc>
        <w:tc>
          <w:tcPr>
            <w:tcW w:w="567" w:type="dxa"/>
            <w:shd w:val="clear" w:color="auto" w:fill="auto"/>
            <w:noWrap/>
            <w:vAlign w:val="center"/>
            <w:hideMark/>
          </w:tcPr>
          <w:p w14:paraId="1EA20B0F" w14:textId="77777777" w:rsidR="004C5885" w:rsidRPr="00E57B08" w:rsidRDefault="004C5885" w:rsidP="00E57B08">
            <w:pPr>
              <w:pStyle w:val="cuatexto"/>
              <w:spacing w:line="240" w:lineRule="auto"/>
              <w:jc w:val="right"/>
            </w:pPr>
            <w:r w:rsidRPr="00E57B08">
              <w:t>1</w:t>
            </w:r>
          </w:p>
        </w:tc>
        <w:tc>
          <w:tcPr>
            <w:tcW w:w="709" w:type="dxa"/>
            <w:shd w:val="clear" w:color="auto" w:fill="auto"/>
            <w:noWrap/>
            <w:vAlign w:val="center"/>
            <w:hideMark/>
          </w:tcPr>
          <w:p w14:paraId="498EF79F" w14:textId="0B001BDE" w:rsidR="004C5885" w:rsidRPr="00E57B08" w:rsidRDefault="00AC06A5" w:rsidP="00E57B08">
            <w:pPr>
              <w:pStyle w:val="cuatexto"/>
              <w:spacing w:line="240" w:lineRule="auto"/>
              <w:jc w:val="right"/>
            </w:pPr>
            <w:r w:rsidRPr="00E57B08">
              <w:t xml:space="preserve"> </w:t>
            </w:r>
            <w:r w:rsidR="004C5885" w:rsidRPr="00E57B08">
              <w:t xml:space="preserve">508 </w:t>
            </w:r>
          </w:p>
        </w:tc>
        <w:tc>
          <w:tcPr>
            <w:tcW w:w="426" w:type="dxa"/>
            <w:shd w:val="clear" w:color="auto" w:fill="auto"/>
            <w:noWrap/>
            <w:vAlign w:val="center"/>
            <w:hideMark/>
          </w:tcPr>
          <w:p w14:paraId="0CBE58F2" w14:textId="77777777" w:rsidR="004C5885" w:rsidRPr="00E57B08" w:rsidRDefault="004C5885" w:rsidP="00E57B08">
            <w:pPr>
              <w:pStyle w:val="cuatexto"/>
              <w:spacing w:line="240" w:lineRule="auto"/>
              <w:jc w:val="right"/>
            </w:pPr>
            <w:r w:rsidRPr="00E57B08">
              <w:t>2</w:t>
            </w:r>
          </w:p>
        </w:tc>
        <w:tc>
          <w:tcPr>
            <w:tcW w:w="849" w:type="dxa"/>
            <w:shd w:val="clear" w:color="auto" w:fill="auto"/>
            <w:noWrap/>
            <w:vAlign w:val="center"/>
            <w:hideMark/>
          </w:tcPr>
          <w:p w14:paraId="7D66E8A5" w14:textId="4D3FE40F" w:rsidR="004C5885" w:rsidRPr="00E57B08" w:rsidRDefault="00AC06A5" w:rsidP="00E57B08">
            <w:pPr>
              <w:pStyle w:val="cuatexto"/>
              <w:spacing w:line="240" w:lineRule="auto"/>
              <w:jc w:val="right"/>
            </w:pPr>
            <w:r w:rsidRPr="00E57B08">
              <w:t xml:space="preserve"> </w:t>
            </w:r>
            <w:r w:rsidR="004C5885" w:rsidRPr="00E57B08">
              <w:t xml:space="preserve">1.061 </w:t>
            </w:r>
          </w:p>
        </w:tc>
        <w:tc>
          <w:tcPr>
            <w:tcW w:w="567" w:type="dxa"/>
            <w:shd w:val="clear" w:color="auto" w:fill="auto"/>
            <w:noWrap/>
            <w:vAlign w:val="center"/>
            <w:hideMark/>
          </w:tcPr>
          <w:p w14:paraId="6FF7ECA3" w14:textId="77777777" w:rsidR="004C5885" w:rsidRPr="00E57B08" w:rsidRDefault="004C5885" w:rsidP="00E57B08">
            <w:pPr>
              <w:pStyle w:val="cuatexto"/>
              <w:spacing w:line="240" w:lineRule="auto"/>
              <w:jc w:val="right"/>
            </w:pPr>
            <w:r w:rsidRPr="00E57B08">
              <w:t>13</w:t>
            </w:r>
          </w:p>
        </w:tc>
        <w:tc>
          <w:tcPr>
            <w:tcW w:w="851" w:type="dxa"/>
            <w:shd w:val="clear" w:color="auto" w:fill="auto"/>
            <w:noWrap/>
            <w:vAlign w:val="center"/>
            <w:hideMark/>
          </w:tcPr>
          <w:p w14:paraId="153E1C3C" w14:textId="1DE7491D" w:rsidR="004C5885" w:rsidRPr="00E57B08" w:rsidRDefault="00AC06A5" w:rsidP="00E57B08">
            <w:pPr>
              <w:pStyle w:val="cuatexto"/>
              <w:spacing w:line="240" w:lineRule="auto"/>
              <w:jc w:val="right"/>
            </w:pPr>
            <w:r w:rsidRPr="00E57B08">
              <w:t xml:space="preserve"> </w:t>
            </w:r>
            <w:r w:rsidR="004C5885" w:rsidRPr="00E57B08">
              <w:t xml:space="preserve">6.395 </w:t>
            </w:r>
          </w:p>
        </w:tc>
      </w:tr>
      <w:tr w:rsidR="004C5885" w:rsidRPr="00E57B08" w14:paraId="3089FA9E" w14:textId="77777777" w:rsidTr="004E2CFD">
        <w:trPr>
          <w:trHeight w:val="255"/>
          <w:jc w:val="center"/>
        </w:trPr>
        <w:tc>
          <w:tcPr>
            <w:tcW w:w="1985" w:type="dxa"/>
            <w:tcBorders>
              <w:bottom w:val="single" w:sz="4" w:space="0" w:color="auto"/>
            </w:tcBorders>
            <w:shd w:val="clear" w:color="auto" w:fill="auto"/>
            <w:noWrap/>
            <w:vAlign w:val="center"/>
            <w:hideMark/>
          </w:tcPr>
          <w:p w14:paraId="15A62401" w14:textId="77777777" w:rsidR="004C5885" w:rsidRPr="00E57B08" w:rsidRDefault="004C5885" w:rsidP="00E57B08">
            <w:pPr>
              <w:pStyle w:val="cuatexto"/>
              <w:spacing w:line="240" w:lineRule="auto"/>
            </w:pPr>
            <w:r w:rsidRPr="00E57B08">
              <w:t>&gt;150.000 y &lt; =400.000</w:t>
            </w:r>
          </w:p>
        </w:tc>
        <w:tc>
          <w:tcPr>
            <w:tcW w:w="567" w:type="dxa"/>
            <w:tcBorders>
              <w:bottom w:val="single" w:sz="4" w:space="0" w:color="auto"/>
            </w:tcBorders>
            <w:shd w:val="clear" w:color="auto" w:fill="auto"/>
            <w:noWrap/>
            <w:vAlign w:val="center"/>
            <w:hideMark/>
          </w:tcPr>
          <w:p w14:paraId="21BFE8E5" w14:textId="77777777" w:rsidR="004C5885" w:rsidRPr="00E57B08" w:rsidRDefault="004C5885" w:rsidP="00E57B08">
            <w:pPr>
              <w:pStyle w:val="cuatexto"/>
              <w:spacing w:line="240" w:lineRule="auto"/>
              <w:jc w:val="right"/>
            </w:pPr>
            <w:r w:rsidRPr="00E57B08">
              <w:t>34</w:t>
            </w:r>
          </w:p>
        </w:tc>
        <w:tc>
          <w:tcPr>
            <w:tcW w:w="850" w:type="dxa"/>
            <w:tcBorders>
              <w:bottom w:val="single" w:sz="4" w:space="0" w:color="auto"/>
            </w:tcBorders>
            <w:shd w:val="clear" w:color="auto" w:fill="auto"/>
            <w:noWrap/>
            <w:vAlign w:val="center"/>
            <w:hideMark/>
          </w:tcPr>
          <w:p w14:paraId="5A566B50" w14:textId="28B2F2A5" w:rsidR="004C5885" w:rsidRPr="00E57B08" w:rsidRDefault="00AC06A5" w:rsidP="00E57B08">
            <w:pPr>
              <w:pStyle w:val="cuatexto"/>
              <w:spacing w:line="240" w:lineRule="auto"/>
              <w:jc w:val="right"/>
            </w:pPr>
            <w:r w:rsidRPr="00E57B08">
              <w:t xml:space="preserve"> </w:t>
            </w:r>
            <w:r w:rsidR="004C5885" w:rsidRPr="00E57B08">
              <w:t xml:space="preserve">8.164 </w:t>
            </w:r>
          </w:p>
        </w:tc>
        <w:tc>
          <w:tcPr>
            <w:tcW w:w="425" w:type="dxa"/>
            <w:tcBorders>
              <w:bottom w:val="single" w:sz="4" w:space="0" w:color="auto"/>
            </w:tcBorders>
            <w:shd w:val="clear" w:color="auto" w:fill="auto"/>
            <w:noWrap/>
            <w:vAlign w:val="center"/>
            <w:hideMark/>
          </w:tcPr>
          <w:p w14:paraId="405FB8E6" w14:textId="77777777" w:rsidR="004C5885" w:rsidRPr="00E57B08" w:rsidRDefault="004C5885" w:rsidP="00E57B08">
            <w:pPr>
              <w:pStyle w:val="cuatexto"/>
              <w:spacing w:line="240" w:lineRule="auto"/>
              <w:jc w:val="right"/>
            </w:pPr>
            <w:r w:rsidRPr="00E57B08">
              <w:t>18</w:t>
            </w:r>
          </w:p>
        </w:tc>
        <w:tc>
          <w:tcPr>
            <w:tcW w:w="851" w:type="dxa"/>
            <w:tcBorders>
              <w:bottom w:val="single" w:sz="4" w:space="0" w:color="auto"/>
            </w:tcBorders>
            <w:shd w:val="clear" w:color="auto" w:fill="auto"/>
            <w:noWrap/>
            <w:vAlign w:val="center"/>
            <w:hideMark/>
          </w:tcPr>
          <w:p w14:paraId="33452B6B" w14:textId="57315FD4" w:rsidR="004C5885" w:rsidRPr="00E57B08" w:rsidRDefault="00AC06A5" w:rsidP="00E57B08">
            <w:pPr>
              <w:pStyle w:val="cuatexto"/>
              <w:spacing w:line="240" w:lineRule="auto"/>
              <w:jc w:val="right"/>
            </w:pPr>
            <w:r w:rsidRPr="00E57B08">
              <w:t xml:space="preserve"> </w:t>
            </w:r>
            <w:r w:rsidR="004C5885" w:rsidRPr="00E57B08">
              <w:t xml:space="preserve">4.283 </w:t>
            </w:r>
          </w:p>
        </w:tc>
        <w:tc>
          <w:tcPr>
            <w:tcW w:w="567" w:type="dxa"/>
            <w:tcBorders>
              <w:bottom w:val="single" w:sz="4" w:space="0" w:color="auto"/>
            </w:tcBorders>
            <w:shd w:val="clear" w:color="auto" w:fill="auto"/>
            <w:noWrap/>
            <w:vAlign w:val="center"/>
            <w:hideMark/>
          </w:tcPr>
          <w:p w14:paraId="7F9F75DE" w14:textId="77777777" w:rsidR="004C5885" w:rsidRPr="00E57B08" w:rsidRDefault="004C5885" w:rsidP="00E57B08">
            <w:pPr>
              <w:pStyle w:val="cuatexto"/>
              <w:spacing w:line="240" w:lineRule="auto"/>
              <w:jc w:val="right"/>
            </w:pPr>
            <w:r w:rsidRPr="00E57B08">
              <w:t>6</w:t>
            </w:r>
          </w:p>
        </w:tc>
        <w:tc>
          <w:tcPr>
            <w:tcW w:w="709" w:type="dxa"/>
            <w:tcBorders>
              <w:bottom w:val="single" w:sz="4" w:space="0" w:color="auto"/>
            </w:tcBorders>
            <w:shd w:val="clear" w:color="auto" w:fill="auto"/>
            <w:noWrap/>
            <w:vAlign w:val="center"/>
            <w:hideMark/>
          </w:tcPr>
          <w:p w14:paraId="2379C939" w14:textId="661C24F1" w:rsidR="004C5885" w:rsidRPr="00E57B08" w:rsidRDefault="00AC06A5" w:rsidP="00E57B08">
            <w:pPr>
              <w:pStyle w:val="cuatexto"/>
              <w:spacing w:line="240" w:lineRule="auto"/>
              <w:jc w:val="right"/>
            </w:pPr>
            <w:r w:rsidRPr="00E57B08">
              <w:t xml:space="preserve"> </w:t>
            </w:r>
            <w:r w:rsidR="004C5885" w:rsidRPr="00E57B08">
              <w:t xml:space="preserve">1.158 </w:t>
            </w:r>
          </w:p>
        </w:tc>
        <w:tc>
          <w:tcPr>
            <w:tcW w:w="426" w:type="dxa"/>
            <w:tcBorders>
              <w:bottom w:val="single" w:sz="4" w:space="0" w:color="auto"/>
            </w:tcBorders>
            <w:shd w:val="clear" w:color="auto" w:fill="auto"/>
            <w:noWrap/>
            <w:vAlign w:val="center"/>
            <w:hideMark/>
          </w:tcPr>
          <w:p w14:paraId="1229680D" w14:textId="77777777" w:rsidR="004C5885" w:rsidRPr="00E57B08" w:rsidRDefault="004C5885" w:rsidP="00E57B08">
            <w:pPr>
              <w:pStyle w:val="cuatexto"/>
              <w:spacing w:line="240" w:lineRule="auto"/>
              <w:jc w:val="right"/>
            </w:pPr>
            <w:r w:rsidRPr="00E57B08">
              <w:t> </w:t>
            </w:r>
          </w:p>
        </w:tc>
        <w:tc>
          <w:tcPr>
            <w:tcW w:w="849" w:type="dxa"/>
            <w:tcBorders>
              <w:bottom w:val="single" w:sz="4" w:space="0" w:color="auto"/>
            </w:tcBorders>
            <w:shd w:val="clear" w:color="auto" w:fill="auto"/>
            <w:noWrap/>
            <w:vAlign w:val="center"/>
            <w:hideMark/>
          </w:tcPr>
          <w:p w14:paraId="5989741E" w14:textId="28660F01" w:rsidR="004C5885" w:rsidRPr="00E57B08" w:rsidRDefault="00AC06A5" w:rsidP="00E57B08">
            <w:pPr>
              <w:pStyle w:val="cuatexto"/>
              <w:spacing w:line="240" w:lineRule="auto"/>
              <w:jc w:val="right"/>
            </w:pPr>
            <w:r w:rsidRPr="00E57B08">
              <w:t xml:space="preserve"> </w:t>
            </w:r>
            <w:r w:rsidR="004C5885" w:rsidRPr="00E57B08">
              <w:t>-</w:t>
            </w:r>
            <w:r w:rsidRPr="00E57B08">
              <w:t xml:space="preserve"> </w:t>
            </w:r>
          </w:p>
        </w:tc>
        <w:tc>
          <w:tcPr>
            <w:tcW w:w="567" w:type="dxa"/>
            <w:tcBorders>
              <w:bottom w:val="single" w:sz="4" w:space="0" w:color="auto"/>
            </w:tcBorders>
            <w:shd w:val="clear" w:color="auto" w:fill="auto"/>
            <w:noWrap/>
            <w:vAlign w:val="center"/>
            <w:hideMark/>
          </w:tcPr>
          <w:p w14:paraId="093881FC" w14:textId="77777777" w:rsidR="004C5885" w:rsidRPr="00E57B08" w:rsidRDefault="004C5885" w:rsidP="00E57B08">
            <w:pPr>
              <w:pStyle w:val="cuatexto"/>
              <w:spacing w:line="240" w:lineRule="auto"/>
              <w:jc w:val="right"/>
            </w:pPr>
            <w:r w:rsidRPr="00E57B08">
              <w:t>58</w:t>
            </w:r>
          </w:p>
        </w:tc>
        <w:tc>
          <w:tcPr>
            <w:tcW w:w="851" w:type="dxa"/>
            <w:tcBorders>
              <w:bottom w:val="single" w:sz="4" w:space="0" w:color="auto"/>
            </w:tcBorders>
            <w:shd w:val="clear" w:color="auto" w:fill="auto"/>
            <w:noWrap/>
            <w:vAlign w:val="center"/>
            <w:hideMark/>
          </w:tcPr>
          <w:p w14:paraId="57DF6747" w14:textId="06794603" w:rsidR="004C5885" w:rsidRPr="00E57B08" w:rsidRDefault="00AC06A5" w:rsidP="00E57B08">
            <w:pPr>
              <w:pStyle w:val="cuatexto"/>
              <w:spacing w:line="240" w:lineRule="auto"/>
              <w:jc w:val="right"/>
            </w:pPr>
            <w:r w:rsidRPr="00E57B08">
              <w:t xml:space="preserve"> </w:t>
            </w:r>
            <w:r w:rsidR="004C5885" w:rsidRPr="00E57B08">
              <w:t xml:space="preserve">13.605 </w:t>
            </w:r>
          </w:p>
        </w:tc>
      </w:tr>
      <w:tr w:rsidR="004C5885" w:rsidRPr="00E57B08" w14:paraId="6D95EB41" w14:textId="77777777" w:rsidTr="004E2CFD">
        <w:trPr>
          <w:trHeight w:val="255"/>
          <w:jc w:val="center"/>
        </w:trPr>
        <w:tc>
          <w:tcPr>
            <w:tcW w:w="1985" w:type="dxa"/>
            <w:tcBorders>
              <w:top w:val="single" w:sz="4" w:space="0" w:color="auto"/>
              <w:bottom w:val="single" w:sz="4" w:space="0" w:color="auto"/>
            </w:tcBorders>
            <w:shd w:val="clear" w:color="auto" w:fill="FABF8F" w:themeFill="accent6" w:themeFillTint="99"/>
            <w:noWrap/>
            <w:vAlign w:val="center"/>
            <w:hideMark/>
          </w:tcPr>
          <w:p w14:paraId="3860417C" w14:textId="77777777" w:rsidR="004C5885" w:rsidRPr="00E57B08" w:rsidRDefault="004C5885" w:rsidP="00E57B08">
            <w:pPr>
              <w:pStyle w:val="cuadroCabe"/>
              <w:spacing w:line="240" w:lineRule="auto"/>
              <w:rPr>
                <w:sz w:val="16"/>
                <w:szCs w:val="16"/>
              </w:rPr>
            </w:pPr>
            <w:r w:rsidRPr="00E57B08">
              <w:rPr>
                <w:sz w:val="16"/>
                <w:szCs w:val="16"/>
              </w:rPr>
              <w:t> </w:t>
            </w:r>
          </w:p>
        </w:tc>
        <w:tc>
          <w:tcPr>
            <w:tcW w:w="567" w:type="dxa"/>
            <w:tcBorders>
              <w:top w:val="single" w:sz="4" w:space="0" w:color="auto"/>
              <w:bottom w:val="single" w:sz="4" w:space="0" w:color="auto"/>
            </w:tcBorders>
            <w:shd w:val="clear" w:color="auto" w:fill="FABF8F" w:themeFill="accent6" w:themeFillTint="99"/>
            <w:noWrap/>
            <w:vAlign w:val="center"/>
            <w:hideMark/>
          </w:tcPr>
          <w:p w14:paraId="5FBD13D4" w14:textId="77777777" w:rsidR="004C5885" w:rsidRPr="00E57B08" w:rsidRDefault="004C5885" w:rsidP="00E57B08">
            <w:pPr>
              <w:pStyle w:val="cuadroCabe"/>
              <w:spacing w:line="240" w:lineRule="auto"/>
              <w:jc w:val="right"/>
              <w:rPr>
                <w:sz w:val="16"/>
                <w:szCs w:val="16"/>
              </w:rPr>
            </w:pPr>
            <w:r w:rsidRPr="00E57B08">
              <w:rPr>
                <w:sz w:val="16"/>
                <w:szCs w:val="16"/>
              </w:rPr>
              <w:t>54</w:t>
            </w:r>
          </w:p>
        </w:tc>
        <w:tc>
          <w:tcPr>
            <w:tcW w:w="850" w:type="dxa"/>
            <w:tcBorders>
              <w:top w:val="single" w:sz="4" w:space="0" w:color="auto"/>
              <w:bottom w:val="single" w:sz="4" w:space="0" w:color="auto"/>
            </w:tcBorders>
            <w:shd w:val="clear" w:color="auto" w:fill="FABF8F" w:themeFill="accent6" w:themeFillTint="99"/>
            <w:noWrap/>
            <w:vAlign w:val="center"/>
            <w:hideMark/>
          </w:tcPr>
          <w:p w14:paraId="73AE876D" w14:textId="3D3F1025" w:rsidR="004C5885" w:rsidRPr="00E57B08" w:rsidRDefault="00AC06A5" w:rsidP="00E57B08">
            <w:pPr>
              <w:pStyle w:val="cuadroCabe"/>
              <w:spacing w:line="240" w:lineRule="auto"/>
              <w:jc w:val="right"/>
              <w:rPr>
                <w:sz w:val="16"/>
                <w:szCs w:val="16"/>
              </w:rPr>
            </w:pPr>
            <w:r w:rsidRPr="00E57B08">
              <w:rPr>
                <w:sz w:val="16"/>
                <w:szCs w:val="16"/>
              </w:rPr>
              <w:t xml:space="preserve"> </w:t>
            </w:r>
            <w:r w:rsidR="004C5885" w:rsidRPr="00E57B08">
              <w:rPr>
                <w:sz w:val="16"/>
                <w:szCs w:val="16"/>
              </w:rPr>
              <w:t xml:space="preserve">40.778 </w:t>
            </w:r>
          </w:p>
        </w:tc>
        <w:tc>
          <w:tcPr>
            <w:tcW w:w="425" w:type="dxa"/>
            <w:tcBorders>
              <w:top w:val="single" w:sz="4" w:space="0" w:color="auto"/>
              <w:bottom w:val="single" w:sz="4" w:space="0" w:color="auto"/>
            </w:tcBorders>
            <w:shd w:val="clear" w:color="auto" w:fill="FABF8F" w:themeFill="accent6" w:themeFillTint="99"/>
            <w:noWrap/>
            <w:vAlign w:val="center"/>
            <w:hideMark/>
          </w:tcPr>
          <w:p w14:paraId="098E5185" w14:textId="77777777" w:rsidR="004C5885" w:rsidRPr="00E57B08" w:rsidRDefault="004C5885" w:rsidP="00E57B08">
            <w:pPr>
              <w:pStyle w:val="cuadroCabe"/>
              <w:spacing w:line="240" w:lineRule="auto"/>
              <w:jc w:val="right"/>
              <w:rPr>
                <w:sz w:val="16"/>
                <w:szCs w:val="16"/>
              </w:rPr>
            </w:pPr>
            <w:r w:rsidRPr="00E57B08">
              <w:rPr>
                <w:sz w:val="16"/>
                <w:szCs w:val="16"/>
              </w:rPr>
              <w:t>32</w:t>
            </w:r>
          </w:p>
        </w:tc>
        <w:tc>
          <w:tcPr>
            <w:tcW w:w="851" w:type="dxa"/>
            <w:tcBorders>
              <w:top w:val="single" w:sz="4" w:space="0" w:color="auto"/>
              <w:bottom w:val="single" w:sz="4" w:space="0" w:color="auto"/>
            </w:tcBorders>
            <w:shd w:val="clear" w:color="auto" w:fill="FABF8F" w:themeFill="accent6" w:themeFillTint="99"/>
            <w:noWrap/>
            <w:vAlign w:val="center"/>
            <w:hideMark/>
          </w:tcPr>
          <w:p w14:paraId="33DA049A" w14:textId="427C4CCB" w:rsidR="004C5885" w:rsidRPr="00E57B08" w:rsidRDefault="00AC06A5" w:rsidP="00E57B08">
            <w:pPr>
              <w:pStyle w:val="cuadroCabe"/>
              <w:spacing w:line="240" w:lineRule="auto"/>
              <w:jc w:val="right"/>
              <w:rPr>
                <w:sz w:val="16"/>
                <w:szCs w:val="16"/>
              </w:rPr>
            </w:pPr>
            <w:r w:rsidRPr="00E57B08">
              <w:rPr>
                <w:sz w:val="16"/>
                <w:szCs w:val="16"/>
              </w:rPr>
              <w:t xml:space="preserve"> </w:t>
            </w:r>
            <w:r w:rsidR="004C5885" w:rsidRPr="00E57B08">
              <w:rPr>
                <w:sz w:val="16"/>
                <w:szCs w:val="16"/>
              </w:rPr>
              <w:t xml:space="preserve">47.260 </w:t>
            </w:r>
          </w:p>
        </w:tc>
        <w:tc>
          <w:tcPr>
            <w:tcW w:w="567" w:type="dxa"/>
            <w:tcBorders>
              <w:top w:val="single" w:sz="4" w:space="0" w:color="auto"/>
              <w:bottom w:val="single" w:sz="4" w:space="0" w:color="auto"/>
            </w:tcBorders>
            <w:shd w:val="clear" w:color="auto" w:fill="FABF8F" w:themeFill="accent6" w:themeFillTint="99"/>
            <w:noWrap/>
            <w:vAlign w:val="center"/>
            <w:hideMark/>
          </w:tcPr>
          <w:p w14:paraId="4DEF6501" w14:textId="77777777" w:rsidR="004C5885" w:rsidRPr="00E57B08" w:rsidRDefault="004C5885" w:rsidP="00E57B08">
            <w:pPr>
              <w:pStyle w:val="cuadroCabe"/>
              <w:spacing w:line="240" w:lineRule="auto"/>
              <w:jc w:val="right"/>
              <w:rPr>
                <w:sz w:val="16"/>
                <w:szCs w:val="16"/>
              </w:rPr>
            </w:pPr>
            <w:r w:rsidRPr="00E57B08">
              <w:rPr>
                <w:sz w:val="16"/>
                <w:szCs w:val="16"/>
              </w:rPr>
              <w:t>10</w:t>
            </w:r>
          </w:p>
        </w:tc>
        <w:tc>
          <w:tcPr>
            <w:tcW w:w="709" w:type="dxa"/>
            <w:tcBorders>
              <w:top w:val="single" w:sz="4" w:space="0" w:color="auto"/>
              <w:bottom w:val="single" w:sz="4" w:space="0" w:color="auto"/>
            </w:tcBorders>
            <w:shd w:val="clear" w:color="auto" w:fill="FABF8F" w:themeFill="accent6" w:themeFillTint="99"/>
            <w:noWrap/>
            <w:vAlign w:val="center"/>
            <w:hideMark/>
          </w:tcPr>
          <w:p w14:paraId="7402C821" w14:textId="0FE45F27" w:rsidR="004C5885" w:rsidRPr="00E57B08" w:rsidRDefault="00AC06A5" w:rsidP="00E57B08">
            <w:pPr>
              <w:pStyle w:val="cuadroCabe"/>
              <w:spacing w:line="240" w:lineRule="auto"/>
              <w:jc w:val="right"/>
              <w:rPr>
                <w:sz w:val="16"/>
                <w:szCs w:val="16"/>
              </w:rPr>
            </w:pPr>
            <w:r w:rsidRPr="00E57B08">
              <w:rPr>
                <w:sz w:val="16"/>
                <w:szCs w:val="16"/>
              </w:rPr>
              <w:t xml:space="preserve"> </w:t>
            </w:r>
            <w:r w:rsidR="004C5885" w:rsidRPr="00E57B08">
              <w:rPr>
                <w:sz w:val="16"/>
                <w:szCs w:val="16"/>
              </w:rPr>
              <w:t xml:space="preserve">9.419 </w:t>
            </w:r>
          </w:p>
        </w:tc>
        <w:tc>
          <w:tcPr>
            <w:tcW w:w="426" w:type="dxa"/>
            <w:tcBorders>
              <w:top w:val="single" w:sz="4" w:space="0" w:color="auto"/>
              <w:bottom w:val="single" w:sz="4" w:space="0" w:color="auto"/>
            </w:tcBorders>
            <w:shd w:val="clear" w:color="auto" w:fill="FABF8F" w:themeFill="accent6" w:themeFillTint="99"/>
            <w:noWrap/>
            <w:vAlign w:val="center"/>
            <w:hideMark/>
          </w:tcPr>
          <w:p w14:paraId="29C481FE" w14:textId="77777777" w:rsidR="004C5885" w:rsidRPr="00E57B08" w:rsidRDefault="004C5885" w:rsidP="00E57B08">
            <w:pPr>
              <w:pStyle w:val="cuadroCabe"/>
              <w:spacing w:line="240" w:lineRule="auto"/>
              <w:jc w:val="right"/>
              <w:rPr>
                <w:sz w:val="16"/>
                <w:szCs w:val="16"/>
              </w:rPr>
            </w:pPr>
            <w:r w:rsidRPr="00E57B08">
              <w:rPr>
                <w:sz w:val="16"/>
                <w:szCs w:val="16"/>
              </w:rPr>
              <w:t>2</w:t>
            </w:r>
          </w:p>
        </w:tc>
        <w:tc>
          <w:tcPr>
            <w:tcW w:w="849" w:type="dxa"/>
            <w:tcBorders>
              <w:top w:val="single" w:sz="4" w:space="0" w:color="auto"/>
              <w:bottom w:val="single" w:sz="4" w:space="0" w:color="auto"/>
            </w:tcBorders>
            <w:shd w:val="clear" w:color="auto" w:fill="FABF8F" w:themeFill="accent6" w:themeFillTint="99"/>
            <w:noWrap/>
            <w:vAlign w:val="center"/>
            <w:hideMark/>
          </w:tcPr>
          <w:p w14:paraId="72BBA53E" w14:textId="28659110" w:rsidR="004C5885" w:rsidRPr="00E57B08" w:rsidRDefault="00AC06A5" w:rsidP="00E57B08">
            <w:pPr>
              <w:pStyle w:val="cuadroCabe"/>
              <w:spacing w:line="240" w:lineRule="auto"/>
              <w:jc w:val="right"/>
              <w:rPr>
                <w:sz w:val="16"/>
                <w:szCs w:val="16"/>
              </w:rPr>
            </w:pPr>
            <w:r w:rsidRPr="00E57B08">
              <w:rPr>
                <w:sz w:val="16"/>
                <w:szCs w:val="16"/>
              </w:rPr>
              <w:t xml:space="preserve"> </w:t>
            </w:r>
            <w:r w:rsidR="004C5885" w:rsidRPr="00E57B08">
              <w:rPr>
                <w:sz w:val="16"/>
                <w:szCs w:val="16"/>
              </w:rPr>
              <w:t xml:space="preserve">1.061 </w:t>
            </w:r>
          </w:p>
        </w:tc>
        <w:tc>
          <w:tcPr>
            <w:tcW w:w="567" w:type="dxa"/>
            <w:tcBorders>
              <w:top w:val="single" w:sz="4" w:space="0" w:color="auto"/>
              <w:bottom w:val="single" w:sz="4" w:space="0" w:color="auto"/>
            </w:tcBorders>
            <w:shd w:val="clear" w:color="auto" w:fill="FABF8F" w:themeFill="accent6" w:themeFillTint="99"/>
            <w:noWrap/>
            <w:vAlign w:val="center"/>
            <w:hideMark/>
          </w:tcPr>
          <w:p w14:paraId="23BF2FAA" w14:textId="77777777" w:rsidR="004C5885" w:rsidRPr="00E57B08" w:rsidRDefault="004C5885" w:rsidP="00E57B08">
            <w:pPr>
              <w:pStyle w:val="cuadroCabe"/>
              <w:spacing w:line="240" w:lineRule="auto"/>
              <w:jc w:val="right"/>
              <w:rPr>
                <w:sz w:val="16"/>
                <w:szCs w:val="16"/>
              </w:rPr>
            </w:pPr>
            <w:r w:rsidRPr="00E57B08">
              <w:rPr>
                <w:sz w:val="16"/>
                <w:szCs w:val="16"/>
              </w:rPr>
              <w:t>98</w:t>
            </w:r>
          </w:p>
        </w:tc>
        <w:tc>
          <w:tcPr>
            <w:tcW w:w="851" w:type="dxa"/>
            <w:tcBorders>
              <w:top w:val="single" w:sz="4" w:space="0" w:color="auto"/>
              <w:bottom w:val="single" w:sz="4" w:space="0" w:color="auto"/>
            </w:tcBorders>
            <w:shd w:val="clear" w:color="auto" w:fill="FABF8F" w:themeFill="accent6" w:themeFillTint="99"/>
            <w:noWrap/>
            <w:vAlign w:val="center"/>
            <w:hideMark/>
          </w:tcPr>
          <w:p w14:paraId="78945536" w14:textId="117486C8" w:rsidR="004C5885" w:rsidRPr="00E57B08" w:rsidRDefault="00AC06A5" w:rsidP="00E57B08">
            <w:pPr>
              <w:pStyle w:val="cuadroCabe"/>
              <w:spacing w:line="240" w:lineRule="auto"/>
              <w:jc w:val="right"/>
              <w:rPr>
                <w:sz w:val="16"/>
                <w:szCs w:val="16"/>
              </w:rPr>
            </w:pPr>
            <w:r w:rsidRPr="00E57B08">
              <w:rPr>
                <w:sz w:val="16"/>
                <w:szCs w:val="16"/>
              </w:rPr>
              <w:t xml:space="preserve"> </w:t>
            </w:r>
            <w:r w:rsidR="004C5885" w:rsidRPr="00E57B08">
              <w:rPr>
                <w:sz w:val="16"/>
                <w:szCs w:val="16"/>
              </w:rPr>
              <w:t xml:space="preserve">98.518 </w:t>
            </w:r>
          </w:p>
        </w:tc>
      </w:tr>
    </w:tbl>
    <w:p w14:paraId="4B3327F1" w14:textId="77777777" w:rsidR="00EE32F4" w:rsidRDefault="00EE32F4" w:rsidP="00442CCA">
      <w:pPr>
        <w:pStyle w:val="texto"/>
        <w:rPr>
          <w:color w:val="000000" w:themeColor="text1"/>
        </w:rPr>
      </w:pPr>
    </w:p>
    <w:p w14:paraId="6032D55C" w14:textId="74A8C875" w:rsidR="00B714B7" w:rsidRDefault="00176B58" w:rsidP="00442CCA">
      <w:pPr>
        <w:pStyle w:val="texto"/>
        <w:rPr>
          <w:color w:val="000000" w:themeColor="text1"/>
        </w:rPr>
      </w:pPr>
      <w:r>
        <w:rPr>
          <w:color w:val="000000" w:themeColor="text1"/>
        </w:rPr>
        <w:t>En comparación con el ejercicio anterior, el núm</w:t>
      </w:r>
      <w:r w:rsidR="00442CCA">
        <w:rPr>
          <w:color w:val="000000" w:themeColor="text1"/>
        </w:rPr>
        <w:t xml:space="preserve">ero de contratos </w:t>
      </w:r>
      <w:r w:rsidR="00C31D05">
        <w:rPr>
          <w:color w:val="000000" w:themeColor="text1"/>
        </w:rPr>
        <w:t xml:space="preserve">disminuye </w:t>
      </w:r>
      <w:r w:rsidR="00442CCA">
        <w:rPr>
          <w:color w:val="000000" w:themeColor="text1"/>
        </w:rPr>
        <w:t>un 22 por ciento, afectado por los efectos de la pandemia, que redujeron considerablemente el número de contratos</w:t>
      </w:r>
      <w:r w:rsidR="00B9454E">
        <w:rPr>
          <w:color w:val="000000" w:themeColor="text1"/>
        </w:rPr>
        <w:t xml:space="preserve"> adjudicados entre marzo y mayo</w:t>
      </w:r>
      <w:r w:rsidR="00442CCA">
        <w:rPr>
          <w:color w:val="000000" w:themeColor="text1"/>
        </w:rPr>
        <w:t xml:space="preserve">, sin que ello se viera </w:t>
      </w:r>
      <w:r w:rsidR="00B714B7">
        <w:rPr>
          <w:color w:val="000000" w:themeColor="text1"/>
        </w:rPr>
        <w:t>compensado en el resto del año, como puede apre</w:t>
      </w:r>
      <w:r w:rsidR="007D68B8">
        <w:rPr>
          <w:color w:val="000000" w:themeColor="text1"/>
        </w:rPr>
        <w:t xml:space="preserve">ciarse en el gráfico </w:t>
      </w:r>
      <w:r w:rsidR="007D68B8">
        <w:rPr>
          <w:color w:val="000000" w:themeColor="text1"/>
        </w:rPr>
        <w:lastRenderedPageBreak/>
        <w:t>siguiente.</w:t>
      </w:r>
      <w:r w:rsidR="003F6432">
        <w:rPr>
          <w:color w:val="000000" w:themeColor="text1"/>
        </w:rPr>
        <w:t xml:space="preserve"> </w:t>
      </w:r>
      <w:r w:rsidR="003F6432" w:rsidRPr="00D46C83">
        <w:rPr>
          <w:color w:val="000000" w:themeColor="text1"/>
        </w:rPr>
        <w:t xml:space="preserve">Esta evolución es coherente con </w:t>
      </w:r>
      <w:r w:rsidR="001A2B89" w:rsidRPr="00D46C83">
        <w:rPr>
          <w:color w:val="000000" w:themeColor="text1"/>
        </w:rPr>
        <w:t xml:space="preserve">la del importe total adjudicado, que se reduce en un 15 por ciento </w:t>
      </w:r>
      <w:r w:rsidR="003F6432" w:rsidRPr="00D46C83">
        <w:rPr>
          <w:color w:val="000000" w:themeColor="text1"/>
        </w:rPr>
        <w:t>si excluimos el efecto de los contratos de más de 20 millones.</w:t>
      </w:r>
    </w:p>
    <w:p w14:paraId="193026A8" w14:textId="77777777" w:rsidR="00B714B7" w:rsidRDefault="00B714B7" w:rsidP="00B714B7">
      <w:pPr>
        <w:pStyle w:val="texto"/>
        <w:jc w:val="center"/>
        <w:rPr>
          <w:color w:val="000000" w:themeColor="text1"/>
        </w:rPr>
      </w:pPr>
      <w:r>
        <w:rPr>
          <w:noProof/>
          <w:lang w:val="es-ES" w:eastAsia="es-ES"/>
        </w:rPr>
        <w:drawing>
          <wp:inline distT="0" distB="0" distL="0" distR="0" wp14:anchorId="0F734A9A" wp14:editId="4FDAE31D">
            <wp:extent cx="4629150" cy="269557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47B4A6" w14:textId="5A83287F" w:rsidR="009956B1" w:rsidRDefault="0041740E" w:rsidP="009956B1">
      <w:pPr>
        <w:pStyle w:val="texto"/>
      </w:pPr>
      <w:r>
        <w:t xml:space="preserve">De los datos </w:t>
      </w:r>
      <w:r w:rsidR="00B15291">
        <w:t>que figuran en el</w:t>
      </w:r>
      <w:r>
        <w:t xml:space="preserve"> Registro de Contratos</w:t>
      </w:r>
      <w:r w:rsidR="00464D81">
        <w:t xml:space="preserve"> se deduce que la </w:t>
      </w:r>
      <w:proofErr w:type="spellStart"/>
      <w:r w:rsidR="00464D81">
        <w:t>Covid-19</w:t>
      </w:r>
      <w:proofErr w:type="spellEnd"/>
      <w:r w:rsidR="00464D81">
        <w:t xml:space="preserve"> no ha dado lugar a un incremento significativo en el uso de la tramitación de emergencia en el ámbito local. </w:t>
      </w:r>
      <w:r>
        <w:t xml:space="preserve"> </w:t>
      </w:r>
      <w:r w:rsidR="009956B1">
        <w:t>Únicamente consta en el registro la tramitación de emergencia de siete contratos, de los que solo tres, que suman un importe adjudicado de 78.870 euros, pueden relacionarse con la pandemia.</w:t>
      </w:r>
      <w:r w:rsidR="00B15291" w:rsidDel="00425AFD">
        <w:t xml:space="preserve"> </w:t>
      </w:r>
    </w:p>
    <w:p w14:paraId="51316F34" w14:textId="27517648" w:rsidR="00EF0883" w:rsidRDefault="00EF0883" w:rsidP="009956B1">
      <w:pPr>
        <w:pStyle w:val="texto"/>
      </w:pPr>
      <w:r>
        <w:br w:type="page"/>
      </w:r>
    </w:p>
    <w:p w14:paraId="44EA384B" w14:textId="77777777" w:rsidR="00683931" w:rsidRPr="004248BF" w:rsidRDefault="00683931" w:rsidP="004248BF">
      <w:pPr>
        <w:pStyle w:val="Ttulo1"/>
        <w:ind w:firstLine="0"/>
        <w:rPr>
          <w:szCs w:val="25"/>
        </w:rPr>
      </w:pPr>
      <w:bookmarkStart w:id="97" w:name="_Toc123724206"/>
      <w:bookmarkStart w:id="98" w:name="_Toc52348296"/>
      <w:bookmarkStart w:id="99" w:name="_Toc88727721"/>
      <w:r w:rsidRPr="004248BF">
        <w:rPr>
          <w:szCs w:val="25"/>
        </w:rPr>
        <w:lastRenderedPageBreak/>
        <w:t>VIII. Rendición de cuentas y aprobación de presupuestos</w:t>
      </w:r>
      <w:bookmarkEnd w:id="97"/>
    </w:p>
    <w:p w14:paraId="687E75FA" w14:textId="7C56ACE5" w:rsidR="00683931" w:rsidRDefault="00683931" w:rsidP="00683931">
      <w:pPr>
        <w:pStyle w:val="texto"/>
        <w:spacing w:before="120" w:after="120"/>
        <w:rPr>
          <w:rFonts w:cs="Arial"/>
          <w:color w:val="000000" w:themeColor="text1"/>
        </w:rPr>
      </w:pPr>
      <w:r w:rsidRPr="00683931">
        <w:rPr>
          <w:rFonts w:cs="Arial"/>
          <w:color w:val="000000" w:themeColor="text1"/>
        </w:rPr>
        <w:t xml:space="preserve">La </w:t>
      </w:r>
      <w:r w:rsidR="00974F8A">
        <w:rPr>
          <w:rFonts w:cs="Arial"/>
          <w:color w:val="000000" w:themeColor="text1"/>
        </w:rPr>
        <w:t>LFHL</w:t>
      </w:r>
      <w:r>
        <w:rPr>
          <w:rFonts w:cs="Arial"/>
          <w:color w:val="000000" w:themeColor="text1"/>
        </w:rPr>
        <w:t>, en redacción dada por L</w:t>
      </w:r>
      <w:r w:rsidR="0084582D">
        <w:rPr>
          <w:rFonts w:cs="Arial"/>
          <w:color w:val="000000" w:themeColor="text1"/>
        </w:rPr>
        <w:t xml:space="preserve">ey </w:t>
      </w:r>
      <w:r>
        <w:rPr>
          <w:rFonts w:cs="Arial"/>
          <w:color w:val="000000" w:themeColor="text1"/>
        </w:rPr>
        <w:t>F</w:t>
      </w:r>
      <w:r w:rsidR="0084582D">
        <w:rPr>
          <w:rFonts w:cs="Arial"/>
          <w:color w:val="000000" w:themeColor="text1"/>
        </w:rPr>
        <w:t>oral</w:t>
      </w:r>
      <w:r>
        <w:rPr>
          <w:rFonts w:cs="Arial"/>
          <w:color w:val="000000" w:themeColor="text1"/>
        </w:rPr>
        <w:t xml:space="preserve"> 22/2020, de 29 de diciembre, de modificación de </w:t>
      </w:r>
      <w:proofErr w:type="gramStart"/>
      <w:r>
        <w:rPr>
          <w:rFonts w:cs="Arial"/>
          <w:color w:val="000000" w:themeColor="text1"/>
        </w:rPr>
        <w:t>la misma</w:t>
      </w:r>
      <w:proofErr w:type="gramEnd"/>
      <w:r>
        <w:rPr>
          <w:rFonts w:cs="Arial"/>
          <w:color w:val="000000" w:themeColor="text1"/>
        </w:rPr>
        <w:t xml:space="preserve">, establece que el presidente de la entidad local debe aprobar la liquidación del presupuesto de la misma y de sus organismos autónomos antes del 31 de marzo. Por su parte, la cuenta general de la entidad local debe someterse al pleno de la corporación de modo que pueda aprobarla antes del 1 de septiembre del ejercicio siguiente. Las entidades locales deben remitir a la </w:t>
      </w:r>
      <w:r w:rsidR="00B77FE7">
        <w:rPr>
          <w:rFonts w:cs="Arial"/>
          <w:color w:val="000000" w:themeColor="text1"/>
        </w:rPr>
        <w:t>ACFN</w:t>
      </w:r>
      <w:r>
        <w:rPr>
          <w:rFonts w:cs="Arial"/>
          <w:color w:val="000000" w:themeColor="text1"/>
        </w:rPr>
        <w:t xml:space="preserve"> ambos documentos dentro de los 15 días siguientes a sus respectivas aprobaciones.</w:t>
      </w:r>
    </w:p>
    <w:p w14:paraId="5680E4C4" w14:textId="7C5D9184" w:rsidR="00683931" w:rsidRDefault="00683931" w:rsidP="004A12BD">
      <w:pPr>
        <w:pStyle w:val="texto"/>
        <w:spacing w:before="120" w:after="240"/>
        <w:rPr>
          <w:rFonts w:cs="Arial"/>
          <w:color w:val="000000" w:themeColor="text1"/>
        </w:rPr>
      </w:pPr>
      <w:r>
        <w:rPr>
          <w:rFonts w:cs="Arial"/>
          <w:color w:val="000000" w:themeColor="text1"/>
        </w:rPr>
        <w:t>La tabla siguiente muestra</w:t>
      </w:r>
      <w:r w:rsidRPr="00B81E61">
        <w:rPr>
          <w:rFonts w:cs="Arial"/>
          <w:color w:val="000000" w:themeColor="text1"/>
        </w:rPr>
        <w:t xml:space="preserve"> el detalle de los plazos de aprobación y rendic</w:t>
      </w:r>
      <w:r>
        <w:rPr>
          <w:rFonts w:cs="Arial"/>
          <w:color w:val="000000" w:themeColor="text1"/>
        </w:rPr>
        <w:t>ión de cuentas del ejercicio 2020</w:t>
      </w:r>
      <w:r w:rsidRPr="00B81E61">
        <w:rPr>
          <w:rFonts w:cs="Arial"/>
          <w:color w:val="000000" w:themeColor="text1"/>
        </w:rPr>
        <w:t>:</w:t>
      </w:r>
    </w:p>
    <w:p w14:paraId="2CA47335" w14:textId="439E8515" w:rsidR="00EA5D4F" w:rsidRPr="00EA5D4F" w:rsidRDefault="00EA5D4F" w:rsidP="00EA5D4F">
      <w:pPr>
        <w:pStyle w:val="texto"/>
        <w:spacing w:after="40"/>
        <w:jc w:val="right"/>
        <w:rPr>
          <w:rFonts w:ascii="Arial Narrow" w:hAnsi="Arial Narrow"/>
          <w:color w:val="000000" w:themeColor="text1"/>
          <w:sz w:val="18"/>
          <w:szCs w:val="18"/>
        </w:rPr>
      </w:pPr>
      <w:r w:rsidRPr="00EA5D4F">
        <w:rPr>
          <w:rFonts w:ascii="Arial Narrow" w:hAnsi="Arial Narrow"/>
          <w:color w:val="000000" w:themeColor="text1"/>
          <w:sz w:val="18"/>
          <w:szCs w:val="18"/>
        </w:rPr>
        <w:t>Porcentaje de entidades locales</w:t>
      </w:r>
    </w:p>
    <w:tbl>
      <w:tblPr>
        <w:tblW w:w="5000" w:type="pct"/>
        <w:tblCellMar>
          <w:left w:w="70" w:type="dxa"/>
          <w:right w:w="70" w:type="dxa"/>
        </w:tblCellMar>
        <w:tblLook w:val="04A0" w:firstRow="1" w:lastRow="0" w:firstColumn="1" w:lastColumn="0" w:noHBand="0" w:noVBand="1"/>
      </w:tblPr>
      <w:tblGrid>
        <w:gridCol w:w="2348"/>
        <w:gridCol w:w="1137"/>
        <w:gridCol w:w="858"/>
        <w:gridCol w:w="1267"/>
        <w:gridCol w:w="795"/>
        <w:gridCol w:w="1477"/>
        <w:gridCol w:w="907"/>
      </w:tblGrid>
      <w:tr w:rsidR="00E57B08" w:rsidRPr="00474131" w14:paraId="1453AF7A" w14:textId="77777777" w:rsidTr="00E57B08">
        <w:trPr>
          <w:trHeight w:val="227"/>
        </w:trPr>
        <w:tc>
          <w:tcPr>
            <w:tcW w:w="1336" w:type="pct"/>
            <w:vMerge w:val="restart"/>
            <w:tcBorders>
              <w:top w:val="single" w:sz="4" w:space="0" w:color="auto"/>
              <w:left w:val="nil"/>
              <w:right w:val="nil"/>
            </w:tcBorders>
            <w:shd w:val="clear" w:color="auto" w:fill="FABF8F" w:themeFill="accent6" w:themeFillTint="99"/>
            <w:noWrap/>
            <w:vAlign w:val="center"/>
            <w:hideMark/>
          </w:tcPr>
          <w:p w14:paraId="29D51117" w14:textId="3A21DC10" w:rsidR="00E57B08" w:rsidRPr="00474131" w:rsidRDefault="00E57B08" w:rsidP="00E57B08">
            <w:pPr>
              <w:pStyle w:val="cuadroCabe"/>
              <w:spacing w:line="240" w:lineRule="auto"/>
              <w:rPr>
                <w:lang w:val="es-ES" w:eastAsia="es-ES"/>
              </w:rPr>
            </w:pPr>
            <w:r w:rsidRPr="00474131">
              <w:rPr>
                <w:lang w:val="es-ES" w:eastAsia="es-ES"/>
              </w:rPr>
              <w:t>Tipo de entidad </w:t>
            </w:r>
          </w:p>
        </w:tc>
        <w:tc>
          <w:tcPr>
            <w:tcW w:w="1135"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6DFD69AF" w14:textId="77777777" w:rsidR="00E57B08" w:rsidRPr="00474131" w:rsidRDefault="00E57B08" w:rsidP="00E57B08">
            <w:pPr>
              <w:pStyle w:val="cuadroCabe"/>
              <w:spacing w:line="240" w:lineRule="auto"/>
              <w:jc w:val="right"/>
              <w:rPr>
                <w:lang w:val="es-ES" w:eastAsia="es-ES"/>
              </w:rPr>
            </w:pPr>
            <w:r w:rsidRPr="00474131">
              <w:rPr>
                <w:lang w:val="es-ES" w:eastAsia="es-ES"/>
              </w:rPr>
              <w:t>Aprobado en plazo</w:t>
            </w:r>
          </w:p>
        </w:tc>
        <w:tc>
          <w:tcPr>
            <w:tcW w:w="1173"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2DCC3F9C" w14:textId="77777777" w:rsidR="00E57B08" w:rsidRPr="00474131" w:rsidRDefault="00E57B08" w:rsidP="00E57B08">
            <w:pPr>
              <w:pStyle w:val="cuadroCabe"/>
              <w:spacing w:line="240" w:lineRule="auto"/>
              <w:jc w:val="right"/>
              <w:rPr>
                <w:lang w:val="es-ES" w:eastAsia="es-ES"/>
              </w:rPr>
            </w:pPr>
            <w:r w:rsidRPr="00474131">
              <w:rPr>
                <w:lang w:val="es-ES" w:eastAsia="es-ES"/>
              </w:rPr>
              <w:t xml:space="preserve">Enviado en plazo </w:t>
            </w:r>
          </w:p>
        </w:tc>
        <w:tc>
          <w:tcPr>
            <w:tcW w:w="1356" w:type="pct"/>
            <w:gridSpan w:val="2"/>
            <w:tcBorders>
              <w:top w:val="single" w:sz="4" w:space="0" w:color="auto"/>
              <w:left w:val="nil"/>
              <w:bottom w:val="nil"/>
              <w:right w:val="nil"/>
            </w:tcBorders>
            <w:shd w:val="clear" w:color="auto" w:fill="FABF8F" w:themeFill="accent6" w:themeFillTint="99"/>
            <w:vAlign w:val="center"/>
            <w:hideMark/>
          </w:tcPr>
          <w:p w14:paraId="0FB0FFD8" w14:textId="77777777" w:rsidR="00E57B08" w:rsidRPr="00474131" w:rsidRDefault="00E57B08" w:rsidP="00E57B08">
            <w:pPr>
              <w:pStyle w:val="cuadroCabe"/>
              <w:spacing w:line="240" w:lineRule="auto"/>
              <w:jc w:val="right"/>
              <w:rPr>
                <w:lang w:val="es-ES" w:eastAsia="es-ES"/>
              </w:rPr>
            </w:pPr>
            <w:r w:rsidRPr="00474131">
              <w:rPr>
                <w:lang w:val="es-ES" w:eastAsia="es-ES"/>
              </w:rPr>
              <w:t xml:space="preserve">Enviado hasta </w:t>
            </w:r>
            <w:proofErr w:type="spellStart"/>
            <w:r w:rsidRPr="00474131">
              <w:rPr>
                <w:lang w:val="es-ES" w:eastAsia="es-ES"/>
              </w:rPr>
              <w:t>31.12.X+1</w:t>
            </w:r>
            <w:proofErr w:type="spellEnd"/>
          </w:p>
        </w:tc>
      </w:tr>
      <w:tr w:rsidR="00E57B08" w:rsidRPr="00474131" w14:paraId="1B003975" w14:textId="77777777" w:rsidTr="00E57B08">
        <w:trPr>
          <w:trHeight w:val="227"/>
        </w:trPr>
        <w:tc>
          <w:tcPr>
            <w:tcW w:w="1336" w:type="pct"/>
            <w:vMerge/>
            <w:tcBorders>
              <w:left w:val="nil"/>
              <w:bottom w:val="single" w:sz="4" w:space="0" w:color="auto"/>
              <w:right w:val="nil"/>
            </w:tcBorders>
            <w:shd w:val="clear" w:color="auto" w:fill="FABF8F" w:themeFill="accent6" w:themeFillTint="99"/>
            <w:noWrap/>
            <w:vAlign w:val="center"/>
            <w:hideMark/>
          </w:tcPr>
          <w:p w14:paraId="697FA306" w14:textId="298808D7" w:rsidR="00E57B08" w:rsidRPr="00474131" w:rsidRDefault="00E57B08" w:rsidP="00E57B08">
            <w:pPr>
              <w:pStyle w:val="cuadroCabe"/>
              <w:spacing w:line="240" w:lineRule="auto"/>
              <w:rPr>
                <w:lang w:val="es-ES" w:eastAsia="es-ES"/>
              </w:rPr>
            </w:pPr>
          </w:p>
        </w:tc>
        <w:tc>
          <w:tcPr>
            <w:tcW w:w="647" w:type="pct"/>
            <w:tcBorders>
              <w:top w:val="nil"/>
              <w:left w:val="nil"/>
              <w:bottom w:val="single" w:sz="4" w:space="0" w:color="auto"/>
              <w:right w:val="nil"/>
            </w:tcBorders>
            <w:shd w:val="clear" w:color="auto" w:fill="FABF8F" w:themeFill="accent6" w:themeFillTint="99"/>
            <w:vAlign w:val="center"/>
          </w:tcPr>
          <w:p w14:paraId="609E16DD" w14:textId="77777777" w:rsidR="00E57B08" w:rsidRPr="00474131" w:rsidRDefault="00E57B08" w:rsidP="00E57B08">
            <w:pPr>
              <w:pStyle w:val="cuadroCabe"/>
              <w:spacing w:line="240" w:lineRule="auto"/>
              <w:jc w:val="right"/>
              <w:rPr>
                <w:lang w:val="es-ES" w:eastAsia="es-ES"/>
              </w:rPr>
            </w:pPr>
            <w:r w:rsidRPr="00474131">
              <w:rPr>
                <w:lang w:val="es-ES" w:eastAsia="es-ES"/>
              </w:rPr>
              <w:t>2019</w:t>
            </w:r>
          </w:p>
        </w:tc>
        <w:tc>
          <w:tcPr>
            <w:tcW w:w="488" w:type="pct"/>
            <w:tcBorders>
              <w:top w:val="nil"/>
              <w:left w:val="nil"/>
              <w:bottom w:val="single" w:sz="4" w:space="0" w:color="auto"/>
              <w:right w:val="nil"/>
            </w:tcBorders>
            <w:shd w:val="clear" w:color="auto" w:fill="FABF8F" w:themeFill="accent6" w:themeFillTint="99"/>
            <w:vAlign w:val="center"/>
          </w:tcPr>
          <w:p w14:paraId="2BDFF587" w14:textId="77777777" w:rsidR="00E57B08" w:rsidRPr="00474131" w:rsidRDefault="00E57B08" w:rsidP="00E57B08">
            <w:pPr>
              <w:pStyle w:val="cuadroCabe"/>
              <w:spacing w:line="240" w:lineRule="auto"/>
              <w:jc w:val="right"/>
              <w:rPr>
                <w:lang w:val="es-ES" w:eastAsia="es-ES"/>
              </w:rPr>
            </w:pPr>
            <w:r w:rsidRPr="00474131">
              <w:rPr>
                <w:lang w:val="es-ES" w:eastAsia="es-ES"/>
              </w:rPr>
              <w:t>2020</w:t>
            </w:r>
          </w:p>
        </w:tc>
        <w:tc>
          <w:tcPr>
            <w:tcW w:w="721" w:type="pct"/>
            <w:tcBorders>
              <w:top w:val="nil"/>
              <w:left w:val="nil"/>
              <w:bottom w:val="single" w:sz="4" w:space="0" w:color="auto"/>
              <w:right w:val="nil"/>
            </w:tcBorders>
            <w:shd w:val="clear" w:color="auto" w:fill="FABF8F" w:themeFill="accent6" w:themeFillTint="99"/>
            <w:vAlign w:val="center"/>
          </w:tcPr>
          <w:p w14:paraId="49DAFC55" w14:textId="77777777" w:rsidR="00E57B08" w:rsidRPr="00474131" w:rsidRDefault="00E57B08" w:rsidP="00E57B08">
            <w:pPr>
              <w:pStyle w:val="cuadroCabe"/>
              <w:spacing w:line="240" w:lineRule="auto"/>
              <w:jc w:val="right"/>
              <w:rPr>
                <w:lang w:val="es-ES" w:eastAsia="es-ES"/>
              </w:rPr>
            </w:pPr>
            <w:r w:rsidRPr="00474131">
              <w:rPr>
                <w:lang w:val="es-ES" w:eastAsia="es-ES"/>
              </w:rPr>
              <w:t>2019</w:t>
            </w:r>
          </w:p>
        </w:tc>
        <w:tc>
          <w:tcPr>
            <w:tcW w:w="452" w:type="pct"/>
            <w:tcBorders>
              <w:top w:val="nil"/>
              <w:left w:val="nil"/>
              <w:bottom w:val="single" w:sz="4" w:space="0" w:color="auto"/>
              <w:right w:val="nil"/>
            </w:tcBorders>
            <w:shd w:val="clear" w:color="auto" w:fill="FABF8F" w:themeFill="accent6" w:themeFillTint="99"/>
            <w:vAlign w:val="center"/>
          </w:tcPr>
          <w:p w14:paraId="710F1CDF" w14:textId="77777777" w:rsidR="00E57B08" w:rsidRPr="00474131" w:rsidRDefault="00E57B08" w:rsidP="00E57B08">
            <w:pPr>
              <w:pStyle w:val="cuadroCabe"/>
              <w:spacing w:line="240" w:lineRule="auto"/>
              <w:jc w:val="right"/>
              <w:rPr>
                <w:lang w:val="es-ES" w:eastAsia="es-ES"/>
              </w:rPr>
            </w:pPr>
            <w:r w:rsidRPr="00474131">
              <w:rPr>
                <w:lang w:val="es-ES" w:eastAsia="es-ES"/>
              </w:rPr>
              <w:t>2020</w:t>
            </w:r>
          </w:p>
        </w:tc>
        <w:tc>
          <w:tcPr>
            <w:tcW w:w="840" w:type="pct"/>
            <w:tcBorders>
              <w:top w:val="single" w:sz="4" w:space="0" w:color="auto"/>
              <w:left w:val="nil"/>
              <w:bottom w:val="single" w:sz="4" w:space="0" w:color="auto"/>
              <w:right w:val="nil"/>
            </w:tcBorders>
            <w:shd w:val="clear" w:color="auto" w:fill="FABF8F" w:themeFill="accent6" w:themeFillTint="99"/>
            <w:vAlign w:val="center"/>
          </w:tcPr>
          <w:p w14:paraId="6BD3889A" w14:textId="77777777" w:rsidR="00E57B08" w:rsidRPr="00474131" w:rsidRDefault="00E57B08" w:rsidP="00E57B08">
            <w:pPr>
              <w:pStyle w:val="cuadroCabe"/>
              <w:spacing w:line="240" w:lineRule="auto"/>
              <w:jc w:val="right"/>
              <w:rPr>
                <w:lang w:val="es-ES" w:eastAsia="es-ES"/>
              </w:rPr>
            </w:pPr>
            <w:r w:rsidRPr="00474131">
              <w:rPr>
                <w:lang w:val="es-ES" w:eastAsia="es-ES"/>
              </w:rPr>
              <w:t>2019</w:t>
            </w:r>
          </w:p>
        </w:tc>
        <w:tc>
          <w:tcPr>
            <w:tcW w:w="517" w:type="pct"/>
            <w:tcBorders>
              <w:top w:val="single" w:sz="4" w:space="0" w:color="auto"/>
              <w:left w:val="nil"/>
              <w:bottom w:val="single" w:sz="4" w:space="0" w:color="auto"/>
              <w:right w:val="nil"/>
            </w:tcBorders>
            <w:shd w:val="clear" w:color="auto" w:fill="FABF8F" w:themeFill="accent6" w:themeFillTint="99"/>
            <w:vAlign w:val="center"/>
          </w:tcPr>
          <w:p w14:paraId="2D2C63DF" w14:textId="77777777" w:rsidR="00E57B08" w:rsidRPr="00474131" w:rsidRDefault="00E57B08" w:rsidP="00E57B08">
            <w:pPr>
              <w:pStyle w:val="cuadroCabe"/>
              <w:spacing w:line="240" w:lineRule="auto"/>
              <w:jc w:val="right"/>
              <w:rPr>
                <w:lang w:val="es-ES" w:eastAsia="es-ES"/>
              </w:rPr>
            </w:pPr>
            <w:r w:rsidRPr="00474131">
              <w:rPr>
                <w:lang w:val="es-ES" w:eastAsia="es-ES"/>
              </w:rPr>
              <w:t>2020</w:t>
            </w:r>
          </w:p>
        </w:tc>
      </w:tr>
      <w:tr w:rsidR="001C793D" w:rsidRPr="00474131" w14:paraId="0D49A1B9" w14:textId="77777777" w:rsidTr="00E57B08">
        <w:trPr>
          <w:trHeight w:val="227"/>
        </w:trPr>
        <w:tc>
          <w:tcPr>
            <w:tcW w:w="1336" w:type="pct"/>
            <w:tcBorders>
              <w:top w:val="nil"/>
              <w:left w:val="nil"/>
              <w:bottom w:val="single" w:sz="2" w:space="0" w:color="auto"/>
              <w:right w:val="nil"/>
            </w:tcBorders>
            <w:shd w:val="clear" w:color="auto" w:fill="auto"/>
            <w:noWrap/>
            <w:vAlign w:val="center"/>
            <w:hideMark/>
          </w:tcPr>
          <w:p w14:paraId="72A8F001" w14:textId="77777777" w:rsidR="00683931" w:rsidRPr="00474131" w:rsidRDefault="00683931" w:rsidP="00E57B08">
            <w:pPr>
              <w:pStyle w:val="cuatexto"/>
              <w:spacing w:line="240" w:lineRule="auto"/>
              <w:rPr>
                <w:lang w:val="es-ES" w:eastAsia="es-ES"/>
              </w:rPr>
            </w:pPr>
            <w:r w:rsidRPr="00474131">
              <w:rPr>
                <w:lang w:val="es-ES" w:eastAsia="es-ES"/>
              </w:rPr>
              <w:t>Municipios</w:t>
            </w:r>
          </w:p>
        </w:tc>
        <w:tc>
          <w:tcPr>
            <w:tcW w:w="647" w:type="pct"/>
            <w:tcBorders>
              <w:top w:val="nil"/>
              <w:left w:val="nil"/>
              <w:bottom w:val="single" w:sz="2" w:space="0" w:color="auto"/>
              <w:right w:val="nil"/>
            </w:tcBorders>
            <w:shd w:val="clear" w:color="auto" w:fill="auto"/>
            <w:noWrap/>
            <w:vAlign w:val="center"/>
          </w:tcPr>
          <w:p w14:paraId="560C4089" w14:textId="5CF4ADDC" w:rsidR="00683931" w:rsidRPr="00474131" w:rsidRDefault="00683931" w:rsidP="00E57B08">
            <w:pPr>
              <w:pStyle w:val="cuatexto"/>
              <w:spacing w:line="240" w:lineRule="auto"/>
              <w:jc w:val="right"/>
              <w:rPr>
                <w:lang w:val="es-ES" w:eastAsia="es-ES"/>
              </w:rPr>
            </w:pPr>
            <w:r w:rsidRPr="00474131">
              <w:rPr>
                <w:lang w:val="es-ES" w:eastAsia="es-ES"/>
              </w:rPr>
              <w:t>85</w:t>
            </w:r>
          </w:p>
        </w:tc>
        <w:tc>
          <w:tcPr>
            <w:tcW w:w="488" w:type="pct"/>
            <w:tcBorders>
              <w:top w:val="nil"/>
              <w:left w:val="nil"/>
              <w:bottom w:val="single" w:sz="2" w:space="0" w:color="auto"/>
              <w:right w:val="nil"/>
            </w:tcBorders>
            <w:shd w:val="clear" w:color="auto" w:fill="auto"/>
            <w:noWrap/>
            <w:vAlign w:val="center"/>
          </w:tcPr>
          <w:p w14:paraId="2F14B072" w14:textId="5A7D7AB9" w:rsidR="00683931" w:rsidRPr="00474131" w:rsidRDefault="00683931" w:rsidP="00E57B08">
            <w:pPr>
              <w:pStyle w:val="cuatexto"/>
              <w:spacing w:line="240" w:lineRule="auto"/>
              <w:jc w:val="right"/>
              <w:rPr>
                <w:lang w:val="es-ES" w:eastAsia="es-ES"/>
              </w:rPr>
            </w:pPr>
            <w:r w:rsidRPr="00474131">
              <w:rPr>
                <w:lang w:val="es-ES" w:eastAsia="es-ES"/>
              </w:rPr>
              <w:t>69</w:t>
            </w:r>
          </w:p>
        </w:tc>
        <w:tc>
          <w:tcPr>
            <w:tcW w:w="721" w:type="pct"/>
            <w:tcBorders>
              <w:top w:val="nil"/>
              <w:left w:val="nil"/>
              <w:bottom w:val="single" w:sz="2" w:space="0" w:color="auto"/>
              <w:right w:val="nil"/>
            </w:tcBorders>
            <w:shd w:val="clear" w:color="auto" w:fill="auto"/>
            <w:noWrap/>
            <w:vAlign w:val="center"/>
          </w:tcPr>
          <w:p w14:paraId="47C1D5BD" w14:textId="71DDC3C6" w:rsidR="00683931" w:rsidRPr="00474131" w:rsidRDefault="00683931" w:rsidP="00E57B08">
            <w:pPr>
              <w:pStyle w:val="cuatexto"/>
              <w:spacing w:line="240" w:lineRule="auto"/>
              <w:jc w:val="right"/>
              <w:rPr>
                <w:lang w:val="es-ES" w:eastAsia="es-ES"/>
              </w:rPr>
            </w:pPr>
            <w:r w:rsidRPr="00474131">
              <w:rPr>
                <w:lang w:val="es-ES" w:eastAsia="es-ES"/>
              </w:rPr>
              <w:t>71</w:t>
            </w:r>
          </w:p>
        </w:tc>
        <w:tc>
          <w:tcPr>
            <w:tcW w:w="452" w:type="pct"/>
            <w:tcBorders>
              <w:top w:val="nil"/>
              <w:left w:val="nil"/>
              <w:bottom w:val="single" w:sz="2" w:space="0" w:color="auto"/>
              <w:right w:val="nil"/>
            </w:tcBorders>
            <w:shd w:val="clear" w:color="auto" w:fill="auto"/>
            <w:noWrap/>
            <w:vAlign w:val="center"/>
          </w:tcPr>
          <w:p w14:paraId="723182B5" w14:textId="16C39104" w:rsidR="00683931" w:rsidRPr="00474131" w:rsidRDefault="00683931" w:rsidP="00E57B08">
            <w:pPr>
              <w:pStyle w:val="cuatexto"/>
              <w:spacing w:line="240" w:lineRule="auto"/>
              <w:jc w:val="right"/>
              <w:rPr>
                <w:lang w:val="es-ES" w:eastAsia="es-ES"/>
              </w:rPr>
            </w:pPr>
            <w:r w:rsidRPr="00474131">
              <w:rPr>
                <w:lang w:val="es-ES" w:eastAsia="es-ES"/>
              </w:rPr>
              <w:t>57</w:t>
            </w:r>
          </w:p>
        </w:tc>
        <w:tc>
          <w:tcPr>
            <w:tcW w:w="840" w:type="pct"/>
            <w:tcBorders>
              <w:top w:val="nil"/>
              <w:left w:val="nil"/>
              <w:bottom w:val="single" w:sz="2" w:space="0" w:color="auto"/>
              <w:right w:val="nil"/>
            </w:tcBorders>
            <w:shd w:val="clear" w:color="auto" w:fill="auto"/>
            <w:noWrap/>
            <w:vAlign w:val="center"/>
          </w:tcPr>
          <w:p w14:paraId="70704BCB" w14:textId="69CB7E03" w:rsidR="00683931" w:rsidRPr="00474131" w:rsidRDefault="00FB2CFA" w:rsidP="00E57B08">
            <w:pPr>
              <w:pStyle w:val="cuatexto"/>
              <w:spacing w:line="240" w:lineRule="auto"/>
              <w:jc w:val="right"/>
              <w:rPr>
                <w:lang w:val="es-ES" w:eastAsia="es-ES"/>
              </w:rPr>
            </w:pPr>
            <w:r w:rsidRPr="00474131">
              <w:rPr>
                <w:lang w:val="es-ES" w:eastAsia="es-ES"/>
              </w:rPr>
              <w:t>72</w:t>
            </w:r>
          </w:p>
        </w:tc>
        <w:tc>
          <w:tcPr>
            <w:tcW w:w="517" w:type="pct"/>
            <w:tcBorders>
              <w:top w:val="nil"/>
              <w:left w:val="nil"/>
              <w:bottom w:val="single" w:sz="2" w:space="0" w:color="auto"/>
              <w:right w:val="nil"/>
            </w:tcBorders>
            <w:shd w:val="clear" w:color="auto" w:fill="auto"/>
            <w:noWrap/>
            <w:vAlign w:val="center"/>
          </w:tcPr>
          <w:p w14:paraId="1F189645" w14:textId="6408AF77" w:rsidR="00683931" w:rsidRPr="00474131" w:rsidRDefault="00FB2CFA" w:rsidP="00E57B08">
            <w:pPr>
              <w:pStyle w:val="cuatexto"/>
              <w:spacing w:line="240" w:lineRule="auto"/>
              <w:jc w:val="right"/>
              <w:rPr>
                <w:lang w:val="es-ES" w:eastAsia="es-ES"/>
              </w:rPr>
            </w:pPr>
            <w:r w:rsidRPr="00474131">
              <w:rPr>
                <w:lang w:val="es-ES" w:eastAsia="es-ES"/>
              </w:rPr>
              <w:t>71</w:t>
            </w:r>
          </w:p>
        </w:tc>
      </w:tr>
      <w:tr w:rsidR="001C793D" w:rsidRPr="00474131" w14:paraId="1F0BD831" w14:textId="77777777" w:rsidTr="00E57B08">
        <w:trPr>
          <w:trHeight w:val="227"/>
        </w:trPr>
        <w:tc>
          <w:tcPr>
            <w:tcW w:w="1336" w:type="pct"/>
            <w:tcBorders>
              <w:top w:val="single" w:sz="2" w:space="0" w:color="auto"/>
              <w:left w:val="nil"/>
              <w:bottom w:val="single" w:sz="2" w:space="0" w:color="auto"/>
              <w:right w:val="nil"/>
            </w:tcBorders>
            <w:shd w:val="clear" w:color="auto" w:fill="auto"/>
            <w:noWrap/>
            <w:vAlign w:val="center"/>
            <w:hideMark/>
          </w:tcPr>
          <w:p w14:paraId="5CCDE2B7" w14:textId="77777777" w:rsidR="00683931" w:rsidRPr="00474131" w:rsidRDefault="00683931" w:rsidP="00E57B08">
            <w:pPr>
              <w:pStyle w:val="cuatexto"/>
              <w:spacing w:line="240" w:lineRule="auto"/>
              <w:rPr>
                <w:lang w:val="es-ES" w:eastAsia="es-ES"/>
              </w:rPr>
            </w:pPr>
            <w:r w:rsidRPr="00474131">
              <w:rPr>
                <w:lang w:val="es-ES" w:eastAsia="es-ES"/>
              </w:rPr>
              <w:t>Concejos</w:t>
            </w:r>
          </w:p>
        </w:tc>
        <w:tc>
          <w:tcPr>
            <w:tcW w:w="647" w:type="pct"/>
            <w:tcBorders>
              <w:top w:val="single" w:sz="2" w:space="0" w:color="auto"/>
              <w:left w:val="nil"/>
              <w:bottom w:val="single" w:sz="2" w:space="0" w:color="auto"/>
              <w:right w:val="nil"/>
            </w:tcBorders>
            <w:shd w:val="clear" w:color="auto" w:fill="auto"/>
            <w:noWrap/>
            <w:vAlign w:val="center"/>
          </w:tcPr>
          <w:p w14:paraId="617F5C46" w14:textId="70F3E056" w:rsidR="00683931" w:rsidRPr="00474131" w:rsidRDefault="00683931" w:rsidP="00E57B08">
            <w:pPr>
              <w:pStyle w:val="cuatexto"/>
              <w:spacing w:line="240" w:lineRule="auto"/>
              <w:jc w:val="right"/>
              <w:rPr>
                <w:lang w:val="es-ES" w:eastAsia="es-ES"/>
              </w:rPr>
            </w:pPr>
            <w:r w:rsidRPr="00474131">
              <w:rPr>
                <w:lang w:val="es-ES" w:eastAsia="es-ES"/>
              </w:rPr>
              <w:t>74</w:t>
            </w:r>
          </w:p>
        </w:tc>
        <w:tc>
          <w:tcPr>
            <w:tcW w:w="488" w:type="pct"/>
            <w:tcBorders>
              <w:top w:val="single" w:sz="2" w:space="0" w:color="auto"/>
              <w:left w:val="nil"/>
              <w:bottom w:val="single" w:sz="2" w:space="0" w:color="auto"/>
              <w:right w:val="nil"/>
            </w:tcBorders>
            <w:shd w:val="clear" w:color="auto" w:fill="auto"/>
            <w:noWrap/>
            <w:vAlign w:val="center"/>
          </w:tcPr>
          <w:p w14:paraId="6E03C271" w14:textId="2EA81844" w:rsidR="00683931" w:rsidRPr="00474131" w:rsidRDefault="00683931" w:rsidP="00E57B08">
            <w:pPr>
              <w:pStyle w:val="cuatexto"/>
              <w:spacing w:line="240" w:lineRule="auto"/>
              <w:jc w:val="right"/>
              <w:rPr>
                <w:lang w:val="es-ES" w:eastAsia="es-ES"/>
              </w:rPr>
            </w:pPr>
            <w:r w:rsidRPr="00474131">
              <w:rPr>
                <w:lang w:val="es-ES" w:eastAsia="es-ES"/>
              </w:rPr>
              <w:t>68</w:t>
            </w:r>
          </w:p>
        </w:tc>
        <w:tc>
          <w:tcPr>
            <w:tcW w:w="721" w:type="pct"/>
            <w:tcBorders>
              <w:top w:val="single" w:sz="2" w:space="0" w:color="auto"/>
              <w:left w:val="nil"/>
              <w:bottom w:val="single" w:sz="2" w:space="0" w:color="auto"/>
              <w:right w:val="nil"/>
            </w:tcBorders>
            <w:shd w:val="clear" w:color="auto" w:fill="auto"/>
            <w:noWrap/>
            <w:vAlign w:val="center"/>
          </w:tcPr>
          <w:p w14:paraId="2147612A" w14:textId="3EAF687D" w:rsidR="00683931" w:rsidRPr="00474131" w:rsidRDefault="00683931" w:rsidP="00E57B08">
            <w:pPr>
              <w:pStyle w:val="cuatexto"/>
              <w:spacing w:line="240" w:lineRule="auto"/>
              <w:jc w:val="right"/>
              <w:rPr>
                <w:lang w:val="es-ES" w:eastAsia="es-ES"/>
              </w:rPr>
            </w:pPr>
            <w:r w:rsidRPr="00474131">
              <w:rPr>
                <w:lang w:val="es-ES" w:eastAsia="es-ES"/>
              </w:rPr>
              <w:t>55</w:t>
            </w:r>
          </w:p>
        </w:tc>
        <w:tc>
          <w:tcPr>
            <w:tcW w:w="452" w:type="pct"/>
            <w:tcBorders>
              <w:top w:val="single" w:sz="2" w:space="0" w:color="auto"/>
              <w:left w:val="nil"/>
              <w:bottom w:val="single" w:sz="2" w:space="0" w:color="auto"/>
              <w:right w:val="nil"/>
            </w:tcBorders>
            <w:shd w:val="clear" w:color="auto" w:fill="auto"/>
            <w:noWrap/>
            <w:vAlign w:val="center"/>
          </w:tcPr>
          <w:p w14:paraId="4A674254" w14:textId="656D6457" w:rsidR="00683931" w:rsidRPr="00474131" w:rsidRDefault="00683931" w:rsidP="00E57B08">
            <w:pPr>
              <w:pStyle w:val="cuatexto"/>
              <w:spacing w:line="240" w:lineRule="auto"/>
              <w:jc w:val="right"/>
              <w:rPr>
                <w:lang w:val="es-ES" w:eastAsia="es-ES"/>
              </w:rPr>
            </w:pPr>
            <w:r w:rsidRPr="00474131">
              <w:rPr>
                <w:lang w:val="es-ES" w:eastAsia="es-ES"/>
              </w:rPr>
              <w:t>52</w:t>
            </w:r>
          </w:p>
        </w:tc>
        <w:tc>
          <w:tcPr>
            <w:tcW w:w="840" w:type="pct"/>
            <w:tcBorders>
              <w:top w:val="single" w:sz="2" w:space="0" w:color="auto"/>
              <w:left w:val="nil"/>
              <w:bottom w:val="single" w:sz="2" w:space="0" w:color="auto"/>
              <w:right w:val="nil"/>
            </w:tcBorders>
            <w:shd w:val="clear" w:color="auto" w:fill="auto"/>
            <w:noWrap/>
            <w:vAlign w:val="center"/>
          </w:tcPr>
          <w:p w14:paraId="76686196" w14:textId="519680A2" w:rsidR="00683931" w:rsidRPr="00474131" w:rsidRDefault="00FB2CFA" w:rsidP="00E57B08">
            <w:pPr>
              <w:pStyle w:val="cuatexto"/>
              <w:spacing w:line="240" w:lineRule="auto"/>
              <w:jc w:val="right"/>
              <w:rPr>
                <w:lang w:val="es-ES" w:eastAsia="es-ES"/>
              </w:rPr>
            </w:pPr>
            <w:r w:rsidRPr="00474131">
              <w:rPr>
                <w:lang w:val="es-ES" w:eastAsia="es-ES"/>
              </w:rPr>
              <w:t>57</w:t>
            </w:r>
          </w:p>
        </w:tc>
        <w:tc>
          <w:tcPr>
            <w:tcW w:w="517" w:type="pct"/>
            <w:tcBorders>
              <w:top w:val="single" w:sz="2" w:space="0" w:color="auto"/>
              <w:left w:val="nil"/>
              <w:bottom w:val="single" w:sz="2" w:space="0" w:color="auto"/>
              <w:right w:val="nil"/>
            </w:tcBorders>
            <w:shd w:val="clear" w:color="auto" w:fill="auto"/>
            <w:noWrap/>
            <w:vAlign w:val="center"/>
          </w:tcPr>
          <w:p w14:paraId="1D74A5DD" w14:textId="6159246B" w:rsidR="00683931" w:rsidRPr="00474131" w:rsidRDefault="00FB2CFA" w:rsidP="00E57B08">
            <w:pPr>
              <w:pStyle w:val="cuatexto"/>
              <w:spacing w:line="240" w:lineRule="auto"/>
              <w:jc w:val="right"/>
              <w:rPr>
                <w:lang w:val="es-ES" w:eastAsia="es-ES"/>
              </w:rPr>
            </w:pPr>
            <w:r w:rsidRPr="00474131">
              <w:rPr>
                <w:lang w:val="es-ES" w:eastAsia="es-ES"/>
              </w:rPr>
              <w:t>66</w:t>
            </w:r>
          </w:p>
        </w:tc>
      </w:tr>
      <w:tr w:rsidR="001C793D" w:rsidRPr="00474131" w14:paraId="6EA4D371" w14:textId="77777777" w:rsidTr="00E57B08">
        <w:trPr>
          <w:trHeight w:val="227"/>
        </w:trPr>
        <w:tc>
          <w:tcPr>
            <w:tcW w:w="1336" w:type="pct"/>
            <w:tcBorders>
              <w:top w:val="single" w:sz="2" w:space="0" w:color="auto"/>
              <w:left w:val="nil"/>
              <w:bottom w:val="single" w:sz="2" w:space="0" w:color="auto"/>
              <w:right w:val="nil"/>
            </w:tcBorders>
            <w:shd w:val="clear" w:color="auto" w:fill="auto"/>
            <w:noWrap/>
            <w:vAlign w:val="center"/>
            <w:hideMark/>
          </w:tcPr>
          <w:p w14:paraId="24719F87" w14:textId="77777777" w:rsidR="00683931" w:rsidRPr="00474131" w:rsidRDefault="00683931" w:rsidP="00E57B08">
            <w:pPr>
              <w:pStyle w:val="cuatexto"/>
              <w:spacing w:line="240" w:lineRule="auto"/>
              <w:rPr>
                <w:lang w:val="es-ES" w:eastAsia="es-ES"/>
              </w:rPr>
            </w:pPr>
            <w:r w:rsidRPr="00474131">
              <w:rPr>
                <w:lang w:val="es-ES" w:eastAsia="es-ES"/>
              </w:rPr>
              <w:t>Mancomunidades</w:t>
            </w:r>
          </w:p>
        </w:tc>
        <w:tc>
          <w:tcPr>
            <w:tcW w:w="647" w:type="pct"/>
            <w:tcBorders>
              <w:top w:val="single" w:sz="2" w:space="0" w:color="auto"/>
              <w:left w:val="nil"/>
              <w:bottom w:val="single" w:sz="2" w:space="0" w:color="auto"/>
              <w:right w:val="nil"/>
            </w:tcBorders>
            <w:shd w:val="clear" w:color="auto" w:fill="auto"/>
            <w:noWrap/>
            <w:vAlign w:val="center"/>
          </w:tcPr>
          <w:p w14:paraId="3601BBB6" w14:textId="6148241A" w:rsidR="00683931" w:rsidRPr="00474131" w:rsidRDefault="00683931" w:rsidP="00E57B08">
            <w:pPr>
              <w:pStyle w:val="cuatexto"/>
              <w:spacing w:line="240" w:lineRule="auto"/>
              <w:jc w:val="right"/>
              <w:rPr>
                <w:lang w:val="es-ES" w:eastAsia="es-ES"/>
              </w:rPr>
            </w:pPr>
            <w:r w:rsidRPr="00474131">
              <w:rPr>
                <w:lang w:val="es-ES" w:eastAsia="es-ES"/>
              </w:rPr>
              <w:t>66</w:t>
            </w:r>
          </w:p>
        </w:tc>
        <w:tc>
          <w:tcPr>
            <w:tcW w:w="488" w:type="pct"/>
            <w:tcBorders>
              <w:top w:val="single" w:sz="2" w:space="0" w:color="auto"/>
              <w:left w:val="nil"/>
              <w:bottom w:val="single" w:sz="2" w:space="0" w:color="auto"/>
              <w:right w:val="nil"/>
            </w:tcBorders>
            <w:shd w:val="clear" w:color="auto" w:fill="auto"/>
            <w:noWrap/>
            <w:vAlign w:val="center"/>
          </w:tcPr>
          <w:p w14:paraId="7B8AFB66" w14:textId="44E502F9" w:rsidR="00683931" w:rsidRPr="00474131" w:rsidRDefault="00683931" w:rsidP="00E57B08">
            <w:pPr>
              <w:pStyle w:val="cuatexto"/>
              <w:spacing w:line="240" w:lineRule="auto"/>
              <w:jc w:val="right"/>
              <w:rPr>
                <w:lang w:val="es-ES" w:eastAsia="es-ES"/>
              </w:rPr>
            </w:pPr>
            <w:r w:rsidRPr="00474131">
              <w:rPr>
                <w:lang w:val="es-ES" w:eastAsia="es-ES"/>
              </w:rPr>
              <w:t>61</w:t>
            </w:r>
          </w:p>
        </w:tc>
        <w:tc>
          <w:tcPr>
            <w:tcW w:w="721" w:type="pct"/>
            <w:tcBorders>
              <w:top w:val="single" w:sz="2" w:space="0" w:color="auto"/>
              <w:left w:val="nil"/>
              <w:bottom w:val="single" w:sz="2" w:space="0" w:color="auto"/>
              <w:right w:val="nil"/>
            </w:tcBorders>
            <w:shd w:val="clear" w:color="auto" w:fill="auto"/>
            <w:noWrap/>
            <w:vAlign w:val="center"/>
          </w:tcPr>
          <w:p w14:paraId="1DDB606F" w14:textId="5E878F62" w:rsidR="00683931" w:rsidRPr="00474131" w:rsidRDefault="00683931" w:rsidP="00E57B08">
            <w:pPr>
              <w:pStyle w:val="cuatexto"/>
              <w:spacing w:line="240" w:lineRule="auto"/>
              <w:jc w:val="right"/>
              <w:rPr>
                <w:lang w:val="es-ES" w:eastAsia="es-ES"/>
              </w:rPr>
            </w:pPr>
            <w:r w:rsidRPr="00474131">
              <w:rPr>
                <w:lang w:val="es-ES" w:eastAsia="es-ES"/>
              </w:rPr>
              <w:t>53</w:t>
            </w:r>
          </w:p>
        </w:tc>
        <w:tc>
          <w:tcPr>
            <w:tcW w:w="452" w:type="pct"/>
            <w:tcBorders>
              <w:top w:val="single" w:sz="2" w:space="0" w:color="auto"/>
              <w:left w:val="nil"/>
              <w:bottom w:val="single" w:sz="2" w:space="0" w:color="auto"/>
              <w:right w:val="nil"/>
            </w:tcBorders>
            <w:shd w:val="clear" w:color="auto" w:fill="auto"/>
            <w:noWrap/>
            <w:vAlign w:val="center"/>
          </w:tcPr>
          <w:p w14:paraId="040F36DA" w14:textId="6721BBBB" w:rsidR="00683931" w:rsidRPr="00474131" w:rsidRDefault="00683931" w:rsidP="00E57B08">
            <w:pPr>
              <w:pStyle w:val="cuatexto"/>
              <w:spacing w:line="240" w:lineRule="auto"/>
              <w:jc w:val="right"/>
              <w:rPr>
                <w:lang w:val="es-ES" w:eastAsia="es-ES"/>
              </w:rPr>
            </w:pPr>
            <w:r w:rsidRPr="00474131">
              <w:rPr>
                <w:lang w:val="es-ES" w:eastAsia="es-ES"/>
              </w:rPr>
              <w:t>54</w:t>
            </w:r>
          </w:p>
        </w:tc>
        <w:tc>
          <w:tcPr>
            <w:tcW w:w="840" w:type="pct"/>
            <w:tcBorders>
              <w:top w:val="single" w:sz="2" w:space="0" w:color="auto"/>
              <w:left w:val="nil"/>
              <w:bottom w:val="single" w:sz="2" w:space="0" w:color="auto"/>
              <w:right w:val="nil"/>
            </w:tcBorders>
            <w:shd w:val="clear" w:color="auto" w:fill="auto"/>
            <w:noWrap/>
            <w:vAlign w:val="center"/>
          </w:tcPr>
          <w:p w14:paraId="56B80955" w14:textId="3B5ACE87" w:rsidR="00683931" w:rsidRPr="00474131" w:rsidRDefault="00FB2CFA" w:rsidP="00E57B08">
            <w:pPr>
              <w:pStyle w:val="cuatexto"/>
              <w:spacing w:line="240" w:lineRule="auto"/>
              <w:jc w:val="right"/>
              <w:rPr>
                <w:lang w:val="es-ES" w:eastAsia="es-ES"/>
              </w:rPr>
            </w:pPr>
            <w:r w:rsidRPr="00474131">
              <w:rPr>
                <w:lang w:val="es-ES" w:eastAsia="es-ES"/>
              </w:rPr>
              <w:t>53</w:t>
            </w:r>
          </w:p>
        </w:tc>
        <w:tc>
          <w:tcPr>
            <w:tcW w:w="517" w:type="pct"/>
            <w:tcBorders>
              <w:top w:val="single" w:sz="2" w:space="0" w:color="auto"/>
              <w:left w:val="nil"/>
              <w:bottom w:val="single" w:sz="2" w:space="0" w:color="auto"/>
              <w:right w:val="nil"/>
            </w:tcBorders>
            <w:shd w:val="clear" w:color="auto" w:fill="auto"/>
            <w:noWrap/>
            <w:vAlign w:val="center"/>
          </w:tcPr>
          <w:p w14:paraId="6D4AEE4C" w14:textId="73CC76FC" w:rsidR="00683931" w:rsidRPr="00474131" w:rsidRDefault="00FB2CFA" w:rsidP="00E57B08">
            <w:pPr>
              <w:pStyle w:val="cuatexto"/>
              <w:spacing w:line="240" w:lineRule="auto"/>
              <w:jc w:val="right"/>
              <w:rPr>
                <w:lang w:val="es-ES" w:eastAsia="es-ES"/>
              </w:rPr>
            </w:pPr>
            <w:r w:rsidRPr="00474131">
              <w:rPr>
                <w:lang w:val="es-ES" w:eastAsia="es-ES"/>
              </w:rPr>
              <w:t>66</w:t>
            </w:r>
          </w:p>
        </w:tc>
      </w:tr>
      <w:tr w:rsidR="001C793D" w:rsidRPr="00474131" w14:paraId="7F2B0D6B" w14:textId="77777777" w:rsidTr="004E2CFD">
        <w:trPr>
          <w:trHeight w:val="227"/>
        </w:trPr>
        <w:tc>
          <w:tcPr>
            <w:tcW w:w="1336" w:type="pct"/>
            <w:tcBorders>
              <w:top w:val="single" w:sz="2" w:space="0" w:color="auto"/>
              <w:left w:val="nil"/>
              <w:bottom w:val="single" w:sz="4" w:space="0" w:color="auto"/>
              <w:right w:val="nil"/>
            </w:tcBorders>
            <w:shd w:val="clear" w:color="auto" w:fill="auto"/>
            <w:noWrap/>
            <w:vAlign w:val="center"/>
            <w:hideMark/>
          </w:tcPr>
          <w:p w14:paraId="44507D61" w14:textId="77777777" w:rsidR="00683931" w:rsidRPr="00474131" w:rsidRDefault="00683931" w:rsidP="00E57B08">
            <w:pPr>
              <w:pStyle w:val="cuatexto"/>
              <w:spacing w:line="240" w:lineRule="auto"/>
              <w:rPr>
                <w:lang w:val="es-ES" w:eastAsia="es-ES"/>
              </w:rPr>
            </w:pPr>
            <w:r w:rsidRPr="00474131">
              <w:rPr>
                <w:lang w:val="es-ES" w:eastAsia="es-ES"/>
              </w:rPr>
              <w:t>Agrupaciones de municipios</w:t>
            </w:r>
          </w:p>
        </w:tc>
        <w:tc>
          <w:tcPr>
            <w:tcW w:w="647" w:type="pct"/>
            <w:tcBorders>
              <w:top w:val="single" w:sz="2" w:space="0" w:color="auto"/>
              <w:left w:val="nil"/>
              <w:bottom w:val="single" w:sz="4" w:space="0" w:color="auto"/>
              <w:right w:val="nil"/>
            </w:tcBorders>
            <w:shd w:val="clear" w:color="auto" w:fill="auto"/>
            <w:noWrap/>
            <w:vAlign w:val="center"/>
          </w:tcPr>
          <w:p w14:paraId="5EE6B84B" w14:textId="0853BFFC" w:rsidR="00683931" w:rsidRPr="00474131" w:rsidRDefault="00683931" w:rsidP="00E57B08">
            <w:pPr>
              <w:pStyle w:val="cuatexto"/>
              <w:spacing w:line="240" w:lineRule="auto"/>
              <w:jc w:val="right"/>
              <w:rPr>
                <w:lang w:val="es-ES" w:eastAsia="es-ES"/>
              </w:rPr>
            </w:pPr>
            <w:r w:rsidRPr="00474131">
              <w:rPr>
                <w:lang w:val="es-ES" w:eastAsia="es-ES"/>
              </w:rPr>
              <w:t>59</w:t>
            </w:r>
          </w:p>
        </w:tc>
        <w:tc>
          <w:tcPr>
            <w:tcW w:w="488" w:type="pct"/>
            <w:tcBorders>
              <w:top w:val="single" w:sz="2" w:space="0" w:color="auto"/>
              <w:left w:val="nil"/>
              <w:bottom w:val="single" w:sz="4" w:space="0" w:color="auto"/>
              <w:right w:val="nil"/>
            </w:tcBorders>
            <w:shd w:val="clear" w:color="auto" w:fill="auto"/>
            <w:noWrap/>
            <w:vAlign w:val="center"/>
          </w:tcPr>
          <w:p w14:paraId="54390F14" w14:textId="4F41FDA5" w:rsidR="00683931" w:rsidRPr="00474131" w:rsidRDefault="00683931" w:rsidP="00E57B08">
            <w:pPr>
              <w:pStyle w:val="cuatexto"/>
              <w:spacing w:line="240" w:lineRule="auto"/>
              <w:jc w:val="right"/>
              <w:rPr>
                <w:lang w:val="es-ES" w:eastAsia="es-ES"/>
              </w:rPr>
            </w:pPr>
            <w:r w:rsidRPr="00474131">
              <w:rPr>
                <w:lang w:val="es-ES" w:eastAsia="es-ES"/>
              </w:rPr>
              <w:t>64</w:t>
            </w:r>
          </w:p>
        </w:tc>
        <w:tc>
          <w:tcPr>
            <w:tcW w:w="721" w:type="pct"/>
            <w:tcBorders>
              <w:top w:val="single" w:sz="2" w:space="0" w:color="auto"/>
              <w:left w:val="nil"/>
              <w:bottom w:val="single" w:sz="4" w:space="0" w:color="auto"/>
              <w:right w:val="nil"/>
            </w:tcBorders>
            <w:shd w:val="clear" w:color="auto" w:fill="auto"/>
            <w:noWrap/>
            <w:vAlign w:val="center"/>
          </w:tcPr>
          <w:p w14:paraId="2C045972" w14:textId="34DA955E" w:rsidR="00683931" w:rsidRPr="00474131" w:rsidRDefault="00683931" w:rsidP="00E57B08">
            <w:pPr>
              <w:pStyle w:val="cuatexto"/>
              <w:spacing w:line="240" w:lineRule="auto"/>
              <w:jc w:val="right"/>
              <w:rPr>
                <w:lang w:val="es-ES" w:eastAsia="es-ES"/>
              </w:rPr>
            </w:pPr>
            <w:r w:rsidRPr="00474131">
              <w:rPr>
                <w:lang w:val="es-ES" w:eastAsia="es-ES"/>
              </w:rPr>
              <w:t>41</w:t>
            </w:r>
          </w:p>
        </w:tc>
        <w:tc>
          <w:tcPr>
            <w:tcW w:w="452" w:type="pct"/>
            <w:tcBorders>
              <w:top w:val="single" w:sz="2" w:space="0" w:color="auto"/>
              <w:left w:val="nil"/>
              <w:bottom w:val="single" w:sz="4" w:space="0" w:color="auto"/>
              <w:right w:val="nil"/>
            </w:tcBorders>
            <w:shd w:val="clear" w:color="auto" w:fill="auto"/>
            <w:noWrap/>
            <w:vAlign w:val="center"/>
          </w:tcPr>
          <w:p w14:paraId="3DE82276" w14:textId="2BA42D6D" w:rsidR="00683931" w:rsidRPr="00474131" w:rsidRDefault="00683931" w:rsidP="00E57B08">
            <w:pPr>
              <w:pStyle w:val="cuatexto"/>
              <w:spacing w:line="240" w:lineRule="auto"/>
              <w:jc w:val="right"/>
              <w:rPr>
                <w:lang w:val="es-ES" w:eastAsia="es-ES"/>
              </w:rPr>
            </w:pPr>
            <w:r w:rsidRPr="00474131">
              <w:rPr>
                <w:lang w:val="es-ES" w:eastAsia="es-ES"/>
              </w:rPr>
              <w:t>41</w:t>
            </w:r>
          </w:p>
        </w:tc>
        <w:tc>
          <w:tcPr>
            <w:tcW w:w="840" w:type="pct"/>
            <w:tcBorders>
              <w:top w:val="single" w:sz="2" w:space="0" w:color="auto"/>
              <w:left w:val="nil"/>
              <w:bottom w:val="single" w:sz="4" w:space="0" w:color="auto"/>
              <w:right w:val="nil"/>
            </w:tcBorders>
            <w:shd w:val="clear" w:color="auto" w:fill="auto"/>
            <w:noWrap/>
            <w:vAlign w:val="center"/>
          </w:tcPr>
          <w:p w14:paraId="0D7EDD9D" w14:textId="0E83D38E" w:rsidR="00683931" w:rsidRPr="00474131" w:rsidRDefault="00FB2CFA" w:rsidP="00E57B08">
            <w:pPr>
              <w:pStyle w:val="cuatexto"/>
              <w:spacing w:line="240" w:lineRule="auto"/>
              <w:jc w:val="right"/>
              <w:rPr>
                <w:lang w:val="es-ES" w:eastAsia="es-ES"/>
              </w:rPr>
            </w:pPr>
            <w:r w:rsidRPr="00474131">
              <w:rPr>
                <w:lang w:val="es-ES" w:eastAsia="es-ES"/>
              </w:rPr>
              <w:t>55</w:t>
            </w:r>
          </w:p>
        </w:tc>
        <w:tc>
          <w:tcPr>
            <w:tcW w:w="517" w:type="pct"/>
            <w:tcBorders>
              <w:top w:val="single" w:sz="2" w:space="0" w:color="auto"/>
              <w:left w:val="nil"/>
              <w:bottom w:val="single" w:sz="4" w:space="0" w:color="auto"/>
              <w:right w:val="nil"/>
            </w:tcBorders>
            <w:shd w:val="clear" w:color="auto" w:fill="auto"/>
            <w:noWrap/>
            <w:vAlign w:val="center"/>
          </w:tcPr>
          <w:p w14:paraId="57089438" w14:textId="275844F9" w:rsidR="00683931" w:rsidRPr="00474131" w:rsidRDefault="00FB2CFA" w:rsidP="00E57B08">
            <w:pPr>
              <w:pStyle w:val="cuatexto"/>
              <w:spacing w:line="240" w:lineRule="auto"/>
              <w:jc w:val="right"/>
              <w:rPr>
                <w:lang w:val="es-ES" w:eastAsia="es-ES"/>
              </w:rPr>
            </w:pPr>
            <w:r w:rsidRPr="00474131">
              <w:rPr>
                <w:lang w:val="es-ES" w:eastAsia="es-ES"/>
              </w:rPr>
              <w:t>68</w:t>
            </w:r>
          </w:p>
        </w:tc>
      </w:tr>
      <w:tr w:rsidR="001C793D" w:rsidRPr="00474131" w14:paraId="6BB471A8" w14:textId="77777777" w:rsidTr="00E57B08">
        <w:trPr>
          <w:trHeight w:val="227"/>
        </w:trPr>
        <w:tc>
          <w:tcPr>
            <w:tcW w:w="1336" w:type="pct"/>
            <w:tcBorders>
              <w:top w:val="single" w:sz="4" w:space="0" w:color="auto"/>
              <w:left w:val="nil"/>
              <w:bottom w:val="single" w:sz="4" w:space="0" w:color="auto"/>
              <w:right w:val="nil"/>
            </w:tcBorders>
            <w:shd w:val="clear" w:color="auto" w:fill="FABF8F" w:themeFill="accent6" w:themeFillTint="99"/>
            <w:noWrap/>
            <w:vAlign w:val="center"/>
          </w:tcPr>
          <w:p w14:paraId="31AEC359" w14:textId="77777777" w:rsidR="008E43F9" w:rsidRPr="00474131" w:rsidRDefault="008E43F9" w:rsidP="00E57B08">
            <w:pPr>
              <w:pStyle w:val="cuadroCabe"/>
              <w:spacing w:line="240" w:lineRule="auto"/>
              <w:rPr>
                <w:lang w:val="es-ES" w:eastAsia="es-ES"/>
              </w:rPr>
            </w:pPr>
            <w:r w:rsidRPr="00474131">
              <w:rPr>
                <w:lang w:val="es-ES" w:eastAsia="es-ES"/>
              </w:rPr>
              <w:t>Total</w:t>
            </w:r>
          </w:p>
        </w:tc>
        <w:tc>
          <w:tcPr>
            <w:tcW w:w="647" w:type="pct"/>
            <w:tcBorders>
              <w:top w:val="single" w:sz="4" w:space="0" w:color="auto"/>
              <w:left w:val="nil"/>
              <w:bottom w:val="single" w:sz="4" w:space="0" w:color="auto"/>
              <w:right w:val="nil"/>
            </w:tcBorders>
            <w:shd w:val="clear" w:color="auto" w:fill="FABF8F" w:themeFill="accent6" w:themeFillTint="99"/>
            <w:noWrap/>
            <w:vAlign w:val="center"/>
          </w:tcPr>
          <w:p w14:paraId="18890261" w14:textId="416385BA" w:rsidR="008E43F9" w:rsidRPr="00474131" w:rsidRDefault="008E43F9" w:rsidP="00E57B08">
            <w:pPr>
              <w:pStyle w:val="cuadroCabe"/>
              <w:spacing w:line="240" w:lineRule="auto"/>
              <w:jc w:val="right"/>
              <w:rPr>
                <w:lang w:val="es-ES" w:eastAsia="es-ES"/>
              </w:rPr>
            </w:pPr>
            <w:r w:rsidRPr="00474131">
              <w:rPr>
                <w:lang w:val="es-ES" w:eastAsia="es-ES"/>
              </w:rPr>
              <w:t>77</w:t>
            </w:r>
          </w:p>
        </w:tc>
        <w:tc>
          <w:tcPr>
            <w:tcW w:w="488" w:type="pct"/>
            <w:tcBorders>
              <w:top w:val="single" w:sz="4" w:space="0" w:color="auto"/>
              <w:left w:val="nil"/>
              <w:bottom w:val="single" w:sz="4" w:space="0" w:color="auto"/>
              <w:right w:val="nil"/>
            </w:tcBorders>
            <w:shd w:val="clear" w:color="auto" w:fill="FABF8F" w:themeFill="accent6" w:themeFillTint="99"/>
            <w:noWrap/>
            <w:vAlign w:val="center"/>
          </w:tcPr>
          <w:p w14:paraId="5B2CFCEF" w14:textId="6054F746" w:rsidR="008E43F9" w:rsidRPr="00474131" w:rsidRDefault="008E43F9" w:rsidP="00E57B08">
            <w:pPr>
              <w:pStyle w:val="cuadroCabe"/>
              <w:spacing w:line="240" w:lineRule="auto"/>
              <w:jc w:val="right"/>
              <w:rPr>
                <w:lang w:val="es-ES" w:eastAsia="es-ES"/>
              </w:rPr>
            </w:pPr>
            <w:r w:rsidRPr="00474131">
              <w:rPr>
                <w:lang w:val="es-ES" w:eastAsia="es-ES"/>
              </w:rPr>
              <w:t>68</w:t>
            </w:r>
          </w:p>
        </w:tc>
        <w:tc>
          <w:tcPr>
            <w:tcW w:w="721" w:type="pct"/>
            <w:tcBorders>
              <w:top w:val="single" w:sz="4" w:space="0" w:color="auto"/>
              <w:left w:val="nil"/>
              <w:bottom w:val="single" w:sz="4" w:space="0" w:color="auto"/>
              <w:right w:val="nil"/>
            </w:tcBorders>
            <w:shd w:val="clear" w:color="auto" w:fill="FABF8F" w:themeFill="accent6" w:themeFillTint="99"/>
            <w:noWrap/>
            <w:vAlign w:val="center"/>
          </w:tcPr>
          <w:p w14:paraId="67F0316B" w14:textId="2224504E" w:rsidR="008E43F9" w:rsidRPr="00474131" w:rsidRDefault="008E43F9" w:rsidP="00E57B08">
            <w:pPr>
              <w:pStyle w:val="cuadroCabe"/>
              <w:spacing w:line="240" w:lineRule="auto"/>
              <w:jc w:val="right"/>
              <w:rPr>
                <w:lang w:val="es-ES" w:eastAsia="es-ES"/>
              </w:rPr>
            </w:pPr>
            <w:r w:rsidRPr="00474131">
              <w:rPr>
                <w:lang w:val="es-ES" w:eastAsia="es-ES"/>
              </w:rPr>
              <w:t>61</w:t>
            </w:r>
          </w:p>
        </w:tc>
        <w:tc>
          <w:tcPr>
            <w:tcW w:w="452" w:type="pct"/>
            <w:tcBorders>
              <w:top w:val="single" w:sz="4" w:space="0" w:color="auto"/>
              <w:left w:val="nil"/>
              <w:bottom w:val="single" w:sz="4" w:space="0" w:color="auto"/>
              <w:right w:val="nil"/>
            </w:tcBorders>
            <w:shd w:val="clear" w:color="auto" w:fill="FABF8F" w:themeFill="accent6" w:themeFillTint="99"/>
            <w:noWrap/>
            <w:vAlign w:val="center"/>
          </w:tcPr>
          <w:p w14:paraId="04A4B27D" w14:textId="5C1F86D0" w:rsidR="008E43F9" w:rsidRPr="00474131" w:rsidRDefault="008E43F9" w:rsidP="00E57B08">
            <w:pPr>
              <w:pStyle w:val="cuadroCabe"/>
              <w:spacing w:line="240" w:lineRule="auto"/>
              <w:jc w:val="right"/>
              <w:rPr>
                <w:lang w:val="es-ES" w:eastAsia="es-ES"/>
              </w:rPr>
            </w:pPr>
            <w:r w:rsidRPr="00474131">
              <w:rPr>
                <w:lang w:val="es-ES" w:eastAsia="es-ES"/>
              </w:rPr>
              <w:t>53</w:t>
            </w:r>
          </w:p>
        </w:tc>
        <w:tc>
          <w:tcPr>
            <w:tcW w:w="840" w:type="pct"/>
            <w:tcBorders>
              <w:top w:val="single" w:sz="4" w:space="0" w:color="auto"/>
              <w:left w:val="nil"/>
              <w:bottom w:val="single" w:sz="4" w:space="0" w:color="auto"/>
              <w:right w:val="nil"/>
            </w:tcBorders>
            <w:shd w:val="clear" w:color="auto" w:fill="FABF8F" w:themeFill="accent6" w:themeFillTint="99"/>
            <w:noWrap/>
            <w:vAlign w:val="center"/>
          </w:tcPr>
          <w:p w14:paraId="3D600601" w14:textId="1AEB861F" w:rsidR="008E43F9" w:rsidRPr="00474131" w:rsidRDefault="008E43F9" w:rsidP="00E57B08">
            <w:pPr>
              <w:pStyle w:val="cuadroCabe"/>
              <w:spacing w:line="240" w:lineRule="auto"/>
              <w:jc w:val="right"/>
              <w:rPr>
                <w:lang w:val="es-ES" w:eastAsia="es-ES"/>
              </w:rPr>
            </w:pPr>
            <w:r w:rsidRPr="00474131">
              <w:rPr>
                <w:lang w:val="es-ES" w:eastAsia="es-ES"/>
              </w:rPr>
              <w:t>63</w:t>
            </w:r>
          </w:p>
        </w:tc>
        <w:tc>
          <w:tcPr>
            <w:tcW w:w="517" w:type="pct"/>
            <w:tcBorders>
              <w:top w:val="single" w:sz="4" w:space="0" w:color="auto"/>
              <w:left w:val="nil"/>
              <w:bottom w:val="single" w:sz="4" w:space="0" w:color="auto"/>
              <w:right w:val="nil"/>
            </w:tcBorders>
            <w:shd w:val="clear" w:color="auto" w:fill="FABF8F" w:themeFill="accent6" w:themeFillTint="99"/>
            <w:noWrap/>
            <w:vAlign w:val="center"/>
          </w:tcPr>
          <w:p w14:paraId="27D32EBB" w14:textId="4A2DFE31" w:rsidR="008E43F9" w:rsidRPr="00474131" w:rsidRDefault="008E43F9" w:rsidP="00E57B08">
            <w:pPr>
              <w:pStyle w:val="cuadroCabe"/>
              <w:spacing w:line="240" w:lineRule="auto"/>
              <w:jc w:val="right"/>
              <w:rPr>
                <w:lang w:val="es-ES" w:eastAsia="es-ES"/>
              </w:rPr>
            </w:pPr>
            <w:r w:rsidRPr="00474131">
              <w:rPr>
                <w:lang w:val="es-ES" w:eastAsia="es-ES"/>
              </w:rPr>
              <w:t>68</w:t>
            </w:r>
          </w:p>
        </w:tc>
      </w:tr>
    </w:tbl>
    <w:p w14:paraId="04791CF1" w14:textId="5BEA008B" w:rsidR="00683931" w:rsidRDefault="00683931" w:rsidP="00D17928">
      <w:pPr>
        <w:pStyle w:val="texto"/>
        <w:tabs>
          <w:tab w:val="clear" w:pos="2835"/>
          <w:tab w:val="center" w:pos="567"/>
        </w:tabs>
        <w:spacing w:before="240"/>
        <w:rPr>
          <w:rFonts w:cs="Arial"/>
          <w:color w:val="000000" w:themeColor="text1"/>
        </w:rPr>
      </w:pPr>
      <w:r>
        <w:rPr>
          <w:rFonts w:cs="Arial"/>
          <w:color w:val="000000" w:themeColor="text1"/>
        </w:rPr>
        <w:t xml:space="preserve">El </w:t>
      </w:r>
      <w:r w:rsidRPr="008E43F9">
        <w:rPr>
          <w:rFonts w:cs="Arial"/>
          <w:color w:val="000000" w:themeColor="text1"/>
        </w:rPr>
        <w:t>6</w:t>
      </w:r>
      <w:r w:rsidR="008E43F9" w:rsidRPr="008E43F9">
        <w:rPr>
          <w:rFonts w:cs="Arial"/>
          <w:color w:val="000000" w:themeColor="text1"/>
        </w:rPr>
        <w:t>8</w:t>
      </w:r>
      <w:r w:rsidRPr="008E43F9">
        <w:rPr>
          <w:rFonts w:cs="Arial"/>
          <w:color w:val="000000" w:themeColor="text1"/>
        </w:rPr>
        <w:t xml:space="preserve"> por ciento de las entidades locales aprobaron sus cuentas de 2020 en plazo y el 5</w:t>
      </w:r>
      <w:r w:rsidR="008E43F9" w:rsidRPr="008E43F9">
        <w:rPr>
          <w:rFonts w:cs="Arial"/>
          <w:color w:val="000000" w:themeColor="text1"/>
        </w:rPr>
        <w:t>3</w:t>
      </w:r>
      <w:r w:rsidRPr="008E43F9">
        <w:rPr>
          <w:rFonts w:cs="Arial"/>
          <w:color w:val="000000" w:themeColor="text1"/>
        </w:rPr>
        <w:t xml:space="preserve"> por ciento las </w:t>
      </w:r>
      <w:r w:rsidRPr="00D46C83">
        <w:rPr>
          <w:rFonts w:cs="Arial"/>
          <w:color w:val="000000" w:themeColor="text1"/>
        </w:rPr>
        <w:t>remitió a la DGALD dentro del plazo máximo legalmente posible</w:t>
      </w:r>
      <w:r w:rsidR="008E43F9" w:rsidRPr="00D46C83">
        <w:rPr>
          <w:rFonts w:cs="Arial"/>
          <w:color w:val="000000" w:themeColor="text1"/>
        </w:rPr>
        <w:t>.</w:t>
      </w:r>
    </w:p>
    <w:p w14:paraId="3557F409" w14:textId="5B71B38E" w:rsidR="00706B38" w:rsidRPr="007B6C60" w:rsidRDefault="00683931" w:rsidP="00D17928">
      <w:pPr>
        <w:pStyle w:val="texto"/>
        <w:tabs>
          <w:tab w:val="clear" w:pos="2835"/>
          <w:tab w:val="center" w:pos="567"/>
        </w:tabs>
        <w:rPr>
          <w:rFonts w:cs="Arial"/>
          <w:color w:val="000000" w:themeColor="text1"/>
        </w:rPr>
      </w:pPr>
      <w:r>
        <w:rPr>
          <w:rFonts w:cs="Arial"/>
          <w:color w:val="000000" w:themeColor="text1"/>
        </w:rPr>
        <w:t xml:space="preserve">A fecha de elaboración de este informe han remitido sus cuentas de 2020 a la DGALD el 86 por ciento de las entidades locales, porcentaje que alcanza el 91 por ciento si añadimos aquellas entidades </w:t>
      </w:r>
      <w:r w:rsidRPr="007B6C60">
        <w:rPr>
          <w:rFonts w:cs="Arial"/>
          <w:color w:val="000000" w:themeColor="text1"/>
        </w:rPr>
        <w:t xml:space="preserve">que </w:t>
      </w:r>
      <w:r w:rsidR="00775B81" w:rsidRPr="007B6C60">
        <w:rPr>
          <w:rFonts w:cs="Arial"/>
          <w:color w:val="000000" w:themeColor="text1"/>
        </w:rPr>
        <w:t xml:space="preserve">no </w:t>
      </w:r>
      <w:r w:rsidRPr="007B6C60">
        <w:rPr>
          <w:rFonts w:cs="Arial"/>
          <w:color w:val="000000" w:themeColor="text1"/>
        </w:rPr>
        <w:t>han remitido</w:t>
      </w:r>
      <w:r w:rsidR="00775B81" w:rsidRPr="007B6C60">
        <w:rPr>
          <w:rFonts w:cs="Arial"/>
          <w:color w:val="000000" w:themeColor="text1"/>
        </w:rPr>
        <w:t xml:space="preserve"> la cuenta general pero sí</w:t>
      </w:r>
      <w:r w:rsidRPr="007B6C60">
        <w:rPr>
          <w:rFonts w:cs="Arial"/>
          <w:color w:val="000000" w:themeColor="text1"/>
        </w:rPr>
        <w:t xml:space="preserve"> el expediente de </w:t>
      </w:r>
      <w:r w:rsidR="00775B81" w:rsidRPr="007B6C60">
        <w:rPr>
          <w:rFonts w:cs="Arial"/>
          <w:color w:val="000000" w:themeColor="text1"/>
        </w:rPr>
        <w:t xml:space="preserve">liquidación del presupuesto. </w:t>
      </w:r>
      <w:r w:rsidR="00706B38" w:rsidRPr="007B6C60">
        <w:rPr>
          <w:rFonts w:cs="Arial"/>
          <w:color w:val="000000" w:themeColor="text1"/>
        </w:rPr>
        <w:t xml:space="preserve">A </w:t>
      </w:r>
      <w:r w:rsidR="00CA5250" w:rsidRPr="007B6C60">
        <w:rPr>
          <w:rFonts w:cs="Arial"/>
          <w:color w:val="000000" w:themeColor="text1"/>
        </w:rPr>
        <w:t>con</w:t>
      </w:r>
      <w:r w:rsidR="00CA5250" w:rsidRPr="00464D81">
        <w:rPr>
          <w:rFonts w:cs="Arial"/>
          <w:color w:val="000000" w:themeColor="text1"/>
        </w:rPr>
        <w:t>tinuación,</w:t>
      </w:r>
      <w:r w:rsidR="00706B38" w:rsidRPr="00464D81">
        <w:rPr>
          <w:rFonts w:cs="Arial"/>
          <w:color w:val="000000" w:themeColor="text1"/>
        </w:rPr>
        <w:t xml:space="preserve"> señalamos aquellas entidades locales que no han remitido a la DGALD </w:t>
      </w:r>
      <w:r w:rsidR="00706B38" w:rsidRPr="00B30E7B">
        <w:rPr>
          <w:rFonts w:cs="Arial"/>
          <w:color w:val="000000" w:themeColor="text1"/>
        </w:rPr>
        <w:t>ni la cuenta general ni el expediente de liquidación del presupuesto de los ejercicios 2019 y 2020:</w:t>
      </w:r>
    </w:p>
    <w:p w14:paraId="0A39D6BD" w14:textId="5FCABDAC" w:rsidR="00775B81" w:rsidRPr="007B6C60" w:rsidRDefault="00706B38" w:rsidP="00D17928">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7B6C60">
        <w:rPr>
          <w:rFonts w:cs="Arial"/>
          <w:color w:val="000000" w:themeColor="text1"/>
        </w:rPr>
        <w:t>Ayuntamiento</w:t>
      </w:r>
      <w:r w:rsidR="00785D01">
        <w:rPr>
          <w:rFonts w:cs="Arial"/>
          <w:color w:val="000000" w:themeColor="text1"/>
        </w:rPr>
        <w:t xml:space="preserve"> de</w:t>
      </w:r>
      <w:r w:rsidRPr="007B6C60">
        <w:rPr>
          <w:rFonts w:cs="Arial"/>
          <w:color w:val="000000" w:themeColor="text1"/>
        </w:rPr>
        <w:t xml:space="preserve"> </w:t>
      </w:r>
      <w:proofErr w:type="spellStart"/>
      <w:r w:rsidR="00FB2CFA" w:rsidRPr="007B6C60">
        <w:rPr>
          <w:rFonts w:cs="Arial"/>
          <w:color w:val="000000" w:themeColor="text1"/>
        </w:rPr>
        <w:t>Imotz</w:t>
      </w:r>
      <w:proofErr w:type="spellEnd"/>
      <w:r w:rsidR="000F44C5" w:rsidRPr="007B6C60">
        <w:rPr>
          <w:rFonts w:cs="Arial"/>
          <w:color w:val="000000" w:themeColor="text1"/>
        </w:rPr>
        <w:t>.</w:t>
      </w:r>
    </w:p>
    <w:p w14:paraId="67EFBF7D" w14:textId="68C732BF" w:rsidR="001A2B89" w:rsidRPr="007B6C60" w:rsidRDefault="00706B38" w:rsidP="00D17928">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7B6C60">
        <w:rPr>
          <w:rFonts w:cs="Arial"/>
          <w:color w:val="000000" w:themeColor="text1"/>
        </w:rPr>
        <w:t>Concejos:</w:t>
      </w:r>
      <w:r w:rsidR="00785D01">
        <w:rPr>
          <w:rFonts w:cs="Arial"/>
          <w:color w:val="000000" w:themeColor="text1"/>
        </w:rPr>
        <w:t xml:space="preserve"> </w:t>
      </w:r>
      <w:r w:rsidR="001A2B89" w:rsidRPr="007B6C60">
        <w:rPr>
          <w:rFonts w:cs="Arial"/>
          <w:color w:val="000000" w:themeColor="text1"/>
        </w:rPr>
        <w:t xml:space="preserve">Cizur Menor, </w:t>
      </w:r>
      <w:proofErr w:type="spellStart"/>
      <w:r w:rsidR="001A2B89" w:rsidRPr="007B6C60">
        <w:rPr>
          <w:rFonts w:cs="Arial"/>
          <w:color w:val="000000" w:themeColor="text1"/>
        </w:rPr>
        <w:t>Gazólaz</w:t>
      </w:r>
      <w:proofErr w:type="spellEnd"/>
      <w:r w:rsidR="001A2B89" w:rsidRPr="007B6C60">
        <w:rPr>
          <w:rFonts w:cs="Arial"/>
          <w:color w:val="000000" w:themeColor="text1"/>
        </w:rPr>
        <w:t xml:space="preserve">, Larraya, </w:t>
      </w:r>
      <w:proofErr w:type="spellStart"/>
      <w:r w:rsidR="001A2B89" w:rsidRPr="007B6C60">
        <w:rPr>
          <w:rFonts w:cs="Arial"/>
          <w:color w:val="000000" w:themeColor="text1"/>
        </w:rPr>
        <w:t>Paternáin</w:t>
      </w:r>
      <w:proofErr w:type="spellEnd"/>
      <w:r w:rsidR="001A2B89" w:rsidRPr="007B6C60">
        <w:rPr>
          <w:rFonts w:cs="Arial"/>
          <w:color w:val="000000" w:themeColor="text1"/>
        </w:rPr>
        <w:t xml:space="preserve">, </w:t>
      </w:r>
      <w:proofErr w:type="spellStart"/>
      <w:r w:rsidR="001A2B89" w:rsidRPr="007B6C60">
        <w:rPr>
          <w:rFonts w:cs="Arial"/>
          <w:color w:val="000000" w:themeColor="text1"/>
        </w:rPr>
        <w:t>Undiano</w:t>
      </w:r>
      <w:proofErr w:type="spellEnd"/>
      <w:r w:rsidR="001A2B89" w:rsidRPr="007B6C60">
        <w:rPr>
          <w:rFonts w:cs="Arial"/>
          <w:color w:val="000000" w:themeColor="text1"/>
        </w:rPr>
        <w:t xml:space="preserve"> / </w:t>
      </w:r>
      <w:proofErr w:type="spellStart"/>
      <w:r w:rsidR="001A2B89" w:rsidRPr="007B6C60">
        <w:rPr>
          <w:rFonts w:cs="Arial"/>
          <w:color w:val="000000" w:themeColor="text1"/>
        </w:rPr>
        <w:t>Undio</w:t>
      </w:r>
      <w:proofErr w:type="spellEnd"/>
      <w:r w:rsidR="00FB2CFA" w:rsidRPr="007B6C60">
        <w:rPr>
          <w:rFonts w:cs="Arial"/>
          <w:color w:val="000000" w:themeColor="text1"/>
        </w:rPr>
        <w:t xml:space="preserve"> y </w:t>
      </w:r>
      <w:r w:rsidR="001A2B89" w:rsidRPr="007B6C60">
        <w:rPr>
          <w:rFonts w:cs="Arial"/>
          <w:color w:val="000000" w:themeColor="text1"/>
        </w:rPr>
        <w:t>Zariquiegui</w:t>
      </w:r>
      <w:r w:rsidR="00FB2CFA" w:rsidRPr="007B6C60">
        <w:rPr>
          <w:rFonts w:cs="Arial"/>
          <w:color w:val="000000" w:themeColor="text1"/>
        </w:rPr>
        <w:t xml:space="preserve">, </w:t>
      </w:r>
      <w:r w:rsidR="001A2B89" w:rsidRPr="007B6C60">
        <w:rPr>
          <w:rFonts w:cs="Arial"/>
          <w:color w:val="000000" w:themeColor="text1"/>
        </w:rPr>
        <w:t xml:space="preserve">en Cizur; Eraso, </w:t>
      </w:r>
      <w:proofErr w:type="spellStart"/>
      <w:r w:rsidR="001A2B89" w:rsidRPr="007B6C60">
        <w:rPr>
          <w:rFonts w:cs="Arial"/>
          <w:color w:val="000000" w:themeColor="text1"/>
        </w:rPr>
        <w:t>Etxaleku</w:t>
      </w:r>
      <w:proofErr w:type="spellEnd"/>
      <w:r w:rsidR="001A2B89" w:rsidRPr="007B6C60">
        <w:rPr>
          <w:rFonts w:cs="Arial"/>
          <w:color w:val="000000" w:themeColor="text1"/>
        </w:rPr>
        <w:t xml:space="preserve">, </w:t>
      </w:r>
      <w:proofErr w:type="spellStart"/>
      <w:r w:rsidR="001A2B89" w:rsidRPr="007B6C60">
        <w:rPr>
          <w:rFonts w:cs="Arial"/>
          <w:color w:val="000000" w:themeColor="text1"/>
        </w:rPr>
        <w:t>Goldaratz</w:t>
      </w:r>
      <w:proofErr w:type="spellEnd"/>
      <w:r w:rsidR="001A2B89" w:rsidRPr="007B6C60">
        <w:rPr>
          <w:rFonts w:cs="Arial"/>
          <w:color w:val="000000" w:themeColor="text1"/>
        </w:rPr>
        <w:t xml:space="preserve">, </w:t>
      </w:r>
      <w:r w:rsidR="008E43F9" w:rsidRPr="007B6C60">
        <w:rPr>
          <w:rFonts w:cs="Arial"/>
          <w:color w:val="000000" w:themeColor="text1"/>
        </w:rPr>
        <w:t xml:space="preserve">Latasa, </w:t>
      </w:r>
      <w:proofErr w:type="spellStart"/>
      <w:r w:rsidR="001A2B89" w:rsidRPr="007B6C60">
        <w:rPr>
          <w:rFonts w:cs="Arial"/>
          <w:color w:val="000000" w:themeColor="text1"/>
        </w:rPr>
        <w:t>Muskitz</w:t>
      </w:r>
      <w:proofErr w:type="spellEnd"/>
      <w:r w:rsidR="001A2B89" w:rsidRPr="007B6C60">
        <w:rPr>
          <w:rFonts w:cs="Arial"/>
          <w:color w:val="000000" w:themeColor="text1"/>
        </w:rPr>
        <w:t xml:space="preserve">, </w:t>
      </w:r>
      <w:proofErr w:type="spellStart"/>
      <w:r w:rsidR="001A2B89" w:rsidRPr="007B6C60">
        <w:rPr>
          <w:rFonts w:cs="Arial"/>
          <w:color w:val="000000" w:themeColor="text1"/>
        </w:rPr>
        <w:t>Oskotz</w:t>
      </w:r>
      <w:proofErr w:type="spellEnd"/>
      <w:r w:rsidR="001A2B89" w:rsidRPr="007B6C60">
        <w:rPr>
          <w:rFonts w:cs="Arial"/>
          <w:color w:val="000000" w:themeColor="text1"/>
        </w:rPr>
        <w:t xml:space="preserve">, </w:t>
      </w:r>
      <w:proofErr w:type="spellStart"/>
      <w:r w:rsidR="001A2B89" w:rsidRPr="007B6C60">
        <w:rPr>
          <w:rFonts w:cs="Arial"/>
          <w:color w:val="000000" w:themeColor="text1"/>
        </w:rPr>
        <w:t>Urri</w:t>
      </w:r>
      <w:r w:rsidR="008E43F9" w:rsidRPr="007B6C60">
        <w:rPr>
          <w:rFonts w:cs="Arial"/>
          <w:color w:val="000000" w:themeColor="text1"/>
        </w:rPr>
        <w:t>t</w:t>
      </w:r>
      <w:r w:rsidR="001A2B89" w:rsidRPr="007B6C60">
        <w:rPr>
          <w:rFonts w:cs="Arial"/>
          <w:color w:val="000000" w:themeColor="text1"/>
        </w:rPr>
        <w:t>za</w:t>
      </w:r>
      <w:proofErr w:type="spellEnd"/>
      <w:r w:rsidR="00FB2CFA" w:rsidRPr="007B6C60">
        <w:rPr>
          <w:rFonts w:cs="Arial"/>
          <w:color w:val="000000" w:themeColor="text1"/>
        </w:rPr>
        <w:t xml:space="preserve"> y </w:t>
      </w:r>
      <w:proofErr w:type="spellStart"/>
      <w:r w:rsidR="001A2B89" w:rsidRPr="007B6C60">
        <w:rPr>
          <w:rFonts w:cs="Arial"/>
          <w:color w:val="000000" w:themeColor="text1"/>
        </w:rPr>
        <w:t>Zarrantz</w:t>
      </w:r>
      <w:proofErr w:type="spellEnd"/>
      <w:r w:rsidR="001A2B89" w:rsidRPr="007B6C60">
        <w:rPr>
          <w:rFonts w:cs="Arial"/>
          <w:color w:val="000000" w:themeColor="text1"/>
        </w:rPr>
        <w:t xml:space="preserve">, en </w:t>
      </w:r>
      <w:proofErr w:type="spellStart"/>
      <w:r w:rsidR="001A2B89" w:rsidRPr="007B6C60">
        <w:rPr>
          <w:rFonts w:cs="Arial"/>
          <w:color w:val="000000" w:themeColor="text1"/>
        </w:rPr>
        <w:t>Imotz</w:t>
      </w:r>
      <w:proofErr w:type="spellEnd"/>
      <w:r w:rsidR="00FB2CFA" w:rsidRPr="007B6C60">
        <w:rPr>
          <w:rFonts w:cs="Arial"/>
          <w:color w:val="000000" w:themeColor="text1"/>
        </w:rPr>
        <w:t xml:space="preserve">; </w:t>
      </w:r>
      <w:proofErr w:type="spellStart"/>
      <w:r w:rsidR="00FB2CFA" w:rsidRPr="007B6C60">
        <w:rPr>
          <w:rFonts w:cs="Arial"/>
          <w:color w:val="000000" w:themeColor="text1"/>
        </w:rPr>
        <w:t>Larráyoz</w:t>
      </w:r>
      <w:proofErr w:type="spellEnd"/>
      <w:r w:rsidR="00FB2CFA" w:rsidRPr="007B6C60">
        <w:rPr>
          <w:rFonts w:cs="Arial"/>
          <w:color w:val="000000" w:themeColor="text1"/>
        </w:rPr>
        <w:t xml:space="preserve"> y </w:t>
      </w:r>
      <w:proofErr w:type="spellStart"/>
      <w:r w:rsidR="00FB2CFA" w:rsidRPr="007B6C60">
        <w:rPr>
          <w:rFonts w:cs="Arial"/>
          <w:color w:val="000000" w:themeColor="text1"/>
        </w:rPr>
        <w:t>Unzu</w:t>
      </w:r>
      <w:proofErr w:type="spellEnd"/>
      <w:r w:rsidR="00FB2CFA" w:rsidRPr="007B6C60">
        <w:rPr>
          <w:rFonts w:cs="Arial"/>
          <w:color w:val="000000" w:themeColor="text1"/>
        </w:rPr>
        <w:t xml:space="preserve">, en </w:t>
      </w:r>
      <w:proofErr w:type="spellStart"/>
      <w:r w:rsidR="00FB2CFA" w:rsidRPr="007B6C60">
        <w:rPr>
          <w:rFonts w:cs="Arial"/>
          <w:color w:val="000000" w:themeColor="text1"/>
        </w:rPr>
        <w:t>Juslapeña</w:t>
      </w:r>
      <w:proofErr w:type="spellEnd"/>
      <w:r w:rsidR="00FB2CFA" w:rsidRPr="007B6C60">
        <w:rPr>
          <w:rFonts w:cs="Arial"/>
          <w:color w:val="000000" w:themeColor="text1"/>
        </w:rPr>
        <w:t xml:space="preserve">; y también Albiasu, </w:t>
      </w:r>
      <w:proofErr w:type="spellStart"/>
      <w:r w:rsidR="001A2B89" w:rsidRPr="007B6C60">
        <w:rPr>
          <w:rFonts w:cs="Arial"/>
          <w:color w:val="000000" w:themeColor="text1"/>
        </w:rPr>
        <w:t>Inbuluzketa</w:t>
      </w:r>
      <w:proofErr w:type="spellEnd"/>
      <w:r w:rsidR="001A2B89" w:rsidRPr="007B6C60">
        <w:rPr>
          <w:rFonts w:cs="Arial"/>
          <w:color w:val="000000" w:themeColor="text1"/>
        </w:rPr>
        <w:t xml:space="preserve">, Iturgoyen, Labeaga, </w:t>
      </w:r>
      <w:r w:rsidR="00FB2CFA" w:rsidRPr="007B6C60">
        <w:rPr>
          <w:rFonts w:cs="Arial"/>
          <w:color w:val="000000" w:themeColor="text1"/>
        </w:rPr>
        <w:t>Lizaso, Murugarren y Olóriz.</w:t>
      </w:r>
    </w:p>
    <w:p w14:paraId="73920C67" w14:textId="05F2BF78" w:rsidR="00775B81" w:rsidRPr="007B6C60" w:rsidRDefault="00706B38" w:rsidP="00D17928">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7B6C60">
        <w:rPr>
          <w:rFonts w:cs="Arial"/>
          <w:color w:val="000000" w:themeColor="text1"/>
        </w:rPr>
        <w:t xml:space="preserve">Mancomunidades: </w:t>
      </w:r>
      <w:r w:rsidR="000F44C5" w:rsidRPr="007B6C60">
        <w:rPr>
          <w:rFonts w:cs="Arial"/>
          <w:color w:val="000000" w:themeColor="text1"/>
        </w:rPr>
        <w:t>Mancomunida</w:t>
      </w:r>
      <w:r w:rsidR="002D1390" w:rsidRPr="007B6C60">
        <w:rPr>
          <w:rFonts w:cs="Arial"/>
          <w:color w:val="000000" w:themeColor="text1"/>
        </w:rPr>
        <w:t xml:space="preserve">d </w:t>
      </w:r>
      <w:r w:rsidRPr="007B6C60">
        <w:rPr>
          <w:rFonts w:cs="Arial"/>
          <w:color w:val="000000" w:themeColor="text1"/>
        </w:rPr>
        <w:t>de</w:t>
      </w:r>
      <w:r w:rsidR="008E43F9" w:rsidRPr="007B6C60">
        <w:rPr>
          <w:rFonts w:cs="Arial"/>
          <w:color w:val="000000" w:themeColor="text1"/>
        </w:rPr>
        <w:t>l</w:t>
      </w:r>
      <w:r w:rsidRPr="007B6C60">
        <w:rPr>
          <w:rFonts w:cs="Arial"/>
          <w:color w:val="000000" w:themeColor="text1"/>
        </w:rPr>
        <w:t xml:space="preserve"> Alto </w:t>
      </w:r>
      <w:proofErr w:type="spellStart"/>
      <w:r w:rsidRPr="007B6C60">
        <w:rPr>
          <w:rFonts w:cs="Arial"/>
          <w:color w:val="000000" w:themeColor="text1"/>
        </w:rPr>
        <w:t>Araxes</w:t>
      </w:r>
      <w:proofErr w:type="spellEnd"/>
      <w:r w:rsidRPr="007B6C60">
        <w:rPr>
          <w:rFonts w:cs="Arial"/>
          <w:color w:val="000000" w:themeColor="text1"/>
        </w:rPr>
        <w:t xml:space="preserve">, </w:t>
      </w:r>
      <w:r w:rsidR="000F44C5" w:rsidRPr="007B6C60">
        <w:rPr>
          <w:rFonts w:cs="Arial"/>
          <w:color w:val="000000" w:themeColor="text1"/>
        </w:rPr>
        <w:t>Mancomunidad del Norte de Navarra para la Gestión del Euskera y Mancomunidad Deportiva Orre</w:t>
      </w:r>
      <w:r w:rsidR="002D1390" w:rsidRPr="007B6C60">
        <w:rPr>
          <w:rFonts w:cs="Arial"/>
          <w:color w:val="000000" w:themeColor="text1"/>
        </w:rPr>
        <w:t>a</w:t>
      </w:r>
      <w:r w:rsidR="00FB2CFA" w:rsidRPr="007B6C60">
        <w:rPr>
          <w:rFonts w:cs="Arial"/>
          <w:color w:val="000000" w:themeColor="text1"/>
        </w:rPr>
        <w:t>ga.</w:t>
      </w:r>
    </w:p>
    <w:p w14:paraId="44F2BE22" w14:textId="639DFC44" w:rsidR="00683931" w:rsidRDefault="003A0421" w:rsidP="00D17928">
      <w:pPr>
        <w:pStyle w:val="texto"/>
        <w:tabs>
          <w:tab w:val="clear" w:pos="2835"/>
          <w:tab w:val="center" w:pos="567"/>
        </w:tabs>
        <w:rPr>
          <w:rFonts w:cs="Arial"/>
          <w:color w:val="000000" w:themeColor="text1"/>
        </w:rPr>
      </w:pPr>
      <w:r w:rsidRPr="007B6C60">
        <w:rPr>
          <w:rFonts w:cs="Arial"/>
          <w:color w:val="000000" w:themeColor="text1"/>
        </w:rPr>
        <w:t>E</w:t>
      </w:r>
      <w:r w:rsidR="00683931" w:rsidRPr="007B6C60">
        <w:rPr>
          <w:rFonts w:cs="Arial"/>
          <w:color w:val="000000" w:themeColor="text1"/>
        </w:rPr>
        <w:t>n general, las entidades locales aprueban sus</w:t>
      </w:r>
      <w:r w:rsidR="00683931" w:rsidRPr="008E43F9">
        <w:rPr>
          <w:rFonts w:cs="Arial"/>
          <w:color w:val="000000" w:themeColor="text1"/>
        </w:rPr>
        <w:t xml:space="preserve"> cuentas y las remiten a la DGALD, pero en muchos casos existen demoras significativas con respecto a los plazos legales, lo que resta oportunidad y, por tanto, relevancia, a la información. </w:t>
      </w:r>
      <w:r w:rsidR="00974F8A">
        <w:rPr>
          <w:rFonts w:cs="Arial"/>
          <w:color w:val="000000" w:themeColor="text1"/>
        </w:rPr>
        <w:t>En este sentido, l</w:t>
      </w:r>
      <w:r w:rsidR="00683931" w:rsidRPr="008E43F9">
        <w:rPr>
          <w:rFonts w:cs="Arial"/>
          <w:color w:val="000000" w:themeColor="text1"/>
        </w:rPr>
        <w:t>a L</w:t>
      </w:r>
      <w:r w:rsidR="0084582D" w:rsidRPr="008E43F9">
        <w:rPr>
          <w:rFonts w:cs="Arial"/>
          <w:color w:val="000000" w:themeColor="text1"/>
        </w:rPr>
        <w:t xml:space="preserve">ey </w:t>
      </w:r>
      <w:r w:rsidR="00683931" w:rsidRPr="008E43F9">
        <w:rPr>
          <w:rFonts w:cs="Arial"/>
          <w:color w:val="000000" w:themeColor="text1"/>
        </w:rPr>
        <w:t>F</w:t>
      </w:r>
      <w:r w:rsidR="0084582D" w:rsidRPr="008E43F9">
        <w:rPr>
          <w:rFonts w:cs="Arial"/>
          <w:color w:val="000000" w:themeColor="text1"/>
        </w:rPr>
        <w:t>oral</w:t>
      </w:r>
      <w:r w:rsidR="00683931" w:rsidRPr="008E43F9">
        <w:rPr>
          <w:rFonts w:cs="Arial"/>
          <w:color w:val="000000" w:themeColor="text1"/>
        </w:rPr>
        <w:t xml:space="preserve"> 7/2022, de 22 de marzo, por la que se establece la </w:t>
      </w:r>
      <w:r w:rsidR="00683931" w:rsidRPr="008E43F9">
        <w:rPr>
          <w:rFonts w:cs="Arial"/>
          <w:color w:val="000000" w:themeColor="text1"/>
        </w:rPr>
        <w:lastRenderedPageBreak/>
        <w:t>distribución y reparto del Fondo de Participación</w:t>
      </w:r>
      <w:r w:rsidR="00683931">
        <w:rPr>
          <w:rFonts w:cs="Arial"/>
          <w:color w:val="000000" w:themeColor="text1"/>
        </w:rPr>
        <w:t xml:space="preserve"> de las Entidades Locales en los Tributos de Navarra por transferencias corrientes </w:t>
      </w:r>
      <w:r w:rsidR="00464D81">
        <w:rPr>
          <w:rFonts w:cs="Arial"/>
          <w:color w:val="000000" w:themeColor="text1"/>
        </w:rPr>
        <w:t>dispone</w:t>
      </w:r>
      <w:r>
        <w:rPr>
          <w:rFonts w:cs="Arial"/>
          <w:color w:val="000000" w:themeColor="text1"/>
        </w:rPr>
        <w:t xml:space="preserve"> la retención parcial de los pagos para </w:t>
      </w:r>
      <w:r w:rsidR="00683931">
        <w:rPr>
          <w:rFonts w:cs="Arial"/>
          <w:color w:val="000000" w:themeColor="text1"/>
        </w:rPr>
        <w:t xml:space="preserve">aquellas entidades </w:t>
      </w:r>
      <w:r w:rsidR="002E5D2D">
        <w:rPr>
          <w:rFonts w:cs="Arial"/>
          <w:color w:val="000000" w:themeColor="text1"/>
        </w:rPr>
        <w:t xml:space="preserve">locales </w:t>
      </w:r>
      <w:r w:rsidR="00683931">
        <w:rPr>
          <w:rFonts w:cs="Arial"/>
          <w:color w:val="000000" w:themeColor="text1"/>
        </w:rPr>
        <w:t>que no hayan remitido la cuenta general o liquidación presupuestaria del segundo año anterior al del reparto</w:t>
      </w:r>
      <w:r>
        <w:rPr>
          <w:rFonts w:cs="Arial"/>
          <w:color w:val="000000" w:themeColor="text1"/>
        </w:rPr>
        <w:t>.</w:t>
      </w:r>
    </w:p>
    <w:p w14:paraId="2F74FBCA" w14:textId="0CEAAF36" w:rsidR="00683931" w:rsidRDefault="00683931" w:rsidP="00683931">
      <w:pPr>
        <w:pStyle w:val="texto"/>
        <w:tabs>
          <w:tab w:val="clear" w:pos="2835"/>
          <w:tab w:val="center" w:pos="567"/>
        </w:tabs>
        <w:spacing w:before="120" w:after="120"/>
        <w:rPr>
          <w:rFonts w:cs="Arial"/>
          <w:color w:val="000000" w:themeColor="text1"/>
        </w:rPr>
      </w:pPr>
      <w:r>
        <w:rPr>
          <w:rFonts w:cs="Arial"/>
          <w:color w:val="000000" w:themeColor="text1"/>
        </w:rPr>
        <w:t xml:space="preserve">Por lo que se refiere al presupuesto, la LFHL establece que cada entidad local ha de llevar a cabo la aprobación definitiva de su presupuesto general único antes del 31 de diciembre del año anterior al del ejercicio al que corresponde y deben remitirlo a la </w:t>
      </w:r>
      <w:r w:rsidR="00B77FE7">
        <w:rPr>
          <w:rFonts w:cs="Arial"/>
          <w:color w:val="000000" w:themeColor="text1"/>
        </w:rPr>
        <w:t>ACFN</w:t>
      </w:r>
      <w:r>
        <w:rPr>
          <w:rFonts w:cs="Arial"/>
          <w:color w:val="000000" w:themeColor="text1"/>
        </w:rPr>
        <w:t xml:space="preserve"> dentro de los 15 días siguientes a dicha aprobación.  </w:t>
      </w:r>
    </w:p>
    <w:p w14:paraId="35EC3B44" w14:textId="19DA131B" w:rsidR="00683931" w:rsidRDefault="00683931" w:rsidP="004E2CFD">
      <w:pPr>
        <w:pStyle w:val="texto"/>
        <w:tabs>
          <w:tab w:val="clear" w:pos="2835"/>
          <w:tab w:val="center" w:pos="567"/>
        </w:tabs>
        <w:spacing w:before="120" w:after="200"/>
        <w:rPr>
          <w:rFonts w:cs="Arial"/>
          <w:color w:val="000000" w:themeColor="text1"/>
        </w:rPr>
      </w:pPr>
      <w:r>
        <w:rPr>
          <w:rFonts w:cs="Arial"/>
          <w:color w:val="000000" w:themeColor="text1"/>
        </w:rPr>
        <w:t>La tabla siguiente muestra</w:t>
      </w:r>
      <w:r w:rsidRPr="00B81E61">
        <w:rPr>
          <w:rFonts w:cs="Arial"/>
          <w:color w:val="000000" w:themeColor="text1"/>
        </w:rPr>
        <w:t xml:space="preserve"> los plazos de aprobación y envío del expediente de</w:t>
      </w:r>
      <w:r>
        <w:rPr>
          <w:rFonts w:cs="Arial"/>
          <w:color w:val="000000" w:themeColor="text1"/>
        </w:rPr>
        <w:t xml:space="preserve"> presupuestos del ejercicio 2020</w:t>
      </w:r>
      <w:r w:rsidRPr="00B81E61">
        <w:rPr>
          <w:rFonts w:cs="Arial"/>
          <w:color w:val="000000" w:themeColor="text1"/>
        </w:rPr>
        <w:t xml:space="preserve"> a </w:t>
      </w:r>
      <w:r w:rsidR="00CA5250">
        <w:rPr>
          <w:rFonts w:cs="Arial"/>
          <w:color w:val="000000" w:themeColor="text1"/>
        </w:rPr>
        <w:t>la DGALD.</w:t>
      </w:r>
      <w:r w:rsidR="001C793D">
        <w:rPr>
          <w:rFonts w:cs="Arial"/>
          <w:color w:val="000000" w:themeColor="text1"/>
        </w:rPr>
        <w:t xml:space="preserve"> </w:t>
      </w:r>
    </w:p>
    <w:p w14:paraId="6CB714E1" w14:textId="77777777" w:rsidR="00EA5D4F" w:rsidRPr="00EA5D4F" w:rsidRDefault="00EA5D4F" w:rsidP="00EA5D4F">
      <w:pPr>
        <w:pStyle w:val="texto"/>
        <w:spacing w:after="40"/>
        <w:jc w:val="right"/>
        <w:rPr>
          <w:rFonts w:ascii="Arial Narrow" w:hAnsi="Arial Narrow"/>
          <w:color w:val="000000" w:themeColor="text1"/>
          <w:sz w:val="18"/>
          <w:szCs w:val="18"/>
        </w:rPr>
      </w:pPr>
      <w:r w:rsidRPr="00EA5D4F">
        <w:rPr>
          <w:rFonts w:ascii="Arial Narrow" w:hAnsi="Arial Narrow"/>
          <w:color w:val="000000" w:themeColor="text1"/>
          <w:sz w:val="18"/>
          <w:szCs w:val="18"/>
        </w:rPr>
        <w:t>Porcentaje de entidades locales</w:t>
      </w:r>
    </w:p>
    <w:tbl>
      <w:tblPr>
        <w:tblW w:w="5063" w:type="pct"/>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687"/>
        <w:gridCol w:w="1801"/>
        <w:gridCol w:w="1801"/>
        <w:gridCol w:w="1611"/>
      </w:tblGrid>
      <w:tr w:rsidR="00683931" w:rsidRPr="00E57B08" w14:paraId="5B9014BC" w14:textId="77777777" w:rsidTr="002034EE">
        <w:trPr>
          <w:trHeight w:val="255"/>
        </w:trPr>
        <w:tc>
          <w:tcPr>
            <w:tcW w:w="2071" w:type="pct"/>
            <w:tcBorders>
              <w:top w:val="single" w:sz="4" w:space="0" w:color="auto"/>
              <w:bottom w:val="single" w:sz="4" w:space="0" w:color="auto"/>
            </w:tcBorders>
            <w:shd w:val="clear" w:color="auto" w:fill="FABF8F" w:themeFill="accent6" w:themeFillTint="99"/>
            <w:noWrap/>
            <w:vAlign w:val="center"/>
            <w:hideMark/>
          </w:tcPr>
          <w:p w14:paraId="200E664B" w14:textId="16F4CE73" w:rsidR="00683931" w:rsidRPr="00E57B08" w:rsidRDefault="00683931" w:rsidP="00E57B08">
            <w:pPr>
              <w:pStyle w:val="cuadroCabe"/>
              <w:spacing w:line="240" w:lineRule="auto"/>
              <w:rPr>
                <w:sz w:val="17"/>
                <w:szCs w:val="17"/>
              </w:rPr>
            </w:pPr>
            <w:r w:rsidRPr="00E57B08">
              <w:rPr>
                <w:sz w:val="17"/>
                <w:szCs w:val="17"/>
              </w:rPr>
              <w:t>T</w:t>
            </w:r>
            <w:r w:rsidR="00474131" w:rsidRPr="00E57B08">
              <w:rPr>
                <w:sz w:val="17"/>
                <w:szCs w:val="17"/>
              </w:rPr>
              <w:t>ipo de e</w:t>
            </w:r>
            <w:r w:rsidR="0021232E" w:rsidRPr="00E57B08">
              <w:rPr>
                <w:sz w:val="17"/>
                <w:szCs w:val="17"/>
              </w:rPr>
              <w:t>ntidad</w:t>
            </w:r>
          </w:p>
        </w:tc>
        <w:tc>
          <w:tcPr>
            <w:tcW w:w="1012" w:type="pct"/>
            <w:tcBorders>
              <w:top w:val="single" w:sz="4" w:space="0" w:color="auto"/>
              <w:bottom w:val="single" w:sz="4" w:space="0" w:color="auto"/>
            </w:tcBorders>
            <w:shd w:val="clear" w:color="auto" w:fill="FABF8F" w:themeFill="accent6" w:themeFillTint="99"/>
            <w:vAlign w:val="center"/>
            <w:hideMark/>
          </w:tcPr>
          <w:p w14:paraId="63770769" w14:textId="77777777" w:rsidR="00683931" w:rsidRPr="00E57B08" w:rsidRDefault="00683931" w:rsidP="00E57B08">
            <w:pPr>
              <w:pStyle w:val="cuadroCabe"/>
              <w:spacing w:line="240" w:lineRule="auto"/>
              <w:jc w:val="right"/>
              <w:rPr>
                <w:sz w:val="17"/>
                <w:szCs w:val="17"/>
              </w:rPr>
            </w:pPr>
            <w:r w:rsidRPr="00E57B08">
              <w:rPr>
                <w:sz w:val="17"/>
                <w:szCs w:val="17"/>
              </w:rPr>
              <w:t>Aprobado en plazo (31.12.2019)</w:t>
            </w:r>
          </w:p>
        </w:tc>
        <w:tc>
          <w:tcPr>
            <w:tcW w:w="1012" w:type="pct"/>
            <w:tcBorders>
              <w:top w:val="single" w:sz="4" w:space="0" w:color="auto"/>
              <w:bottom w:val="single" w:sz="4" w:space="0" w:color="auto"/>
            </w:tcBorders>
            <w:shd w:val="clear" w:color="auto" w:fill="FABF8F" w:themeFill="accent6" w:themeFillTint="99"/>
            <w:vAlign w:val="center"/>
            <w:hideMark/>
          </w:tcPr>
          <w:p w14:paraId="686441E0" w14:textId="5ABA09FA" w:rsidR="00683931" w:rsidRPr="00E57B08" w:rsidRDefault="00FB2CFA" w:rsidP="00E57B08">
            <w:pPr>
              <w:pStyle w:val="cuadroCabe"/>
              <w:spacing w:line="240" w:lineRule="auto"/>
              <w:jc w:val="right"/>
              <w:rPr>
                <w:sz w:val="17"/>
                <w:szCs w:val="17"/>
              </w:rPr>
            </w:pPr>
            <w:r w:rsidRPr="00E57B08">
              <w:rPr>
                <w:sz w:val="17"/>
                <w:szCs w:val="17"/>
              </w:rPr>
              <w:t xml:space="preserve">Enviado hasta </w:t>
            </w:r>
            <w:r w:rsidR="00683931" w:rsidRPr="00E57B08">
              <w:rPr>
                <w:sz w:val="17"/>
                <w:szCs w:val="17"/>
              </w:rPr>
              <w:t>23.01.2020</w:t>
            </w:r>
            <w:r w:rsidR="00683931" w:rsidRPr="00E57B08">
              <w:rPr>
                <w:sz w:val="17"/>
                <w:szCs w:val="17"/>
                <w:vertAlign w:val="superscript"/>
              </w:rPr>
              <w:t>(1)</w:t>
            </w:r>
          </w:p>
        </w:tc>
        <w:tc>
          <w:tcPr>
            <w:tcW w:w="905" w:type="pct"/>
            <w:tcBorders>
              <w:top w:val="single" w:sz="4" w:space="0" w:color="auto"/>
              <w:bottom w:val="single" w:sz="4" w:space="0" w:color="auto"/>
            </w:tcBorders>
            <w:shd w:val="clear" w:color="auto" w:fill="FABF8F" w:themeFill="accent6" w:themeFillTint="99"/>
            <w:vAlign w:val="center"/>
            <w:hideMark/>
          </w:tcPr>
          <w:p w14:paraId="69401C71" w14:textId="37DD73BF" w:rsidR="00683931" w:rsidRPr="00E57B08" w:rsidRDefault="00683931" w:rsidP="00E57B08">
            <w:pPr>
              <w:pStyle w:val="cuadroCabe"/>
              <w:spacing w:line="240" w:lineRule="auto"/>
              <w:jc w:val="right"/>
              <w:rPr>
                <w:sz w:val="17"/>
                <w:szCs w:val="17"/>
              </w:rPr>
            </w:pPr>
            <w:r w:rsidRPr="00E57B08">
              <w:rPr>
                <w:sz w:val="17"/>
                <w:szCs w:val="17"/>
              </w:rPr>
              <w:t xml:space="preserve">Envío </w:t>
            </w:r>
            <w:r w:rsidR="00974F8A" w:rsidRPr="00E57B08">
              <w:rPr>
                <w:sz w:val="17"/>
                <w:szCs w:val="17"/>
              </w:rPr>
              <w:t xml:space="preserve">en </w:t>
            </w:r>
            <w:r w:rsidRPr="00E57B08">
              <w:rPr>
                <w:sz w:val="17"/>
                <w:szCs w:val="17"/>
              </w:rPr>
              <w:t>primer trimestre 2020</w:t>
            </w:r>
          </w:p>
        </w:tc>
      </w:tr>
      <w:tr w:rsidR="00683931" w:rsidRPr="00E57B08" w14:paraId="62362F51" w14:textId="77777777" w:rsidTr="002034EE">
        <w:trPr>
          <w:trHeight w:val="255"/>
        </w:trPr>
        <w:tc>
          <w:tcPr>
            <w:tcW w:w="2071" w:type="pct"/>
            <w:tcBorders>
              <w:top w:val="single" w:sz="4" w:space="0" w:color="auto"/>
            </w:tcBorders>
            <w:shd w:val="clear" w:color="auto" w:fill="auto"/>
            <w:noWrap/>
            <w:vAlign w:val="center"/>
            <w:hideMark/>
          </w:tcPr>
          <w:p w14:paraId="41784989" w14:textId="77777777" w:rsidR="00683931" w:rsidRPr="00E57B08" w:rsidRDefault="00683931" w:rsidP="00E57B08">
            <w:pPr>
              <w:pStyle w:val="cuatexto"/>
              <w:spacing w:line="240" w:lineRule="auto"/>
            </w:pPr>
            <w:r w:rsidRPr="00E57B08">
              <w:t>Municipios</w:t>
            </w:r>
          </w:p>
        </w:tc>
        <w:tc>
          <w:tcPr>
            <w:tcW w:w="1012" w:type="pct"/>
            <w:tcBorders>
              <w:top w:val="single" w:sz="4" w:space="0" w:color="auto"/>
            </w:tcBorders>
            <w:shd w:val="clear" w:color="auto" w:fill="auto"/>
            <w:noWrap/>
            <w:vAlign w:val="center"/>
            <w:hideMark/>
          </w:tcPr>
          <w:p w14:paraId="3EA9F36C" w14:textId="1DB1C908" w:rsidR="00683931" w:rsidRPr="00E57B08" w:rsidRDefault="00683931" w:rsidP="00E57B08">
            <w:pPr>
              <w:pStyle w:val="cuatexto"/>
              <w:spacing w:line="240" w:lineRule="auto"/>
              <w:jc w:val="right"/>
            </w:pPr>
            <w:r w:rsidRPr="00E57B08">
              <w:t>31</w:t>
            </w:r>
          </w:p>
        </w:tc>
        <w:tc>
          <w:tcPr>
            <w:tcW w:w="1012" w:type="pct"/>
            <w:tcBorders>
              <w:top w:val="single" w:sz="4" w:space="0" w:color="auto"/>
            </w:tcBorders>
            <w:shd w:val="clear" w:color="auto" w:fill="auto"/>
            <w:noWrap/>
            <w:vAlign w:val="center"/>
            <w:hideMark/>
          </w:tcPr>
          <w:p w14:paraId="18EC4A3B" w14:textId="11A71904" w:rsidR="00683931" w:rsidRPr="00E57B08" w:rsidRDefault="00683931" w:rsidP="00E57B08">
            <w:pPr>
              <w:pStyle w:val="cuatexto"/>
              <w:spacing w:line="240" w:lineRule="auto"/>
              <w:jc w:val="right"/>
            </w:pPr>
            <w:r w:rsidRPr="00E57B08">
              <w:t>6</w:t>
            </w:r>
          </w:p>
        </w:tc>
        <w:tc>
          <w:tcPr>
            <w:tcW w:w="905" w:type="pct"/>
            <w:tcBorders>
              <w:top w:val="single" w:sz="4" w:space="0" w:color="auto"/>
            </w:tcBorders>
            <w:shd w:val="clear" w:color="auto" w:fill="auto"/>
            <w:noWrap/>
            <w:vAlign w:val="center"/>
            <w:hideMark/>
          </w:tcPr>
          <w:p w14:paraId="3BE884AA" w14:textId="7383A296" w:rsidR="00683931" w:rsidRPr="00E57B08" w:rsidRDefault="00683931" w:rsidP="00E57B08">
            <w:pPr>
              <w:pStyle w:val="cuatexto"/>
              <w:spacing w:line="240" w:lineRule="auto"/>
              <w:jc w:val="right"/>
            </w:pPr>
            <w:r w:rsidRPr="00E57B08">
              <w:t>28</w:t>
            </w:r>
          </w:p>
        </w:tc>
      </w:tr>
      <w:tr w:rsidR="00683931" w:rsidRPr="00E57B08" w14:paraId="07C1EBF7" w14:textId="77777777" w:rsidTr="002034EE">
        <w:trPr>
          <w:trHeight w:val="255"/>
        </w:trPr>
        <w:tc>
          <w:tcPr>
            <w:tcW w:w="2071" w:type="pct"/>
            <w:shd w:val="clear" w:color="auto" w:fill="auto"/>
            <w:noWrap/>
            <w:vAlign w:val="center"/>
            <w:hideMark/>
          </w:tcPr>
          <w:p w14:paraId="53C23428" w14:textId="77777777" w:rsidR="00683931" w:rsidRPr="00E57B08" w:rsidRDefault="00683931" w:rsidP="00E57B08">
            <w:pPr>
              <w:pStyle w:val="cuatexto"/>
              <w:spacing w:line="240" w:lineRule="auto"/>
            </w:pPr>
            <w:r w:rsidRPr="00E57B08">
              <w:t>Concejos</w:t>
            </w:r>
          </w:p>
        </w:tc>
        <w:tc>
          <w:tcPr>
            <w:tcW w:w="1012" w:type="pct"/>
            <w:shd w:val="clear" w:color="auto" w:fill="auto"/>
            <w:noWrap/>
            <w:vAlign w:val="center"/>
            <w:hideMark/>
          </w:tcPr>
          <w:p w14:paraId="5C57B46D" w14:textId="2581AD01" w:rsidR="00683931" w:rsidRPr="00E57B08" w:rsidRDefault="00683931" w:rsidP="00E57B08">
            <w:pPr>
              <w:pStyle w:val="cuatexto"/>
              <w:spacing w:line="240" w:lineRule="auto"/>
              <w:jc w:val="right"/>
            </w:pPr>
            <w:r w:rsidRPr="00E57B08">
              <w:t>16</w:t>
            </w:r>
          </w:p>
        </w:tc>
        <w:tc>
          <w:tcPr>
            <w:tcW w:w="1012" w:type="pct"/>
            <w:shd w:val="clear" w:color="auto" w:fill="auto"/>
            <w:noWrap/>
            <w:vAlign w:val="center"/>
            <w:hideMark/>
          </w:tcPr>
          <w:p w14:paraId="2BB1A7E5" w14:textId="565EF24F" w:rsidR="00683931" w:rsidRPr="00E57B08" w:rsidRDefault="00683931" w:rsidP="00E57B08">
            <w:pPr>
              <w:pStyle w:val="cuatexto"/>
              <w:spacing w:line="240" w:lineRule="auto"/>
              <w:jc w:val="right"/>
            </w:pPr>
            <w:r w:rsidRPr="00E57B08">
              <w:t>1</w:t>
            </w:r>
          </w:p>
        </w:tc>
        <w:tc>
          <w:tcPr>
            <w:tcW w:w="905" w:type="pct"/>
            <w:shd w:val="clear" w:color="auto" w:fill="auto"/>
            <w:noWrap/>
            <w:vAlign w:val="center"/>
            <w:hideMark/>
          </w:tcPr>
          <w:p w14:paraId="5982BE0D" w14:textId="275F6C5B" w:rsidR="00683931" w:rsidRPr="00E57B08" w:rsidRDefault="00683931" w:rsidP="00E57B08">
            <w:pPr>
              <w:pStyle w:val="cuatexto"/>
              <w:spacing w:line="240" w:lineRule="auto"/>
              <w:jc w:val="right"/>
            </w:pPr>
            <w:r w:rsidRPr="00E57B08">
              <w:t>1</w:t>
            </w:r>
            <w:r w:rsidR="001C793D" w:rsidRPr="00E57B08">
              <w:t>3</w:t>
            </w:r>
          </w:p>
        </w:tc>
      </w:tr>
      <w:tr w:rsidR="00683931" w:rsidRPr="00E57B08" w14:paraId="6FBB1D78" w14:textId="77777777" w:rsidTr="002034EE">
        <w:trPr>
          <w:trHeight w:val="255"/>
        </w:trPr>
        <w:tc>
          <w:tcPr>
            <w:tcW w:w="2071" w:type="pct"/>
            <w:shd w:val="clear" w:color="auto" w:fill="auto"/>
            <w:noWrap/>
            <w:vAlign w:val="center"/>
            <w:hideMark/>
          </w:tcPr>
          <w:p w14:paraId="35862425" w14:textId="77777777" w:rsidR="00683931" w:rsidRPr="00E57B08" w:rsidRDefault="00683931" w:rsidP="00E57B08">
            <w:pPr>
              <w:pStyle w:val="cuatexto"/>
              <w:spacing w:line="240" w:lineRule="auto"/>
            </w:pPr>
            <w:r w:rsidRPr="00E57B08">
              <w:t>Mancomunidades</w:t>
            </w:r>
          </w:p>
        </w:tc>
        <w:tc>
          <w:tcPr>
            <w:tcW w:w="1012" w:type="pct"/>
            <w:shd w:val="clear" w:color="auto" w:fill="auto"/>
            <w:noWrap/>
            <w:vAlign w:val="center"/>
            <w:hideMark/>
          </w:tcPr>
          <w:p w14:paraId="762568DE" w14:textId="474A3DD9" w:rsidR="00683931" w:rsidRPr="00E57B08" w:rsidRDefault="00683931" w:rsidP="00E57B08">
            <w:pPr>
              <w:pStyle w:val="cuatexto"/>
              <w:spacing w:line="240" w:lineRule="auto"/>
              <w:jc w:val="right"/>
            </w:pPr>
            <w:r w:rsidRPr="00E57B08">
              <w:t>28</w:t>
            </w:r>
          </w:p>
        </w:tc>
        <w:tc>
          <w:tcPr>
            <w:tcW w:w="1012" w:type="pct"/>
            <w:shd w:val="clear" w:color="auto" w:fill="auto"/>
            <w:noWrap/>
            <w:vAlign w:val="center"/>
            <w:hideMark/>
          </w:tcPr>
          <w:p w14:paraId="14350D27" w14:textId="4A38FBD2" w:rsidR="00683931" w:rsidRPr="00E57B08" w:rsidRDefault="00683931" w:rsidP="00E57B08">
            <w:pPr>
              <w:pStyle w:val="cuatexto"/>
              <w:spacing w:line="240" w:lineRule="auto"/>
              <w:jc w:val="right"/>
            </w:pPr>
            <w:r w:rsidRPr="00E57B08">
              <w:t>0</w:t>
            </w:r>
          </w:p>
        </w:tc>
        <w:tc>
          <w:tcPr>
            <w:tcW w:w="905" w:type="pct"/>
            <w:shd w:val="clear" w:color="auto" w:fill="auto"/>
            <w:noWrap/>
            <w:vAlign w:val="center"/>
            <w:hideMark/>
          </w:tcPr>
          <w:p w14:paraId="5246586D" w14:textId="248908BA" w:rsidR="00683931" w:rsidRPr="00E57B08" w:rsidRDefault="008E43F9" w:rsidP="00E57B08">
            <w:pPr>
              <w:pStyle w:val="cuatexto"/>
              <w:spacing w:line="240" w:lineRule="auto"/>
              <w:jc w:val="right"/>
            </w:pPr>
            <w:r w:rsidRPr="00E57B08">
              <w:t>20</w:t>
            </w:r>
          </w:p>
        </w:tc>
      </w:tr>
      <w:tr w:rsidR="00683931" w:rsidRPr="00E57B08" w14:paraId="5127AF3A" w14:textId="77777777" w:rsidTr="002034EE">
        <w:trPr>
          <w:trHeight w:val="255"/>
        </w:trPr>
        <w:tc>
          <w:tcPr>
            <w:tcW w:w="2071" w:type="pct"/>
            <w:tcBorders>
              <w:bottom w:val="single" w:sz="4" w:space="0" w:color="auto"/>
            </w:tcBorders>
            <w:shd w:val="clear" w:color="auto" w:fill="auto"/>
            <w:noWrap/>
            <w:vAlign w:val="center"/>
            <w:hideMark/>
          </w:tcPr>
          <w:p w14:paraId="7866768E" w14:textId="77777777" w:rsidR="00683931" w:rsidRPr="00E57B08" w:rsidRDefault="00683931" w:rsidP="00E57B08">
            <w:pPr>
              <w:pStyle w:val="cuatexto"/>
              <w:spacing w:line="240" w:lineRule="auto"/>
            </w:pPr>
            <w:r w:rsidRPr="00E57B08">
              <w:t>Agrupaciones de municipios</w:t>
            </w:r>
          </w:p>
        </w:tc>
        <w:tc>
          <w:tcPr>
            <w:tcW w:w="1012" w:type="pct"/>
            <w:tcBorders>
              <w:bottom w:val="single" w:sz="4" w:space="0" w:color="auto"/>
            </w:tcBorders>
            <w:shd w:val="clear" w:color="auto" w:fill="auto"/>
            <w:noWrap/>
            <w:vAlign w:val="center"/>
            <w:hideMark/>
          </w:tcPr>
          <w:p w14:paraId="0DDF306E" w14:textId="1FB7B81C" w:rsidR="00683931" w:rsidRPr="00E57B08" w:rsidRDefault="00683931" w:rsidP="00E57B08">
            <w:pPr>
              <w:pStyle w:val="cuatexto"/>
              <w:spacing w:line="240" w:lineRule="auto"/>
              <w:jc w:val="right"/>
            </w:pPr>
            <w:r w:rsidRPr="00E57B08">
              <w:t>23</w:t>
            </w:r>
          </w:p>
        </w:tc>
        <w:tc>
          <w:tcPr>
            <w:tcW w:w="1012" w:type="pct"/>
            <w:tcBorders>
              <w:bottom w:val="single" w:sz="4" w:space="0" w:color="auto"/>
            </w:tcBorders>
            <w:shd w:val="clear" w:color="auto" w:fill="auto"/>
            <w:noWrap/>
            <w:vAlign w:val="center"/>
            <w:hideMark/>
          </w:tcPr>
          <w:p w14:paraId="4651B5C4" w14:textId="03AAD7B8" w:rsidR="00683931" w:rsidRPr="00E57B08" w:rsidRDefault="00683931" w:rsidP="00E57B08">
            <w:pPr>
              <w:pStyle w:val="cuatexto"/>
              <w:spacing w:line="240" w:lineRule="auto"/>
              <w:jc w:val="right"/>
            </w:pPr>
            <w:r w:rsidRPr="00E57B08">
              <w:t>0</w:t>
            </w:r>
          </w:p>
        </w:tc>
        <w:tc>
          <w:tcPr>
            <w:tcW w:w="905" w:type="pct"/>
            <w:tcBorders>
              <w:bottom w:val="single" w:sz="4" w:space="0" w:color="auto"/>
            </w:tcBorders>
            <w:shd w:val="clear" w:color="auto" w:fill="auto"/>
            <w:noWrap/>
            <w:vAlign w:val="center"/>
            <w:hideMark/>
          </w:tcPr>
          <w:p w14:paraId="47B6F6D2" w14:textId="2B01FB8B" w:rsidR="00683931" w:rsidRPr="00E57B08" w:rsidRDefault="00683931" w:rsidP="00E57B08">
            <w:pPr>
              <w:pStyle w:val="cuatexto"/>
              <w:spacing w:line="240" w:lineRule="auto"/>
              <w:jc w:val="right"/>
            </w:pPr>
            <w:r w:rsidRPr="00E57B08">
              <w:t>18</w:t>
            </w:r>
          </w:p>
        </w:tc>
      </w:tr>
      <w:tr w:rsidR="008E43F9" w:rsidRPr="00E57B08" w14:paraId="455B8692" w14:textId="77777777" w:rsidTr="002034EE">
        <w:trPr>
          <w:trHeight w:val="255"/>
        </w:trPr>
        <w:tc>
          <w:tcPr>
            <w:tcW w:w="2071" w:type="pct"/>
            <w:tcBorders>
              <w:top w:val="single" w:sz="4" w:space="0" w:color="auto"/>
              <w:bottom w:val="single" w:sz="4" w:space="0" w:color="auto"/>
            </w:tcBorders>
            <w:shd w:val="clear" w:color="auto" w:fill="FABF8F" w:themeFill="accent6" w:themeFillTint="99"/>
            <w:noWrap/>
            <w:vAlign w:val="center"/>
          </w:tcPr>
          <w:p w14:paraId="7A7A3535" w14:textId="77777777" w:rsidR="008E43F9" w:rsidRPr="00E57B08" w:rsidRDefault="008E43F9" w:rsidP="00E57B08">
            <w:pPr>
              <w:pStyle w:val="cuadroCabe"/>
              <w:spacing w:line="240" w:lineRule="auto"/>
            </w:pPr>
            <w:r w:rsidRPr="00E57B08">
              <w:t>Total</w:t>
            </w:r>
          </w:p>
        </w:tc>
        <w:tc>
          <w:tcPr>
            <w:tcW w:w="1012" w:type="pct"/>
            <w:tcBorders>
              <w:top w:val="single" w:sz="4" w:space="0" w:color="auto"/>
              <w:bottom w:val="single" w:sz="4" w:space="0" w:color="auto"/>
            </w:tcBorders>
            <w:shd w:val="clear" w:color="auto" w:fill="FABF8F" w:themeFill="accent6" w:themeFillTint="99"/>
            <w:noWrap/>
            <w:vAlign w:val="center"/>
          </w:tcPr>
          <w:p w14:paraId="3D583D19" w14:textId="1F79EEF6" w:rsidR="008E43F9" w:rsidRPr="00E57B08" w:rsidRDefault="008E43F9" w:rsidP="00E57B08">
            <w:pPr>
              <w:pStyle w:val="cuadroCabe"/>
              <w:spacing w:line="240" w:lineRule="auto"/>
              <w:jc w:val="right"/>
            </w:pPr>
            <w:r w:rsidRPr="00E57B08">
              <w:t>23</w:t>
            </w:r>
          </w:p>
        </w:tc>
        <w:tc>
          <w:tcPr>
            <w:tcW w:w="1012" w:type="pct"/>
            <w:tcBorders>
              <w:top w:val="single" w:sz="4" w:space="0" w:color="auto"/>
              <w:bottom w:val="single" w:sz="4" w:space="0" w:color="auto"/>
            </w:tcBorders>
            <w:shd w:val="clear" w:color="auto" w:fill="FABF8F" w:themeFill="accent6" w:themeFillTint="99"/>
            <w:noWrap/>
            <w:vAlign w:val="center"/>
          </w:tcPr>
          <w:p w14:paraId="7D2CB1E2" w14:textId="52169F34" w:rsidR="008E43F9" w:rsidRPr="00E57B08" w:rsidRDefault="008E43F9" w:rsidP="00E57B08">
            <w:pPr>
              <w:pStyle w:val="cuadroCabe"/>
              <w:spacing w:line="240" w:lineRule="auto"/>
              <w:jc w:val="right"/>
            </w:pPr>
            <w:r w:rsidRPr="00E57B08">
              <w:t>3</w:t>
            </w:r>
          </w:p>
        </w:tc>
        <w:tc>
          <w:tcPr>
            <w:tcW w:w="905" w:type="pct"/>
            <w:tcBorders>
              <w:top w:val="single" w:sz="4" w:space="0" w:color="auto"/>
              <w:bottom w:val="single" w:sz="4" w:space="0" w:color="auto"/>
            </w:tcBorders>
            <w:shd w:val="clear" w:color="auto" w:fill="FABF8F" w:themeFill="accent6" w:themeFillTint="99"/>
            <w:noWrap/>
            <w:vAlign w:val="center"/>
          </w:tcPr>
          <w:p w14:paraId="36B12815" w14:textId="52F91E98" w:rsidR="008E43F9" w:rsidRPr="00E57B08" w:rsidRDefault="008E43F9" w:rsidP="00E57B08">
            <w:pPr>
              <w:pStyle w:val="cuadroCabe"/>
              <w:spacing w:line="240" w:lineRule="auto"/>
              <w:jc w:val="right"/>
            </w:pPr>
            <w:r w:rsidRPr="00E57B08">
              <w:t>20</w:t>
            </w:r>
          </w:p>
        </w:tc>
      </w:tr>
    </w:tbl>
    <w:p w14:paraId="634659D1" w14:textId="46CE9B67" w:rsidR="00683931" w:rsidRPr="0021232E" w:rsidRDefault="0021232E" w:rsidP="0021232E">
      <w:pPr>
        <w:pStyle w:val="texto"/>
        <w:tabs>
          <w:tab w:val="clear" w:pos="2835"/>
        </w:tabs>
        <w:spacing w:before="120" w:after="120"/>
        <w:ind w:left="142" w:firstLine="0"/>
        <w:rPr>
          <w:rFonts w:ascii="Arial" w:hAnsi="Arial" w:cs="Arial"/>
          <w:color w:val="000000" w:themeColor="text1"/>
          <w:sz w:val="14"/>
          <w:szCs w:val="14"/>
          <w:lang w:val="es-ES"/>
        </w:rPr>
      </w:pPr>
      <w:r w:rsidRPr="0021232E">
        <w:rPr>
          <w:rFonts w:ascii="Arial" w:hAnsi="Arial" w:cs="Arial"/>
          <w:color w:val="000000" w:themeColor="text1"/>
          <w:sz w:val="14"/>
          <w:szCs w:val="14"/>
          <w:vertAlign w:val="superscript"/>
          <w:lang w:val="es-ES"/>
        </w:rPr>
        <w:t>(1)</w:t>
      </w:r>
      <w:r>
        <w:rPr>
          <w:rFonts w:ascii="Arial" w:hAnsi="Arial" w:cs="Arial"/>
          <w:color w:val="000000" w:themeColor="text1"/>
          <w:sz w:val="14"/>
          <w:szCs w:val="14"/>
          <w:lang w:val="es-ES"/>
        </w:rPr>
        <w:t xml:space="preserve"> </w:t>
      </w:r>
      <w:r w:rsidR="00683931" w:rsidRPr="0021232E">
        <w:rPr>
          <w:rFonts w:ascii="Arial" w:hAnsi="Arial" w:cs="Arial"/>
          <w:color w:val="000000" w:themeColor="text1"/>
          <w:sz w:val="14"/>
          <w:szCs w:val="14"/>
          <w:lang w:val="es-ES"/>
        </w:rPr>
        <w:t>15 días hábiles después del 31.12.2019</w:t>
      </w:r>
      <w:r w:rsidR="00E57B08">
        <w:rPr>
          <w:rFonts w:ascii="Arial" w:hAnsi="Arial" w:cs="Arial"/>
          <w:color w:val="000000" w:themeColor="text1"/>
          <w:sz w:val="14"/>
          <w:szCs w:val="14"/>
          <w:lang w:val="es-ES"/>
        </w:rPr>
        <w:t>.</w:t>
      </w:r>
    </w:p>
    <w:p w14:paraId="1CF08B68" w14:textId="3FDBE19A" w:rsidR="00683931" w:rsidRDefault="00403EFD" w:rsidP="004E2CFD">
      <w:pPr>
        <w:pStyle w:val="texto"/>
        <w:tabs>
          <w:tab w:val="clear" w:pos="2835"/>
          <w:tab w:val="center" w:pos="567"/>
        </w:tabs>
        <w:spacing w:before="240"/>
        <w:rPr>
          <w:rFonts w:cs="Arial"/>
          <w:color w:val="000000" w:themeColor="text1"/>
          <w:lang w:val="es-ES"/>
        </w:rPr>
      </w:pPr>
      <w:r>
        <w:rPr>
          <w:rFonts w:cs="Arial"/>
          <w:color w:val="000000" w:themeColor="text1"/>
          <w:lang w:val="es-ES"/>
        </w:rPr>
        <w:t>A</w:t>
      </w:r>
      <w:r w:rsidR="00683931" w:rsidRPr="00FB2CFA">
        <w:rPr>
          <w:rFonts w:cs="Arial"/>
          <w:color w:val="000000" w:themeColor="text1"/>
          <w:lang w:val="es-ES"/>
        </w:rPr>
        <w:t xml:space="preserve"> fecha de elaboración de este informe, han remitido los expedientes de pre</w:t>
      </w:r>
      <w:r w:rsidR="00683931" w:rsidRPr="008E43F9">
        <w:rPr>
          <w:rFonts w:cs="Arial"/>
          <w:color w:val="000000" w:themeColor="text1"/>
          <w:lang w:val="es-ES"/>
        </w:rPr>
        <w:t>supuestos de 2020 a la DGALD el 8</w:t>
      </w:r>
      <w:r w:rsidR="008E43F9" w:rsidRPr="008E43F9">
        <w:rPr>
          <w:rFonts w:cs="Arial"/>
          <w:color w:val="000000" w:themeColor="text1"/>
          <w:lang w:val="es-ES"/>
        </w:rPr>
        <w:t>3</w:t>
      </w:r>
      <w:r w:rsidR="00683931" w:rsidRPr="008E43F9">
        <w:rPr>
          <w:rFonts w:cs="Arial"/>
          <w:color w:val="000000" w:themeColor="text1"/>
          <w:lang w:val="es-ES"/>
        </w:rPr>
        <w:t xml:space="preserve"> por ciento de las entidades locales.</w:t>
      </w:r>
    </w:p>
    <w:p w14:paraId="5320DE83" w14:textId="77777777" w:rsidR="00683931" w:rsidRDefault="00683931" w:rsidP="00683931">
      <w:pPr>
        <w:pStyle w:val="texto"/>
        <w:tabs>
          <w:tab w:val="clear" w:pos="2835"/>
          <w:tab w:val="center" w:pos="567"/>
        </w:tabs>
        <w:spacing w:before="120" w:after="120"/>
        <w:rPr>
          <w:rFonts w:cs="Arial"/>
          <w:color w:val="000000" w:themeColor="text1"/>
          <w:lang w:val="es-ES"/>
        </w:rPr>
      </w:pPr>
      <w:r>
        <w:rPr>
          <w:rFonts w:cs="Arial"/>
          <w:color w:val="000000" w:themeColor="text1"/>
          <w:lang w:val="es-ES"/>
        </w:rPr>
        <w:t xml:space="preserve">Llama la atención el bajo porcentaje de entidades que aprueban sus presupuestos en plazo, pero todavía más las demoras en la remisión de la información a la DGALD, que son significativamente mayores </w:t>
      </w:r>
      <w:r w:rsidR="003A0421">
        <w:rPr>
          <w:rFonts w:cs="Arial"/>
          <w:color w:val="000000" w:themeColor="text1"/>
          <w:lang w:val="es-ES"/>
        </w:rPr>
        <w:t>que las</w:t>
      </w:r>
      <w:r>
        <w:rPr>
          <w:rFonts w:cs="Arial"/>
          <w:color w:val="000000" w:themeColor="text1"/>
          <w:lang w:val="es-ES"/>
        </w:rPr>
        <w:t xml:space="preserve"> que afectan a las liquidaciones de presupuestos y cuentas generales.</w:t>
      </w:r>
    </w:p>
    <w:p w14:paraId="2F05173D" w14:textId="009A1129" w:rsidR="00EF0883" w:rsidRDefault="00EF0883" w:rsidP="00683931">
      <w:pPr>
        <w:pStyle w:val="texto"/>
        <w:tabs>
          <w:tab w:val="clear" w:pos="2835"/>
          <w:tab w:val="center" w:pos="567"/>
        </w:tabs>
        <w:spacing w:before="120" w:after="120"/>
        <w:rPr>
          <w:rFonts w:cs="Arial"/>
          <w:color w:val="000000" w:themeColor="text1"/>
          <w:lang w:val="es-ES"/>
        </w:rPr>
      </w:pPr>
      <w:r>
        <w:rPr>
          <w:rFonts w:cs="Arial"/>
          <w:color w:val="000000" w:themeColor="text1"/>
          <w:lang w:val="es-ES"/>
        </w:rPr>
        <w:br w:type="page"/>
      </w:r>
    </w:p>
    <w:p w14:paraId="71595C38" w14:textId="300C5AB4" w:rsidR="00683931" w:rsidRPr="004248BF" w:rsidRDefault="00683931" w:rsidP="004248BF">
      <w:pPr>
        <w:pStyle w:val="Ttulo1"/>
        <w:ind w:firstLine="0"/>
        <w:rPr>
          <w:szCs w:val="25"/>
        </w:rPr>
      </w:pPr>
      <w:bookmarkStart w:id="100" w:name="_Toc123724207"/>
      <w:r w:rsidRPr="004248BF">
        <w:rPr>
          <w:szCs w:val="25"/>
        </w:rPr>
        <w:lastRenderedPageBreak/>
        <w:t xml:space="preserve">IX. </w:t>
      </w:r>
      <w:r w:rsidR="004B35F2" w:rsidRPr="004248BF">
        <w:rPr>
          <w:szCs w:val="25"/>
        </w:rPr>
        <w:t>Control interno y r</w:t>
      </w:r>
      <w:r w:rsidR="00543D5A" w:rsidRPr="004248BF">
        <w:rPr>
          <w:szCs w:val="25"/>
        </w:rPr>
        <w:t xml:space="preserve">eparos </w:t>
      </w:r>
      <w:r w:rsidR="00576A54">
        <w:rPr>
          <w:szCs w:val="25"/>
        </w:rPr>
        <w:t>formulados</w:t>
      </w:r>
      <w:r w:rsidR="00576A54" w:rsidRPr="004248BF">
        <w:rPr>
          <w:szCs w:val="25"/>
        </w:rPr>
        <w:t xml:space="preserve"> </w:t>
      </w:r>
      <w:r w:rsidR="00543D5A" w:rsidRPr="004248BF">
        <w:rPr>
          <w:szCs w:val="25"/>
        </w:rPr>
        <w:t xml:space="preserve">por los órganos </w:t>
      </w:r>
      <w:r w:rsidR="00DA5225" w:rsidRPr="004248BF">
        <w:rPr>
          <w:szCs w:val="25"/>
        </w:rPr>
        <w:t>interventores</w:t>
      </w:r>
      <w:bookmarkEnd w:id="100"/>
      <w:r w:rsidR="00543D5A" w:rsidRPr="004248BF">
        <w:rPr>
          <w:szCs w:val="25"/>
        </w:rPr>
        <w:t xml:space="preserve"> </w:t>
      </w:r>
    </w:p>
    <w:p w14:paraId="0C33C11D" w14:textId="77777777" w:rsidR="004B044B" w:rsidRPr="00EF0883" w:rsidRDefault="004B044B" w:rsidP="004248BF">
      <w:pPr>
        <w:pStyle w:val="Ttulo2"/>
        <w:rPr>
          <w:szCs w:val="25"/>
        </w:rPr>
      </w:pPr>
      <w:bookmarkStart w:id="101" w:name="_Toc123724208"/>
      <w:r w:rsidRPr="00EF0883">
        <w:rPr>
          <w:szCs w:val="25"/>
        </w:rPr>
        <w:t>IX.1. Cumplimiento de la obligación de remisión de la información solicitada</w:t>
      </w:r>
      <w:bookmarkEnd w:id="101"/>
    </w:p>
    <w:p w14:paraId="38843740" w14:textId="77777777" w:rsidR="00135208" w:rsidRDefault="00FB2CFA" w:rsidP="005C70E8">
      <w:pPr>
        <w:pStyle w:val="texto"/>
        <w:rPr>
          <w:b/>
          <w:lang w:val="es-ES"/>
        </w:rPr>
      </w:pPr>
      <w:r>
        <w:rPr>
          <w:lang w:val="es-ES"/>
        </w:rPr>
        <w:t>La información de esta sección del informe se basa en las respuestas al cuestionario remitido en abril de 2021 por</w:t>
      </w:r>
      <w:r w:rsidR="00135208">
        <w:rPr>
          <w:lang w:val="es-ES"/>
        </w:rPr>
        <w:t xml:space="preserve"> </w:t>
      </w:r>
      <w:r w:rsidR="00DA5225">
        <w:rPr>
          <w:lang w:val="es-ES"/>
        </w:rPr>
        <w:t>esta Cámara</w:t>
      </w:r>
      <w:r w:rsidR="00135208">
        <w:rPr>
          <w:lang w:val="es-ES"/>
        </w:rPr>
        <w:t xml:space="preserve"> a los órganos de intervención de los ayuntamientos, mancomunidades y a</w:t>
      </w:r>
      <w:r w:rsidR="00593E0D">
        <w:rPr>
          <w:lang w:val="es-ES"/>
        </w:rPr>
        <w:t xml:space="preserve">grupaciones </w:t>
      </w:r>
      <w:r w:rsidR="00135208">
        <w:rPr>
          <w:lang w:val="es-ES"/>
        </w:rPr>
        <w:t xml:space="preserve">en el que se solicitaba información sobre el control interno de las entidades locales durante el ejercicio 2020. El formulario no se remitió a los concejos </w:t>
      </w:r>
      <w:r w:rsidR="00E361DB">
        <w:rPr>
          <w:lang w:val="es-ES"/>
        </w:rPr>
        <w:t>ya que no disponen de personal</w:t>
      </w:r>
      <w:r w:rsidR="00135208">
        <w:rPr>
          <w:lang w:val="es-ES"/>
        </w:rPr>
        <w:t xml:space="preserve"> de intervención o secretaría </w:t>
      </w:r>
      <w:r w:rsidR="00E361DB">
        <w:rPr>
          <w:lang w:val="es-ES"/>
        </w:rPr>
        <w:t xml:space="preserve">habilitado </w:t>
      </w:r>
      <w:r w:rsidR="00135208">
        <w:rPr>
          <w:lang w:val="es-ES"/>
        </w:rPr>
        <w:t xml:space="preserve">que ejerza las funciones de control interno. </w:t>
      </w:r>
    </w:p>
    <w:p w14:paraId="43485131" w14:textId="784B81FC" w:rsidR="00FB2CFA" w:rsidRDefault="00135208" w:rsidP="005C70E8">
      <w:pPr>
        <w:pStyle w:val="texto"/>
        <w:rPr>
          <w:b/>
          <w:lang w:val="es-ES"/>
        </w:rPr>
      </w:pPr>
      <w:r>
        <w:rPr>
          <w:lang w:val="es-ES"/>
        </w:rPr>
        <w:t xml:space="preserve">De </w:t>
      </w:r>
      <w:r w:rsidRPr="004C741A">
        <w:rPr>
          <w:lang w:val="es-ES"/>
        </w:rPr>
        <w:t>las 35</w:t>
      </w:r>
      <w:r w:rsidR="008E43F9" w:rsidRPr="004C741A">
        <w:rPr>
          <w:lang w:val="es-ES"/>
        </w:rPr>
        <w:t>4</w:t>
      </w:r>
      <w:r>
        <w:rPr>
          <w:lang w:val="es-ES"/>
        </w:rPr>
        <w:t xml:space="preserve"> entidades locales a las que se envió </w:t>
      </w:r>
      <w:r w:rsidR="00E361DB">
        <w:rPr>
          <w:lang w:val="es-ES"/>
        </w:rPr>
        <w:t>el cuestionario</w:t>
      </w:r>
      <w:r w:rsidR="00B25349">
        <w:rPr>
          <w:lang w:val="es-ES"/>
        </w:rPr>
        <w:t xml:space="preserve"> relativo a 2020</w:t>
      </w:r>
      <w:r>
        <w:rPr>
          <w:lang w:val="es-ES"/>
        </w:rPr>
        <w:t>, respondieron 269, lo que sitúa el grado de cumplimiento en el 76 por ciento</w:t>
      </w:r>
      <w:r w:rsidR="00B25349">
        <w:rPr>
          <w:lang w:val="es-ES"/>
        </w:rPr>
        <w:t>, inferior al 89 por ciento registrado en el cuestionario relativo al ejercicio anterior</w:t>
      </w:r>
      <w:r w:rsidR="00464D81">
        <w:rPr>
          <w:lang w:val="es-ES"/>
        </w:rPr>
        <w:t>.</w:t>
      </w:r>
    </w:p>
    <w:p w14:paraId="14E8E730" w14:textId="77777777" w:rsidR="00DB537B" w:rsidRPr="00EF0883" w:rsidRDefault="004B044B" w:rsidP="004248BF">
      <w:pPr>
        <w:pStyle w:val="Ttulo2"/>
        <w:rPr>
          <w:szCs w:val="25"/>
        </w:rPr>
      </w:pPr>
      <w:bookmarkStart w:id="102" w:name="_Toc123724209"/>
      <w:r w:rsidRPr="00EF0883">
        <w:rPr>
          <w:szCs w:val="25"/>
        </w:rPr>
        <w:t xml:space="preserve">IX.2. </w:t>
      </w:r>
      <w:r w:rsidR="00DB537B" w:rsidRPr="00EF0883">
        <w:rPr>
          <w:szCs w:val="25"/>
        </w:rPr>
        <w:t>Control interno</w:t>
      </w:r>
      <w:bookmarkEnd w:id="102"/>
    </w:p>
    <w:p w14:paraId="45F9D742" w14:textId="77777777" w:rsidR="00DB537B" w:rsidRDefault="004B044B" w:rsidP="005C70E8">
      <w:pPr>
        <w:pStyle w:val="texto"/>
        <w:rPr>
          <w:b/>
          <w:lang w:val="es-ES"/>
        </w:rPr>
      </w:pPr>
      <w:r>
        <w:rPr>
          <w:lang w:val="es-ES"/>
        </w:rPr>
        <w:t>El control interno de la gestión económica de las entidades locales ejercido por el órgano interventor está regulado en el artículo 240 de la LFAL y los artículos 243-251 de la LFHL. Esta normativa distingue tres modalidades de control interno:</w:t>
      </w:r>
      <w:r w:rsidR="002E5D2D">
        <w:rPr>
          <w:lang w:val="es-ES"/>
        </w:rPr>
        <w:t xml:space="preserve"> función interventora, control financiero y control de eficacia.</w:t>
      </w:r>
    </w:p>
    <w:p w14:paraId="1CC3C902" w14:textId="1A73DA9C" w:rsidR="00E63B1D" w:rsidRPr="008E43F9" w:rsidRDefault="002E5D2D" w:rsidP="001C793D">
      <w:pPr>
        <w:pStyle w:val="texto"/>
        <w:spacing w:after="240"/>
        <w:rPr>
          <w:b/>
          <w:lang w:val="es-ES"/>
        </w:rPr>
      </w:pPr>
      <w:r w:rsidRPr="008E43F9">
        <w:rPr>
          <w:lang w:val="es-ES"/>
        </w:rPr>
        <w:t>L</w:t>
      </w:r>
      <w:r w:rsidR="00E63B1D" w:rsidRPr="008E43F9">
        <w:rPr>
          <w:lang w:val="es-ES"/>
        </w:rPr>
        <w:t xml:space="preserve">a tabla siguiente muestra </w:t>
      </w:r>
      <w:r w:rsidR="004C741A">
        <w:rPr>
          <w:lang w:val="es-ES"/>
        </w:rPr>
        <w:t>algun</w:t>
      </w:r>
      <w:r w:rsidR="00E63B1D" w:rsidRPr="004C741A">
        <w:rPr>
          <w:lang w:val="es-ES"/>
        </w:rPr>
        <w:t>os controles</w:t>
      </w:r>
      <w:r w:rsidR="00E63B1D" w:rsidRPr="008E43F9">
        <w:rPr>
          <w:lang w:val="es-ES"/>
        </w:rPr>
        <w:t xml:space="preserve"> practicados </w:t>
      </w:r>
      <w:r w:rsidR="00974F8A">
        <w:rPr>
          <w:lang w:val="es-ES"/>
        </w:rPr>
        <w:t>por las entidades locales dentro del ámbito de la función interventora:</w:t>
      </w:r>
    </w:p>
    <w:tbl>
      <w:tblPr>
        <w:tblW w:w="8792" w:type="dxa"/>
        <w:tblBorders>
          <w:top w:val="single" w:sz="2" w:space="0" w:color="auto"/>
          <w:bottom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978"/>
        <w:gridCol w:w="713"/>
        <w:gridCol w:w="626"/>
        <w:gridCol w:w="779"/>
        <w:gridCol w:w="569"/>
        <w:gridCol w:w="708"/>
        <w:gridCol w:w="719"/>
        <w:gridCol w:w="850"/>
        <w:gridCol w:w="567"/>
        <w:gridCol w:w="709"/>
        <w:gridCol w:w="574"/>
      </w:tblGrid>
      <w:tr w:rsidR="00474131" w:rsidRPr="00983CA6" w14:paraId="5E9FFF6B" w14:textId="77777777" w:rsidTr="002034EE">
        <w:trPr>
          <w:trHeight w:val="227"/>
        </w:trPr>
        <w:tc>
          <w:tcPr>
            <w:tcW w:w="1980" w:type="dxa"/>
            <w:vMerge w:val="restart"/>
            <w:tcBorders>
              <w:top w:val="single" w:sz="4" w:space="0" w:color="auto"/>
            </w:tcBorders>
            <w:shd w:val="clear" w:color="auto" w:fill="FABF8F" w:themeFill="accent6" w:themeFillTint="99"/>
            <w:noWrap/>
            <w:vAlign w:val="center"/>
            <w:hideMark/>
          </w:tcPr>
          <w:p w14:paraId="0C82E58C" w14:textId="357DBC62" w:rsidR="00474131" w:rsidRPr="00983CA6" w:rsidRDefault="00474131" w:rsidP="002034EE">
            <w:pPr>
              <w:pStyle w:val="cuadroCabe"/>
              <w:spacing w:line="240" w:lineRule="auto"/>
              <w:rPr>
                <w:sz w:val="14"/>
                <w:szCs w:val="14"/>
              </w:rPr>
            </w:pPr>
            <w:r w:rsidRPr="00983CA6">
              <w:rPr>
                <w:sz w:val="14"/>
                <w:szCs w:val="14"/>
              </w:rPr>
              <w:t>Tipo de ent</w:t>
            </w:r>
            <w:r w:rsidR="00403EFD" w:rsidRPr="00983CA6">
              <w:rPr>
                <w:sz w:val="14"/>
                <w:szCs w:val="14"/>
              </w:rPr>
              <w:t>idad</w:t>
            </w:r>
            <w:r w:rsidRPr="00983CA6">
              <w:rPr>
                <w:sz w:val="14"/>
                <w:szCs w:val="14"/>
              </w:rPr>
              <w:t xml:space="preserve"> local</w:t>
            </w:r>
          </w:p>
        </w:tc>
        <w:tc>
          <w:tcPr>
            <w:tcW w:w="1336" w:type="dxa"/>
            <w:gridSpan w:val="2"/>
            <w:tcBorders>
              <w:top w:val="single" w:sz="4" w:space="0" w:color="auto"/>
            </w:tcBorders>
            <w:shd w:val="clear" w:color="auto" w:fill="FABF8F" w:themeFill="accent6" w:themeFillTint="99"/>
            <w:vAlign w:val="center"/>
            <w:hideMark/>
          </w:tcPr>
          <w:p w14:paraId="14ACE51C" w14:textId="77777777" w:rsidR="00474131" w:rsidRPr="00983CA6" w:rsidRDefault="00474131" w:rsidP="002034EE">
            <w:pPr>
              <w:pStyle w:val="cuadroCabe"/>
              <w:spacing w:line="240" w:lineRule="auto"/>
              <w:jc w:val="right"/>
              <w:rPr>
                <w:sz w:val="14"/>
                <w:szCs w:val="14"/>
              </w:rPr>
            </w:pPr>
            <w:proofErr w:type="gramStart"/>
            <w:r w:rsidRPr="00983CA6">
              <w:rPr>
                <w:sz w:val="14"/>
                <w:szCs w:val="14"/>
              </w:rPr>
              <w:t>Total</w:t>
            </w:r>
            <w:proofErr w:type="gramEnd"/>
            <w:r w:rsidRPr="00983CA6">
              <w:rPr>
                <w:sz w:val="14"/>
                <w:szCs w:val="14"/>
              </w:rPr>
              <w:t xml:space="preserve"> respuestas</w:t>
            </w:r>
          </w:p>
        </w:tc>
        <w:tc>
          <w:tcPr>
            <w:tcW w:w="1349" w:type="dxa"/>
            <w:gridSpan w:val="2"/>
            <w:tcBorders>
              <w:top w:val="single" w:sz="4" w:space="0" w:color="auto"/>
            </w:tcBorders>
            <w:shd w:val="clear" w:color="auto" w:fill="FABF8F" w:themeFill="accent6" w:themeFillTint="99"/>
            <w:vAlign w:val="center"/>
            <w:hideMark/>
          </w:tcPr>
          <w:p w14:paraId="05564CA2" w14:textId="77777777" w:rsidR="00983CA6" w:rsidRDefault="00474131" w:rsidP="002034EE">
            <w:pPr>
              <w:pStyle w:val="cuadroCabe"/>
              <w:spacing w:line="240" w:lineRule="auto"/>
              <w:jc w:val="right"/>
              <w:rPr>
                <w:sz w:val="14"/>
                <w:szCs w:val="14"/>
              </w:rPr>
            </w:pPr>
            <w:r w:rsidRPr="00983CA6">
              <w:rPr>
                <w:sz w:val="14"/>
                <w:szCs w:val="14"/>
              </w:rPr>
              <w:t xml:space="preserve">Intervención </w:t>
            </w:r>
          </w:p>
          <w:p w14:paraId="47DE0DF5" w14:textId="31A796F0" w:rsidR="00474131" w:rsidRPr="00983CA6" w:rsidRDefault="00474131" w:rsidP="002034EE">
            <w:pPr>
              <w:pStyle w:val="cuadroCabe"/>
              <w:spacing w:line="240" w:lineRule="auto"/>
              <w:jc w:val="right"/>
              <w:rPr>
                <w:sz w:val="14"/>
                <w:szCs w:val="14"/>
              </w:rPr>
            </w:pPr>
            <w:r w:rsidRPr="00983CA6">
              <w:rPr>
                <w:sz w:val="14"/>
                <w:szCs w:val="14"/>
              </w:rPr>
              <w:t>formal pago</w:t>
            </w:r>
          </w:p>
        </w:tc>
        <w:tc>
          <w:tcPr>
            <w:tcW w:w="1427" w:type="dxa"/>
            <w:gridSpan w:val="2"/>
            <w:tcBorders>
              <w:top w:val="single" w:sz="4" w:space="0" w:color="auto"/>
            </w:tcBorders>
            <w:shd w:val="clear" w:color="auto" w:fill="FABF8F" w:themeFill="accent6" w:themeFillTint="99"/>
            <w:vAlign w:val="center"/>
            <w:hideMark/>
          </w:tcPr>
          <w:p w14:paraId="270C1044" w14:textId="77777777" w:rsidR="00983CA6" w:rsidRDefault="00474131" w:rsidP="002034EE">
            <w:pPr>
              <w:pStyle w:val="cuadroCabe"/>
              <w:spacing w:line="240" w:lineRule="auto"/>
              <w:jc w:val="right"/>
              <w:rPr>
                <w:sz w:val="14"/>
                <w:szCs w:val="14"/>
              </w:rPr>
            </w:pPr>
            <w:r w:rsidRPr="00983CA6">
              <w:rPr>
                <w:sz w:val="14"/>
                <w:szCs w:val="14"/>
              </w:rPr>
              <w:t>Intervención</w:t>
            </w:r>
          </w:p>
          <w:p w14:paraId="2CCA3EFB" w14:textId="02B64F47" w:rsidR="00474131" w:rsidRPr="00983CA6" w:rsidRDefault="00474131" w:rsidP="002034EE">
            <w:pPr>
              <w:pStyle w:val="cuadroCabe"/>
              <w:spacing w:line="240" w:lineRule="auto"/>
              <w:jc w:val="right"/>
              <w:rPr>
                <w:sz w:val="14"/>
                <w:szCs w:val="14"/>
              </w:rPr>
            </w:pPr>
            <w:r w:rsidRPr="00983CA6">
              <w:rPr>
                <w:sz w:val="14"/>
                <w:szCs w:val="14"/>
              </w:rPr>
              <w:t>material pago</w:t>
            </w:r>
          </w:p>
        </w:tc>
        <w:tc>
          <w:tcPr>
            <w:tcW w:w="1417" w:type="dxa"/>
            <w:gridSpan w:val="2"/>
            <w:tcBorders>
              <w:top w:val="single" w:sz="4" w:space="0" w:color="auto"/>
            </w:tcBorders>
            <w:shd w:val="clear" w:color="auto" w:fill="FABF8F" w:themeFill="accent6" w:themeFillTint="99"/>
            <w:vAlign w:val="center"/>
            <w:hideMark/>
          </w:tcPr>
          <w:p w14:paraId="6F42BEE0" w14:textId="77777777" w:rsidR="00474131" w:rsidRPr="00983CA6" w:rsidRDefault="00474131" w:rsidP="002034EE">
            <w:pPr>
              <w:pStyle w:val="cuadroCabe"/>
              <w:spacing w:line="240" w:lineRule="auto"/>
              <w:jc w:val="right"/>
              <w:rPr>
                <w:sz w:val="14"/>
                <w:szCs w:val="14"/>
              </w:rPr>
            </w:pPr>
            <w:r w:rsidRPr="00983CA6">
              <w:rPr>
                <w:sz w:val="14"/>
                <w:szCs w:val="14"/>
              </w:rPr>
              <w:t>Comprobación</w:t>
            </w:r>
          </w:p>
          <w:p w14:paraId="65DEE7E4" w14:textId="223C7767" w:rsidR="00474131" w:rsidRPr="00983CA6" w:rsidRDefault="00474131" w:rsidP="002034EE">
            <w:pPr>
              <w:pStyle w:val="cuadroCabe"/>
              <w:spacing w:line="240" w:lineRule="auto"/>
              <w:jc w:val="right"/>
              <w:rPr>
                <w:sz w:val="14"/>
                <w:szCs w:val="14"/>
              </w:rPr>
            </w:pPr>
            <w:r w:rsidRPr="00983CA6">
              <w:rPr>
                <w:sz w:val="14"/>
                <w:szCs w:val="14"/>
              </w:rPr>
              <w:t>inversiones</w:t>
            </w:r>
          </w:p>
        </w:tc>
        <w:tc>
          <w:tcPr>
            <w:tcW w:w="1283" w:type="dxa"/>
            <w:gridSpan w:val="2"/>
            <w:tcBorders>
              <w:top w:val="single" w:sz="4" w:space="0" w:color="auto"/>
            </w:tcBorders>
            <w:shd w:val="clear" w:color="auto" w:fill="FABF8F" w:themeFill="accent6" w:themeFillTint="99"/>
            <w:vAlign w:val="center"/>
            <w:hideMark/>
          </w:tcPr>
          <w:p w14:paraId="7A442188" w14:textId="77777777" w:rsidR="00474131" w:rsidRPr="00983CA6" w:rsidRDefault="00474131" w:rsidP="002034EE">
            <w:pPr>
              <w:pStyle w:val="cuadroCabe"/>
              <w:spacing w:line="240" w:lineRule="auto"/>
              <w:jc w:val="right"/>
              <w:rPr>
                <w:sz w:val="14"/>
                <w:szCs w:val="14"/>
              </w:rPr>
            </w:pPr>
            <w:r w:rsidRPr="00983CA6">
              <w:rPr>
                <w:sz w:val="14"/>
                <w:szCs w:val="14"/>
              </w:rPr>
              <w:t>Comprobación</w:t>
            </w:r>
          </w:p>
          <w:p w14:paraId="33730553" w14:textId="22C74702" w:rsidR="00474131" w:rsidRPr="00983CA6" w:rsidRDefault="00474131" w:rsidP="002034EE">
            <w:pPr>
              <w:pStyle w:val="cuadroCabe"/>
              <w:spacing w:line="240" w:lineRule="auto"/>
              <w:jc w:val="right"/>
              <w:rPr>
                <w:sz w:val="14"/>
                <w:szCs w:val="14"/>
              </w:rPr>
            </w:pPr>
            <w:r w:rsidRPr="00983CA6">
              <w:rPr>
                <w:sz w:val="14"/>
                <w:szCs w:val="14"/>
              </w:rPr>
              <w:t>subvenciones</w:t>
            </w:r>
          </w:p>
        </w:tc>
      </w:tr>
      <w:tr w:rsidR="00E361DB" w:rsidRPr="00983CA6" w14:paraId="07866394" w14:textId="77777777" w:rsidTr="002034EE">
        <w:trPr>
          <w:trHeight w:val="227"/>
        </w:trPr>
        <w:tc>
          <w:tcPr>
            <w:tcW w:w="1980" w:type="dxa"/>
            <w:vMerge/>
            <w:shd w:val="clear" w:color="auto" w:fill="FABF8F" w:themeFill="accent6" w:themeFillTint="99"/>
            <w:vAlign w:val="center"/>
            <w:hideMark/>
          </w:tcPr>
          <w:p w14:paraId="02D28C80" w14:textId="77777777" w:rsidR="00E361DB" w:rsidRPr="00983CA6" w:rsidRDefault="00E361DB" w:rsidP="002034EE">
            <w:pPr>
              <w:pStyle w:val="cuadroCabe"/>
              <w:spacing w:line="240" w:lineRule="auto"/>
              <w:rPr>
                <w:sz w:val="14"/>
                <w:szCs w:val="14"/>
              </w:rPr>
            </w:pPr>
          </w:p>
        </w:tc>
        <w:tc>
          <w:tcPr>
            <w:tcW w:w="714" w:type="dxa"/>
            <w:shd w:val="clear" w:color="auto" w:fill="FABF8F" w:themeFill="accent6" w:themeFillTint="99"/>
            <w:noWrap/>
            <w:vAlign w:val="center"/>
            <w:hideMark/>
          </w:tcPr>
          <w:p w14:paraId="6264C3E5" w14:textId="77777777" w:rsidR="00E361DB" w:rsidRPr="00983CA6" w:rsidRDefault="00E361DB" w:rsidP="002034EE">
            <w:pPr>
              <w:pStyle w:val="cuadroCabe"/>
              <w:spacing w:line="240" w:lineRule="auto"/>
              <w:jc w:val="right"/>
              <w:rPr>
                <w:sz w:val="14"/>
                <w:szCs w:val="14"/>
              </w:rPr>
            </w:pPr>
            <w:r w:rsidRPr="00983CA6">
              <w:rPr>
                <w:sz w:val="14"/>
                <w:szCs w:val="14"/>
              </w:rPr>
              <w:t>2019</w:t>
            </w:r>
          </w:p>
        </w:tc>
        <w:tc>
          <w:tcPr>
            <w:tcW w:w="627" w:type="dxa"/>
            <w:shd w:val="clear" w:color="auto" w:fill="FABF8F" w:themeFill="accent6" w:themeFillTint="99"/>
            <w:noWrap/>
            <w:vAlign w:val="center"/>
            <w:hideMark/>
          </w:tcPr>
          <w:p w14:paraId="4EBC0747" w14:textId="77777777" w:rsidR="00E361DB" w:rsidRPr="00983CA6" w:rsidRDefault="00E361DB" w:rsidP="002034EE">
            <w:pPr>
              <w:pStyle w:val="cuadroCabe"/>
              <w:spacing w:line="240" w:lineRule="auto"/>
              <w:jc w:val="right"/>
              <w:rPr>
                <w:sz w:val="14"/>
                <w:szCs w:val="14"/>
              </w:rPr>
            </w:pPr>
            <w:r w:rsidRPr="00983CA6">
              <w:rPr>
                <w:sz w:val="14"/>
                <w:szCs w:val="14"/>
              </w:rPr>
              <w:t>2020</w:t>
            </w:r>
          </w:p>
        </w:tc>
        <w:tc>
          <w:tcPr>
            <w:tcW w:w="780" w:type="dxa"/>
            <w:shd w:val="clear" w:color="auto" w:fill="FABF8F" w:themeFill="accent6" w:themeFillTint="99"/>
            <w:noWrap/>
            <w:vAlign w:val="center"/>
            <w:hideMark/>
          </w:tcPr>
          <w:p w14:paraId="1E700C88" w14:textId="77777777" w:rsidR="00E361DB" w:rsidRPr="00983CA6" w:rsidRDefault="00E361DB" w:rsidP="002034EE">
            <w:pPr>
              <w:pStyle w:val="cuadroCabe"/>
              <w:spacing w:line="240" w:lineRule="auto"/>
              <w:jc w:val="right"/>
              <w:rPr>
                <w:sz w:val="14"/>
                <w:szCs w:val="14"/>
              </w:rPr>
            </w:pPr>
            <w:r w:rsidRPr="00983CA6">
              <w:rPr>
                <w:sz w:val="14"/>
                <w:szCs w:val="14"/>
              </w:rPr>
              <w:t>2019</w:t>
            </w:r>
          </w:p>
        </w:tc>
        <w:tc>
          <w:tcPr>
            <w:tcW w:w="562" w:type="dxa"/>
            <w:shd w:val="clear" w:color="auto" w:fill="FABF8F" w:themeFill="accent6" w:themeFillTint="99"/>
            <w:noWrap/>
            <w:vAlign w:val="center"/>
            <w:hideMark/>
          </w:tcPr>
          <w:p w14:paraId="4B9D79CC" w14:textId="77777777" w:rsidR="00E361DB" w:rsidRPr="00983CA6" w:rsidRDefault="00E361DB" w:rsidP="002034EE">
            <w:pPr>
              <w:pStyle w:val="cuadroCabe"/>
              <w:spacing w:line="240" w:lineRule="auto"/>
              <w:jc w:val="right"/>
              <w:rPr>
                <w:sz w:val="14"/>
                <w:szCs w:val="14"/>
              </w:rPr>
            </w:pPr>
            <w:r w:rsidRPr="00983CA6">
              <w:rPr>
                <w:sz w:val="14"/>
                <w:szCs w:val="14"/>
              </w:rPr>
              <w:t>2020</w:t>
            </w:r>
          </w:p>
        </w:tc>
        <w:tc>
          <w:tcPr>
            <w:tcW w:w="708" w:type="dxa"/>
            <w:shd w:val="clear" w:color="auto" w:fill="FABF8F" w:themeFill="accent6" w:themeFillTint="99"/>
            <w:noWrap/>
            <w:vAlign w:val="center"/>
            <w:hideMark/>
          </w:tcPr>
          <w:p w14:paraId="73567061" w14:textId="77777777" w:rsidR="00E361DB" w:rsidRPr="00983CA6" w:rsidRDefault="00E361DB" w:rsidP="002034EE">
            <w:pPr>
              <w:pStyle w:val="cuadroCabe"/>
              <w:spacing w:line="240" w:lineRule="auto"/>
              <w:jc w:val="right"/>
              <w:rPr>
                <w:sz w:val="14"/>
                <w:szCs w:val="14"/>
              </w:rPr>
            </w:pPr>
            <w:r w:rsidRPr="00983CA6">
              <w:rPr>
                <w:sz w:val="14"/>
                <w:szCs w:val="14"/>
              </w:rPr>
              <w:t>2019</w:t>
            </w:r>
          </w:p>
        </w:tc>
        <w:tc>
          <w:tcPr>
            <w:tcW w:w="719" w:type="dxa"/>
            <w:shd w:val="clear" w:color="auto" w:fill="FABF8F" w:themeFill="accent6" w:themeFillTint="99"/>
            <w:noWrap/>
            <w:vAlign w:val="center"/>
            <w:hideMark/>
          </w:tcPr>
          <w:p w14:paraId="5622414F" w14:textId="77777777" w:rsidR="00E361DB" w:rsidRPr="00983CA6" w:rsidRDefault="00E361DB" w:rsidP="002034EE">
            <w:pPr>
              <w:pStyle w:val="cuadroCabe"/>
              <w:spacing w:line="240" w:lineRule="auto"/>
              <w:jc w:val="right"/>
              <w:rPr>
                <w:sz w:val="14"/>
                <w:szCs w:val="14"/>
              </w:rPr>
            </w:pPr>
            <w:r w:rsidRPr="00983CA6">
              <w:rPr>
                <w:sz w:val="14"/>
                <w:szCs w:val="14"/>
              </w:rPr>
              <w:t>2020</w:t>
            </w:r>
          </w:p>
        </w:tc>
        <w:tc>
          <w:tcPr>
            <w:tcW w:w="850" w:type="dxa"/>
            <w:shd w:val="clear" w:color="auto" w:fill="FABF8F" w:themeFill="accent6" w:themeFillTint="99"/>
            <w:noWrap/>
            <w:vAlign w:val="center"/>
            <w:hideMark/>
          </w:tcPr>
          <w:p w14:paraId="7B304824" w14:textId="77777777" w:rsidR="00E361DB" w:rsidRPr="00983CA6" w:rsidRDefault="00E361DB" w:rsidP="002034EE">
            <w:pPr>
              <w:pStyle w:val="cuadroCabe"/>
              <w:spacing w:line="240" w:lineRule="auto"/>
              <w:jc w:val="right"/>
              <w:rPr>
                <w:sz w:val="14"/>
                <w:szCs w:val="14"/>
              </w:rPr>
            </w:pPr>
            <w:r w:rsidRPr="00983CA6">
              <w:rPr>
                <w:sz w:val="14"/>
                <w:szCs w:val="14"/>
              </w:rPr>
              <w:t>2019</w:t>
            </w:r>
          </w:p>
        </w:tc>
        <w:tc>
          <w:tcPr>
            <w:tcW w:w="567" w:type="dxa"/>
            <w:shd w:val="clear" w:color="auto" w:fill="FABF8F" w:themeFill="accent6" w:themeFillTint="99"/>
            <w:noWrap/>
            <w:vAlign w:val="center"/>
            <w:hideMark/>
          </w:tcPr>
          <w:p w14:paraId="064C821F" w14:textId="77777777" w:rsidR="00E361DB" w:rsidRPr="00983CA6" w:rsidRDefault="00E361DB" w:rsidP="002034EE">
            <w:pPr>
              <w:pStyle w:val="cuadroCabe"/>
              <w:spacing w:line="240" w:lineRule="auto"/>
              <w:jc w:val="right"/>
              <w:rPr>
                <w:sz w:val="14"/>
                <w:szCs w:val="14"/>
              </w:rPr>
            </w:pPr>
            <w:r w:rsidRPr="00983CA6">
              <w:rPr>
                <w:sz w:val="14"/>
                <w:szCs w:val="14"/>
              </w:rPr>
              <w:t>2020</w:t>
            </w:r>
          </w:p>
        </w:tc>
        <w:tc>
          <w:tcPr>
            <w:tcW w:w="709" w:type="dxa"/>
            <w:shd w:val="clear" w:color="auto" w:fill="FABF8F" w:themeFill="accent6" w:themeFillTint="99"/>
            <w:noWrap/>
            <w:vAlign w:val="center"/>
            <w:hideMark/>
          </w:tcPr>
          <w:p w14:paraId="4028883F" w14:textId="77777777" w:rsidR="00E361DB" w:rsidRPr="00983CA6" w:rsidRDefault="00E361DB" w:rsidP="002034EE">
            <w:pPr>
              <w:pStyle w:val="cuadroCabe"/>
              <w:spacing w:line="240" w:lineRule="auto"/>
              <w:jc w:val="right"/>
              <w:rPr>
                <w:sz w:val="14"/>
                <w:szCs w:val="14"/>
              </w:rPr>
            </w:pPr>
            <w:r w:rsidRPr="00983CA6">
              <w:rPr>
                <w:sz w:val="14"/>
                <w:szCs w:val="14"/>
              </w:rPr>
              <w:t>2019</w:t>
            </w:r>
          </w:p>
        </w:tc>
        <w:tc>
          <w:tcPr>
            <w:tcW w:w="574" w:type="dxa"/>
            <w:shd w:val="clear" w:color="auto" w:fill="FABF8F" w:themeFill="accent6" w:themeFillTint="99"/>
            <w:noWrap/>
            <w:vAlign w:val="center"/>
            <w:hideMark/>
          </w:tcPr>
          <w:p w14:paraId="6DFFC06F" w14:textId="77777777" w:rsidR="00E361DB" w:rsidRPr="00983CA6" w:rsidRDefault="00E361DB" w:rsidP="002034EE">
            <w:pPr>
              <w:pStyle w:val="cuadroCabe"/>
              <w:spacing w:line="240" w:lineRule="auto"/>
              <w:jc w:val="right"/>
              <w:rPr>
                <w:sz w:val="14"/>
                <w:szCs w:val="14"/>
              </w:rPr>
            </w:pPr>
            <w:r w:rsidRPr="00983CA6">
              <w:rPr>
                <w:sz w:val="14"/>
                <w:szCs w:val="14"/>
              </w:rPr>
              <w:t>2020</w:t>
            </w:r>
          </w:p>
        </w:tc>
      </w:tr>
      <w:tr w:rsidR="00E361DB" w:rsidRPr="00983CA6" w14:paraId="4E740E67" w14:textId="77777777" w:rsidTr="002034EE">
        <w:trPr>
          <w:trHeight w:val="227"/>
        </w:trPr>
        <w:tc>
          <w:tcPr>
            <w:tcW w:w="1980" w:type="dxa"/>
            <w:shd w:val="clear" w:color="auto" w:fill="auto"/>
            <w:noWrap/>
            <w:vAlign w:val="center"/>
            <w:hideMark/>
          </w:tcPr>
          <w:p w14:paraId="49A6E4FB" w14:textId="77777777" w:rsidR="00E361DB" w:rsidRPr="00983CA6" w:rsidRDefault="00E361DB" w:rsidP="002034EE">
            <w:pPr>
              <w:pStyle w:val="cuatexto"/>
              <w:spacing w:line="240" w:lineRule="auto"/>
            </w:pPr>
            <w:r w:rsidRPr="00983CA6">
              <w:t>Ayuntamientos</w:t>
            </w:r>
          </w:p>
        </w:tc>
        <w:tc>
          <w:tcPr>
            <w:tcW w:w="714" w:type="dxa"/>
            <w:shd w:val="clear" w:color="auto" w:fill="auto"/>
            <w:noWrap/>
            <w:vAlign w:val="center"/>
            <w:hideMark/>
          </w:tcPr>
          <w:p w14:paraId="22AB3E36" w14:textId="77777777" w:rsidR="00E361DB" w:rsidRPr="00983CA6" w:rsidRDefault="00E361DB" w:rsidP="002034EE">
            <w:pPr>
              <w:pStyle w:val="cuatexto"/>
              <w:spacing w:line="240" w:lineRule="auto"/>
              <w:jc w:val="right"/>
            </w:pPr>
            <w:r w:rsidRPr="00983CA6">
              <w:t>245</w:t>
            </w:r>
          </w:p>
        </w:tc>
        <w:tc>
          <w:tcPr>
            <w:tcW w:w="627" w:type="dxa"/>
            <w:shd w:val="clear" w:color="auto" w:fill="auto"/>
            <w:noWrap/>
            <w:vAlign w:val="center"/>
            <w:hideMark/>
          </w:tcPr>
          <w:p w14:paraId="1E7E6CF8" w14:textId="77777777" w:rsidR="00E361DB" w:rsidRPr="00983CA6" w:rsidRDefault="00E361DB" w:rsidP="002034EE">
            <w:pPr>
              <w:pStyle w:val="cuatexto"/>
              <w:spacing w:line="240" w:lineRule="auto"/>
              <w:jc w:val="right"/>
            </w:pPr>
            <w:r w:rsidRPr="00983CA6">
              <w:t>208</w:t>
            </w:r>
          </w:p>
        </w:tc>
        <w:tc>
          <w:tcPr>
            <w:tcW w:w="780" w:type="dxa"/>
            <w:shd w:val="clear" w:color="auto" w:fill="auto"/>
            <w:noWrap/>
            <w:vAlign w:val="center"/>
            <w:hideMark/>
          </w:tcPr>
          <w:p w14:paraId="73272747" w14:textId="77777777" w:rsidR="00E361DB" w:rsidRPr="00983CA6" w:rsidRDefault="00E361DB" w:rsidP="002034EE">
            <w:pPr>
              <w:pStyle w:val="cuatexto"/>
              <w:spacing w:line="240" w:lineRule="auto"/>
              <w:jc w:val="right"/>
            </w:pPr>
            <w:r w:rsidRPr="00983CA6">
              <w:t>200</w:t>
            </w:r>
          </w:p>
        </w:tc>
        <w:tc>
          <w:tcPr>
            <w:tcW w:w="562" w:type="dxa"/>
            <w:shd w:val="clear" w:color="auto" w:fill="auto"/>
            <w:noWrap/>
            <w:vAlign w:val="center"/>
            <w:hideMark/>
          </w:tcPr>
          <w:p w14:paraId="401AD00B" w14:textId="77777777" w:rsidR="00E361DB" w:rsidRPr="00983CA6" w:rsidRDefault="00E361DB" w:rsidP="002034EE">
            <w:pPr>
              <w:pStyle w:val="cuatexto"/>
              <w:spacing w:line="240" w:lineRule="auto"/>
              <w:jc w:val="right"/>
            </w:pPr>
            <w:r w:rsidRPr="00983CA6">
              <w:t>169</w:t>
            </w:r>
          </w:p>
        </w:tc>
        <w:tc>
          <w:tcPr>
            <w:tcW w:w="708" w:type="dxa"/>
            <w:shd w:val="clear" w:color="auto" w:fill="auto"/>
            <w:noWrap/>
            <w:vAlign w:val="center"/>
            <w:hideMark/>
          </w:tcPr>
          <w:p w14:paraId="5FAC1C92" w14:textId="77777777" w:rsidR="00E361DB" w:rsidRPr="00983CA6" w:rsidRDefault="00E361DB" w:rsidP="002034EE">
            <w:pPr>
              <w:pStyle w:val="cuatexto"/>
              <w:spacing w:line="240" w:lineRule="auto"/>
              <w:jc w:val="right"/>
            </w:pPr>
            <w:r w:rsidRPr="00983CA6">
              <w:t>200</w:t>
            </w:r>
          </w:p>
        </w:tc>
        <w:tc>
          <w:tcPr>
            <w:tcW w:w="719" w:type="dxa"/>
            <w:shd w:val="clear" w:color="auto" w:fill="auto"/>
            <w:noWrap/>
            <w:vAlign w:val="center"/>
            <w:hideMark/>
          </w:tcPr>
          <w:p w14:paraId="68D1006D" w14:textId="77777777" w:rsidR="00E361DB" w:rsidRPr="00983CA6" w:rsidRDefault="00E361DB" w:rsidP="002034EE">
            <w:pPr>
              <w:pStyle w:val="cuatexto"/>
              <w:spacing w:line="240" w:lineRule="auto"/>
              <w:jc w:val="right"/>
            </w:pPr>
            <w:r w:rsidRPr="00983CA6">
              <w:t>163</w:t>
            </w:r>
          </w:p>
        </w:tc>
        <w:tc>
          <w:tcPr>
            <w:tcW w:w="850" w:type="dxa"/>
            <w:shd w:val="clear" w:color="auto" w:fill="auto"/>
            <w:noWrap/>
            <w:vAlign w:val="center"/>
            <w:hideMark/>
          </w:tcPr>
          <w:p w14:paraId="350A4B50" w14:textId="77777777" w:rsidR="00E361DB" w:rsidRPr="00983CA6" w:rsidRDefault="00E361DB" w:rsidP="002034EE">
            <w:pPr>
              <w:pStyle w:val="cuatexto"/>
              <w:spacing w:line="240" w:lineRule="auto"/>
              <w:jc w:val="right"/>
            </w:pPr>
            <w:r w:rsidRPr="00983CA6">
              <w:t>195</w:t>
            </w:r>
          </w:p>
        </w:tc>
        <w:tc>
          <w:tcPr>
            <w:tcW w:w="567" w:type="dxa"/>
            <w:shd w:val="clear" w:color="auto" w:fill="auto"/>
            <w:noWrap/>
            <w:vAlign w:val="center"/>
            <w:hideMark/>
          </w:tcPr>
          <w:p w14:paraId="66F7FD40" w14:textId="77777777" w:rsidR="00E361DB" w:rsidRPr="00983CA6" w:rsidRDefault="00E361DB" w:rsidP="002034EE">
            <w:pPr>
              <w:pStyle w:val="cuatexto"/>
              <w:spacing w:line="240" w:lineRule="auto"/>
              <w:jc w:val="right"/>
            </w:pPr>
            <w:r w:rsidRPr="00983CA6">
              <w:t>160</w:t>
            </w:r>
          </w:p>
        </w:tc>
        <w:tc>
          <w:tcPr>
            <w:tcW w:w="709" w:type="dxa"/>
            <w:shd w:val="clear" w:color="auto" w:fill="auto"/>
            <w:noWrap/>
            <w:vAlign w:val="center"/>
            <w:hideMark/>
          </w:tcPr>
          <w:p w14:paraId="52BB5B23" w14:textId="77777777" w:rsidR="00E361DB" w:rsidRPr="00983CA6" w:rsidRDefault="00E361DB" w:rsidP="002034EE">
            <w:pPr>
              <w:pStyle w:val="cuatexto"/>
              <w:spacing w:line="240" w:lineRule="auto"/>
              <w:jc w:val="right"/>
            </w:pPr>
            <w:r w:rsidRPr="00983CA6">
              <w:t>199</w:t>
            </w:r>
          </w:p>
        </w:tc>
        <w:tc>
          <w:tcPr>
            <w:tcW w:w="574" w:type="dxa"/>
            <w:shd w:val="clear" w:color="auto" w:fill="auto"/>
            <w:noWrap/>
            <w:vAlign w:val="center"/>
            <w:hideMark/>
          </w:tcPr>
          <w:p w14:paraId="78A43437" w14:textId="77777777" w:rsidR="00E361DB" w:rsidRPr="00983CA6" w:rsidRDefault="00E361DB" w:rsidP="002034EE">
            <w:pPr>
              <w:pStyle w:val="cuatexto"/>
              <w:spacing w:line="240" w:lineRule="auto"/>
              <w:jc w:val="right"/>
            </w:pPr>
            <w:r w:rsidRPr="00983CA6">
              <w:t>163</w:t>
            </w:r>
          </w:p>
        </w:tc>
      </w:tr>
      <w:tr w:rsidR="00E361DB" w:rsidRPr="00983CA6" w14:paraId="001A86E0" w14:textId="77777777" w:rsidTr="002034EE">
        <w:trPr>
          <w:trHeight w:val="227"/>
        </w:trPr>
        <w:tc>
          <w:tcPr>
            <w:tcW w:w="1980" w:type="dxa"/>
            <w:shd w:val="clear" w:color="auto" w:fill="auto"/>
            <w:noWrap/>
            <w:vAlign w:val="center"/>
            <w:hideMark/>
          </w:tcPr>
          <w:p w14:paraId="555958F6" w14:textId="14A8E39F" w:rsidR="00E361DB" w:rsidRPr="00983CA6" w:rsidRDefault="00E361DB" w:rsidP="002034EE">
            <w:pPr>
              <w:pStyle w:val="cuatexto"/>
              <w:spacing w:line="240" w:lineRule="auto"/>
            </w:pPr>
            <w:proofErr w:type="gramStart"/>
            <w:r w:rsidRPr="00983CA6">
              <w:t>&lt;  1.000</w:t>
            </w:r>
            <w:proofErr w:type="gramEnd"/>
            <w:r w:rsidR="008E43F9" w:rsidRPr="00983CA6">
              <w:t xml:space="preserve"> habitantes</w:t>
            </w:r>
          </w:p>
        </w:tc>
        <w:tc>
          <w:tcPr>
            <w:tcW w:w="714" w:type="dxa"/>
            <w:shd w:val="clear" w:color="auto" w:fill="auto"/>
            <w:noWrap/>
            <w:vAlign w:val="center"/>
            <w:hideMark/>
          </w:tcPr>
          <w:p w14:paraId="5FB6C383" w14:textId="77777777" w:rsidR="00E361DB" w:rsidRPr="00983CA6" w:rsidRDefault="00E361DB" w:rsidP="002034EE">
            <w:pPr>
              <w:pStyle w:val="cuatexto"/>
              <w:spacing w:line="240" w:lineRule="auto"/>
              <w:jc w:val="right"/>
            </w:pPr>
            <w:r w:rsidRPr="00983CA6">
              <w:t>165</w:t>
            </w:r>
          </w:p>
        </w:tc>
        <w:tc>
          <w:tcPr>
            <w:tcW w:w="627" w:type="dxa"/>
            <w:shd w:val="clear" w:color="auto" w:fill="auto"/>
            <w:noWrap/>
            <w:vAlign w:val="center"/>
            <w:hideMark/>
          </w:tcPr>
          <w:p w14:paraId="017752E2" w14:textId="77777777" w:rsidR="00E361DB" w:rsidRPr="00983CA6" w:rsidRDefault="00E361DB" w:rsidP="002034EE">
            <w:pPr>
              <w:pStyle w:val="cuatexto"/>
              <w:spacing w:line="240" w:lineRule="auto"/>
              <w:jc w:val="right"/>
            </w:pPr>
            <w:r w:rsidRPr="00983CA6">
              <w:t>139</w:t>
            </w:r>
          </w:p>
        </w:tc>
        <w:tc>
          <w:tcPr>
            <w:tcW w:w="780" w:type="dxa"/>
            <w:shd w:val="clear" w:color="auto" w:fill="auto"/>
            <w:noWrap/>
            <w:vAlign w:val="center"/>
            <w:hideMark/>
          </w:tcPr>
          <w:p w14:paraId="59B356DB" w14:textId="77777777" w:rsidR="00E361DB" w:rsidRPr="00983CA6" w:rsidRDefault="00E361DB" w:rsidP="002034EE">
            <w:pPr>
              <w:pStyle w:val="cuatexto"/>
              <w:spacing w:line="240" w:lineRule="auto"/>
              <w:jc w:val="right"/>
            </w:pPr>
            <w:r w:rsidRPr="00983CA6">
              <w:t>130</w:t>
            </w:r>
          </w:p>
        </w:tc>
        <w:tc>
          <w:tcPr>
            <w:tcW w:w="562" w:type="dxa"/>
            <w:shd w:val="clear" w:color="auto" w:fill="auto"/>
            <w:noWrap/>
            <w:vAlign w:val="center"/>
            <w:hideMark/>
          </w:tcPr>
          <w:p w14:paraId="5017F696" w14:textId="77777777" w:rsidR="00E361DB" w:rsidRPr="00983CA6" w:rsidRDefault="00E361DB" w:rsidP="002034EE">
            <w:pPr>
              <w:pStyle w:val="cuatexto"/>
              <w:spacing w:line="240" w:lineRule="auto"/>
              <w:jc w:val="right"/>
            </w:pPr>
            <w:r w:rsidRPr="00983CA6">
              <w:t>109</w:t>
            </w:r>
          </w:p>
        </w:tc>
        <w:tc>
          <w:tcPr>
            <w:tcW w:w="708" w:type="dxa"/>
            <w:shd w:val="clear" w:color="auto" w:fill="auto"/>
            <w:noWrap/>
            <w:vAlign w:val="center"/>
            <w:hideMark/>
          </w:tcPr>
          <w:p w14:paraId="425BB46E" w14:textId="77777777" w:rsidR="00E361DB" w:rsidRPr="00983CA6" w:rsidRDefault="00E361DB" w:rsidP="002034EE">
            <w:pPr>
              <w:pStyle w:val="cuatexto"/>
              <w:spacing w:line="240" w:lineRule="auto"/>
              <w:jc w:val="right"/>
            </w:pPr>
            <w:r w:rsidRPr="00983CA6">
              <w:t>130</w:t>
            </w:r>
          </w:p>
        </w:tc>
        <w:tc>
          <w:tcPr>
            <w:tcW w:w="719" w:type="dxa"/>
            <w:shd w:val="clear" w:color="auto" w:fill="auto"/>
            <w:noWrap/>
            <w:vAlign w:val="center"/>
            <w:hideMark/>
          </w:tcPr>
          <w:p w14:paraId="5325B4EE" w14:textId="77777777" w:rsidR="00E361DB" w:rsidRPr="00983CA6" w:rsidRDefault="00E361DB" w:rsidP="002034EE">
            <w:pPr>
              <w:pStyle w:val="cuatexto"/>
              <w:spacing w:line="240" w:lineRule="auto"/>
              <w:jc w:val="right"/>
            </w:pPr>
            <w:r w:rsidRPr="00983CA6">
              <w:t>109</w:t>
            </w:r>
          </w:p>
        </w:tc>
        <w:tc>
          <w:tcPr>
            <w:tcW w:w="850" w:type="dxa"/>
            <w:shd w:val="clear" w:color="auto" w:fill="auto"/>
            <w:noWrap/>
            <w:vAlign w:val="center"/>
            <w:hideMark/>
          </w:tcPr>
          <w:p w14:paraId="689AE78C" w14:textId="77777777" w:rsidR="00E361DB" w:rsidRPr="00983CA6" w:rsidRDefault="00E361DB" w:rsidP="002034EE">
            <w:pPr>
              <w:pStyle w:val="cuatexto"/>
              <w:spacing w:line="240" w:lineRule="auto"/>
              <w:jc w:val="right"/>
            </w:pPr>
            <w:r w:rsidRPr="00983CA6">
              <w:t>134</w:t>
            </w:r>
          </w:p>
        </w:tc>
        <w:tc>
          <w:tcPr>
            <w:tcW w:w="567" w:type="dxa"/>
            <w:shd w:val="clear" w:color="auto" w:fill="auto"/>
            <w:noWrap/>
            <w:vAlign w:val="center"/>
            <w:hideMark/>
          </w:tcPr>
          <w:p w14:paraId="19B1E4F1" w14:textId="77777777" w:rsidR="00E361DB" w:rsidRPr="00983CA6" w:rsidRDefault="00E361DB" w:rsidP="002034EE">
            <w:pPr>
              <w:pStyle w:val="cuatexto"/>
              <w:spacing w:line="240" w:lineRule="auto"/>
              <w:jc w:val="right"/>
            </w:pPr>
            <w:r w:rsidRPr="00983CA6">
              <w:t>110</w:t>
            </w:r>
          </w:p>
        </w:tc>
        <w:tc>
          <w:tcPr>
            <w:tcW w:w="709" w:type="dxa"/>
            <w:shd w:val="clear" w:color="auto" w:fill="auto"/>
            <w:noWrap/>
            <w:vAlign w:val="center"/>
            <w:hideMark/>
          </w:tcPr>
          <w:p w14:paraId="58A8A76C" w14:textId="77777777" w:rsidR="00E361DB" w:rsidRPr="00983CA6" w:rsidRDefault="00E361DB" w:rsidP="002034EE">
            <w:pPr>
              <w:pStyle w:val="cuatexto"/>
              <w:spacing w:line="240" w:lineRule="auto"/>
              <w:jc w:val="right"/>
            </w:pPr>
            <w:r w:rsidRPr="00983CA6">
              <w:t>132</w:t>
            </w:r>
          </w:p>
        </w:tc>
        <w:tc>
          <w:tcPr>
            <w:tcW w:w="574" w:type="dxa"/>
            <w:shd w:val="clear" w:color="auto" w:fill="auto"/>
            <w:noWrap/>
            <w:vAlign w:val="center"/>
            <w:hideMark/>
          </w:tcPr>
          <w:p w14:paraId="592BCB13" w14:textId="77777777" w:rsidR="00E361DB" w:rsidRPr="00983CA6" w:rsidRDefault="00E361DB" w:rsidP="002034EE">
            <w:pPr>
              <w:pStyle w:val="cuatexto"/>
              <w:spacing w:line="240" w:lineRule="auto"/>
              <w:jc w:val="right"/>
            </w:pPr>
            <w:r w:rsidRPr="00983CA6">
              <w:t>108</w:t>
            </w:r>
          </w:p>
        </w:tc>
      </w:tr>
      <w:tr w:rsidR="00E361DB" w:rsidRPr="00983CA6" w14:paraId="5B45ACC8" w14:textId="77777777" w:rsidTr="002034EE">
        <w:trPr>
          <w:trHeight w:val="227"/>
        </w:trPr>
        <w:tc>
          <w:tcPr>
            <w:tcW w:w="1980" w:type="dxa"/>
            <w:shd w:val="clear" w:color="auto" w:fill="auto"/>
            <w:noWrap/>
            <w:vAlign w:val="center"/>
            <w:hideMark/>
          </w:tcPr>
          <w:p w14:paraId="14B4F33A" w14:textId="240D5EC5" w:rsidR="00E361DB" w:rsidRPr="00983CA6" w:rsidRDefault="008E43F9" w:rsidP="002034EE">
            <w:pPr>
              <w:pStyle w:val="cuatexto"/>
              <w:spacing w:line="240" w:lineRule="auto"/>
            </w:pPr>
            <w:r w:rsidRPr="00983CA6">
              <w:t>1.000&lt; h</w:t>
            </w:r>
            <w:r w:rsidR="004C741A" w:rsidRPr="00983CA6">
              <w:t xml:space="preserve">ab. </w:t>
            </w:r>
            <w:r w:rsidR="00E361DB" w:rsidRPr="00983CA6">
              <w:t>&lt; 5.000</w:t>
            </w:r>
          </w:p>
        </w:tc>
        <w:tc>
          <w:tcPr>
            <w:tcW w:w="714" w:type="dxa"/>
            <w:shd w:val="clear" w:color="auto" w:fill="auto"/>
            <w:noWrap/>
            <w:vAlign w:val="center"/>
            <w:hideMark/>
          </w:tcPr>
          <w:p w14:paraId="7CE3C638" w14:textId="77777777" w:rsidR="00E361DB" w:rsidRPr="00983CA6" w:rsidRDefault="00E361DB" w:rsidP="002034EE">
            <w:pPr>
              <w:pStyle w:val="cuatexto"/>
              <w:spacing w:line="240" w:lineRule="auto"/>
              <w:jc w:val="right"/>
            </w:pPr>
            <w:r w:rsidRPr="00983CA6">
              <w:t>60</w:t>
            </w:r>
          </w:p>
        </w:tc>
        <w:tc>
          <w:tcPr>
            <w:tcW w:w="627" w:type="dxa"/>
            <w:shd w:val="clear" w:color="auto" w:fill="auto"/>
            <w:noWrap/>
            <w:vAlign w:val="center"/>
            <w:hideMark/>
          </w:tcPr>
          <w:p w14:paraId="49384BDC" w14:textId="77777777" w:rsidR="00E361DB" w:rsidRPr="00983CA6" w:rsidRDefault="00E361DB" w:rsidP="002034EE">
            <w:pPr>
              <w:pStyle w:val="cuatexto"/>
              <w:spacing w:line="240" w:lineRule="auto"/>
              <w:jc w:val="right"/>
            </w:pPr>
            <w:r w:rsidRPr="00983CA6">
              <w:t>51</w:t>
            </w:r>
          </w:p>
        </w:tc>
        <w:tc>
          <w:tcPr>
            <w:tcW w:w="780" w:type="dxa"/>
            <w:shd w:val="clear" w:color="auto" w:fill="auto"/>
            <w:noWrap/>
            <w:vAlign w:val="center"/>
            <w:hideMark/>
          </w:tcPr>
          <w:p w14:paraId="0FC30A2C" w14:textId="77777777" w:rsidR="00E361DB" w:rsidRPr="00983CA6" w:rsidRDefault="00E361DB" w:rsidP="002034EE">
            <w:pPr>
              <w:pStyle w:val="cuatexto"/>
              <w:spacing w:line="240" w:lineRule="auto"/>
              <w:jc w:val="right"/>
            </w:pPr>
            <w:r w:rsidRPr="00983CA6">
              <w:t>54</w:t>
            </w:r>
          </w:p>
        </w:tc>
        <w:tc>
          <w:tcPr>
            <w:tcW w:w="562" w:type="dxa"/>
            <w:shd w:val="clear" w:color="auto" w:fill="auto"/>
            <w:noWrap/>
            <w:vAlign w:val="center"/>
            <w:hideMark/>
          </w:tcPr>
          <w:p w14:paraId="4869E5E4" w14:textId="77777777" w:rsidR="00E361DB" w:rsidRPr="00983CA6" w:rsidRDefault="00E361DB" w:rsidP="002034EE">
            <w:pPr>
              <w:pStyle w:val="cuatexto"/>
              <w:spacing w:line="240" w:lineRule="auto"/>
              <w:jc w:val="right"/>
            </w:pPr>
            <w:r w:rsidRPr="00983CA6">
              <w:t>44</w:t>
            </w:r>
          </w:p>
        </w:tc>
        <w:tc>
          <w:tcPr>
            <w:tcW w:w="708" w:type="dxa"/>
            <w:shd w:val="clear" w:color="auto" w:fill="auto"/>
            <w:noWrap/>
            <w:vAlign w:val="center"/>
            <w:hideMark/>
          </w:tcPr>
          <w:p w14:paraId="21A5469A" w14:textId="77777777" w:rsidR="00E361DB" w:rsidRPr="00983CA6" w:rsidRDefault="00E361DB" w:rsidP="002034EE">
            <w:pPr>
              <w:pStyle w:val="cuatexto"/>
              <w:spacing w:line="240" w:lineRule="auto"/>
              <w:jc w:val="right"/>
            </w:pPr>
            <w:r w:rsidRPr="00983CA6">
              <w:t>55</w:t>
            </w:r>
          </w:p>
        </w:tc>
        <w:tc>
          <w:tcPr>
            <w:tcW w:w="719" w:type="dxa"/>
            <w:shd w:val="clear" w:color="auto" w:fill="auto"/>
            <w:noWrap/>
            <w:vAlign w:val="center"/>
            <w:hideMark/>
          </w:tcPr>
          <w:p w14:paraId="5C925590" w14:textId="77777777" w:rsidR="00E361DB" w:rsidRPr="00983CA6" w:rsidRDefault="00E361DB" w:rsidP="002034EE">
            <w:pPr>
              <w:pStyle w:val="cuatexto"/>
              <w:spacing w:line="240" w:lineRule="auto"/>
              <w:jc w:val="right"/>
            </w:pPr>
            <w:r w:rsidRPr="00983CA6">
              <w:t>41</w:t>
            </w:r>
          </w:p>
        </w:tc>
        <w:tc>
          <w:tcPr>
            <w:tcW w:w="850" w:type="dxa"/>
            <w:shd w:val="clear" w:color="auto" w:fill="auto"/>
            <w:noWrap/>
            <w:vAlign w:val="center"/>
            <w:hideMark/>
          </w:tcPr>
          <w:p w14:paraId="74E96A6C" w14:textId="77777777" w:rsidR="00E361DB" w:rsidRPr="00983CA6" w:rsidRDefault="00E361DB" w:rsidP="002034EE">
            <w:pPr>
              <w:pStyle w:val="cuatexto"/>
              <w:spacing w:line="240" w:lineRule="auto"/>
              <w:jc w:val="right"/>
            </w:pPr>
            <w:r w:rsidRPr="00983CA6">
              <w:t>50</w:t>
            </w:r>
          </w:p>
        </w:tc>
        <w:tc>
          <w:tcPr>
            <w:tcW w:w="567" w:type="dxa"/>
            <w:shd w:val="clear" w:color="auto" w:fill="auto"/>
            <w:noWrap/>
            <w:vAlign w:val="center"/>
            <w:hideMark/>
          </w:tcPr>
          <w:p w14:paraId="39A4ADC4" w14:textId="77777777" w:rsidR="00E361DB" w:rsidRPr="00983CA6" w:rsidRDefault="00E361DB" w:rsidP="002034EE">
            <w:pPr>
              <w:pStyle w:val="cuatexto"/>
              <w:spacing w:line="240" w:lineRule="auto"/>
              <w:jc w:val="right"/>
            </w:pPr>
            <w:r w:rsidRPr="00983CA6">
              <w:t>41</w:t>
            </w:r>
          </w:p>
        </w:tc>
        <w:tc>
          <w:tcPr>
            <w:tcW w:w="709" w:type="dxa"/>
            <w:shd w:val="clear" w:color="auto" w:fill="auto"/>
            <w:noWrap/>
            <w:vAlign w:val="center"/>
            <w:hideMark/>
          </w:tcPr>
          <w:p w14:paraId="7DAB0DD8" w14:textId="77777777" w:rsidR="00E361DB" w:rsidRPr="00983CA6" w:rsidRDefault="00E361DB" w:rsidP="002034EE">
            <w:pPr>
              <w:pStyle w:val="cuatexto"/>
              <w:spacing w:line="240" w:lineRule="auto"/>
              <w:jc w:val="right"/>
            </w:pPr>
            <w:r w:rsidRPr="00983CA6">
              <w:t>52</w:t>
            </w:r>
          </w:p>
        </w:tc>
        <w:tc>
          <w:tcPr>
            <w:tcW w:w="574" w:type="dxa"/>
            <w:shd w:val="clear" w:color="auto" w:fill="auto"/>
            <w:noWrap/>
            <w:vAlign w:val="center"/>
            <w:hideMark/>
          </w:tcPr>
          <w:p w14:paraId="263F08E9" w14:textId="77777777" w:rsidR="00E361DB" w:rsidRPr="00983CA6" w:rsidRDefault="00E361DB" w:rsidP="002034EE">
            <w:pPr>
              <w:pStyle w:val="cuatexto"/>
              <w:spacing w:line="240" w:lineRule="auto"/>
              <w:jc w:val="right"/>
            </w:pPr>
            <w:r w:rsidRPr="00983CA6">
              <w:t>41</w:t>
            </w:r>
          </w:p>
        </w:tc>
      </w:tr>
      <w:tr w:rsidR="00E361DB" w:rsidRPr="00983CA6" w14:paraId="6036C6ED" w14:textId="77777777" w:rsidTr="002034EE">
        <w:trPr>
          <w:trHeight w:val="227"/>
        </w:trPr>
        <w:tc>
          <w:tcPr>
            <w:tcW w:w="1980" w:type="dxa"/>
            <w:shd w:val="clear" w:color="auto" w:fill="auto"/>
            <w:noWrap/>
            <w:vAlign w:val="center"/>
            <w:hideMark/>
          </w:tcPr>
          <w:p w14:paraId="1B026234" w14:textId="2CAA36A2" w:rsidR="00E361DB" w:rsidRPr="00983CA6" w:rsidRDefault="008E43F9" w:rsidP="002034EE">
            <w:pPr>
              <w:pStyle w:val="cuatexto"/>
              <w:spacing w:line="240" w:lineRule="auto"/>
            </w:pPr>
            <w:r w:rsidRPr="00983CA6">
              <w:t>5.000 &lt; ha</w:t>
            </w:r>
            <w:r w:rsidR="004C741A" w:rsidRPr="00983CA6">
              <w:t>b.</w:t>
            </w:r>
            <w:r w:rsidR="00E361DB" w:rsidRPr="00983CA6">
              <w:t xml:space="preserve"> &lt; 10.000</w:t>
            </w:r>
          </w:p>
        </w:tc>
        <w:tc>
          <w:tcPr>
            <w:tcW w:w="714" w:type="dxa"/>
            <w:shd w:val="clear" w:color="auto" w:fill="auto"/>
            <w:noWrap/>
            <w:vAlign w:val="center"/>
            <w:hideMark/>
          </w:tcPr>
          <w:p w14:paraId="457E2DCC" w14:textId="77777777" w:rsidR="00E361DB" w:rsidRPr="00983CA6" w:rsidRDefault="00E361DB" w:rsidP="002034EE">
            <w:pPr>
              <w:pStyle w:val="cuatexto"/>
              <w:spacing w:line="240" w:lineRule="auto"/>
              <w:jc w:val="right"/>
            </w:pPr>
            <w:r w:rsidRPr="00983CA6">
              <w:t>8</w:t>
            </w:r>
          </w:p>
        </w:tc>
        <w:tc>
          <w:tcPr>
            <w:tcW w:w="627" w:type="dxa"/>
            <w:shd w:val="clear" w:color="auto" w:fill="auto"/>
            <w:noWrap/>
            <w:vAlign w:val="center"/>
            <w:hideMark/>
          </w:tcPr>
          <w:p w14:paraId="14AFBAD6" w14:textId="77777777" w:rsidR="00E361DB" w:rsidRPr="00983CA6" w:rsidRDefault="00E361DB" w:rsidP="002034EE">
            <w:pPr>
              <w:pStyle w:val="cuatexto"/>
              <w:spacing w:line="240" w:lineRule="auto"/>
              <w:jc w:val="right"/>
            </w:pPr>
            <w:r w:rsidRPr="00983CA6">
              <w:t>6</w:t>
            </w:r>
          </w:p>
        </w:tc>
        <w:tc>
          <w:tcPr>
            <w:tcW w:w="780" w:type="dxa"/>
            <w:shd w:val="clear" w:color="auto" w:fill="auto"/>
            <w:noWrap/>
            <w:vAlign w:val="center"/>
            <w:hideMark/>
          </w:tcPr>
          <w:p w14:paraId="349F6169" w14:textId="77777777" w:rsidR="00E361DB" w:rsidRPr="00983CA6" w:rsidRDefault="00E361DB" w:rsidP="002034EE">
            <w:pPr>
              <w:pStyle w:val="cuatexto"/>
              <w:spacing w:line="240" w:lineRule="auto"/>
              <w:jc w:val="right"/>
            </w:pPr>
            <w:r w:rsidRPr="00983CA6">
              <w:t>7</w:t>
            </w:r>
          </w:p>
        </w:tc>
        <w:tc>
          <w:tcPr>
            <w:tcW w:w="562" w:type="dxa"/>
            <w:shd w:val="clear" w:color="auto" w:fill="auto"/>
            <w:noWrap/>
            <w:vAlign w:val="center"/>
            <w:hideMark/>
          </w:tcPr>
          <w:p w14:paraId="6168BF6D" w14:textId="77777777" w:rsidR="00E361DB" w:rsidRPr="00983CA6" w:rsidRDefault="00E361DB" w:rsidP="002034EE">
            <w:pPr>
              <w:pStyle w:val="cuatexto"/>
              <w:spacing w:line="240" w:lineRule="auto"/>
              <w:jc w:val="right"/>
            </w:pPr>
            <w:r w:rsidRPr="00983CA6">
              <w:t>6</w:t>
            </w:r>
          </w:p>
        </w:tc>
        <w:tc>
          <w:tcPr>
            <w:tcW w:w="708" w:type="dxa"/>
            <w:shd w:val="clear" w:color="auto" w:fill="auto"/>
            <w:noWrap/>
            <w:vAlign w:val="center"/>
            <w:hideMark/>
          </w:tcPr>
          <w:p w14:paraId="0A84A0FA" w14:textId="77777777" w:rsidR="00E361DB" w:rsidRPr="00983CA6" w:rsidRDefault="00E361DB" w:rsidP="002034EE">
            <w:pPr>
              <w:pStyle w:val="cuatexto"/>
              <w:spacing w:line="240" w:lineRule="auto"/>
              <w:jc w:val="right"/>
            </w:pPr>
            <w:r w:rsidRPr="00983CA6">
              <w:t>7</w:t>
            </w:r>
          </w:p>
        </w:tc>
        <w:tc>
          <w:tcPr>
            <w:tcW w:w="719" w:type="dxa"/>
            <w:shd w:val="clear" w:color="auto" w:fill="auto"/>
            <w:noWrap/>
            <w:vAlign w:val="center"/>
            <w:hideMark/>
          </w:tcPr>
          <w:p w14:paraId="1D204B46" w14:textId="77777777" w:rsidR="00E361DB" w:rsidRPr="00983CA6" w:rsidRDefault="00E361DB" w:rsidP="002034EE">
            <w:pPr>
              <w:pStyle w:val="cuatexto"/>
              <w:spacing w:line="240" w:lineRule="auto"/>
              <w:jc w:val="right"/>
            </w:pPr>
            <w:r w:rsidRPr="00983CA6">
              <w:t>6</w:t>
            </w:r>
          </w:p>
        </w:tc>
        <w:tc>
          <w:tcPr>
            <w:tcW w:w="850" w:type="dxa"/>
            <w:shd w:val="clear" w:color="auto" w:fill="auto"/>
            <w:noWrap/>
            <w:vAlign w:val="center"/>
            <w:hideMark/>
          </w:tcPr>
          <w:p w14:paraId="7AF47599" w14:textId="77777777" w:rsidR="00E361DB" w:rsidRPr="00983CA6" w:rsidRDefault="00E361DB" w:rsidP="002034EE">
            <w:pPr>
              <w:pStyle w:val="cuatexto"/>
              <w:spacing w:line="240" w:lineRule="auto"/>
              <w:jc w:val="right"/>
            </w:pPr>
            <w:r w:rsidRPr="00983CA6">
              <w:t>3</w:t>
            </w:r>
          </w:p>
        </w:tc>
        <w:tc>
          <w:tcPr>
            <w:tcW w:w="567" w:type="dxa"/>
            <w:shd w:val="clear" w:color="auto" w:fill="auto"/>
            <w:noWrap/>
            <w:vAlign w:val="center"/>
            <w:hideMark/>
          </w:tcPr>
          <w:p w14:paraId="0F505F21" w14:textId="77777777" w:rsidR="00E361DB" w:rsidRPr="00983CA6" w:rsidRDefault="00E361DB" w:rsidP="002034EE">
            <w:pPr>
              <w:pStyle w:val="cuatexto"/>
              <w:spacing w:line="240" w:lineRule="auto"/>
              <w:jc w:val="right"/>
            </w:pPr>
            <w:r w:rsidRPr="00983CA6">
              <w:t>2</w:t>
            </w:r>
          </w:p>
        </w:tc>
        <w:tc>
          <w:tcPr>
            <w:tcW w:w="709" w:type="dxa"/>
            <w:shd w:val="clear" w:color="auto" w:fill="auto"/>
            <w:noWrap/>
            <w:vAlign w:val="center"/>
            <w:hideMark/>
          </w:tcPr>
          <w:p w14:paraId="195E21DF" w14:textId="77777777" w:rsidR="00E361DB" w:rsidRPr="00983CA6" w:rsidRDefault="00E361DB" w:rsidP="002034EE">
            <w:pPr>
              <w:pStyle w:val="cuatexto"/>
              <w:spacing w:line="240" w:lineRule="auto"/>
              <w:jc w:val="right"/>
            </w:pPr>
            <w:r w:rsidRPr="00983CA6">
              <w:t>6</w:t>
            </w:r>
          </w:p>
        </w:tc>
        <w:tc>
          <w:tcPr>
            <w:tcW w:w="574" w:type="dxa"/>
            <w:shd w:val="clear" w:color="auto" w:fill="auto"/>
            <w:noWrap/>
            <w:vAlign w:val="center"/>
            <w:hideMark/>
          </w:tcPr>
          <w:p w14:paraId="4B463A48" w14:textId="77777777" w:rsidR="00E361DB" w:rsidRPr="00983CA6" w:rsidRDefault="00E361DB" w:rsidP="002034EE">
            <w:pPr>
              <w:pStyle w:val="cuatexto"/>
              <w:spacing w:line="240" w:lineRule="auto"/>
              <w:jc w:val="right"/>
            </w:pPr>
            <w:r w:rsidRPr="00983CA6">
              <w:t>5</w:t>
            </w:r>
          </w:p>
        </w:tc>
      </w:tr>
      <w:tr w:rsidR="00E361DB" w:rsidRPr="00983CA6" w14:paraId="4B3F3C6C" w14:textId="77777777" w:rsidTr="002034EE">
        <w:trPr>
          <w:trHeight w:val="227"/>
        </w:trPr>
        <w:tc>
          <w:tcPr>
            <w:tcW w:w="1980" w:type="dxa"/>
            <w:shd w:val="clear" w:color="auto" w:fill="auto"/>
            <w:noWrap/>
            <w:vAlign w:val="center"/>
            <w:hideMark/>
          </w:tcPr>
          <w:p w14:paraId="307A6C15" w14:textId="6DED2957" w:rsidR="00E361DB" w:rsidRPr="00983CA6" w:rsidRDefault="004C741A" w:rsidP="002034EE">
            <w:pPr>
              <w:pStyle w:val="cuatexto"/>
              <w:spacing w:line="240" w:lineRule="auto"/>
            </w:pPr>
            <w:r w:rsidRPr="00983CA6">
              <w:t>10.000 &lt; hab.</w:t>
            </w:r>
            <w:r w:rsidR="00E361DB" w:rsidRPr="00983CA6">
              <w:t xml:space="preserve"> &lt; 20.000</w:t>
            </w:r>
          </w:p>
        </w:tc>
        <w:tc>
          <w:tcPr>
            <w:tcW w:w="714" w:type="dxa"/>
            <w:shd w:val="clear" w:color="auto" w:fill="auto"/>
            <w:noWrap/>
            <w:vAlign w:val="center"/>
            <w:hideMark/>
          </w:tcPr>
          <w:p w14:paraId="63913060" w14:textId="77777777" w:rsidR="00E361DB" w:rsidRPr="00983CA6" w:rsidRDefault="00E361DB" w:rsidP="002034EE">
            <w:pPr>
              <w:pStyle w:val="cuatexto"/>
              <w:spacing w:line="240" w:lineRule="auto"/>
              <w:jc w:val="right"/>
            </w:pPr>
            <w:r w:rsidRPr="00983CA6">
              <w:t>8</w:t>
            </w:r>
          </w:p>
        </w:tc>
        <w:tc>
          <w:tcPr>
            <w:tcW w:w="627" w:type="dxa"/>
            <w:shd w:val="clear" w:color="auto" w:fill="auto"/>
            <w:noWrap/>
            <w:vAlign w:val="center"/>
            <w:hideMark/>
          </w:tcPr>
          <w:p w14:paraId="53F9CF68" w14:textId="77777777" w:rsidR="00E361DB" w:rsidRPr="00983CA6" w:rsidRDefault="00E361DB" w:rsidP="002034EE">
            <w:pPr>
              <w:pStyle w:val="cuatexto"/>
              <w:spacing w:line="240" w:lineRule="auto"/>
              <w:jc w:val="right"/>
            </w:pPr>
            <w:r w:rsidRPr="00983CA6">
              <w:t>8</w:t>
            </w:r>
          </w:p>
        </w:tc>
        <w:tc>
          <w:tcPr>
            <w:tcW w:w="780" w:type="dxa"/>
            <w:shd w:val="clear" w:color="auto" w:fill="auto"/>
            <w:noWrap/>
            <w:vAlign w:val="center"/>
            <w:hideMark/>
          </w:tcPr>
          <w:p w14:paraId="31969E47" w14:textId="77777777" w:rsidR="00E361DB" w:rsidRPr="00983CA6" w:rsidRDefault="00E361DB" w:rsidP="002034EE">
            <w:pPr>
              <w:pStyle w:val="cuatexto"/>
              <w:spacing w:line="240" w:lineRule="auto"/>
              <w:jc w:val="right"/>
            </w:pPr>
            <w:r w:rsidRPr="00983CA6">
              <w:t>6</w:t>
            </w:r>
          </w:p>
        </w:tc>
        <w:tc>
          <w:tcPr>
            <w:tcW w:w="562" w:type="dxa"/>
            <w:shd w:val="clear" w:color="auto" w:fill="auto"/>
            <w:noWrap/>
            <w:vAlign w:val="center"/>
            <w:hideMark/>
          </w:tcPr>
          <w:p w14:paraId="7A42C6EE" w14:textId="77777777" w:rsidR="00E361DB" w:rsidRPr="00983CA6" w:rsidRDefault="00E361DB" w:rsidP="002034EE">
            <w:pPr>
              <w:pStyle w:val="cuatexto"/>
              <w:spacing w:line="240" w:lineRule="auto"/>
              <w:jc w:val="right"/>
            </w:pPr>
            <w:r w:rsidRPr="00983CA6">
              <w:t>7</w:t>
            </w:r>
          </w:p>
        </w:tc>
        <w:tc>
          <w:tcPr>
            <w:tcW w:w="708" w:type="dxa"/>
            <w:shd w:val="clear" w:color="auto" w:fill="auto"/>
            <w:noWrap/>
            <w:vAlign w:val="center"/>
            <w:hideMark/>
          </w:tcPr>
          <w:p w14:paraId="6ED6A10D" w14:textId="77777777" w:rsidR="00E361DB" w:rsidRPr="00983CA6" w:rsidRDefault="00E361DB" w:rsidP="002034EE">
            <w:pPr>
              <w:pStyle w:val="cuatexto"/>
              <w:spacing w:line="240" w:lineRule="auto"/>
              <w:jc w:val="right"/>
            </w:pPr>
            <w:r w:rsidRPr="00983CA6">
              <w:t>6</w:t>
            </w:r>
          </w:p>
        </w:tc>
        <w:tc>
          <w:tcPr>
            <w:tcW w:w="719" w:type="dxa"/>
            <w:shd w:val="clear" w:color="auto" w:fill="auto"/>
            <w:noWrap/>
            <w:vAlign w:val="center"/>
            <w:hideMark/>
          </w:tcPr>
          <w:p w14:paraId="3AED7505" w14:textId="77777777" w:rsidR="00E361DB" w:rsidRPr="00983CA6" w:rsidRDefault="00E361DB" w:rsidP="002034EE">
            <w:pPr>
              <w:pStyle w:val="cuatexto"/>
              <w:spacing w:line="240" w:lineRule="auto"/>
              <w:jc w:val="right"/>
            </w:pPr>
            <w:r w:rsidRPr="00983CA6">
              <w:t>5</w:t>
            </w:r>
          </w:p>
        </w:tc>
        <w:tc>
          <w:tcPr>
            <w:tcW w:w="850" w:type="dxa"/>
            <w:shd w:val="clear" w:color="auto" w:fill="auto"/>
            <w:noWrap/>
            <w:vAlign w:val="center"/>
            <w:hideMark/>
          </w:tcPr>
          <w:p w14:paraId="42AF200D" w14:textId="77777777" w:rsidR="00E361DB" w:rsidRPr="00983CA6" w:rsidRDefault="00E361DB" w:rsidP="002034EE">
            <w:pPr>
              <w:pStyle w:val="cuatexto"/>
              <w:spacing w:line="240" w:lineRule="auto"/>
              <w:jc w:val="right"/>
            </w:pPr>
            <w:r w:rsidRPr="00983CA6">
              <w:t>5</w:t>
            </w:r>
          </w:p>
        </w:tc>
        <w:tc>
          <w:tcPr>
            <w:tcW w:w="567" w:type="dxa"/>
            <w:shd w:val="clear" w:color="auto" w:fill="auto"/>
            <w:noWrap/>
            <w:vAlign w:val="center"/>
            <w:hideMark/>
          </w:tcPr>
          <w:p w14:paraId="536D6764" w14:textId="77777777" w:rsidR="00E361DB" w:rsidRPr="00983CA6" w:rsidRDefault="00E361DB" w:rsidP="002034EE">
            <w:pPr>
              <w:pStyle w:val="cuatexto"/>
              <w:spacing w:line="240" w:lineRule="auto"/>
              <w:jc w:val="right"/>
            </w:pPr>
            <w:r w:rsidRPr="00983CA6">
              <w:t>5</w:t>
            </w:r>
          </w:p>
        </w:tc>
        <w:tc>
          <w:tcPr>
            <w:tcW w:w="709" w:type="dxa"/>
            <w:shd w:val="clear" w:color="auto" w:fill="auto"/>
            <w:noWrap/>
            <w:vAlign w:val="center"/>
            <w:hideMark/>
          </w:tcPr>
          <w:p w14:paraId="27244AE9" w14:textId="77777777" w:rsidR="00E361DB" w:rsidRPr="00983CA6" w:rsidRDefault="00E361DB" w:rsidP="002034EE">
            <w:pPr>
              <w:pStyle w:val="cuatexto"/>
              <w:spacing w:line="240" w:lineRule="auto"/>
              <w:jc w:val="right"/>
            </w:pPr>
            <w:r w:rsidRPr="00983CA6">
              <w:t>5</w:t>
            </w:r>
          </w:p>
        </w:tc>
        <w:tc>
          <w:tcPr>
            <w:tcW w:w="574" w:type="dxa"/>
            <w:shd w:val="clear" w:color="auto" w:fill="auto"/>
            <w:noWrap/>
            <w:vAlign w:val="center"/>
            <w:hideMark/>
          </w:tcPr>
          <w:p w14:paraId="365A8F7B" w14:textId="77777777" w:rsidR="00E361DB" w:rsidRPr="00983CA6" w:rsidRDefault="00E361DB" w:rsidP="002034EE">
            <w:pPr>
              <w:pStyle w:val="cuatexto"/>
              <w:spacing w:line="240" w:lineRule="auto"/>
              <w:jc w:val="right"/>
            </w:pPr>
            <w:r w:rsidRPr="00983CA6">
              <w:t>5</w:t>
            </w:r>
          </w:p>
        </w:tc>
      </w:tr>
      <w:tr w:rsidR="00E361DB" w:rsidRPr="00983CA6" w14:paraId="2B2931B4" w14:textId="77777777" w:rsidTr="002034EE">
        <w:trPr>
          <w:trHeight w:val="227"/>
        </w:trPr>
        <w:tc>
          <w:tcPr>
            <w:tcW w:w="1980" w:type="dxa"/>
            <w:shd w:val="clear" w:color="auto" w:fill="auto"/>
            <w:noWrap/>
            <w:vAlign w:val="center"/>
            <w:hideMark/>
          </w:tcPr>
          <w:p w14:paraId="53FDD3CC" w14:textId="6652444C" w:rsidR="00E361DB" w:rsidRPr="00983CA6" w:rsidRDefault="00E361DB" w:rsidP="002034EE">
            <w:pPr>
              <w:pStyle w:val="cuatexto"/>
              <w:spacing w:line="240" w:lineRule="auto"/>
            </w:pPr>
            <w:r w:rsidRPr="00983CA6">
              <w:t>H</w:t>
            </w:r>
            <w:r w:rsidR="004C741A" w:rsidRPr="00983CA6">
              <w:t xml:space="preserve">ab. </w:t>
            </w:r>
            <w:r w:rsidRPr="00983CA6">
              <w:t>&gt; 20.000</w:t>
            </w:r>
          </w:p>
        </w:tc>
        <w:tc>
          <w:tcPr>
            <w:tcW w:w="714" w:type="dxa"/>
            <w:shd w:val="clear" w:color="auto" w:fill="auto"/>
            <w:noWrap/>
            <w:vAlign w:val="center"/>
            <w:hideMark/>
          </w:tcPr>
          <w:p w14:paraId="4BB32DC6" w14:textId="77777777" w:rsidR="00E361DB" w:rsidRPr="00983CA6" w:rsidRDefault="00E361DB" w:rsidP="002034EE">
            <w:pPr>
              <w:pStyle w:val="cuatexto"/>
              <w:spacing w:line="240" w:lineRule="auto"/>
              <w:jc w:val="right"/>
            </w:pPr>
            <w:r w:rsidRPr="00983CA6">
              <w:t>4</w:t>
            </w:r>
          </w:p>
        </w:tc>
        <w:tc>
          <w:tcPr>
            <w:tcW w:w="627" w:type="dxa"/>
            <w:shd w:val="clear" w:color="auto" w:fill="auto"/>
            <w:noWrap/>
            <w:vAlign w:val="center"/>
            <w:hideMark/>
          </w:tcPr>
          <w:p w14:paraId="33EFD7A7" w14:textId="77777777" w:rsidR="00E361DB" w:rsidRPr="00983CA6" w:rsidRDefault="00E361DB" w:rsidP="002034EE">
            <w:pPr>
              <w:pStyle w:val="cuatexto"/>
              <w:spacing w:line="240" w:lineRule="auto"/>
              <w:jc w:val="right"/>
            </w:pPr>
            <w:r w:rsidRPr="00983CA6">
              <w:t>4</w:t>
            </w:r>
          </w:p>
        </w:tc>
        <w:tc>
          <w:tcPr>
            <w:tcW w:w="780" w:type="dxa"/>
            <w:shd w:val="clear" w:color="auto" w:fill="auto"/>
            <w:noWrap/>
            <w:vAlign w:val="center"/>
            <w:hideMark/>
          </w:tcPr>
          <w:p w14:paraId="1330E987" w14:textId="77777777" w:rsidR="00E361DB" w:rsidRPr="00983CA6" w:rsidRDefault="00E361DB" w:rsidP="002034EE">
            <w:pPr>
              <w:pStyle w:val="cuatexto"/>
              <w:spacing w:line="240" w:lineRule="auto"/>
              <w:jc w:val="right"/>
            </w:pPr>
            <w:r w:rsidRPr="00983CA6">
              <w:t>3</w:t>
            </w:r>
          </w:p>
        </w:tc>
        <w:tc>
          <w:tcPr>
            <w:tcW w:w="562" w:type="dxa"/>
            <w:shd w:val="clear" w:color="auto" w:fill="auto"/>
            <w:noWrap/>
            <w:vAlign w:val="center"/>
            <w:hideMark/>
          </w:tcPr>
          <w:p w14:paraId="567B9AF0" w14:textId="77777777" w:rsidR="00E361DB" w:rsidRPr="00983CA6" w:rsidRDefault="00E361DB" w:rsidP="002034EE">
            <w:pPr>
              <w:pStyle w:val="cuatexto"/>
              <w:spacing w:line="240" w:lineRule="auto"/>
              <w:jc w:val="right"/>
            </w:pPr>
            <w:r w:rsidRPr="00983CA6">
              <w:t>3</w:t>
            </w:r>
          </w:p>
        </w:tc>
        <w:tc>
          <w:tcPr>
            <w:tcW w:w="708" w:type="dxa"/>
            <w:shd w:val="clear" w:color="auto" w:fill="auto"/>
            <w:noWrap/>
            <w:vAlign w:val="center"/>
            <w:hideMark/>
          </w:tcPr>
          <w:p w14:paraId="5EF3BA2F" w14:textId="77777777" w:rsidR="00E361DB" w:rsidRPr="00983CA6" w:rsidRDefault="00E361DB" w:rsidP="002034EE">
            <w:pPr>
              <w:pStyle w:val="cuatexto"/>
              <w:spacing w:line="240" w:lineRule="auto"/>
              <w:jc w:val="right"/>
            </w:pPr>
            <w:r w:rsidRPr="00983CA6">
              <w:t>2</w:t>
            </w:r>
          </w:p>
        </w:tc>
        <w:tc>
          <w:tcPr>
            <w:tcW w:w="719" w:type="dxa"/>
            <w:shd w:val="clear" w:color="auto" w:fill="auto"/>
            <w:noWrap/>
            <w:vAlign w:val="center"/>
            <w:hideMark/>
          </w:tcPr>
          <w:p w14:paraId="473A847A" w14:textId="77777777" w:rsidR="00E361DB" w:rsidRPr="00983CA6" w:rsidRDefault="00E361DB" w:rsidP="002034EE">
            <w:pPr>
              <w:pStyle w:val="cuatexto"/>
              <w:spacing w:line="240" w:lineRule="auto"/>
              <w:jc w:val="right"/>
            </w:pPr>
            <w:r w:rsidRPr="00983CA6">
              <w:t>2</w:t>
            </w:r>
          </w:p>
        </w:tc>
        <w:tc>
          <w:tcPr>
            <w:tcW w:w="850" w:type="dxa"/>
            <w:shd w:val="clear" w:color="auto" w:fill="auto"/>
            <w:noWrap/>
            <w:vAlign w:val="center"/>
            <w:hideMark/>
          </w:tcPr>
          <w:p w14:paraId="2AF90946" w14:textId="77777777" w:rsidR="00E361DB" w:rsidRPr="00983CA6" w:rsidRDefault="00E361DB" w:rsidP="002034EE">
            <w:pPr>
              <w:pStyle w:val="cuatexto"/>
              <w:spacing w:line="240" w:lineRule="auto"/>
              <w:jc w:val="right"/>
            </w:pPr>
            <w:r w:rsidRPr="00983CA6">
              <w:t>3</w:t>
            </w:r>
          </w:p>
        </w:tc>
        <w:tc>
          <w:tcPr>
            <w:tcW w:w="567" w:type="dxa"/>
            <w:shd w:val="clear" w:color="auto" w:fill="auto"/>
            <w:noWrap/>
            <w:vAlign w:val="center"/>
            <w:hideMark/>
          </w:tcPr>
          <w:p w14:paraId="2EE58AD0" w14:textId="77777777" w:rsidR="00E361DB" w:rsidRPr="00983CA6" w:rsidRDefault="00E361DB" w:rsidP="002034EE">
            <w:pPr>
              <w:pStyle w:val="cuatexto"/>
              <w:spacing w:line="240" w:lineRule="auto"/>
              <w:jc w:val="right"/>
            </w:pPr>
            <w:r w:rsidRPr="00983CA6">
              <w:t>2</w:t>
            </w:r>
          </w:p>
        </w:tc>
        <w:tc>
          <w:tcPr>
            <w:tcW w:w="709" w:type="dxa"/>
            <w:shd w:val="clear" w:color="auto" w:fill="auto"/>
            <w:noWrap/>
            <w:vAlign w:val="center"/>
            <w:hideMark/>
          </w:tcPr>
          <w:p w14:paraId="370B12DF" w14:textId="77777777" w:rsidR="00E361DB" w:rsidRPr="00983CA6" w:rsidRDefault="00E361DB" w:rsidP="002034EE">
            <w:pPr>
              <w:pStyle w:val="cuatexto"/>
              <w:spacing w:line="240" w:lineRule="auto"/>
              <w:jc w:val="right"/>
            </w:pPr>
            <w:r w:rsidRPr="00983CA6">
              <w:t>4</w:t>
            </w:r>
          </w:p>
        </w:tc>
        <w:tc>
          <w:tcPr>
            <w:tcW w:w="574" w:type="dxa"/>
            <w:shd w:val="clear" w:color="auto" w:fill="auto"/>
            <w:noWrap/>
            <w:vAlign w:val="center"/>
            <w:hideMark/>
          </w:tcPr>
          <w:p w14:paraId="3EDFCF87" w14:textId="77777777" w:rsidR="00E361DB" w:rsidRPr="00983CA6" w:rsidRDefault="00E361DB" w:rsidP="002034EE">
            <w:pPr>
              <w:pStyle w:val="cuatexto"/>
              <w:spacing w:line="240" w:lineRule="auto"/>
              <w:jc w:val="right"/>
            </w:pPr>
            <w:r w:rsidRPr="00983CA6">
              <w:t>4</w:t>
            </w:r>
          </w:p>
        </w:tc>
      </w:tr>
      <w:tr w:rsidR="00E361DB" w:rsidRPr="00983CA6" w14:paraId="28965899" w14:textId="77777777" w:rsidTr="002034EE">
        <w:trPr>
          <w:trHeight w:val="227"/>
        </w:trPr>
        <w:tc>
          <w:tcPr>
            <w:tcW w:w="1980" w:type="dxa"/>
            <w:shd w:val="clear" w:color="auto" w:fill="auto"/>
            <w:noWrap/>
            <w:vAlign w:val="center"/>
            <w:hideMark/>
          </w:tcPr>
          <w:p w14:paraId="6664A10D" w14:textId="116E09D9" w:rsidR="00E361DB" w:rsidRPr="00983CA6" w:rsidRDefault="00E361DB" w:rsidP="002034EE">
            <w:pPr>
              <w:pStyle w:val="cuatexto"/>
              <w:spacing w:line="240" w:lineRule="auto"/>
              <w:jc w:val="left"/>
            </w:pPr>
            <w:r w:rsidRPr="00983CA6">
              <w:t xml:space="preserve">Mancomunidades y </w:t>
            </w:r>
            <w:r w:rsidR="00403EFD" w:rsidRPr="00983CA6">
              <w:t>agrupaciones</w:t>
            </w:r>
          </w:p>
        </w:tc>
        <w:tc>
          <w:tcPr>
            <w:tcW w:w="714" w:type="dxa"/>
            <w:shd w:val="clear" w:color="auto" w:fill="auto"/>
            <w:noWrap/>
            <w:vAlign w:val="center"/>
            <w:hideMark/>
          </w:tcPr>
          <w:p w14:paraId="3D8367AF" w14:textId="77777777" w:rsidR="00E361DB" w:rsidRPr="00983CA6" w:rsidRDefault="00E361DB" w:rsidP="002034EE">
            <w:pPr>
              <w:pStyle w:val="cuatexto"/>
              <w:spacing w:line="240" w:lineRule="auto"/>
              <w:jc w:val="right"/>
            </w:pPr>
            <w:r w:rsidRPr="00983CA6">
              <w:t>59</w:t>
            </w:r>
          </w:p>
        </w:tc>
        <w:tc>
          <w:tcPr>
            <w:tcW w:w="627" w:type="dxa"/>
            <w:shd w:val="clear" w:color="auto" w:fill="auto"/>
            <w:noWrap/>
            <w:vAlign w:val="center"/>
            <w:hideMark/>
          </w:tcPr>
          <w:p w14:paraId="752D76FE" w14:textId="77777777" w:rsidR="00E361DB" w:rsidRPr="00983CA6" w:rsidRDefault="00E361DB" w:rsidP="002034EE">
            <w:pPr>
              <w:pStyle w:val="cuatexto"/>
              <w:spacing w:line="240" w:lineRule="auto"/>
              <w:jc w:val="right"/>
            </w:pPr>
            <w:r w:rsidRPr="00983CA6">
              <w:t>61</w:t>
            </w:r>
          </w:p>
        </w:tc>
        <w:tc>
          <w:tcPr>
            <w:tcW w:w="780" w:type="dxa"/>
            <w:shd w:val="clear" w:color="auto" w:fill="auto"/>
            <w:noWrap/>
            <w:vAlign w:val="center"/>
            <w:hideMark/>
          </w:tcPr>
          <w:p w14:paraId="6C3AE6FB" w14:textId="77777777" w:rsidR="00E361DB" w:rsidRPr="00983CA6" w:rsidRDefault="00E361DB" w:rsidP="002034EE">
            <w:pPr>
              <w:pStyle w:val="cuatexto"/>
              <w:spacing w:line="240" w:lineRule="auto"/>
              <w:jc w:val="right"/>
            </w:pPr>
            <w:r w:rsidRPr="00983CA6">
              <w:t>53</w:t>
            </w:r>
          </w:p>
        </w:tc>
        <w:tc>
          <w:tcPr>
            <w:tcW w:w="562" w:type="dxa"/>
            <w:shd w:val="clear" w:color="auto" w:fill="auto"/>
            <w:noWrap/>
            <w:vAlign w:val="center"/>
            <w:hideMark/>
          </w:tcPr>
          <w:p w14:paraId="2ABC1D00" w14:textId="77777777" w:rsidR="00E361DB" w:rsidRPr="00983CA6" w:rsidRDefault="00E361DB" w:rsidP="002034EE">
            <w:pPr>
              <w:pStyle w:val="cuatexto"/>
              <w:spacing w:line="240" w:lineRule="auto"/>
              <w:jc w:val="right"/>
            </w:pPr>
            <w:r w:rsidRPr="00983CA6">
              <w:t>53</w:t>
            </w:r>
          </w:p>
        </w:tc>
        <w:tc>
          <w:tcPr>
            <w:tcW w:w="708" w:type="dxa"/>
            <w:shd w:val="clear" w:color="auto" w:fill="auto"/>
            <w:noWrap/>
            <w:vAlign w:val="center"/>
            <w:hideMark/>
          </w:tcPr>
          <w:p w14:paraId="0DB15F8C" w14:textId="77777777" w:rsidR="00E361DB" w:rsidRPr="00983CA6" w:rsidRDefault="00E361DB" w:rsidP="002034EE">
            <w:pPr>
              <w:pStyle w:val="cuatexto"/>
              <w:spacing w:line="240" w:lineRule="auto"/>
              <w:jc w:val="right"/>
            </w:pPr>
            <w:r w:rsidRPr="00983CA6">
              <w:t>51</w:t>
            </w:r>
          </w:p>
        </w:tc>
        <w:tc>
          <w:tcPr>
            <w:tcW w:w="719" w:type="dxa"/>
            <w:shd w:val="clear" w:color="auto" w:fill="auto"/>
            <w:noWrap/>
            <w:vAlign w:val="center"/>
            <w:hideMark/>
          </w:tcPr>
          <w:p w14:paraId="68AB2977" w14:textId="77777777" w:rsidR="00E361DB" w:rsidRPr="00983CA6" w:rsidRDefault="00E361DB" w:rsidP="002034EE">
            <w:pPr>
              <w:pStyle w:val="cuatexto"/>
              <w:spacing w:line="240" w:lineRule="auto"/>
              <w:jc w:val="right"/>
            </w:pPr>
            <w:r w:rsidRPr="00983CA6">
              <w:t>53</w:t>
            </w:r>
          </w:p>
        </w:tc>
        <w:tc>
          <w:tcPr>
            <w:tcW w:w="850" w:type="dxa"/>
            <w:shd w:val="clear" w:color="auto" w:fill="auto"/>
            <w:noWrap/>
            <w:vAlign w:val="center"/>
            <w:hideMark/>
          </w:tcPr>
          <w:p w14:paraId="0962AF7F" w14:textId="77777777" w:rsidR="00E361DB" w:rsidRPr="00983CA6" w:rsidRDefault="00E361DB" w:rsidP="002034EE">
            <w:pPr>
              <w:pStyle w:val="cuatexto"/>
              <w:spacing w:line="240" w:lineRule="auto"/>
              <w:jc w:val="right"/>
            </w:pPr>
            <w:r w:rsidRPr="00983CA6">
              <w:t>46</w:t>
            </w:r>
          </w:p>
        </w:tc>
        <w:tc>
          <w:tcPr>
            <w:tcW w:w="567" w:type="dxa"/>
            <w:shd w:val="clear" w:color="auto" w:fill="auto"/>
            <w:noWrap/>
            <w:vAlign w:val="center"/>
            <w:hideMark/>
          </w:tcPr>
          <w:p w14:paraId="29F358E1" w14:textId="77777777" w:rsidR="00E361DB" w:rsidRPr="00983CA6" w:rsidRDefault="00E361DB" w:rsidP="002034EE">
            <w:pPr>
              <w:pStyle w:val="cuatexto"/>
              <w:spacing w:line="240" w:lineRule="auto"/>
              <w:jc w:val="right"/>
            </w:pPr>
            <w:r w:rsidRPr="00983CA6">
              <w:t>47</w:t>
            </w:r>
          </w:p>
        </w:tc>
        <w:tc>
          <w:tcPr>
            <w:tcW w:w="709" w:type="dxa"/>
            <w:shd w:val="clear" w:color="auto" w:fill="auto"/>
            <w:noWrap/>
            <w:vAlign w:val="center"/>
            <w:hideMark/>
          </w:tcPr>
          <w:p w14:paraId="77A57CFC" w14:textId="77777777" w:rsidR="00E361DB" w:rsidRPr="00983CA6" w:rsidRDefault="00E361DB" w:rsidP="002034EE">
            <w:pPr>
              <w:pStyle w:val="cuatexto"/>
              <w:spacing w:line="240" w:lineRule="auto"/>
              <w:jc w:val="right"/>
            </w:pPr>
            <w:r w:rsidRPr="00983CA6">
              <w:t>46</w:t>
            </w:r>
          </w:p>
        </w:tc>
        <w:tc>
          <w:tcPr>
            <w:tcW w:w="574" w:type="dxa"/>
            <w:shd w:val="clear" w:color="auto" w:fill="auto"/>
            <w:noWrap/>
            <w:vAlign w:val="center"/>
            <w:hideMark/>
          </w:tcPr>
          <w:p w14:paraId="22B8DA2B" w14:textId="77777777" w:rsidR="00E361DB" w:rsidRPr="00983CA6" w:rsidRDefault="00E361DB" w:rsidP="002034EE">
            <w:pPr>
              <w:pStyle w:val="cuatexto"/>
              <w:spacing w:line="240" w:lineRule="auto"/>
              <w:jc w:val="right"/>
            </w:pPr>
            <w:r w:rsidRPr="00983CA6">
              <w:t>49</w:t>
            </w:r>
          </w:p>
        </w:tc>
      </w:tr>
      <w:tr w:rsidR="00E361DB" w:rsidRPr="00983CA6" w14:paraId="0C607AF0" w14:textId="77777777" w:rsidTr="002034EE">
        <w:trPr>
          <w:trHeight w:val="227"/>
        </w:trPr>
        <w:tc>
          <w:tcPr>
            <w:tcW w:w="1980" w:type="dxa"/>
            <w:tcBorders>
              <w:bottom w:val="single" w:sz="4" w:space="0" w:color="auto"/>
            </w:tcBorders>
            <w:shd w:val="clear" w:color="auto" w:fill="FABF8F" w:themeFill="accent6" w:themeFillTint="99"/>
            <w:noWrap/>
            <w:vAlign w:val="center"/>
            <w:hideMark/>
          </w:tcPr>
          <w:p w14:paraId="2AD1A92B" w14:textId="77777777" w:rsidR="00E361DB" w:rsidRPr="00983CA6" w:rsidRDefault="00E361DB" w:rsidP="002034EE">
            <w:pPr>
              <w:pStyle w:val="cuadroCabe"/>
              <w:spacing w:line="240" w:lineRule="auto"/>
              <w:rPr>
                <w:sz w:val="16"/>
                <w:szCs w:val="16"/>
              </w:rPr>
            </w:pPr>
            <w:r w:rsidRPr="00983CA6">
              <w:rPr>
                <w:sz w:val="16"/>
                <w:szCs w:val="16"/>
              </w:rPr>
              <w:t>Total</w:t>
            </w:r>
          </w:p>
        </w:tc>
        <w:tc>
          <w:tcPr>
            <w:tcW w:w="714" w:type="dxa"/>
            <w:tcBorders>
              <w:bottom w:val="single" w:sz="4" w:space="0" w:color="auto"/>
            </w:tcBorders>
            <w:shd w:val="clear" w:color="auto" w:fill="FABF8F" w:themeFill="accent6" w:themeFillTint="99"/>
            <w:noWrap/>
            <w:vAlign w:val="center"/>
            <w:hideMark/>
          </w:tcPr>
          <w:p w14:paraId="4853AA51" w14:textId="77777777" w:rsidR="00E361DB" w:rsidRPr="00983CA6" w:rsidRDefault="00E361DB" w:rsidP="002034EE">
            <w:pPr>
              <w:pStyle w:val="cuadroCabe"/>
              <w:spacing w:line="240" w:lineRule="auto"/>
              <w:jc w:val="right"/>
              <w:rPr>
                <w:sz w:val="16"/>
                <w:szCs w:val="16"/>
              </w:rPr>
            </w:pPr>
            <w:r w:rsidRPr="00983CA6">
              <w:rPr>
                <w:sz w:val="16"/>
                <w:szCs w:val="16"/>
              </w:rPr>
              <w:t>304</w:t>
            </w:r>
          </w:p>
        </w:tc>
        <w:tc>
          <w:tcPr>
            <w:tcW w:w="627" w:type="dxa"/>
            <w:tcBorders>
              <w:bottom w:val="single" w:sz="4" w:space="0" w:color="auto"/>
            </w:tcBorders>
            <w:shd w:val="clear" w:color="auto" w:fill="FABF8F" w:themeFill="accent6" w:themeFillTint="99"/>
            <w:noWrap/>
            <w:vAlign w:val="center"/>
            <w:hideMark/>
          </w:tcPr>
          <w:p w14:paraId="4CB9BB25" w14:textId="77777777" w:rsidR="00E361DB" w:rsidRPr="00983CA6" w:rsidRDefault="00E361DB" w:rsidP="002034EE">
            <w:pPr>
              <w:pStyle w:val="cuadroCabe"/>
              <w:spacing w:line="240" w:lineRule="auto"/>
              <w:jc w:val="right"/>
              <w:rPr>
                <w:sz w:val="16"/>
                <w:szCs w:val="16"/>
              </w:rPr>
            </w:pPr>
            <w:r w:rsidRPr="00983CA6">
              <w:rPr>
                <w:sz w:val="16"/>
                <w:szCs w:val="16"/>
              </w:rPr>
              <w:t>269</w:t>
            </w:r>
          </w:p>
        </w:tc>
        <w:tc>
          <w:tcPr>
            <w:tcW w:w="780" w:type="dxa"/>
            <w:tcBorders>
              <w:bottom w:val="single" w:sz="4" w:space="0" w:color="auto"/>
            </w:tcBorders>
            <w:shd w:val="clear" w:color="auto" w:fill="FABF8F" w:themeFill="accent6" w:themeFillTint="99"/>
            <w:noWrap/>
            <w:vAlign w:val="center"/>
            <w:hideMark/>
          </w:tcPr>
          <w:p w14:paraId="0C4D4C7E" w14:textId="77777777" w:rsidR="00E361DB" w:rsidRPr="00983CA6" w:rsidRDefault="00E361DB" w:rsidP="002034EE">
            <w:pPr>
              <w:pStyle w:val="cuadroCabe"/>
              <w:spacing w:line="240" w:lineRule="auto"/>
              <w:jc w:val="right"/>
              <w:rPr>
                <w:sz w:val="16"/>
                <w:szCs w:val="16"/>
              </w:rPr>
            </w:pPr>
            <w:r w:rsidRPr="00983CA6">
              <w:rPr>
                <w:sz w:val="16"/>
                <w:szCs w:val="16"/>
              </w:rPr>
              <w:t>253</w:t>
            </w:r>
          </w:p>
        </w:tc>
        <w:tc>
          <w:tcPr>
            <w:tcW w:w="562" w:type="dxa"/>
            <w:tcBorders>
              <w:bottom w:val="single" w:sz="4" w:space="0" w:color="auto"/>
            </w:tcBorders>
            <w:shd w:val="clear" w:color="auto" w:fill="FABF8F" w:themeFill="accent6" w:themeFillTint="99"/>
            <w:noWrap/>
            <w:vAlign w:val="center"/>
            <w:hideMark/>
          </w:tcPr>
          <w:p w14:paraId="0C7C2D48" w14:textId="77777777" w:rsidR="00E361DB" w:rsidRPr="00983CA6" w:rsidRDefault="00E361DB" w:rsidP="002034EE">
            <w:pPr>
              <w:pStyle w:val="cuadroCabe"/>
              <w:spacing w:line="240" w:lineRule="auto"/>
              <w:jc w:val="right"/>
              <w:rPr>
                <w:sz w:val="16"/>
                <w:szCs w:val="16"/>
              </w:rPr>
            </w:pPr>
            <w:r w:rsidRPr="00983CA6">
              <w:rPr>
                <w:sz w:val="16"/>
                <w:szCs w:val="16"/>
              </w:rPr>
              <w:t>222</w:t>
            </w:r>
          </w:p>
        </w:tc>
        <w:tc>
          <w:tcPr>
            <w:tcW w:w="708" w:type="dxa"/>
            <w:tcBorders>
              <w:bottom w:val="single" w:sz="4" w:space="0" w:color="auto"/>
            </w:tcBorders>
            <w:shd w:val="clear" w:color="auto" w:fill="FABF8F" w:themeFill="accent6" w:themeFillTint="99"/>
            <w:noWrap/>
            <w:vAlign w:val="center"/>
            <w:hideMark/>
          </w:tcPr>
          <w:p w14:paraId="12E1DCC7" w14:textId="77777777" w:rsidR="00E361DB" w:rsidRPr="00983CA6" w:rsidRDefault="00E361DB" w:rsidP="002034EE">
            <w:pPr>
              <w:pStyle w:val="cuadroCabe"/>
              <w:spacing w:line="240" w:lineRule="auto"/>
              <w:jc w:val="right"/>
              <w:rPr>
                <w:sz w:val="16"/>
                <w:szCs w:val="16"/>
              </w:rPr>
            </w:pPr>
            <w:r w:rsidRPr="00983CA6">
              <w:rPr>
                <w:sz w:val="16"/>
                <w:szCs w:val="16"/>
              </w:rPr>
              <w:t>251</w:t>
            </w:r>
          </w:p>
        </w:tc>
        <w:tc>
          <w:tcPr>
            <w:tcW w:w="719" w:type="dxa"/>
            <w:tcBorders>
              <w:bottom w:val="single" w:sz="4" w:space="0" w:color="auto"/>
            </w:tcBorders>
            <w:shd w:val="clear" w:color="auto" w:fill="FABF8F" w:themeFill="accent6" w:themeFillTint="99"/>
            <w:noWrap/>
            <w:vAlign w:val="center"/>
            <w:hideMark/>
          </w:tcPr>
          <w:p w14:paraId="7DDF8BEA" w14:textId="77777777" w:rsidR="00E361DB" w:rsidRPr="00983CA6" w:rsidRDefault="00E361DB" w:rsidP="002034EE">
            <w:pPr>
              <w:pStyle w:val="cuadroCabe"/>
              <w:spacing w:line="240" w:lineRule="auto"/>
              <w:jc w:val="right"/>
              <w:rPr>
                <w:sz w:val="16"/>
                <w:szCs w:val="16"/>
              </w:rPr>
            </w:pPr>
            <w:r w:rsidRPr="00983CA6">
              <w:rPr>
                <w:sz w:val="16"/>
                <w:szCs w:val="16"/>
              </w:rPr>
              <w:t>216</w:t>
            </w:r>
          </w:p>
        </w:tc>
        <w:tc>
          <w:tcPr>
            <w:tcW w:w="850" w:type="dxa"/>
            <w:tcBorders>
              <w:bottom w:val="single" w:sz="4" w:space="0" w:color="auto"/>
            </w:tcBorders>
            <w:shd w:val="clear" w:color="auto" w:fill="FABF8F" w:themeFill="accent6" w:themeFillTint="99"/>
            <w:noWrap/>
            <w:vAlign w:val="center"/>
            <w:hideMark/>
          </w:tcPr>
          <w:p w14:paraId="0407971C" w14:textId="77777777" w:rsidR="00E361DB" w:rsidRPr="00983CA6" w:rsidRDefault="00E361DB" w:rsidP="002034EE">
            <w:pPr>
              <w:pStyle w:val="cuadroCabe"/>
              <w:spacing w:line="240" w:lineRule="auto"/>
              <w:jc w:val="right"/>
              <w:rPr>
                <w:sz w:val="16"/>
                <w:szCs w:val="16"/>
              </w:rPr>
            </w:pPr>
            <w:r w:rsidRPr="00983CA6">
              <w:rPr>
                <w:sz w:val="16"/>
                <w:szCs w:val="16"/>
              </w:rPr>
              <w:t>241</w:t>
            </w:r>
          </w:p>
        </w:tc>
        <w:tc>
          <w:tcPr>
            <w:tcW w:w="567" w:type="dxa"/>
            <w:tcBorders>
              <w:bottom w:val="single" w:sz="4" w:space="0" w:color="auto"/>
            </w:tcBorders>
            <w:shd w:val="clear" w:color="auto" w:fill="FABF8F" w:themeFill="accent6" w:themeFillTint="99"/>
            <w:noWrap/>
            <w:vAlign w:val="center"/>
            <w:hideMark/>
          </w:tcPr>
          <w:p w14:paraId="323CAD78" w14:textId="77777777" w:rsidR="00E361DB" w:rsidRPr="00983CA6" w:rsidRDefault="00E361DB" w:rsidP="002034EE">
            <w:pPr>
              <w:pStyle w:val="cuadroCabe"/>
              <w:spacing w:line="240" w:lineRule="auto"/>
              <w:jc w:val="right"/>
              <w:rPr>
                <w:sz w:val="16"/>
                <w:szCs w:val="16"/>
              </w:rPr>
            </w:pPr>
            <w:r w:rsidRPr="00983CA6">
              <w:rPr>
                <w:sz w:val="16"/>
                <w:szCs w:val="16"/>
              </w:rPr>
              <w:t>207</w:t>
            </w:r>
          </w:p>
        </w:tc>
        <w:tc>
          <w:tcPr>
            <w:tcW w:w="709" w:type="dxa"/>
            <w:tcBorders>
              <w:bottom w:val="single" w:sz="4" w:space="0" w:color="auto"/>
            </w:tcBorders>
            <w:shd w:val="clear" w:color="auto" w:fill="FABF8F" w:themeFill="accent6" w:themeFillTint="99"/>
            <w:noWrap/>
            <w:vAlign w:val="center"/>
            <w:hideMark/>
          </w:tcPr>
          <w:p w14:paraId="5CD79315" w14:textId="77777777" w:rsidR="00E361DB" w:rsidRPr="00983CA6" w:rsidRDefault="00E361DB" w:rsidP="002034EE">
            <w:pPr>
              <w:pStyle w:val="cuadroCabe"/>
              <w:spacing w:line="240" w:lineRule="auto"/>
              <w:jc w:val="right"/>
              <w:rPr>
                <w:sz w:val="16"/>
                <w:szCs w:val="16"/>
              </w:rPr>
            </w:pPr>
            <w:r w:rsidRPr="00983CA6">
              <w:rPr>
                <w:sz w:val="16"/>
                <w:szCs w:val="16"/>
              </w:rPr>
              <w:t>245</w:t>
            </w:r>
          </w:p>
        </w:tc>
        <w:tc>
          <w:tcPr>
            <w:tcW w:w="574" w:type="dxa"/>
            <w:tcBorders>
              <w:bottom w:val="single" w:sz="4" w:space="0" w:color="auto"/>
            </w:tcBorders>
            <w:shd w:val="clear" w:color="auto" w:fill="FABF8F" w:themeFill="accent6" w:themeFillTint="99"/>
            <w:noWrap/>
            <w:vAlign w:val="center"/>
            <w:hideMark/>
          </w:tcPr>
          <w:p w14:paraId="55327933" w14:textId="77777777" w:rsidR="00E361DB" w:rsidRPr="00983CA6" w:rsidRDefault="00E361DB" w:rsidP="002034EE">
            <w:pPr>
              <w:pStyle w:val="cuadroCabe"/>
              <w:spacing w:line="240" w:lineRule="auto"/>
              <w:jc w:val="right"/>
              <w:rPr>
                <w:sz w:val="16"/>
                <w:szCs w:val="16"/>
              </w:rPr>
            </w:pPr>
            <w:r w:rsidRPr="00983CA6">
              <w:rPr>
                <w:sz w:val="16"/>
                <w:szCs w:val="16"/>
              </w:rPr>
              <w:t>212</w:t>
            </w:r>
          </w:p>
        </w:tc>
      </w:tr>
      <w:tr w:rsidR="00E361DB" w:rsidRPr="00983CA6" w14:paraId="10139F74" w14:textId="77777777" w:rsidTr="002034EE">
        <w:trPr>
          <w:trHeight w:val="227"/>
        </w:trPr>
        <w:tc>
          <w:tcPr>
            <w:tcW w:w="1980" w:type="dxa"/>
            <w:tcBorders>
              <w:top w:val="single" w:sz="4" w:space="0" w:color="auto"/>
              <w:bottom w:val="single" w:sz="4" w:space="0" w:color="auto"/>
            </w:tcBorders>
            <w:shd w:val="clear" w:color="auto" w:fill="FABF8F" w:themeFill="accent6" w:themeFillTint="99"/>
            <w:noWrap/>
            <w:vAlign w:val="center"/>
          </w:tcPr>
          <w:p w14:paraId="6C5901C2" w14:textId="77777777" w:rsidR="00E361DB" w:rsidRPr="00983CA6" w:rsidRDefault="00E361DB" w:rsidP="002034EE">
            <w:pPr>
              <w:pStyle w:val="cuadroCabe"/>
              <w:spacing w:line="240" w:lineRule="auto"/>
              <w:rPr>
                <w:sz w:val="16"/>
                <w:szCs w:val="16"/>
              </w:rPr>
            </w:pPr>
            <w:r w:rsidRPr="00983CA6">
              <w:rPr>
                <w:sz w:val="16"/>
                <w:szCs w:val="16"/>
              </w:rPr>
              <w:t>% total s/ respuestas</w:t>
            </w:r>
          </w:p>
        </w:tc>
        <w:tc>
          <w:tcPr>
            <w:tcW w:w="714" w:type="dxa"/>
            <w:tcBorders>
              <w:top w:val="single" w:sz="4" w:space="0" w:color="auto"/>
              <w:bottom w:val="single" w:sz="4" w:space="0" w:color="auto"/>
            </w:tcBorders>
            <w:shd w:val="clear" w:color="auto" w:fill="FABF8F" w:themeFill="accent6" w:themeFillTint="99"/>
            <w:noWrap/>
            <w:vAlign w:val="center"/>
          </w:tcPr>
          <w:p w14:paraId="2DA54EA3" w14:textId="77777777" w:rsidR="00E361DB" w:rsidRPr="00983CA6" w:rsidRDefault="00E361DB" w:rsidP="002034EE">
            <w:pPr>
              <w:pStyle w:val="cuadroCabe"/>
              <w:spacing w:line="240" w:lineRule="auto"/>
              <w:jc w:val="right"/>
              <w:rPr>
                <w:sz w:val="16"/>
                <w:szCs w:val="16"/>
              </w:rPr>
            </w:pPr>
          </w:p>
        </w:tc>
        <w:tc>
          <w:tcPr>
            <w:tcW w:w="627" w:type="dxa"/>
            <w:tcBorders>
              <w:top w:val="single" w:sz="4" w:space="0" w:color="auto"/>
              <w:bottom w:val="single" w:sz="4" w:space="0" w:color="auto"/>
            </w:tcBorders>
            <w:shd w:val="clear" w:color="auto" w:fill="FABF8F" w:themeFill="accent6" w:themeFillTint="99"/>
            <w:noWrap/>
            <w:vAlign w:val="center"/>
          </w:tcPr>
          <w:p w14:paraId="39C69111" w14:textId="77777777" w:rsidR="00E361DB" w:rsidRPr="00983CA6" w:rsidRDefault="00E361DB" w:rsidP="002034EE">
            <w:pPr>
              <w:pStyle w:val="cuadroCabe"/>
              <w:spacing w:line="240" w:lineRule="auto"/>
              <w:jc w:val="right"/>
              <w:rPr>
                <w:sz w:val="16"/>
                <w:szCs w:val="16"/>
              </w:rPr>
            </w:pPr>
          </w:p>
        </w:tc>
        <w:tc>
          <w:tcPr>
            <w:tcW w:w="780" w:type="dxa"/>
            <w:tcBorders>
              <w:top w:val="single" w:sz="4" w:space="0" w:color="auto"/>
              <w:bottom w:val="single" w:sz="4" w:space="0" w:color="auto"/>
            </w:tcBorders>
            <w:shd w:val="clear" w:color="auto" w:fill="FABF8F" w:themeFill="accent6" w:themeFillTint="99"/>
            <w:noWrap/>
            <w:vAlign w:val="center"/>
          </w:tcPr>
          <w:p w14:paraId="11B80874" w14:textId="08EDDC1F" w:rsidR="00E361DB" w:rsidRPr="00983CA6" w:rsidRDefault="00E361DB" w:rsidP="002034EE">
            <w:pPr>
              <w:pStyle w:val="cuadroCabe"/>
              <w:spacing w:line="240" w:lineRule="auto"/>
              <w:jc w:val="right"/>
              <w:rPr>
                <w:sz w:val="16"/>
                <w:szCs w:val="16"/>
              </w:rPr>
            </w:pPr>
            <w:r w:rsidRPr="00983CA6">
              <w:rPr>
                <w:sz w:val="16"/>
                <w:szCs w:val="16"/>
              </w:rPr>
              <w:t>83</w:t>
            </w:r>
          </w:p>
        </w:tc>
        <w:tc>
          <w:tcPr>
            <w:tcW w:w="562" w:type="dxa"/>
            <w:tcBorders>
              <w:top w:val="single" w:sz="4" w:space="0" w:color="auto"/>
              <w:bottom w:val="single" w:sz="4" w:space="0" w:color="auto"/>
            </w:tcBorders>
            <w:shd w:val="clear" w:color="auto" w:fill="FABF8F" w:themeFill="accent6" w:themeFillTint="99"/>
            <w:noWrap/>
            <w:vAlign w:val="center"/>
          </w:tcPr>
          <w:p w14:paraId="5C29045C" w14:textId="14CB5B61" w:rsidR="00E361DB" w:rsidRPr="00983CA6" w:rsidRDefault="00E361DB" w:rsidP="002034EE">
            <w:pPr>
              <w:pStyle w:val="cuadroCabe"/>
              <w:spacing w:line="240" w:lineRule="auto"/>
              <w:jc w:val="right"/>
              <w:rPr>
                <w:sz w:val="16"/>
                <w:szCs w:val="16"/>
              </w:rPr>
            </w:pPr>
            <w:r w:rsidRPr="00983CA6">
              <w:rPr>
                <w:sz w:val="16"/>
                <w:szCs w:val="16"/>
              </w:rPr>
              <w:t>83</w:t>
            </w:r>
          </w:p>
        </w:tc>
        <w:tc>
          <w:tcPr>
            <w:tcW w:w="708" w:type="dxa"/>
            <w:tcBorders>
              <w:top w:val="single" w:sz="4" w:space="0" w:color="auto"/>
              <w:bottom w:val="single" w:sz="4" w:space="0" w:color="auto"/>
            </w:tcBorders>
            <w:shd w:val="clear" w:color="auto" w:fill="FABF8F" w:themeFill="accent6" w:themeFillTint="99"/>
            <w:noWrap/>
            <w:vAlign w:val="center"/>
          </w:tcPr>
          <w:p w14:paraId="2C991C6F" w14:textId="56315BE9" w:rsidR="00E361DB" w:rsidRPr="00983CA6" w:rsidRDefault="0021232E" w:rsidP="002034EE">
            <w:pPr>
              <w:pStyle w:val="cuadroCabe"/>
              <w:spacing w:line="240" w:lineRule="auto"/>
              <w:jc w:val="right"/>
              <w:rPr>
                <w:sz w:val="16"/>
                <w:szCs w:val="16"/>
              </w:rPr>
            </w:pPr>
            <w:r w:rsidRPr="00983CA6">
              <w:rPr>
                <w:sz w:val="16"/>
                <w:szCs w:val="16"/>
              </w:rPr>
              <w:t>83</w:t>
            </w:r>
          </w:p>
        </w:tc>
        <w:tc>
          <w:tcPr>
            <w:tcW w:w="719" w:type="dxa"/>
            <w:tcBorders>
              <w:top w:val="single" w:sz="4" w:space="0" w:color="auto"/>
              <w:bottom w:val="single" w:sz="4" w:space="0" w:color="auto"/>
            </w:tcBorders>
            <w:shd w:val="clear" w:color="auto" w:fill="FABF8F" w:themeFill="accent6" w:themeFillTint="99"/>
            <w:noWrap/>
            <w:vAlign w:val="center"/>
          </w:tcPr>
          <w:p w14:paraId="08E48E18" w14:textId="06E3A88E" w:rsidR="00E361DB" w:rsidRPr="00983CA6" w:rsidRDefault="00E361DB" w:rsidP="002034EE">
            <w:pPr>
              <w:pStyle w:val="cuadroCabe"/>
              <w:spacing w:line="240" w:lineRule="auto"/>
              <w:jc w:val="right"/>
              <w:rPr>
                <w:sz w:val="16"/>
                <w:szCs w:val="16"/>
              </w:rPr>
            </w:pPr>
            <w:r w:rsidRPr="00983CA6">
              <w:rPr>
                <w:sz w:val="16"/>
                <w:szCs w:val="16"/>
              </w:rPr>
              <w:t>80</w:t>
            </w:r>
          </w:p>
        </w:tc>
        <w:tc>
          <w:tcPr>
            <w:tcW w:w="850" w:type="dxa"/>
            <w:tcBorders>
              <w:top w:val="single" w:sz="4" w:space="0" w:color="auto"/>
              <w:bottom w:val="single" w:sz="4" w:space="0" w:color="auto"/>
            </w:tcBorders>
            <w:shd w:val="clear" w:color="auto" w:fill="FABF8F" w:themeFill="accent6" w:themeFillTint="99"/>
            <w:noWrap/>
            <w:vAlign w:val="center"/>
          </w:tcPr>
          <w:p w14:paraId="432BD1EF" w14:textId="5A1F7D16" w:rsidR="00E361DB" w:rsidRPr="00983CA6" w:rsidRDefault="0021232E" w:rsidP="002034EE">
            <w:pPr>
              <w:pStyle w:val="cuadroCabe"/>
              <w:spacing w:line="240" w:lineRule="auto"/>
              <w:jc w:val="right"/>
              <w:rPr>
                <w:sz w:val="16"/>
                <w:szCs w:val="16"/>
              </w:rPr>
            </w:pPr>
            <w:r w:rsidRPr="00983CA6">
              <w:rPr>
                <w:sz w:val="16"/>
                <w:szCs w:val="16"/>
              </w:rPr>
              <w:t>79</w:t>
            </w:r>
          </w:p>
        </w:tc>
        <w:tc>
          <w:tcPr>
            <w:tcW w:w="567" w:type="dxa"/>
            <w:tcBorders>
              <w:top w:val="single" w:sz="4" w:space="0" w:color="auto"/>
              <w:bottom w:val="single" w:sz="4" w:space="0" w:color="auto"/>
            </w:tcBorders>
            <w:shd w:val="clear" w:color="auto" w:fill="FABF8F" w:themeFill="accent6" w:themeFillTint="99"/>
            <w:noWrap/>
            <w:vAlign w:val="center"/>
          </w:tcPr>
          <w:p w14:paraId="0321A5E7" w14:textId="263B11F9" w:rsidR="00E361DB" w:rsidRPr="00983CA6" w:rsidRDefault="00E361DB" w:rsidP="002034EE">
            <w:pPr>
              <w:pStyle w:val="cuadroCabe"/>
              <w:spacing w:line="240" w:lineRule="auto"/>
              <w:jc w:val="right"/>
              <w:rPr>
                <w:sz w:val="16"/>
                <w:szCs w:val="16"/>
              </w:rPr>
            </w:pPr>
            <w:r w:rsidRPr="00983CA6">
              <w:rPr>
                <w:sz w:val="16"/>
                <w:szCs w:val="16"/>
              </w:rPr>
              <w:t>77</w:t>
            </w:r>
          </w:p>
        </w:tc>
        <w:tc>
          <w:tcPr>
            <w:tcW w:w="709" w:type="dxa"/>
            <w:tcBorders>
              <w:top w:val="single" w:sz="4" w:space="0" w:color="auto"/>
              <w:bottom w:val="single" w:sz="4" w:space="0" w:color="auto"/>
            </w:tcBorders>
            <w:shd w:val="clear" w:color="auto" w:fill="FABF8F" w:themeFill="accent6" w:themeFillTint="99"/>
            <w:noWrap/>
            <w:vAlign w:val="center"/>
          </w:tcPr>
          <w:p w14:paraId="3CE64DDC" w14:textId="7AF540B6" w:rsidR="00E361DB" w:rsidRPr="00983CA6" w:rsidRDefault="00E361DB" w:rsidP="002034EE">
            <w:pPr>
              <w:pStyle w:val="cuadroCabe"/>
              <w:spacing w:line="240" w:lineRule="auto"/>
              <w:jc w:val="right"/>
              <w:rPr>
                <w:sz w:val="16"/>
                <w:szCs w:val="16"/>
              </w:rPr>
            </w:pPr>
            <w:r w:rsidRPr="00983CA6">
              <w:rPr>
                <w:sz w:val="16"/>
                <w:szCs w:val="16"/>
              </w:rPr>
              <w:t>81</w:t>
            </w:r>
          </w:p>
        </w:tc>
        <w:tc>
          <w:tcPr>
            <w:tcW w:w="574" w:type="dxa"/>
            <w:tcBorders>
              <w:top w:val="single" w:sz="4" w:space="0" w:color="auto"/>
              <w:bottom w:val="single" w:sz="4" w:space="0" w:color="auto"/>
            </w:tcBorders>
            <w:shd w:val="clear" w:color="auto" w:fill="FABF8F" w:themeFill="accent6" w:themeFillTint="99"/>
            <w:noWrap/>
            <w:vAlign w:val="center"/>
          </w:tcPr>
          <w:p w14:paraId="6A45BA94" w14:textId="3855EA68" w:rsidR="00E361DB" w:rsidRPr="00983CA6" w:rsidRDefault="00E361DB" w:rsidP="002034EE">
            <w:pPr>
              <w:pStyle w:val="cuadroCabe"/>
              <w:spacing w:line="240" w:lineRule="auto"/>
              <w:jc w:val="right"/>
              <w:rPr>
                <w:sz w:val="16"/>
                <w:szCs w:val="16"/>
              </w:rPr>
            </w:pPr>
            <w:r w:rsidRPr="00983CA6">
              <w:rPr>
                <w:sz w:val="16"/>
                <w:szCs w:val="16"/>
              </w:rPr>
              <w:t>79</w:t>
            </w:r>
          </w:p>
        </w:tc>
      </w:tr>
    </w:tbl>
    <w:p w14:paraId="28B8DA0C" w14:textId="547215EF" w:rsidR="00E63B1D" w:rsidRDefault="002E5D2D" w:rsidP="001C793D">
      <w:pPr>
        <w:pStyle w:val="texto"/>
        <w:spacing w:before="240"/>
        <w:rPr>
          <w:b/>
          <w:lang w:val="es-ES"/>
        </w:rPr>
      </w:pPr>
      <w:r>
        <w:rPr>
          <w:lang w:val="es-ES"/>
        </w:rPr>
        <w:t>Cabe señalar que</w:t>
      </w:r>
      <w:r w:rsidR="00E63B1D">
        <w:rPr>
          <w:lang w:val="es-ES"/>
        </w:rPr>
        <w:t xml:space="preserve"> el </w:t>
      </w:r>
      <w:r w:rsidR="00E63B1D" w:rsidRPr="00AE13D4">
        <w:rPr>
          <w:lang w:val="es-ES"/>
        </w:rPr>
        <w:t xml:space="preserve">Ayuntamiento de Pamplona, </w:t>
      </w:r>
      <w:r w:rsidR="00AE13D4">
        <w:rPr>
          <w:lang w:val="es-ES"/>
        </w:rPr>
        <w:t xml:space="preserve">en base a lo </w:t>
      </w:r>
      <w:r w:rsidR="00974F8A">
        <w:rPr>
          <w:lang w:val="es-ES"/>
        </w:rPr>
        <w:t>establecido por</w:t>
      </w:r>
      <w:r w:rsidR="00AE13D4" w:rsidRPr="00AE13D4">
        <w:rPr>
          <w:lang w:val="es-ES"/>
        </w:rPr>
        <w:t xml:space="preserve"> el</w:t>
      </w:r>
      <w:r w:rsidR="00E63B1D" w:rsidRPr="00AE13D4">
        <w:rPr>
          <w:lang w:val="es-ES"/>
        </w:rPr>
        <w:t xml:space="preserve"> artículo 248 de la LFHL, tiene establecida</w:t>
      </w:r>
      <w:r w:rsidR="00E63B1D">
        <w:rPr>
          <w:lang w:val="es-ES"/>
        </w:rPr>
        <w:t xml:space="preserve"> la fiscalización limitada previa, que consiste </w:t>
      </w:r>
      <w:r w:rsidR="00E361DB">
        <w:rPr>
          <w:lang w:val="es-ES"/>
        </w:rPr>
        <w:t xml:space="preserve">en comprobar </w:t>
      </w:r>
      <w:r w:rsidR="00617780">
        <w:rPr>
          <w:lang w:val="es-ES"/>
        </w:rPr>
        <w:t>únicamente</w:t>
      </w:r>
      <w:r w:rsidR="00E63B1D">
        <w:rPr>
          <w:lang w:val="es-ES"/>
        </w:rPr>
        <w:t xml:space="preserve"> la existencia de crédito adecuado y suficiente y la competencia del órgano que propone el gasto</w:t>
      </w:r>
      <w:r w:rsidR="00E8650E">
        <w:rPr>
          <w:lang w:val="es-ES"/>
        </w:rPr>
        <w:t>.</w:t>
      </w:r>
    </w:p>
    <w:p w14:paraId="5691C371" w14:textId="4C9FFD71" w:rsidR="002E5D2D" w:rsidRDefault="00593E0D" w:rsidP="005C70E8">
      <w:pPr>
        <w:pStyle w:val="texto"/>
        <w:rPr>
          <w:b/>
          <w:lang w:val="es-ES"/>
        </w:rPr>
      </w:pPr>
      <w:r w:rsidRPr="008E43F9">
        <w:rPr>
          <w:lang w:val="es-ES"/>
        </w:rPr>
        <w:t xml:space="preserve">Con respecto a </w:t>
      </w:r>
      <w:r w:rsidR="002E5D2D" w:rsidRPr="008E43F9">
        <w:rPr>
          <w:lang w:val="es-ES"/>
        </w:rPr>
        <w:t xml:space="preserve">las </w:t>
      </w:r>
      <w:r w:rsidRPr="008E43F9">
        <w:rPr>
          <w:lang w:val="es-ES"/>
        </w:rPr>
        <w:t>otras dos modalidades de control interno económico-financiero establecid</w:t>
      </w:r>
      <w:r w:rsidR="00986B66" w:rsidRPr="008E43F9">
        <w:rPr>
          <w:lang w:val="es-ES"/>
        </w:rPr>
        <w:t xml:space="preserve">as por la LFAL, de los 236 </w:t>
      </w:r>
      <w:r w:rsidRPr="008E43F9">
        <w:rPr>
          <w:lang w:val="es-ES"/>
        </w:rPr>
        <w:t xml:space="preserve">órganos interventores que han respondido a </w:t>
      </w:r>
      <w:r w:rsidR="00974F8A">
        <w:rPr>
          <w:lang w:val="es-ES"/>
        </w:rPr>
        <w:t>la cuestión correspondiente</w:t>
      </w:r>
      <w:r w:rsidRPr="008E43F9">
        <w:rPr>
          <w:lang w:val="es-ES"/>
        </w:rPr>
        <w:t xml:space="preserve">, </w:t>
      </w:r>
      <w:r w:rsidR="00986B66" w:rsidRPr="008E43F9">
        <w:rPr>
          <w:lang w:val="es-ES"/>
        </w:rPr>
        <w:t xml:space="preserve">solo </w:t>
      </w:r>
      <w:r w:rsidR="002E5D2D" w:rsidRPr="008E43F9">
        <w:rPr>
          <w:lang w:val="es-ES"/>
        </w:rPr>
        <w:t xml:space="preserve">el 56 y el 42 por ciento </w:t>
      </w:r>
      <w:r w:rsidRPr="008E43F9">
        <w:rPr>
          <w:lang w:val="es-ES"/>
        </w:rPr>
        <w:t xml:space="preserve">declaran </w:t>
      </w:r>
      <w:r w:rsidRPr="008E43F9">
        <w:rPr>
          <w:lang w:val="es-ES"/>
        </w:rPr>
        <w:lastRenderedPageBreak/>
        <w:t>efectuar el control financiero y el control de eficacia, respectivamente</w:t>
      </w:r>
      <w:r w:rsidR="002E5D2D" w:rsidRPr="008E43F9">
        <w:rPr>
          <w:lang w:val="es-ES"/>
        </w:rPr>
        <w:t>. Entre las entidades locales que no ejercen las tres modalidades de control interno legalmente establecidas, destacan por su población, los ayuntamientos de Pamplona y Tudela, que declaran no ejercer el control financiero ni el control de eficacia.</w:t>
      </w:r>
    </w:p>
    <w:p w14:paraId="3103B206" w14:textId="2005C607" w:rsidR="004B701D" w:rsidRDefault="002E5D2D" w:rsidP="005C70E8">
      <w:pPr>
        <w:pStyle w:val="texto"/>
        <w:rPr>
          <w:b/>
          <w:lang w:val="es-ES"/>
        </w:rPr>
      </w:pPr>
      <w:r>
        <w:rPr>
          <w:lang w:val="es-ES"/>
        </w:rPr>
        <w:t xml:space="preserve">En general, </w:t>
      </w:r>
      <w:r w:rsidR="00E63B1D">
        <w:rPr>
          <w:lang w:val="es-ES"/>
        </w:rPr>
        <w:t xml:space="preserve">la función interventora </w:t>
      </w:r>
      <w:r>
        <w:rPr>
          <w:lang w:val="es-ES"/>
        </w:rPr>
        <w:t>se ejerce y comprende el contenido exigido por la normativa</w:t>
      </w:r>
      <w:r w:rsidR="00E63B1D">
        <w:rPr>
          <w:lang w:val="es-ES"/>
        </w:rPr>
        <w:t xml:space="preserve">, mientras que las funciones de control financiero y control de eficacia tienen una implantación </w:t>
      </w:r>
      <w:r w:rsidR="00E361DB">
        <w:rPr>
          <w:lang w:val="es-ES"/>
        </w:rPr>
        <w:t>bastante menor</w:t>
      </w:r>
      <w:r w:rsidR="00471802">
        <w:rPr>
          <w:lang w:val="es-ES"/>
        </w:rPr>
        <w:t>. A ello</w:t>
      </w:r>
      <w:r w:rsidR="00E361DB">
        <w:rPr>
          <w:lang w:val="es-ES"/>
        </w:rPr>
        <w:t xml:space="preserve"> puede contribuir </w:t>
      </w:r>
      <w:r w:rsidR="00471802">
        <w:rPr>
          <w:lang w:val="es-ES"/>
        </w:rPr>
        <w:t xml:space="preserve">la escasa regulación de la materia en Navarra, donde no ha sido objeto de desarrollo reglamentario, a diferencia de lo sucedido en el Estado, donde </w:t>
      </w:r>
      <w:r w:rsidR="00576A54">
        <w:rPr>
          <w:lang w:val="es-ES"/>
        </w:rPr>
        <w:t>se aprobó el</w:t>
      </w:r>
      <w:r w:rsidR="00471802">
        <w:rPr>
          <w:lang w:val="es-ES"/>
        </w:rPr>
        <w:t xml:space="preserve"> Real Decreto 424/2017, de 28 de abril, por el que se regula el régimen jurídico del control interno de las entidades del Sector Público Local.</w:t>
      </w:r>
    </w:p>
    <w:p w14:paraId="75D16033" w14:textId="0B194D48" w:rsidR="00E63B1D" w:rsidRDefault="002E5D2D" w:rsidP="004B1F4E">
      <w:pPr>
        <w:pStyle w:val="texto"/>
        <w:spacing w:after="0"/>
        <w:rPr>
          <w:lang w:val="es-ES"/>
        </w:rPr>
      </w:pPr>
      <w:r>
        <w:rPr>
          <w:lang w:val="es-ES"/>
        </w:rPr>
        <w:t>L</w:t>
      </w:r>
      <w:r w:rsidR="00E63B1D">
        <w:rPr>
          <w:lang w:val="es-ES"/>
        </w:rPr>
        <w:t xml:space="preserve">a </w:t>
      </w:r>
      <w:r w:rsidR="0084582D">
        <w:rPr>
          <w:lang w:val="es-ES"/>
        </w:rPr>
        <w:t>Ley Foral</w:t>
      </w:r>
      <w:r w:rsidR="00E63B1D">
        <w:rPr>
          <w:lang w:val="es-ES"/>
        </w:rPr>
        <w:t xml:space="preserve"> 22/2020, de 29 de diciembre, de modificación de la LFHL, ha modificado el </w:t>
      </w:r>
      <w:r w:rsidR="00E361DB">
        <w:rPr>
          <w:lang w:val="es-ES"/>
        </w:rPr>
        <w:t xml:space="preserve">mencionado </w:t>
      </w:r>
      <w:r w:rsidR="00E63B1D">
        <w:rPr>
          <w:lang w:val="es-ES"/>
        </w:rPr>
        <w:t xml:space="preserve">artículo 248 de esta ley foral, </w:t>
      </w:r>
      <w:r>
        <w:rPr>
          <w:lang w:val="es-ES"/>
        </w:rPr>
        <w:t>permitiendo</w:t>
      </w:r>
      <w:r w:rsidR="00E63B1D">
        <w:rPr>
          <w:lang w:val="es-ES"/>
        </w:rPr>
        <w:t xml:space="preserve"> que, a partir de 2021, </w:t>
      </w:r>
      <w:r w:rsidR="00AE13D4">
        <w:rPr>
          <w:lang w:val="es-ES"/>
        </w:rPr>
        <w:t>se pueda establecer la intervención previa limitada en todas las entidades locales.</w:t>
      </w:r>
      <w:r w:rsidR="00E361DB">
        <w:rPr>
          <w:lang w:val="es-ES"/>
        </w:rPr>
        <w:t xml:space="preserve">  </w:t>
      </w:r>
      <w:r w:rsidR="00AE13D4">
        <w:rPr>
          <w:lang w:val="es-ES"/>
        </w:rPr>
        <w:t>L</w:t>
      </w:r>
      <w:r w:rsidR="00E361DB">
        <w:rPr>
          <w:lang w:val="es-ES"/>
        </w:rPr>
        <w:t>os gastos sometidos a este régimen deben</w:t>
      </w:r>
      <w:r w:rsidR="00E63B1D" w:rsidRPr="00E8650E">
        <w:rPr>
          <w:lang w:val="es-ES"/>
        </w:rPr>
        <w:t xml:space="preserve"> quedar sometidos</w:t>
      </w:r>
      <w:r w:rsidR="0014737C">
        <w:rPr>
          <w:lang w:val="es-ES"/>
        </w:rPr>
        <w:t xml:space="preserve"> a</w:t>
      </w:r>
      <w:r w:rsidR="00E63B1D" w:rsidRPr="00E8650E">
        <w:rPr>
          <w:lang w:val="es-ES"/>
        </w:rPr>
        <w:t xml:space="preserve"> una fiscalización plena posterior ejercida sobre una muestra representativa</w:t>
      </w:r>
      <w:r w:rsidR="00AE13D4">
        <w:rPr>
          <w:lang w:val="es-ES"/>
        </w:rPr>
        <w:t xml:space="preserve">. </w:t>
      </w:r>
      <w:r w:rsidR="00E8650E">
        <w:rPr>
          <w:lang w:val="es-ES"/>
        </w:rPr>
        <w:t xml:space="preserve">Esta reforma legal permite a las entidades locales una mayor agilidad en la gestión, pero </w:t>
      </w:r>
      <w:r w:rsidR="00C31D05">
        <w:rPr>
          <w:lang w:val="es-ES"/>
        </w:rPr>
        <w:t xml:space="preserve">a fin de </w:t>
      </w:r>
      <w:r w:rsidR="00E8650E">
        <w:rPr>
          <w:lang w:val="es-ES"/>
        </w:rPr>
        <w:t xml:space="preserve">que no redunde en un deterioro de las garantías que aporta el control </w:t>
      </w:r>
      <w:r w:rsidR="00E361DB">
        <w:rPr>
          <w:lang w:val="es-ES"/>
        </w:rPr>
        <w:t xml:space="preserve">interno, hace imprescindible un adecuado desarrollo e implantación </w:t>
      </w:r>
      <w:r w:rsidR="00E8650E">
        <w:rPr>
          <w:lang w:val="es-ES"/>
        </w:rPr>
        <w:t xml:space="preserve">del control </w:t>
      </w:r>
      <w:r w:rsidR="00E361DB">
        <w:rPr>
          <w:lang w:val="es-ES"/>
        </w:rPr>
        <w:t>posterior en el marco del control financiero.</w:t>
      </w:r>
    </w:p>
    <w:p w14:paraId="29F50857" w14:textId="77777777" w:rsidR="004B1F4E" w:rsidRDefault="004B1F4E" w:rsidP="004B1F4E">
      <w:pPr>
        <w:pStyle w:val="texto"/>
        <w:spacing w:after="0"/>
        <w:rPr>
          <w:b/>
          <w:lang w:val="es-ES"/>
        </w:rPr>
      </w:pPr>
    </w:p>
    <w:p w14:paraId="37394C33" w14:textId="77777777" w:rsidR="00DB537B" w:rsidRPr="00EF0883" w:rsidRDefault="004B044B" w:rsidP="004248BF">
      <w:pPr>
        <w:pStyle w:val="Ttulo2"/>
        <w:rPr>
          <w:szCs w:val="25"/>
        </w:rPr>
      </w:pPr>
      <w:bookmarkStart w:id="103" w:name="_Toc123724210"/>
      <w:r w:rsidRPr="00EF0883">
        <w:rPr>
          <w:szCs w:val="25"/>
        </w:rPr>
        <w:t xml:space="preserve">IX.3. </w:t>
      </w:r>
      <w:r w:rsidR="00DB537B" w:rsidRPr="00EF0883">
        <w:rPr>
          <w:szCs w:val="25"/>
        </w:rPr>
        <w:t>Reparos</w:t>
      </w:r>
      <w:bookmarkEnd w:id="103"/>
    </w:p>
    <w:p w14:paraId="2C2D0B15" w14:textId="48358252" w:rsidR="004C5885" w:rsidRDefault="00DB537B" w:rsidP="00983CA6">
      <w:pPr>
        <w:pStyle w:val="texto"/>
        <w:spacing w:after="240"/>
        <w:rPr>
          <w:b/>
          <w:lang w:val="es-ES"/>
        </w:rPr>
      </w:pPr>
      <w:r>
        <w:rPr>
          <w:lang w:val="es-ES"/>
        </w:rPr>
        <w:t xml:space="preserve">De las 269 entidades locales que han proporcionado información, se han </w:t>
      </w:r>
      <w:r w:rsidR="00974F8A">
        <w:rPr>
          <w:lang w:val="es-ES"/>
        </w:rPr>
        <w:t>formulado</w:t>
      </w:r>
      <w:r>
        <w:rPr>
          <w:lang w:val="es-ES"/>
        </w:rPr>
        <w:t xml:space="preserve"> reparos en 25 municipios y tres mancomunidades, en las que se han interpuesto un total de 1</w:t>
      </w:r>
      <w:r w:rsidR="00986B66">
        <w:rPr>
          <w:lang w:val="es-ES"/>
        </w:rPr>
        <w:t>8</w:t>
      </w:r>
      <w:r>
        <w:rPr>
          <w:lang w:val="es-ES"/>
        </w:rPr>
        <w:t>8 reparos que afectan</w:t>
      </w:r>
      <w:r w:rsidR="008E43F9">
        <w:rPr>
          <w:lang w:val="es-ES"/>
        </w:rPr>
        <w:t xml:space="preserve"> a</w:t>
      </w:r>
      <w:r>
        <w:rPr>
          <w:lang w:val="es-ES"/>
        </w:rPr>
        <w:t xml:space="preserve"> </w:t>
      </w:r>
      <w:r w:rsidR="001A3BA2">
        <w:rPr>
          <w:lang w:val="es-ES"/>
        </w:rPr>
        <w:t>5,06</w:t>
      </w:r>
      <w:r>
        <w:rPr>
          <w:lang w:val="es-ES"/>
        </w:rPr>
        <w:t xml:space="preserve"> millones de gasto, según se muestra en la tabla siguiente:</w:t>
      </w:r>
    </w:p>
    <w:tbl>
      <w:tblPr>
        <w:tblW w:w="8789" w:type="dxa"/>
        <w:tblCellMar>
          <w:left w:w="70" w:type="dxa"/>
          <w:right w:w="70" w:type="dxa"/>
        </w:tblCellMar>
        <w:tblLook w:val="04A0" w:firstRow="1" w:lastRow="0" w:firstColumn="1" w:lastColumn="0" w:noHBand="0" w:noVBand="1"/>
      </w:tblPr>
      <w:tblGrid>
        <w:gridCol w:w="2198"/>
        <w:gridCol w:w="850"/>
        <w:gridCol w:w="709"/>
        <w:gridCol w:w="850"/>
        <w:gridCol w:w="709"/>
        <w:gridCol w:w="992"/>
        <w:gridCol w:w="993"/>
        <w:gridCol w:w="637"/>
        <w:gridCol w:w="851"/>
      </w:tblGrid>
      <w:tr w:rsidR="00DB537B" w:rsidRPr="00983CA6" w14:paraId="27F6BBCA" w14:textId="77777777" w:rsidTr="001C793D">
        <w:trPr>
          <w:trHeight w:val="255"/>
        </w:trPr>
        <w:tc>
          <w:tcPr>
            <w:tcW w:w="2198" w:type="dxa"/>
            <w:vMerge w:val="restart"/>
            <w:tcBorders>
              <w:top w:val="single" w:sz="4" w:space="0" w:color="auto"/>
              <w:left w:val="nil"/>
              <w:bottom w:val="single" w:sz="4" w:space="0" w:color="auto"/>
            </w:tcBorders>
            <w:shd w:val="clear" w:color="auto" w:fill="FABF8F" w:themeFill="accent6" w:themeFillTint="99"/>
            <w:vAlign w:val="center"/>
            <w:hideMark/>
          </w:tcPr>
          <w:p w14:paraId="570EF434" w14:textId="77777777" w:rsidR="00DB537B" w:rsidRPr="00983CA6" w:rsidRDefault="00DB537B" w:rsidP="00983CA6">
            <w:pPr>
              <w:pStyle w:val="cuadroCabe"/>
              <w:spacing w:line="240" w:lineRule="auto"/>
              <w:rPr>
                <w:sz w:val="16"/>
                <w:szCs w:val="16"/>
              </w:rPr>
            </w:pPr>
            <w:r w:rsidRPr="00983CA6">
              <w:rPr>
                <w:sz w:val="16"/>
                <w:szCs w:val="16"/>
              </w:rPr>
              <w:t>Tipo de ente local</w:t>
            </w:r>
          </w:p>
        </w:tc>
        <w:tc>
          <w:tcPr>
            <w:tcW w:w="1559" w:type="dxa"/>
            <w:gridSpan w:val="2"/>
            <w:tcBorders>
              <w:top w:val="single" w:sz="4" w:space="0" w:color="auto"/>
              <w:bottom w:val="single" w:sz="4" w:space="0" w:color="auto"/>
            </w:tcBorders>
            <w:shd w:val="clear" w:color="auto" w:fill="FABF8F" w:themeFill="accent6" w:themeFillTint="99"/>
            <w:vAlign w:val="center"/>
            <w:hideMark/>
          </w:tcPr>
          <w:p w14:paraId="73BB44FB" w14:textId="77777777" w:rsidR="00DB537B" w:rsidRPr="00983CA6" w:rsidRDefault="00DB537B" w:rsidP="00983CA6">
            <w:pPr>
              <w:pStyle w:val="cuadroCabe"/>
              <w:spacing w:line="240" w:lineRule="auto"/>
              <w:jc w:val="right"/>
              <w:rPr>
                <w:sz w:val="16"/>
                <w:szCs w:val="16"/>
              </w:rPr>
            </w:pPr>
            <w:proofErr w:type="spellStart"/>
            <w:r w:rsidRPr="00983CA6">
              <w:rPr>
                <w:sz w:val="16"/>
                <w:szCs w:val="16"/>
              </w:rPr>
              <w:t>Nº</w:t>
            </w:r>
            <w:proofErr w:type="spellEnd"/>
            <w:r w:rsidRPr="00983CA6">
              <w:rPr>
                <w:sz w:val="16"/>
                <w:szCs w:val="16"/>
              </w:rPr>
              <w:t xml:space="preserve"> Entidades</w:t>
            </w:r>
          </w:p>
        </w:tc>
        <w:tc>
          <w:tcPr>
            <w:tcW w:w="1559" w:type="dxa"/>
            <w:gridSpan w:val="2"/>
            <w:tcBorders>
              <w:top w:val="single" w:sz="4" w:space="0" w:color="auto"/>
              <w:bottom w:val="single" w:sz="4" w:space="0" w:color="auto"/>
            </w:tcBorders>
            <w:shd w:val="clear" w:color="auto" w:fill="FABF8F" w:themeFill="accent6" w:themeFillTint="99"/>
            <w:vAlign w:val="center"/>
            <w:hideMark/>
          </w:tcPr>
          <w:p w14:paraId="72524612" w14:textId="77777777" w:rsidR="00DB537B" w:rsidRPr="00983CA6" w:rsidRDefault="00DB537B" w:rsidP="00983CA6">
            <w:pPr>
              <w:pStyle w:val="cuadroCabe"/>
              <w:spacing w:line="240" w:lineRule="auto"/>
              <w:jc w:val="right"/>
              <w:rPr>
                <w:sz w:val="16"/>
                <w:szCs w:val="16"/>
              </w:rPr>
            </w:pPr>
            <w:proofErr w:type="spellStart"/>
            <w:r w:rsidRPr="00983CA6">
              <w:rPr>
                <w:sz w:val="16"/>
                <w:szCs w:val="16"/>
              </w:rPr>
              <w:t>Nº</w:t>
            </w:r>
            <w:proofErr w:type="spellEnd"/>
            <w:r w:rsidRPr="00983CA6">
              <w:rPr>
                <w:sz w:val="16"/>
                <w:szCs w:val="16"/>
              </w:rPr>
              <w:t xml:space="preserve"> Reparos</w:t>
            </w:r>
          </w:p>
        </w:tc>
        <w:tc>
          <w:tcPr>
            <w:tcW w:w="1985" w:type="dxa"/>
            <w:gridSpan w:val="2"/>
            <w:tcBorders>
              <w:top w:val="single" w:sz="4" w:space="0" w:color="auto"/>
              <w:bottom w:val="single" w:sz="4" w:space="0" w:color="auto"/>
            </w:tcBorders>
            <w:shd w:val="clear" w:color="auto" w:fill="FABF8F" w:themeFill="accent6" w:themeFillTint="99"/>
            <w:vAlign w:val="center"/>
            <w:hideMark/>
          </w:tcPr>
          <w:p w14:paraId="5957082A" w14:textId="5884CF90" w:rsidR="00DB537B" w:rsidRPr="00983CA6" w:rsidRDefault="00DB537B" w:rsidP="00983CA6">
            <w:pPr>
              <w:pStyle w:val="cuadroCabe"/>
              <w:spacing w:line="240" w:lineRule="auto"/>
              <w:jc w:val="right"/>
              <w:rPr>
                <w:sz w:val="16"/>
                <w:szCs w:val="16"/>
              </w:rPr>
            </w:pPr>
            <w:r w:rsidRPr="00983CA6">
              <w:rPr>
                <w:sz w:val="16"/>
                <w:szCs w:val="16"/>
              </w:rPr>
              <w:t>Importe</w:t>
            </w:r>
            <w:r w:rsidR="00005CAD" w:rsidRPr="00983CA6">
              <w:rPr>
                <w:sz w:val="16"/>
                <w:szCs w:val="16"/>
              </w:rPr>
              <w:t xml:space="preserve"> (euros)</w:t>
            </w:r>
          </w:p>
        </w:tc>
        <w:tc>
          <w:tcPr>
            <w:tcW w:w="1488" w:type="dxa"/>
            <w:gridSpan w:val="2"/>
            <w:tcBorders>
              <w:top w:val="single" w:sz="4" w:space="0" w:color="auto"/>
              <w:bottom w:val="single" w:sz="4" w:space="0" w:color="auto"/>
              <w:right w:val="nil"/>
            </w:tcBorders>
            <w:shd w:val="clear" w:color="auto" w:fill="FABF8F" w:themeFill="accent6" w:themeFillTint="99"/>
            <w:vAlign w:val="center"/>
            <w:hideMark/>
          </w:tcPr>
          <w:p w14:paraId="7AE11530" w14:textId="77777777" w:rsidR="00DB537B" w:rsidRPr="00983CA6" w:rsidRDefault="00DB537B" w:rsidP="00983CA6">
            <w:pPr>
              <w:pStyle w:val="cuadroCabe"/>
              <w:spacing w:line="240" w:lineRule="auto"/>
              <w:jc w:val="right"/>
              <w:rPr>
                <w:sz w:val="16"/>
                <w:szCs w:val="16"/>
              </w:rPr>
            </w:pPr>
            <w:r w:rsidRPr="00983CA6">
              <w:rPr>
                <w:sz w:val="16"/>
                <w:szCs w:val="16"/>
              </w:rPr>
              <w:t>Sin importe</w:t>
            </w:r>
          </w:p>
        </w:tc>
      </w:tr>
      <w:tr w:rsidR="00DB537B" w:rsidRPr="00983CA6" w14:paraId="6BBBEA41" w14:textId="77777777" w:rsidTr="001C793D">
        <w:trPr>
          <w:trHeight w:val="255"/>
        </w:trPr>
        <w:tc>
          <w:tcPr>
            <w:tcW w:w="2198" w:type="dxa"/>
            <w:vMerge/>
            <w:tcBorders>
              <w:top w:val="single" w:sz="4" w:space="0" w:color="auto"/>
              <w:left w:val="nil"/>
              <w:bottom w:val="single" w:sz="4" w:space="0" w:color="auto"/>
            </w:tcBorders>
            <w:shd w:val="clear" w:color="auto" w:fill="FABF8F" w:themeFill="accent6" w:themeFillTint="99"/>
            <w:vAlign w:val="center"/>
            <w:hideMark/>
          </w:tcPr>
          <w:p w14:paraId="3F8EF6D8" w14:textId="77777777" w:rsidR="00DB537B" w:rsidRPr="00983CA6" w:rsidRDefault="00DB537B" w:rsidP="00983CA6">
            <w:pPr>
              <w:pStyle w:val="cuadroCabe"/>
              <w:spacing w:line="240" w:lineRule="auto"/>
              <w:rPr>
                <w:sz w:val="16"/>
                <w:szCs w:val="16"/>
              </w:rPr>
            </w:pPr>
          </w:p>
        </w:tc>
        <w:tc>
          <w:tcPr>
            <w:tcW w:w="850" w:type="dxa"/>
            <w:tcBorders>
              <w:top w:val="single" w:sz="4" w:space="0" w:color="auto"/>
              <w:bottom w:val="single" w:sz="4" w:space="0" w:color="auto"/>
            </w:tcBorders>
            <w:shd w:val="clear" w:color="auto" w:fill="FABF8F" w:themeFill="accent6" w:themeFillTint="99"/>
            <w:noWrap/>
            <w:vAlign w:val="center"/>
            <w:hideMark/>
          </w:tcPr>
          <w:p w14:paraId="6AA09ABA" w14:textId="77777777" w:rsidR="00DB537B" w:rsidRPr="00983CA6" w:rsidRDefault="00DB537B" w:rsidP="00983CA6">
            <w:pPr>
              <w:pStyle w:val="cuadroCabe"/>
              <w:spacing w:line="240" w:lineRule="auto"/>
              <w:jc w:val="right"/>
              <w:rPr>
                <w:sz w:val="16"/>
                <w:szCs w:val="16"/>
              </w:rPr>
            </w:pPr>
            <w:r w:rsidRPr="00983CA6">
              <w:rPr>
                <w:sz w:val="16"/>
                <w:szCs w:val="16"/>
              </w:rPr>
              <w:t>2019</w:t>
            </w:r>
          </w:p>
        </w:tc>
        <w:tc>
          <w:tcPr>
            <w:tcW w:w="709" w:type="dxa"/>
            <w:tcBorders>
              <w:top w:val="single" w:sz="4" w:space="0" w:color="auto"/>
              <w:bottom w:val="single" w:sz="4" w:space="0" w:color="auto"/>
            </w:tcBorders>
            <w:shd w:val="clear" w:color="auto" w:fill="FABF8F" w:themeFill="accent6" w:themeFillTint="99"/>
            <w:noWrap/>
            <w:vAlign w:val="center"/>
            <w:hideMark/>
          </w:tcPr>
          <w:p w14:paraId="2E5CBEBE" w14:textId="77777777" w:rsidR="00DB537B" w:rsidRPr="00983CA6" w:rsidRDefault="00DB537B" w:rsidP="00983CA6">
            <w:pPr>
              <w:pStyle w:val="cuadroCabe"/>
              <w:spacing w:line="240" w:lineRule="auto"/>
              <w:jc w:val="right"/>
              <w:rPr>
                <w:sz w:val="16"/>
                <w:szCs w:val="16"/>
              </w:rPr>
            </w:pPr>
            <w:r w:rsidRPr="00983CA6">
              <w:rPr>
                <w:sz w:val="16"/>
                <w:szCs w:val="16"/>
              </w:rPr>
              <w:t>2020</w:t>
            </w:r>
          </w:p>
        </w:tc>
        <w:tc>
          <w:tcPr>
            <w:tcW w:w="850" w:type="dxa"/>
            <w:tcBorders>
              <w:top w:val="single" w:sz="4" w:space="0" w:color="auto"/>
              <w:bottom w:val="single" w:sz="4" w:space="0" w:color="auto"/>
            </w:tcBorders>
            <w:shd w:val="clear" w:color="auto" w:fill="FABF8F" w:themeFill="accent6" w:themeFillTint="99"/>
            <w:noWrap/>
            <w:vAlign w:val="center"/>
            <w:hideMark/>
          </w:tcPr>
          <w:p w14:paraId="370E4B73" w14:textId="77777777" w:rsidR="00DB537B" w:rsidRPr="00983CA6" w:rsidRDefault="00DB537B" w:rsidP="00983CA6">
            <w:pPr>
              <w:pStyle w:val="cuadroCabe"/>
              <w:spacing w:line="240" w:lineRule="auto"/>
              <w:jc w:val="right"/>
              <w:rPr>
                <w:sz w:val="16"/>
                <w:szCs w:val="16"/>
              </w:rPr>
            </w:pPr>
            <w:r w:rsidRPr="00983CA6">
              <w:rPr>
                <w:sz w:val="16"/>
                <w:szCs w:val="16"/>
              </w:rPr>
              <w:t>2019</w:t>
            </w:r>
          </w:p>
        </w:tc>
        <w:tc>
          <w:tcPr>
            <w:tcW w:w="709" w:type="dxa"/>
            <w:tcBorders>
              <w:top w:val="single" w:sz="4" w:space="0" w:color="auto"/>
              <w:bottom w:val="single" w:sz="4" w:space="0" w:color="auto"/>
            </w:tcBorders>
            <w:shd w:val="clear" w:color="auto" w:fill="FABF8F" w:themeFill="accent6" w:themeFillTint="99"/>
            <w:noWrap/>
            <w:vAlign w:val="center"/>
            <w:hideMark/>
          </w:tcPr>
          <w:p w14:paraId="3A715F1B" w14:textId="77777777" w:rsidR="00DB537B" w:rsidRPr="00983CA6" w:rsidRDefault="00DB537B" w:rsidP="00983CA6">
            <w:pPr>
              <w:pStyle w:val="cuadroCabe"/>
              <w:spacing w:line="240" w:lineRule="auto"/>
              <w:jc w:val="right"/>
              <w:rPr>
                <w:sz w:val="16"/>
                <w:szCs w:val="16"/>
              </w:rPr>
            </w:pPr>
            <w:r w:rsidRPr="00983CA6">
              <w:rPr>
                <w:sz w:val="16"/>
                <w:szCs w:val="16"/>
              </w:rPr>
              <w:t>2020</w:t>
            </w:r>
          </w:p>
        </w:tc>
        <w:tc>
          <w:tcPr>
            <w:tcW w:w="992" w:type="dxa"/>
            <w:tcBorders>
              <w:top w:val="single" w:sz="4" w:space="0" w:color="auto"/>
              <w:bottom w:val="single" w:sz="4" w:space="0" w:color="auto"/>
            </w:tcBorders>
            <w:shd w:val="clear" w:color="auto" w:fill="FABF8F" w:themeFill="accent6" w:themeFillTint="99"/>
            <w:noWrap/>
            <w:vAlign w:val="center"/>
            <w:hideMark/>
          </w:tcPr>
          <w:p w14:paraId="2A5A70F7" w14:textId="77777777" w:rsidR="00DB537B" w:rsidRPr="00983CA6" w:rsidRDefault="00DB537B" w:rsidP="00983CA6">
            <w:pPr>
              <w:pStyle w:val="cuadroCabe"/>
              <w:spacing w:line="240" w:lineRule="auto"/>
              <w:jc w:val="right"/>
              <w:rPr>
                <w:sz w:val="16"/>
                <w:szCs w:val="16"/>
              </w:rPr>
            </w:pPr>
            <w:r w:rsidRPr="00983CA6">
              <w:rPr>
                <w:sz w:val="16"/>
                <w:szCs w:val="16"/>
              </w:rPr>
              <w:t>2019</w:t>
            </w:r>
          </w:p>
        </w:tc>
        <w:tc>
          <w:tcPr>
            <w:tcW w:w="993" w:type="dxa"/>
            <w:tcBorders>
              <w:top w:val="single" w:sz="4" w:space="0" w:color="auto"/>
              <w:bottom w:val="single" w:sz="4" w:space="0" w:color="auto"/>
            </w:tcBorders>
            <w:shd w:val="clear" w:color="auto" w:fill="FABF8F" w:themeFill="accent6" w:themeFillTint="99"/>
            <w:noWrap/>
            <w:vAlign w:val="center"/>
            <w:hideMark/>
          </w:tcPr>
          <w:p w14:paraId="6AAC8B9E" w14:textId="77777777" w:rsidR="00DB537B" w:rsidRPr="00983CA6" w:rsidRDefault="00DB537B" w:rsidP="00983CA6">
            <w:pPr>
              <w:pStyle w:val="cuadroCabe"/>
              <w:spacing w:line="240" w:lineRule="auto"/>
              <w:jc w:val="right"/>
              <w:rPr>
                <w:sz w:val="16"/>
                <w:szCs w:val="16"/>
              </w:rPr>
            </w:pPr>
            <w:r w:rsidRPr="00983CA6">
              <w:rPr>
                <w:sz w:val="16"/>
                <w:szCs w:val="16"/>
              </w:rPr>
              <w:t>2020</w:t>
            </w:r>
          </w:p>
        </w:tc>
        <w:tc>
          <w:tcPr>
            <w:tcW w:w="637" w:type="dxa"/>
            <w:tcBorders>
              <w:top w:val="single" w:sz="4" w:space="0" w:color="auto"/>
              <w:bottom w:val="single" w:sz="4" w:space="0" w:color="auto"/>
            </w:tcBorders>
            <w:shd w:val="clear" w:color="auto" w:fill="FABF8F" w:themeFill="accent6" w:themeFillTint="99"/>
            <w:noWrap/>
            <w:vAlign w:val="center"/>
            <w:hideMark/>
          </w:tcPr>
          <w:p w14:paraId="78752F12" w14:textId="77777777" w:rsidR="00DB537B" w:rsidRPr="00983CA6" w:rsidRDefault="00DB537B" w:rsidP="00983CA6">
            <w:pPr>
              <w:pStyle w:val="cuadroCabe"/>
              <w:spacing w:line="240" w:lineRule="auto"/>
              <w:jc w:val="right"/>
              <w:rPr>
                <w:sz w:val="16"/>
                <w:szCs w:val="16"/>
              </w:rPr>
            </w:pPr>
            <w:r w:rsidRPr="00983CA6">
              <w:rPr>
                <w:sz w:val="16"/>
                <w:szCs w:val="16"/>
              </w:rPr>
              <w:t>2019</w:t>
            </w:r>
          </w:p>
        </w:tc>
        <w:tc>
          <w:tcPr>
            <w:tcW w:w="851" w:type="dxa"/>
            <w:tcBorders>
              <w:top w:val="single" w:sz="4" w:space="0" w:color="auto"/>
              <w:bottom w:val="single" w:sz="4" w:space="0" w:color="auto"/>
              <w:right w:val="nil"/>
            </w:tcBorders>
            <w:shd w:val="clear" w:color="auto" w:fill="FABF8F" w:themeFill="accent6" w:themeFillTint="99"/>
            <w:noWrap/>
            <w:vAlign w:val="center"/>
            <w:hideMark/>
          </w:tcPr>
          <w:p w14:paraId="429BBD59" w14:textId="77777777" w:rsidR="00DB537B" w:rsidRPr="00983CA6" w:rsidRDefault="00DB537B" w:rsidP="00983CA6">
            <w:pPr>
              <w:pStyle w:val="cuadroCabe"/>
              <w:spacing w:line="240" w:lineRule="auto"/>
              <w:jc w:val="right"/>
              <w:rPr>
                <w:sz w:val="16"/>
                <w:szCs w:val="16"/>
              </w:rPr>
            </w:pPr>
            <w:r w:rsidRPr="00983CA6">
              <w:rPr>
                <w:sz w:val="16"/>
                <w:szCs w:val="16"/>
              </w:rPr>
              <w:t>2020</w:t>
            </w:r>
          </w:p>
        </w:tc>
      </w:tr>
      <w:tr w:rsidR="00FB2CFA" w:rsidRPr="00474131" w14:paraId="5C6932E1" w14:textId="77777777" w:rsidTr="001C793D">
        <w:trPr>
          <w:trHeight w:val="255"/>
        </w:trPr>
        <w:tc>
          <w:tcPr>
            <w:tcW w:w="2198" w:type="dxa"/>
            <w:tcBorders>
              <w:top w:val="single" w:sz="4" w:space="0" w:color="auto"/>
              <w:left w:val="nil"/>
              <w:bottom w:val="single" w:sz="2" w:space="0" w:color="auto"/>
            </w:tcBorders>
            <w:shd w:val="clear" w:color="auto" w:fill="auto"/>
            <w:noWrap/>
            <w:vAlign w:val="center"/>
            <w:hideMark/>
          </w:tcPr>
          <w:p w14:paraId="2316A12C" w14:textId="77777777" w:rsidR="00FB2CFA" w:rsidRPr="00474131" w:rsidRDefault="00FB2CFA" w:rsidP="00983CA6">
            <w:pPr>
              <w:pStyle w:val="cuatexto"/>
              <w:spacing w:line="240" w:lineRule="auto"/>
              <w:rPr>
                <w:b/>
                <w:i/>
                <w:szCs w:val="20"/>
                <w:lang w:val="es-ES" w:eastAsia="es-ES"/>
              </w:rPr>
            </w:pPr>
            <w:r w:rsidRPr="00474131">
              <w:rPr>
                <w:b/>
                <w:i/>
                <w:szCs w:val="20"/>
                <w:lang w:val="es-ES" w:eastAsia="es-ES"/>
              </w:rPr>
              <w:t>Ayuntamientos</w:t>
            </w:r>
          </w:p>
        </w:tc>
        <w:tc>
          <w:tcPr>
            <w:tcW w:w="850" w:type="dxa"/>
            <w:tcBorders>
              <w:top w:val="single" w:sz="4" w:space="0" w:color="auto"/>
              <w:bottom w:val="single" w:sz="2" w:space="0" w:color="auto"/>
            </w:tcBorders>
            <w:shd w:val="clear" w:color="auto" w:fill="auto"/>
            <w:noWrap/>
            <w:vAlign w:val="center"/>
            <w:hideMark/>
          </w:tcPr>
          <w:p w14:paraId="3631DBA5"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26</w:t>
            </w:r>
          </w:p>
        </w:tc>
        <w:tc>
          <w:tcPr>
            <w:tcW w:w="709" w:type="dxa"/>
            <w:tcBorders>
              <w:top w:val="single" w:sz="4" w:space="0" w:color="auto"/>
              <w:bottom w:val="single" w:sz="2" w:space="0" w:color="auto"/>
            </w:tcBorders>
            <w:shd w:val="clear" w:color="auto" w:fill="auto"/>
            <w:noWrap/>
            <w:vAlign w:val="center"/>
            <w:hideMark/>
          </w:tcPr>
          <w:p w14:paraId="31C4076F"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25</w:t>
            </w:r>
          </w:p>
        </w:tc>
        <w:tc>
          <w:tcPr>
            <w:tcW w:w="850" w:type="dxa"/>
            <w:tcBorders>
              <w:top w:val="single" w:sz="4" w:space="0" w:color="auto"/>
              <w:bottom w:val="single" w:sz="2" w:space="0" w:color="auto"/>
            </w:tcBorders>
            <w:shd w:val="clear" w:color="auto" w:fill="auto"/>
            <w:noWrap/>
            <w:vAlign w:val="center"/>
            <w:hideMark/>
          </w:tcPr>
          <w:p w14:paraId="485DF388"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165</w:t>
            </w:r>
          </w:p>
        </w:tc>
        <w:tc>
          <w:tcPr>
            <w:tcW w:w="709" w:type="dxa"/>
            <w:tcBorders>
              <w:top w:val="single" w:sz="4" w:space="0" w:color="auto"/>
              <w:bottom w:val="single" w:sz="2" w:space="0" w:color="auto"/>
            </w:tcBorders>
            <w:shd w:val="clear" w:color="auto" w:fill="auto"/>
            <w:noWrap/>
            <w:vAlign w:val="center"/>
            <w:hideMark/>
          </w:tcPr>
          <w:p w14:paraId="575489D0"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184</w:t>
            </w:r>
          </w:p>
        </w:tc>
        <w:tc>
          <w:tcPr>
            <w:tcW w:w="992" w:type="dxa"/>
            <w:tcBorders>
              <w:top w:val="single" w:sz="4" w:space="0" w:color="auto"/>
              <w:bottom w:val="single" w:sz="2" w:space="0" w:color="auto"/>
            </w:tcBorders>
            <w:shd w:val="clear" w:color="auto" w:fill="auto"/>
            <w:noWrap/>
            <w:vAlign w:val="center"/>
            <w:hideMark/>
          </w:tcPr>
          <w:p w14:paraId="6137CF7F"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4.703.403</w:t>
            </w:r>
          </w:p>
        </w:tc>
        <w:tc>
          <w:tcPr>
            <w:tcW w:w="993" w:type="dxa"/>
            <w:tcBorders>
              <w:top w:val="single" w:sz="4" w:space="0" w:color="auto"/>
              <w:bottom w:val="single" w:sz="2" w:space="0" w:color="auto"/>
            </w:tcBorders>
            <w:shd w:val="clear" w:color="auto" w:fill="auto"/>
            <w:noWrap/>
            <w:vAlign w:val="center"/>
            <w:hideMark/>
          </w:tcPr>
          <w:p w14:paraId="35201A4C" w14:textId="574CC4FB" w:rsidR="00FB2CFA" w:rsidRPr="00474131" w:rsidRDefault="001A3BA2" w:rsidP="00983CA6">
            <w:pPr>
              <w:pStyle w:val="cuatexto"/>
              <w:spacing w:line="240" w:lineRule="auto"/>
              <w:jc w:val="right"/>
              <w:rPr>
                <w:b/>
                <w:i/>
                <w:szCs w:val="20"/>
                <w:lang w:val="es-ES" w:eastAsia="es-ES"/>
              </w:rPr>
            </w:pPr>
            <w:r w:rsidRPr="00474131">
              <w:rPr>
                <w:b/>
                <w:i/>
                <w:szCs w:val="20"/>
                <w:lang w:val="es-ES" w:eastAsia="es-ES"/>
              </w:rPr>
              <w:t>4.780.885</w:t>
            </w:r>
          </w:p>
        </w:tc>
        <w:tc>
          <w:tcPr>
            <w:tcW w:w="637" w:type="dxa"/>
            <w:tcBorders>
              <w:top w:val="single" w:sz="4" w:space="0" w:color="auto"/>
              <w:bottom w:val="single" w:sz="2" w:space="0" w:color="auto"/>
            </w:tcBorders>
            <w:shd w:val="clear" w:color="auto" w:fill="auto"/>
            <w:noWrap/>
            <w:vAlign w:val="center"/>
            <w:hideMark/>
          </w:tcPr>
          <w:p w14:paraId="2B9DA350"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6</w:t>
            </w:r>
          </w:p>
        </w:tc>
        <w:tc>
          <w:tcPr>
            <w:tcW w:w="851" w:type="dxa"/>
            <w:tcBorders>
              <w:top w:val="single" w:sz="4" w:space="0" w:color="auto"/>
              <w:bottom w:val="single" w:sz="2" w:space="0" w:color="auto"/>
              <w:right w:val="nil"/>
            </w:tcBorders>
            <w:shd w:val="clear" w:color="auto" w:fill="auto"/>
            <w:noWrap/>
            <w:vAlign w:val="center"/>
            <w:hideMark/>
          </w:tcPr>
          <w:p w14:paraId="598EF566"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14</w:t>
            </w:r>
          </w:p>
        </w:tc>
      </w:tr>
      <w:tr w:rsidR="004C741A" w:rsidRPr="00474131" w14:paraId="412C9ABB" w14:textId="77777777" w:rsidTr="001C793D">
        <w:trPr>
          <w:trHeight w:val="255"/>
        </w:trPr>
        <w:tc>
          <w:tcPr>
            <w:tcW w:w="2198" w:type="dxa"/>
            <w:tcBorders>
              <w:top w:val="single" w:sz="2" w:space="0" w:color="auto"/>
              <w:left w:val="nil"/>
              <w:bottom w:val="single" w:sz="2" w:space="0" w:color="auto"/>
            </w:tcBorders>
            <w:shd w:val="clear" w:color="auto" w:fill="auto"/>
            <w:noWrap/>
            <w:vAlign w:val="center"/>
            <w:hideMark/>
          </w:tcPr>
          <w:p w14:paraId="4AD1BFFF" w14:textId="6E81BD13" w:rsidR="004C741A" w:rsidRPr="00474131" w:rsidRDefault="004C741A" w:rsidP="00983CA6">
            <w:pPr>
              <w:pStyle w:val="cuatexto"/>
              <w:spacing w:line="240" w:lineRule="auto"/>
              <w:rPr>
                <w:szCs w:val="20"/>
                <w:lang w:val="es-ES" w:eastAsia="es-ES"/>
              </w:rPr>
            </w:pPr>
            <w:proofErr w:type="gramStart"/>
            <w:r w:rsidRPr="00474131">
              <w:rPr>
                <w:szCs w:val="20"/>
                <w:lang w:val="es-ES" w:eastAsia="es-ES"/>
              </w:rPr>
              <w:t>&lt;  1.000</w:t>
            </w:r>
            <w:proofErr w:type="gramEnd"/>
            <w:r w:rsidRPr="00474131">
              <w:rPr>
                <w:szCs w:val="20"/>
                <w:lang w:val="es-ES" w:eastAsia="es-ES"/>
              </w:rPr>
              <w:t xml:space="preserve"> habitantes</w:t>
            </w:r>
          </w:p>
        </w:tc>
        <w:tc>
          <w:tcPr>
            <w:tcW w:w="850" w:type="dxa"/>
            <w:tcBorders>
              <w:top w:val="single" w:sz="2" w:space="0" w:color="auto"/>
              <w:bottom w:val="single" w:sz="2" w:space="0" w:color="auto"/>
            </w:tcBorders>
            <w:shd w:val="clear" w:color="auto" w:fill="auto"/>
            <w:noWrap/>
            <w:vAlign w:val="center"/>
            <w:hideMark/>
          </w:tcPr>
          <w:p w14:paraId="6BBF86CE"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6</w:t>
            </w:r>
          </w:p>
        </w:tc>
        <w:tc>
          <w:tcPr>
            <w:tcW w:w="709" w:type="dxa"/>
            <w:tcBorders>
              <w:top w:val="single" w:sz="2" w:space="0" w:color="auto"/>
              <w:bottom w:val="single" w:sz="2" w:space="0" w:color="auto"/>
            </w:tcBorders>
            <w:shd w:val="clear" w:color="auto" w:fill="auto"/>
            <w:noWrap/>
            <w:vAlign w:val="center"/>
            <w:hideMark/>
          </w:tcPr>
          <w:p w14:paraId="2DA37FA1"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7</w:t>
            </w:r>
          </w:p>
        </w:tc>
        <w:tc>
          <w:tcPr>
            <w:tcW w:w="850" w:type="dxa"/>
            <w:tcBorders>
              <w:top w:val="single" w:sz="2" w:space="0" w:color="auto"/>
              <w:bottom w:val="single" w:sz="2" w:space="0" w:color="auto"/>
            </w:tcBorders>
            <w:shd w:val="clear" w:color="auto" w:fill="auto"/>
            <w:noWrap/>
            <w:vAlign w:val="center"/>
            <w:hideMark/>
          </w:tcPr>
          <w:p w14:paraId="74640173"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8</w:t>
            </w:r>
          </w:p>
        </w:tc>
        <w:tc>
          <w:tcPr>
            <w:tcW w:w="709" w:type="dxa"/>
            <w:tcBorders>
              <w:top w:val="single" w:sz="2" w:space="0" w:color="auto"/>
              <w:bottom w:val="single" w:sz="2" w:space="0" w:color="auto"/>
            </w:tcBorders>
            <w:shd w:val="clear" w:color="auto" w:fill="auto"/>
            <w:noWrap/>
            <w:vAlign w:val="center"/>
            <w:hideMark/>
          </w:tcPr>
          <w:p w14:paraId="3B98A14C"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13</w:t>
            </w:r>
          </w:p>
        </w:tc>
        <w:tc>
          <w:tcPr>
            <w:tcW w:w="992" w:type="dxa"/>
            <w:tcBorders>
              <w:top w:val="single" w:sz="2" w:space="0" w:color="auto"/>
              <w:bottom w:val="single" w:sz="2" w:space="0" w:color="auto"/>
            </w:tcBorders>
            <w:shd w:val="clear" w:color="auto" w:fill="auto"/>
            <w:noWrap/>
            <w:vAlign w:val="center"/>
            <w:hideMark/>
          </w:tcPr>
          <w:p w14:paraId="6970B8A6"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30.692</w:t>
            </w:r>
          </w:p>
        </w:tc>
        <w:tc>
          <w:tcPr>
            <w:tcW w:w="993" w:type="dxa"/>
            <w:tcBorders>
              <w:top w:val="single" w:sz="2" w:space="0" w:color="auto"/>
              <w:bottom w:val="single" w:sz="2" w:space="0" w:color="auto"/>
            </w:tcBorders>
            <w:shd w:val="clear" w:color="auto" w:fill="auto"/>
            <w:noWrap/>
            <w:vAlign w:val="center"/>
            <w:hideMark/>
          </w:tcPr>
          <w:p w14:paraId="2468A28E" w14:textId="40E9C1FC" w:rsidR="004C741A" w:rsidRPr="00474131" w:rsidRDefault="001A3BA2" w:rsidP="00983CA6">
            <w:pPr>
              <w:pStyle w:val="cuatexto"/>
              <w:spacing w:line="240" w:lineRule="auto"/>
              <w:jc w:val="right"/>
              <w:rPr>
                <w:szCs w:val="20"/>
                <w:lang w:val="es-ES" w:eastAsia="es-ES"/>
              </w:rPr>
            </w:pPr>
            <w:r w:rsidRPr="00474131">
              <w:rPr>
                <w:szCs w:val="20"/>
                <w:lang w:val="es-ES" w:eastAsia="es-ES"/>
              </w:rPr>
              <w:t>209.611</w:t>
            </w:r>
          </w:p>
        </w:tc>
        <w:tc>
          <w:tcPr>
            <w:tcW w:w="637" w:type="dxa"/>
            <w:tcBorders>
              <w:top w:val="single" w:sz="2" w:space="0" w:color="auto"/>
              <w:bottom w:val="single" w:sz="2" w:space="0" w:color="auto"/>
            </w:tcBorders>
            <w:shd w:val="clear" w:color="auto" w:fill="auto"/>
            <w:noWrap/>
            <w:vAlign w:val="center"/>
            <w:hideMark/>
          </w:tcPr>
          <w:p w14:paraId="5D30EACA"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0</w:t>
            </w:r>
          </w:p>
        </w:tc>
        <w:tc>
          <w:tcPr>
            <w:tcW w:w="851" w:type="dxa"/>
            <w:tcBorders>
              <w:top w:val="single" w:sz="2" w:space="0" w:color="auto"/>
              <w:bottom w:val="single" w:sz="2" w:space="0" w:color="auto"/>
              <w:right w:val="nil"/>
            </w:tcBorders>
            <w:shd w:val="clear" w:color="auto" w:fill="auto"/>
            <w:noWrap/>
            <w:vAlign w:val="center"/>
            <w:hideMark/>
          </w:tcPr>
          <w:p w14:paraId="38AC32FB"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w:t>
            </w:r>
          </w:p>
        </w:tc>
      </w:tr>
      <w:tr w:rsidR="004C741A" w:rsidRPr="00474131" w14:paraId="7D80D3C7" w14:textId="77777777" w:rsidTr="001C793D">
        <w:trPr>
          <w:trHeight w:val="255"/>
        </w:trPr>
        <w:tc>
          <w:tcPr>
            <w:tcW w:w="2198" w:type="dxa"/>
            <w:tcBorders>
              <w:top w:val="single" w:sz="2" w:space="0" w:color="auto"/>
              <w:left w:val="nil"/>
              <w:bottom w:val="single" w:sz="2" w:space="0" w:color="auto"/>
            </w:tcBorders>
            <w:shd w:val="clear" w:color="auto" w:fill="auto"/>
            <w:noWrap/>
            <w:vAlign w:val="center"/>
            <w:hideMark/>
          </w:tcPr>
          <w:p w14:paraId="6738BFB6" w14:textId="558F643F" w:rsidR="004C741A" w:rsidRPr="00474131" w:rsidRDefault="004C741A" w:rsidP="00983CA6">
            <w:pPr>
              <w:pStyle w:val="cuatexto"/>
              <w:spacing w:line="240" w:lineRule="auto"/>
              <w:rPr>
                <w:szCs w:val="20"/>
                <w:lang w:val="es-ES" w:eastAsia="es-ES"/>
              </w:rPr>
            </w:pPr>
            <w:r w:rsidRPr="00474131">
              <w:rPr>
                <w:szCs w:val="20"/>
                <w:lang w:val="es-ES" w:eastAsia="es-ES"/>
              </w:rPr>
              <w:t>1.000&lt; hab. &lt; 5.000</w:t>
            </w:r>
          </w:p>
        </w:tc>
        <w:tc>
          <w:tcPr>
            <w:tcW w:w="850" w:type="dxa"/>
            <w:tcBorders>
              <w:top w:val="single" w:sz="2" w:space="0" w:color="auto"/>
              <w:bottom w:val="single" w:sz="2" w:space="0" w:color="auto"/>
            </w:tcBorders>
            <w:shd w:val="clear" w:color="auto" w:fill="auto"/>
            <w:noWrap/>
            <w:vAlign w:val="center"/>
            <w:hideMark/>
          </w:tcPr>
          <w:p w14:paraId="071FA9C6"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10</w:t>
            </w:r>
          </w:p>
        </w:tc>
        <w:tc>
          <w:tcPr>
            <w:tcW w:w="709" w:type="dxa"/>
            <w:tcBorders>
              <w:top w:val="single" w:sz="2" w:space="0" w:color="auto"/>
              <w:bottom w:val="single" w:sz="2" w:space="0" w:color="auto"/>
            </w:tcBorders>
            <w:shd w:val="clear" w:color="auto" w:fill="auto"/>
            <w:noWrap/>
            <w:vAlign w:val="center"/>
            <w:hideMark/>
          </w:tcPr>
          <w:p w14:paraId="64C0BFAF"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10</w:t>
            </w:r>
          </w:p>
        </w:tc>
        <w:tc>
          <w:tcPr>
            <w:tcW w:w="850" w:type="dxa"/>
            <w:tcBorders>
              <w:top w:val="single" w:sz="2" w:space="0" w:color="auto"/>
              <w:bottom w:val="single" w:sz="2" w:space="0" w:color="auto"/>
            </w:tcBorders>
            <w:shd w:val="clear" w:color="auto" w:fill="auto"/>
            <w:noWrap/>
            <w:vAlign w:val="center"/>
            <w:hideMark/>
          </w:tcPr>
          <w:p w14:paraId="5186839A"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80</w:t>
            </w:r>
          </w:p>
        </w:tc>
        <w:tc>
          <w:tcPr>
            <w:tcW w:w="709" w:type="dxa"/>
            <w:tcBorders>
              <w:top w:val="single" w:sz="2" w:space="0" w:color="auto"/>
              <w:bottom w:val="single" w:sz="2" w:space="0" w:color="auto"/>
            </w:tcBorders>
            <w:shd w:val="clear" w:color="auto" w:fill="auto"/>
            <w:noWrap/>
            <w:vAlign w:val="center"/>
            <w:hideMark/>
          </w:tcPr>
          <w:p w14:paraId="30737B6B"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112</w:t>
            </w:r>
          </w:p>
        </w:tc>
        <w:tc>
          <w:tcPr>
            <w:tcW w:w="992" w:type="dxa"/>
            <w:tcBorders>
              <w:top w:val="single" w:sz="2" w:space="0" w:color="auto"/>
              <w:bottom w:val="single" w:sz="2" w:space="0" w:color="auto"/>
            </w:tcBorders>
            <w:shd w:val="clear" w:color="auto" w:fill="auto"/>
            <w:noWrap/>
            <w:vAlign w:val="center"/>
            <w:hideMark/>
          </w:tcPr>
          <w:p w14:paraId="595294DB"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1.522.637</w:t>
            </w:r>
          </w:p>
        </w:tc>
        <w:tc>
          <w:tcPr>
            <w:tcW w:w="993" w:type="dxa"/>
            <w:tcBorders>
              <w:top w:val="single" w:sz="2" w:space="0" w:color="auto"/>
              <w:bottom w:val="single" w:sz="2" w:space="0" w:color="auto"/>
            </w:tcBorders>
            <w:shd w:val="clear" w:color="auto" w:fill="auto"/>
            <w:noWrap/>
            <w:vAlign w:val="center"/>
            <w:hideMark/>
          </w:tcPr>
          <w:p w14:paraId="50257F5B"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1.956.214</w:t>
            </w:r>
          </w:p>
        </w:tc>
        <w:tc>
          <w:tcPr>
            <w:tcW w:w="637" w:type="dxa"/>
            <w:tcBorders>
              <w:top w:val="single" w:sz="2" w:space="0" w:color="auto"/>
              <w:bottom w:val="single" w:sz="2" w:space="0" w:color="auto"/>
            </w:tcBorders>
            <w:shd w:val="clear" w:color="auto" w:fill="auto"/>
            <w:noWrap/>
            <w:vAlign w:val="center"/>
            <w:hideMark/>
          </w:tcPr>
          <w:p w14:paraId="4993B22E"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w:t>
            </w:r>
          </w:p>
        </w:tc>
        <w:tc>
          <w:tcPr>
            <w:tcW w:w="851" w:type="dxa"/>
            <w:tcBorders>
              <w:top w:val="single" w:sz="2" w:space="0" w:color="auto"/>
              <w:bottom w:val="single" w:sz="2" w:space="0" w:color="auto"/>
              <w:right w:val="nil"/>
            </w:tcBorders>
            <w:shd w:val="clear" w:color="auto" w:fill="auto"/>
            <w:noWrap/>
            <w:vAlign w:val="center"/>
            <w:hideMark/>
          </w:tcPr>
          <w:p w14:paraId="42276CAC"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5</w:t>
            </w:r>
          </w:p>
        </w:tc>
      </w:tr>
      <w:tr w:rsidR="004C741A" w:rsidRPr="00474131" w14:paraId="2811E975" w14:textId="77777777" w:rsidTr="001C793D">
        <w:trPr>
          <w:trHeight w:val="255"/>
        </w:trPr>
        <w:tc>
          <w:tcPr>
            <w:tcW w:w="2198" w:type="dxa"/>
            <w:tcBorders>
              <w:top w:val="single" w:sz="2" w:space="0" w:color="auto"/>
              <w:left w:val="nil"/>
              <w:bottom w:val="single" w:sz="2" w:space="0" w:color="auto"/>
            </w:tcBorders>
            <w:shd w:val="clear" w:color="auto" w:fill="auto"/>
            <w:noWrap/>
            <w:vAlign w:val="center"/>
            <w:hideMark/>
          </w:tcPr>
          <w:p w14:paraId="52497C91" w14:textId="6A05B2F5" w:rsidR="004C741A" w:rsidRPr="00474131" w:rsidRDefault="004C741A" w:rsidP="00983CA6">
            <w:pPr>
              <w:pStyle w:val="cuatexto"/>
              <w:spacing w:line="240" w:lineRule="auto"/>
              <w:rPr>
                <w:szCs w:val="20"/>
                <w:lang w:val="es-ES" w:eastAsia="es-ES"/>
              </w:rPr>
            </w:pPr>
            <w:r w:rsidRPr="00474131">
              <w:rPr>
                <w:szCs w:val="20"/>
                <w:lang w:val="es-ES" w:eastAsia="es-ES"/>
              </w:rPr>
              <w:t>5.000 &lt; hab. &lt; 10.000</w:t>
            </w:r>
          </w:p>
        </w:tc>
        <w:tc>
          <w:tcPr>
            <w:tcW w:w="850" w:type="dxa"/>
            <w:tcBorders>
              <w:top w:val="single" w:sz="2" w:space="0" w:color="auto"/>
              <w:bottom w:val="single" w:sz="2" w:space="0" w:color="auto"/>
            </w:tcBorders>
            <w:shd w:val="clear" w:color="auto" w:fill="auto"/>
            <w:noWrap/>
            <w:vAlign w:val="center"/>
            <w:hideMark/>
          </w:tcPr>
          <w:p w14:paraId="683CA981"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5</w:t>
            </w:r>
          </w:p>
        </w:tc>
        <w:tc>
          <w:tcPr>
            <w:tcW w:w="709" w:type="dxa"/>
            <w:tcBorders>
              <w:top w:val="single" w:sz="2" w:space="0" w:color="auto"/>
              <w:bottom w:val="single" w:sz="2" w:space="0" w:color="auto"/>
            </w:tcBorders>
            <w:shd w:val="clear" w:color="auto" w:fill="auto"/>
            <w:noWrap/>
            <w:vAlign w:val="center"/>
            <w:hideMark/>
          </w:tcPr>
          <w:p w14:paraId="7A3FAA1A"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3</w:t>
            </w:r>
          </w:p>
        </w:tc>
        <w:tc>
          <w:tcPr>
            <w:tcW w:w="850" w:type="dxa"/>
            <w:tcBorders>
              <w:top w:val="single" w:sz="2" w:space="0" w:color="auto"/>
              <w:bottom w:val="single" w:sz="2" w:space="0" w:color="auto"/>
            </w:tcBorders>
            <w:shd w:val="clear" w:color="auto" w:fill="auto"/>
            <w:noWrap/>
            <w:vAlign w:val="center"/>
            <w:hideMark/>
          </w:tcPr>
          <w:p w14:paraId="776DAB64"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36</w:t>
            </w:r>
          </w:p>
        </w:tc>
        <w:tc>
          <w:tcPr>
            <w:tcW w:w="709" w:type="dxa"/>
            <w:tcBorders>
              <w:top w:val="single" w:sz="2" w:space="0" w:color="auto"/>
              <w:bottom w:val="single" w:sz="2" w:space="0" w:color="auto"/>
            </w:tcBorders>
            <w:shd w:val="clear" w:color="auto" w:fill="auto"/>
            <w:noWrap/>
            <w:vAlign w:val="center"/>
            <w:hideMark/>
          </w:tcPr>
          <w:p w14:paraId="45551696"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32</w:t>
            </w:r>
          </w:p>
        </w:tc>
        <w:tc>
          <w:tcPr>
            <w:tcW w:w="992" w:type="dxa"/>
            <w:tcBorders>
              <w:top w:val="single" w:sz="2" w:space="0" w:color="auto"/>
              <w:bottom w:val="single" w:sz="2" w:space="0" w:color="auto"/>
            </w:tcBorders>
            <w:shd w:val="clear" w:color="auto" w:fill="auto"/>
            <w:noWrap/>
            <w:vAlign w:val="center"/>
            <w:hideMark/>
          </w:tcPr>
          <w:p w14:paraId="6C504AB0"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1.724.769</w:t>
            </w:r>
          </w:p>
        </w:tc>
        <w:tc>
          <w:tcPr>
            <w:tcW w:w="993" w:type="dxa"/>
            <w:tcBorders>
              <w:top w:val="single" w:sz="2" w:space="0" w:color="auto"/>
              <w:bottom w:val="single" w:sz="2" w:space="0" w:color="auto"/>
            </w:tcBorders>
            <w:shd w:val="clear" w:color="auto" w:fill="auto"/>
            <w:noWrap/>
            <w:vAlign w:val="center"/>
            <w:hideMark/>
          </w:tcPr>
          <w:p w14:paraId="5F4E25BE"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463.413</w:t>
            </w:r>
          </w:p>
        </w:tc>
        <w:tc>
          <w:tcPr>
            <w:tcW w:w="637" w:type="dxa"/>
            <w:tcBorders>
              <w:top w:val="single" w:sz="2" w:space="0" w:color="auto"/>
              <w:bottom w:val="single" w:sz="2" w:space="0" w:color="auto"/>
            </w:tcBorders>
            <w:shd w:val="clear" w:color="auto" w:fill="auto"/>
            <w:noWrap/>
            <w:vAlign w:val="center"/>
            <w:hideMark/>
          </w:tcPr>
          <w:p w14:paraId="540AC1C3"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3</w:t>
            </w:r>
          </w:p>
        </w:tc>
        <w:tc>
          <w:tcPr>
            <w:tcW w:w="851" w:type="dxa"/>
            <w:tcBorders>
              <w:top w:val="single" w:sz="2" w:space="0" w:color="auto"/>
              <w:bottom w:val="single" w:sz="2" w:space="0" w:color="auto"/>
              <w:right w:val="nil"/>
            </w:tcBorders>
            <w:shd w:val="clear" w:color="auto" w:fill="auto"/>
            <w:noWrap/>
            <w:vAlign w:val="center"/>
            <w:hideMark/>
          </w:tcPr>
          <w:p w14:paraId="3BB84A94"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6</w:t>
            </w:r>
          </w:p>
        </w:tc>
      </w:tr>
      <w:tr w:rsidR="004C741A" w:rsidRPr="00474131" w14:paraId="75850AB4" w14:textId="77777777" w:rsidTr="001C793D">
        <w:trPr>
          <w:trHeight w:val="255"/>
        </w:trPr>
        <w:tc>
          <w:tcPr>
            <w:tcW w:w="2198" w:type="dxa"/>
            <w:tcBorders>
              <w:top w:val="single" w:sz="2" w:space="0" w:color="auto"/>
              <w:left w:val="nil"/>
              <w:bottom w:val="single" w:sz="2" w:space="0" w:color="auto"/>
            </w:tcBorders>
            <w:shd w:val="clear" w:color="auto" w:fill="auto"/>
            <w:noWrap/>
            <w:vAlign w:val="center"/>
            <w:hideMark/>
          </w:tcPr>
          <w:p w14:paraId="5235F13D" w14:textId="18EFBC74" w:rsidR="004C741A" w:rsidRPr="00474131" w:rsidRDefault="004C741A" w:rsidP="00983CA6">
            <w:pPr>
              <w:pStyle w:val="cuatexto"/>
              <w:spacing w:line="240" w:lineRule="auto"/>
              <w:rPr>
                <w:szCs w:val="20"/>
                <w:lang w:val="es-ES" w:eastAsia="es-ES"/>
              </w:rPr>
            </w:pPr>
            <w:r w:rsidRPr="00474131">
              <w:rPr>
                <w:szCs w:val="20"/>
                <w:lang w:val="es-ES" w:eastAsia="es-ES"/>
              </w:rPr>
              <w:t>10.000 &lt; hab. &lt; 20.000</w:t>
            </w:r>
          </w:p>
        </w:tc>
        <w:tc>
          <w:tcPr>
            <w:tcW w:w="850" w:type="dxa"/>
            <w:tcBorders>
              <w:top w:val="single" w:sz="2" w:space="0" w:color="auto"/>
              <w:bottom w:val="single" w:sz="2" w:space="0" w:color="auto"/>
            </w:tcBorders>
            <w:shd w:val="clear" w:color="auto" w:fill="auto"/>
            <w:noWrap/>
            <w:vAlign w:val="center"/>
            <w:hideMark/>
          </w:tcPr>
          <w:p w14:paraId="7A7492CA"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2</w:t>
            </w:r>
          </w:p>
        </w:tc>
        <w:tc>
          <w:tcPr>
            <w:tcW w:w="709" w:type="dxa"/>
            <w:tcBorders>
              <w:top w:val="single" w:sz="2" w:space="0" w:color="auto"/>
              <w:bottom w:val="single" w:sz="2" w:space="0" w:color="auto"/>
            </w:tcBorders>
            <w:shd w:val="clear" w:color="auto" w:fill="auto"/>
            <w:noWrap/>
            <w:vAlign w:val="center"/>
            <w:hideMark/>
          </w:tcPr>
          <w:p w14:paraId="65304338"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2</w:t>
            </w:r>
          </w:p>
        </w:tc>
        <w:tc>
          <w:tcPr>
            <w:tcW w:w="850" w:type="dxa"/>
            <w:tcBorders>
              <w:top w:val="single" w:sz="2" w:space="0" w:color="auto"/>
              <w:bottom w:val="single" w:sz="2" w:space="0" w:color="auto"/>
            </w:tcBorders>
            <w:shd w:val="clear" w:color="auto" w:fill="auto"/>
            <w:noWrap/>
            <w:vAlign w:val="center"/>
            <w:hideMark/>
          </w:tcPr>
          <w:p w14:paraId="078FB4A8"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14</w:t>
            </w:r>
          </w:p>
        </w:tc>
        <w:tc>
          <w:tcPr>
            <w:tcW w:w="709" w:type="dxa"/>
            <w:tcBorders>
              <w:top w:val="single" w:sz="2" w:space="0" w:color="auto"/>
              <w:bottom w:val="single" w:sz="2" w:space="0" w:color="auto"/>
            </w:tcBorders>
            <w:shd w:val="clear" w:color="auto" w:fill="auto"/>
            <w:noWrap/>
            <w:vAlign w:val="center"/>
            <w:hideMark/>
          </w:tcPr>
          <w:p w14:paraId="2F12476E"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6</w:t>
            </w:r>
          </w:p>
        </w:tc>
        <w:tc>
          <w:tcPr>
            <w:tcW w:w="992" w:type="dxa"/>
            <w:tcBorders>
              <w:top w:val="single" w:sz="2" w:space="0" w:color="auto"/>
              <w:bottom w:val="single" w:sz="2" w:space="0" w:color="auto"/>
            </w:tcBorders>
            <w:shd w:val="clear" w:color="auto" w:fill="auto"/>
            <w:noWrap/>
            <w:vAlign w:val="center"/>
            <w:hideMark/>
          </w:tcPr>
          <w:p w14:paraId="6B4B1BDA"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901.423</w:t>
            </w:r>
          </w:p>
        </w:tc>
        <w:tc>
          <w:tcPr>
            <w:tcW w:w="993" w:type="dxa"/>
            <w:tcBorders>
              <w:top w:val="single" w:sz="2" w:space="0" w:color="auto"/>
              <w:bottom w:val="single" w:sz="2" w:space="0" w:color="auto"/>
            </w:tcBorders>
            <w:shd w:val="clear" w:color="auto" w:fill="auto"/>
            <w:noWrap/>
            <w:vAlign w:val="center"/>
            <w:hideMark/>
          </w:tcPr>
          <w:p w14:paraId="3B7872AE"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1.455.652</w:t>
            </w:r>
          </w:p>
        </w:tc>
        <w:tc>
          <w:tcPr>
            <w:tcW w:w="637" w:type="dxa"/>
            <w:tcBorders>
              <w:top w:val="single" w:sz="2" w:space="0" w:color="auto"/>
              <w:bottom w:val="single" w:sz="2" w:space="0" w:color="auto"/>
            </w:tcBorders>
            <w:shd w:val="clear" w:color="auto" w:fill="auto"/>
            <w:noWrap/>
            <w:vAlign w:val="center"/>
            <w:hideMark/>
          </w:tcPr>
          <w:p w14:paraId="16D45A0D"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0</w:t>
            </w:r>
          </w:p>
        </w:tc>
        <w:tc>
          <w:tcPr>
            <w:tcW w:w="851" w:type="dxa"/>
            <w:tcBorders>
              <w:top w:val="single" w:sz="2" w:space="0" w:color="auto"/>
              <w:bottom w:val="single" w:sz="2" w:space="0" w:color="auto"/>
              <w:right w:val="nil"/>
            </w:tcBorders>
            <w:shd w:val="clear" w:color="auto" w:fill="auto"/>
            <w:noWrap/>
            <w:vAlign w:val="center"/>
            <w:hideMark/>
          </w:tcPr>
          <w:p w14:paraId="6B8F5A38"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0</w:t>
            </w:r>
          </w:p>
        </w:tc>
      </w:tr>
      <w:tr w:rsidR="004C741A" w:rsidRPr="00474131" w14:paraId="6648318F" w14:textId="77777777" w:rsidTr="001C793D">
        <w:trPr>
          <w:trHeight w:val="255"/>
        </w:trPr>
        <w:tc>
          <w:tcPr>
            <w:tcW w:w="2198" w:type="dxa"/>
            <w:tcBorders>
              <w:top w:val="single" w:sz="2" w:space="0" w:color="auto"/>
              <w:left w:val="nil"/>
              <w:bottom w:val="single" w:sz="2" w:space="0" w:color="auto"/>
            </w:tcBorders>
            <w:shd w:val="clear" w:color="auto" w:fill="auto"/>
            <w:noWrap/>
            <w:vAlign w:val="center"/>
            <w:hideMark/>
          </w:tcPr>
          <w:p w14:paraId="0BF89F0B" w14:textId="43BDAA7B" w:rsidR="004C741A" w:rsidRPr="00474131" w:rsidRDefault="004C741A" w:rsidP="00983CA6">
            <w:pPr>
              <w:pStyle w:val="cuatexto"/>
              <w:spacing w:line="240" w:lineRule="auto"/>
              <w:rPr>
                <w:szCs w:val="20"/>
                <w:lang w:val="es-ES" w:eastAsia="es-ES"/>
              </w:rPr>
            </w:pPr>
            <w:r w:rsidRPr="00474131">
              <w:rPr>
                <w:szCs w:val="20"/>
                <w:lang w:val="es-ES" w:eastAsia="es-ES"/>
              </w:rPr>
              <w:t>Hab. &gt; 20.000</w:t>
            </w:r>
          </w:p>
        </w:tc>
        <w:tc>
          <w:tcPr>
            <w:tcW w:w="850" w:type="dxa"/>
            <w:tcBorders>
              <w:top w:val="single" w:sz="2" w:space="0" w:color="auto"/>
              <w:bottom w:val="single" w:sz="2" w:space="0" w:color="auto"/>
            </w:tcBorders>
            <w:shd w:val="clear" w:color="auto" w:fill="auto"/>
            <w:noWrap/>
            <w:vAlign w:val="center"/>
            <w:hideMark/>
          </w:tcPr>
          <w:p w14:paraId="5BFA2204"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3</w:t>
            </w:r>
          </w:p>
        </w:tc>
        <w:tc>
          <w:tcPr>
            <w:tcW w:w="709" w:type="dxa"/>
            <w:tcBorders>
              <w:top w:val="single" w:sz="2" w:space="0" w:color="auto"/>
              <w:bottom w:val="single" w:sz="2" w:space="0" w:color="auto"/>
            </w:tcBorders>
            <w:shd w:val="clear" w:color="auto" w:fill="auto"/>
            <w:noWrap/>
            <w:vAlign w:val="center"/>
            <w:hideMark/>
          </w:tcPr>
          <w:p w14:paraId="25F7D610"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3</w:t>
            </w:r>
          </w:p>
        </w:tc>
        <w:tc>
          <w:tcPr>
            <w:tcW w:w="850" w:type="dxa"/>
            <w:tcBorders>
              <w:top w:val="single" w:sz="2" w:space="0" w:color="auto"/>
              <w:bottom w:val="single" w:sz="2" w:space="0" w:color="auto"/>
            </w:tcBorders>
            <w:shd w:val="clear" w:color="auto" w:fill="auto"/>
            <w:noWrap/>
            <w:vAlign w:val="center"/>
            <w:hideMark/>
          </w:tcPr>
          <w:p w14:paraId="2FDBD8CA"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27</w:t>
            </w:r>
          </w:p>
        </w:tc>
        <w:tc>
          <w:tcPr>
            <w:tcW w:w="709" w:type="dxa"/>
            <w:tcBorders>
              <w:top w:val="single" w:sz="2" w:space="0" w:color="auto"/>
              <w:bottom w:val="single" w:sz="2" w:space="0" w:color="auto"/>
            </w:tcBorders>
            <w:shd w:val="clear" w:color="auto" w:fill="auto"/>
            <w:noWrap/>
            <w:vAlign w:val="center"/>
            <w:hideMark/>
          </w:tcPr>
          <w:p w14:paraId="201880F8"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21</w:t>
            </w:r>
          </w:p>
        </w:tc>
        <w:tc>
          <w:tcPr>
            <w:tcW w:w="992" w:type="dxa"/>
            <w:tcBorders>
              <w:top w:val="single" w:sz="2" w:space="0" w:color="auto"/>
              <w:bottom w:val="single" w:sz="2" w:space="0" w:color="auto"/>
            </w:tcBorders>
            <w:shd w:val="clear" w:color="auto" w:fill="auto"/>
            <w:noWrap/>
            <w:vAlign w:val="center"/>
            <w:hideMark/>
          </w:tcPr>
          <w:p w14:paraId="67187DC9"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523.881</w:t>
            </w:r>
          </w:p>
        </w:tc>
        <w:tc>
          <w:tcPr>
            <w:tcW w:w="993" w:type="dxa"/>
            <w:tcBorders>
              <w:top w:val="single" w:sz="2" w:space="0" w:color="auto"/>
              <w:bottom w:val="single" w:sz="2" w:space="0" w:color="auto"/>
            </w:tcBorders>
            <w:shd w:val="clear" w:color="auto" w:fill="auto"/>
            <w:noWrap/>
            <w:vAlign w:val="center"/>
            <w:hideMark/>
          </w:tcPr>
          <w:p w14:paraId="319E841A" w14:textId="64995ECC" w:rsidR="004C741A" w:rsidRPr="00474131" w:rsidRDefault="001A3BA2" w:rsidP="00983CA6">
            <w:pPr>
              <w:pStyle w:val="cuatexto"/>
              <w:spacing w:line="240" w:lineRule="auto"/>
              <w:jc w:val="right"/>
              <w:rPr>
                <w:szCs w:val="20"/>
                <w:lang w:val="es-ES" w:eastAsia="es-ES"/>
              </w:rPr>
            </w:pPr>
            <w:r w:rsidRPr="00474131">
              <w:rPr>
                <w:szCs w:val="20"/>
                <w:lang w:val="es-ES" w:eastAsia="es-ES"/>
              </w:rPr>
              <w:t>695.994</w:t>
            </w:r>
          </w:p>
        </w:tc>
        <w:tc>
          <w:tcPr>
            <w:tcW w:w="637" w:type="dxa"/>
            <w:tcBorders>
              <w:top w:val="single" w:sz="2" w:space="0" w:color="auto"/>
              <w:bottom w:val="single" w:sz="2" w:space="0" w:color="auto"/>
            </w:tcBorders>
            <w:shd w:val="clear" w:color="auto" w:fill="auto"/>
            <w:noWrap/>
            <w:vAlign w:val="center"/>
            <w:hideMark/>
          </w:tcPr>
          <w:p w14:paraId="293EAB7E"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2</w:t>
            </w:r>
          </w:p>
        </w:tc>
        <w:tc>
          <w:tcPr>
            <w:tcW w:w="851" w:type="dxa"/>
            <w:tcBorders>
              <w:top w:val="single" w:sz="2" w:space="0" w:color="auto"/>
              <w:bottom w:val="single" w:sz="2" w:space="0" w:color="auto"/>
              <w:right w:val="nil"/>
            </w:tcBorders>
            <w:shd w:val="clear" w:color="auto" w:fill="auto"/>
            <w:noWrap/>
            <w:vAlign w:val="center"/>
            <w:hideMark/>
          </w:tcPr>
          <w:p w14:paraId="6445D6A4" w14:textId="77777777" w:rsidR="004C741A" w:rsidRPr="00474131" w:rsidRDefault="004C741A" w:rsidP="00983CA6">
            <w:pPr>
              <w:pStyle w:val="cuatexto"/>
              <w:spacing w:line="240" w:lineRule="auto"/>
              <w:jc w:val="right"/>
              <w:rPr>
                <w:szCs w:val="20"/>
                <w:lang w:val="es-ES" w:eastAsia="es-ES"/>
              </w:rPr>
            </w:pPr>
            <w:r w:rsidRPr="00474131">
              <w:rPr>
                <w:szCs w:val="20"/>
                <w:lang w:val="es-ES" w:eastAsia="es-ES"/>
              </w:rPr>
              <w:t>2</w:t>
            </w:r>
          </w:p>
        </w:tc>
      </w:tr>
      <w:tr w:rsidR="00FB2CFA" w:rsidRPr="00474131" w14:paraId="76219163" w14:textId="77777777" w:rsidTr="001C793D">
        <w:trPr>
          <w:trHeight w:val="255"/>
        </w:trPr>
        <w:tc>
          <w:tcPr>
            <w:tcW w:w="2198" w:type="dxa"/>
            <w:tcBorders>
              <w:top w:val="single" w:sz="2" w:space="0" w:color="auto"/>
              <w:left w:val="nil"/>
              <w:bottom w:val="single" w:sz="4" w:space="0" w:color="auto"/>
            </w:tcBorders>
            <w:shd w:val="clear" w:color="auto" w:fill="auto"/>
            <w:noWrap/>
            <w:vAlign w:val="center"/>
            <w:hideMark/>
          </w:tcPr>
          <w:p w14:paraId="7AA22EEF" w14:textId="77777777" w:rsidR="00FB2CFA" w:rsidRPr="00474131" w:rsidRDefault="00FB2CFA" w:rsidP="00983CA6">
            <w:pPr>
              <w:pStyle w:val="cuatexto"/>
              <w:spacing w:line="240" w:lineRule="auto"/>
              <w:jc w:val="left"/>
              <w:rPr>
                <w:b/>
                <w:i/>
                <w:szCs w:val="20"/>
                <w:lang w:val="es-ES" w:eastAsia="es-ES"/>
              </w:rPr>
            </w:pPr>
            <w:r w:rsidRPr="00474131">
              <w:rPr>
                <w:b/>
                <w:i/>
                <w:szCs w:val="20"/>
                <w:lang w:val="es-ES" w:eastAsia="es-ES"/>
              </w:rPr>
              <w:t>Mancomunidades y Agrupaciones</w:t>
            </w:r>
          </w:p>
        </w:tc>
        <w:tc>
          <w:tcPr>
            <w:tcW w:w="850" w:type="dxa"/>
            <w:tcBorders>
              <w:top w:val="single" w:sz="2" w:space="0" w:color="auto"/>
              <w:bottom w:val="single" w:sz="4" w:space="0" w:color="auto"/>
            </w:tcBorders>
            <w:shd w:val="clear" w:color="auto" w:fill="auto"/>
            <w:noWrap/>
            <w:vAlign w:val="center"/>
            <w:hideMark/>
          </w:tcPr>
          <w:p w14:paraId="3AEF8DEC"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1</w:t>
            </w:r>
          </w:p>
        </w:tc>
        <w:tc>
          <w:tcPr>
            <w:tcW w:w="709" w:type="dxa"/>
            <w:tcBorders>
              <w:top w:val="single" w:sz="2" w:space="0" w:color="auto"/>
              <w:bottom w:val="single" w:sz="4" w:space="0" w:color="auto"/>
            </w:tcBorders>
            <w:shd w:val="clear" w:color="auto" w:fill="auto"/>
            <w:noWrap/>
            <w:vAlign w:val="center"/>
            <w:hideMark/>
          </w:tcPr>
          <w:p w14:paraId="13245D65"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3</w:t>
            </w:r>
          </w:p>
        </w:tc>
        <w:tc>
          <w:tcPr>
            <w:tcW w:w="850" w:type="dxa"/>
            <w:tcBorders>
              <w:top w:val="single" w:sz="2" w:space="0" w:color="auto"/>
              <w:bottom w:val="single" w:sz="4" w:space="0" w:color="auto"/>
            </w:tcBorders>
            <w:shd w:val="clear" w:color="auto" w:fill="auto"/>
            <w:noWrap/>
            <w:vAlign w:val="center"/>
            <w:hideMark/>
          </w:tcPr>
          <w:p w14:paraId="751FAA2E"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3</w:t>
            </w:r>
          </w:p>
        </w:tc>
        <w:tc>
          <w:tcPr>
            <w:tcW w:w="709" w:type="dxa"/>
            <w:tcBorders>
              <w:top w:val="single" w:sz="2" w:space="0" w:color="auto"/>
              <w:bottom w:val="single" w:sz="4" w:space="0" w:color="auto"/>
            </w:tcBorders>
            <w:shd w:val="clear" w:color="auto" w:fill="auto"/>
            <w:noWrap/>
            <w:vAlign w:val="center"/>
            <w:hideMark/>
          </w:tcPr>
          <w:p w14:paraId="5AD09348"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4</w:t>
            </w:r>
          </w:p>
        </w:tc>
        <w:tc>
          <w:tcPr>
            <w:tcW w:w="992" w:type="dxa"/>
            <w:tcBorders>
              <w:top w:val="single" w:sz="2" w:space="0" w:color="auto"/>
              <w:bottom w:val="single" w:sz="4" w:space="0" w:color="auto"/>
            </w:tcBorders>
            <w:shd w:val="clear" w:color="auto" w:fill="auto"/>
            <w:noWrap/>
            <w:vAlign w:val="center"/>
            <w:hideMark/>
          </w:tcPr>
          <w:p w14:paraId="0EAF12A4"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64.827</w:t>
            </w:r>
          </w:p>
        </w:tc>
        <w:tc>
          <w:tcPr>
            <w:tcW w:w="993" w:type="dxa"/>
            <w:tcBorders>
              <w:top w:val="single" w:sz="2" w:space="0" w:color="auto"/>
              <w:bottom w:val="single" w:sz="4" w:space="0" w:color="auto"/>
            </w:tcBorders>
            <w:shd w:val="clear" w:color="auto" w:fill="auto"/>
            <w:noWrap/>
            <w:vAlign w:val="center"/>
            <w:hideMark/>
          </w:tcPr>
          <w:p w14:paraId="6D6ADD1D"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278.580</w:t>
            </w:r>
          </w:p>
        </w:tc>
        <w:tc>
          <w:tcPr>
            <w:tcW w:w="637" w:type="dxa"/>
            <w:tcBorders>
              <w:top w:val="single" w:sz="2" w:space="0" w:color="auto"/>
              <w:bottom w:val="single" w:sz="4" w:space="0" w:color="auto"/>
            </w:tcBorders>
            <w:shd w:val="clear" w:color="auto" w:fill="auto"/>
            <w:noWrap/>
            <w:vAlign w:val="center"/>
            <w:hideMark/>
          </w:tcPr>
          <w:p w14:paraId="37B1A2F0"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0</w:t>
            </w:r>
          </w:p>
        </w:tc>
        <w:tc>
          <w:tcPr>
            <w:tcW w:w="851" w:type="dxa"/>
            <w:tcBorders>
              <w:top w:val="single" w:sz="2" w:space="0" w:color="auto"/>
              <w:bottom w:val="single" w:sz="4" w:space="0" w:color="auto"/>
              <w:right w:val="nil"/>
            </w:tcBorders>
            <w:shd w:val="clear" w:color="auto" w:fill="auto"/>
            <w:noWrap/>
            <w:vAlign w:val="center"/>
            <w:hideMark/>
          </w:tcPr>
          <w:p w14:paraId="34C49F57" w14:textId="77777777" w:rsidR="00FB2CFA" w:rsidRPr="00474131" w:rsidRDefault="00FB2CFA" w:rsidP="00983CA6">
            <w:pPr>
              <w:pStyle w:val="cuatexto"/>
              <w:spacing w:line="240" w:lineRule="auto"/>
              <w:jc w:val="right"/>
              <w:rPr>
                <w:b/>
                <w:i/>
                <w:szCs w:val="20"/>
                <w:lang w:val="es-ES" w:eastAsia="es-ES"/>
              </w:rPr>
            </w:pPr>
            <w:r w:rsidRPr="00474131">
              <w:rPr>
                <w:b/>
                <w:i/>
                <w:szCs w:val="20"/>
                <w:lang w:val="es-ES" w:eastAsia="es-ES"/>
              </w:rPr>
              <w:t>2</w:t>
            </w:r>
          </w:p>
        </w:tc>
      </w:tr>
      <w:tr w:rsidR="00FB2CFA" w:rsidRPr="00983CA6" w14:paraId="3A26A7AB" w14:textId="77777777" w:rsidTr="001C793D">
        <w:trPr>
          <w:trHeight w:val="255"/>
        </w:trPr>
        <w:tc>
          <w:tcPr>
            <w:tcW w:w="2198" w:type="dxa"/>
            <w:tcBorders>
              <w:top w:val="single" w:sz="4" w:space="0" w:color="auto"/>
              <w:left w:val="nil"/>
              <w:bottom w:val="single" w:sz="4" w:space="0" w:color="auto"/>
            </w:tcBorders>
            <w:shd w:val="clear" w:color="auto" w:fill="FABF8F" w:themeFill="accent6" w:themeFillTint="99"/>
            <w:noWrap/>
            <w:vAlign w:val="center"/>
            <w:hideMark/>
          </w:tcPr>
          <w:p w14:paraId="00D3796E" w14:textId="77777777" w:rsidR="00FB2CFA" w:rsidRPr="00983CA6" w:rsidRDefault="00FB2CFA" w:rsidP="00983CA6">
            <w:pPr>
              <w:pStyle w:val="cuadroCabe"/>
              <w:spacing w:line="240" w:lineRule="auto"/>
              <w:rPr>
                <w:sz w:val="16"/>
                <w:szCs w:val="16"/>
              </w:rPr>
            </w:pPr>
            <w:r w:rsidRPr="00983CA6">
              <w:rPr>
                <w:sz w:val="16"/>
                <w:szCs w:val="16"/>
              </w:rPr>
              <w:t>Total</w:t>
            </w:r>
          </w:p>
        </w:tc>
        <w:tc>
          <w:tcPr>
            <w:tcW w:w="850" w:type="dxa"/>
            <w:tcBorders>
              <w:top w:val="single" w:sz="4" w:space="0" w:color="auto"/>
              <w:bottom w:val="single" w:sz="4" w:space="0" w:color="auto"/>
            </w:tcBorders>
            <w:shd w:val="clear" w:color="auto" w:fill="FABF8F" w:themeFill="accent6" w:themeFillTint="99"/>
            <w:noWrap/>
            <w:vAlign w:val="center"/>
            <w:hideMark/>
          </w:tcPr>
          <w:p w14:paraId="4BE62B2E" w14:textId="77777777" w:rsidR="00FB2CFA" w:rsidRPr="00983CA6" w:rsidRDefault="00FB2CFA" w:rsidP="00983CA6">
            <w:pPr>
              <w:pStyle w:val="cuadroCabe"/>
              <w:spacing w:line="240" w:lineRule="auto"/>
              <w:jc w:val="right"/>
              <w:rPr>
                <w:sz w:val="16"/>
                <w:szCs w:val="16"/>
              </w:rPr>
            </w:pPr>
            <w:r w:rsidRPr="00983CA6">
              <w:rPr>
                <w:sz w:val="16"/>
                <w:szCs w:val="16"/>
              </w:rPr>
              <w:t>27</w:t>
            </w:r>
          </w:p>
        </w:tc>
        <w:tc>
          <w:tcPr>
            <w:tcW w:w="709" w:type="dxa"/>
            <w:tcBorders>
              <w:top w:val="single" w:sz="4" w:space="0" w:color="auto"/>
              <w:bottom w:val="single" w:sz="4" w:space="0" w:color="auto"/>
            </w:tcBorders>
            <w:shd w:val="clear" w:color="auto" w:fill="FABF8F" w:themeFill="accent6" w:themeFillTint="99"/>
            <w:noWrap/>
            <w:vAlign w:val="center"/>
            <w:hideMark/>
          </w:tcPr>
          <w:p w14:paraId="581362B8" w14:textId="77777777" w:rsidR="00FB2CFA" w:rsidRPr="00983CA6" w:rsidRDefault="00FB2CFA" w:rsidP="00983CA6">
            <w:pPr>
              <w:pStyle w:val="cuadroCabe"/>
              <w:spacing w:line="240" w:lineRule="auto"/>
              <w:jc w:val="right"/>
              <w:rPr>
                <w:sz w:val="16"/>
                <w:szCs w:val="16"/>
              </w:rPr>
            </w:pPr>
            <w:r w:rsidRPr="00983CA6">
              <w:rPr>
                <w:sz w:val="16"/>
                <w:szCs w:val="16"/>
              </w:rPr>
              <w:t>28</w:t>
            </w:r>
          </w:p>
        </w:tc>
        <w:tc>
          <w:tcPr>
            <w:tcW w:w="850" w:type="dxa"/>
            <w:tcBorders>
              <w:top w:val="single" w:sz="4" w:space="0" w:color="auto"/>
              <w:bottom w:val="single" w:sz="4" w:space="0" w:color="auto"/>
            </w:tcBorders>
            <w:shd w:val="clear" w:color="auto" w:fill="FABF8F" w:themeFill="accent6" w:themeFillTint="99"/>
            <w:noWrap/>
            <w:vAlign w:val="center"/>
            <w:hideMark/>
          </w:tcPr>
          <w:p w14:paraId="7ABF1E6F" w14:textId="77777777" w:rsidR="00FB2CFA" w:rsidRPr="00983CA6" w:rsidRDefault="00FB2CFA" w:rsidP="00983CA6">
            <w:pPr>
              <w:pStyle w:val="cuadroCabe"/>
              <w:spacing w:line="240" w:lineRule="auto"/>
              <w:jc w:val="right"/>
              <w:rPr>
                <w:sz w:val="16"/>
                <w:szCs w:val="16"/>
              </w:rPr>
            </w:pPr>
            <w:r w:rsidRPr="00983CA6">
              <w:rPr>
                <w:sz w:val="16"/>
                <w:szCs w:val="16"/>
              </w:rPr>
              <w:t>168</w:t>
            </w:r>
          </w:p>
        </w:tc>
        <w:tc>
          <w:tcPr>
            <w:tcW w:w="709" w:type="dxa"/>
            <w:tcBorders>
              <w:top w:val="single" w:sz="4" w:space="0" w:color="auto"/>
              <w:bottom w:val="single" w:sz="4" w:space="0" w:color="auto"/>
            </w:tcBorders>
            <w:shd w:val="clear" w:color="auto" w:fill="FABF8F" w:themeFill="accent6" w:themeFillTint="99"/>
            <w:noWrap/>
            <w:vAlign w:val="center"/>
            <w:hideMark/>
          </w:tcPr>
          <w:p w14:paraId="10FF7041" w14:textId="77777777" w:rsidR="00FB2CFA" w:rsidRPr="00983CA6" w:rsidRDefault="00FB2CFA" w:rsidP="00983CA6">
            <w:pPr>
              <w:pStyle w:val="cuadroCabe"/>
              <w:spacing w:line="240" w:lineRule="auto"/>
              <w:jc w:val="right"/>
              <w:rPr>
                <w:sz w:val="16"/>
                <w:szCs w:val="16"/>
              </w:rPr>
            </w:pPr>
            <w:r w:rsidRPr="00983CA6">
              <w:rPr>
                <w:sz w:val="16"/>
                <w:szCs w:val="16"/>
              </w:rPr>
              <w:t>188</w:t>
            </w:r>
          </w:p>
        </w:tc>
        <w:tc>
          <w:tcPr>
            <w:tcW w:w="992" w:type="dxa"/>
            <w:tcBorders>
              <w:top w:val="single" w:sz="4" w:space="0" w:color="auto"/>
              <w:bottom w:val="single" w:sz="4" w:space="0" w:color="auto"/>
            </w:tcBorders>
            <w:shd w:val="clear" w:color="auto" w:fill="FABF8F" w:themeFill="accent6" w:themeFillTint="99"/>
            <w:noWrap/>
            <w:vAlign w:val="center"/>
            <w:hideMark/>
          </w:tcPr>
          <w:p w14:paraId="32821EB1" w14:textId="77777777" w:rsidR="00FB2CFA" w:rsidRPr="00983CA6" w:rsidRDefault="00FB2CFA" w:rsidP="00983CA6">
            <w:pPr>
              <w:pStyle w:val="cuadroCabe"/>
              <w:spacing w:line="240" w:lineRule="auto"/>
              <w:jc w:val="right"/>
              <w:rPr>
                <w:sz w:val="16"/>
                <w:szCs w:val="16"/>
              </w:rPr>
            </w:pPr>
            <w:r w:rsidRPr="00983CA6">
              <w:rPr>
                <w:sz w:val="16"/>
                <w:szCs w:val="16"/>
              </w:rPr>
              <w:t>4.768.229</w:t>
            </w:r>
          </w:p>
        </w:tc>
        <w:tc>
          <w:tcPr>
            <w:tcW w:w="993" w:type="dxa"/>
            <w:tcBorders>
              <w:top w:val="single" w:sz="4" w:space="0" w:color="auto"/>
              <w:bottom w:val="single" w:sz="4" w:space="0" w:color="auto"/>
            </w:tcBorders>
            <w:shd w:val="clear" w:color="auto" w:fill="FABF8F" w:themeFill="accent6" w:themeFillTint="99"/>
            <w:noWrap/>
            <w:vAlign w:val="center"/>
            <w:hideMark/>
          </w:tcPr>
          <w:p w14:paraId="44E0452A" w14:textId="3E1C8A51" w:rsidR="00FB2CFA" w:rsidRPr="00983CA6" w:rsidRDefault="001A3BA2" w:rsidP="00983CA6">
            <w:pPr>
              <w:pStyle w:val="cuadroCabe"/>
              <w:spacing w:line="240" w:lineRule="auto"/>
              <w:jc w:val="right"/>
              <w:rPr>
                <w:sz w:val="16"/>
                <w:szCs w:val="16"/>
              </w:rPr>
            </w:pPr>
            <w:r w:rsidRPr="00983CA6">
              <w:rPr>
                <w:sz w:val="16"/>
                <w:szCs w:val="16"/>
              </w:rPr>
              <w:t>5.059.465</w:t>
            </w:r>
          </w:p>
        </w:tc>
        <w:tc>
          <w:tcPr>
            <w:tcW w:w="637" w:type="dxa"/>
            <w:tcBorders>
              <w:top w:val="single" w:sz="4" w:space="0" w:color="auto"/>
              <w:bottom w:val="single" w:sz="4" w:space="0" w:color="auto"/>
            </w:tcBorders>
            <w:shd w:val="clear" w:color="auto" w:fill="FABF8F" w:themeFill="accent6" w:themeFillTint="99"/>
            <w:noWrap/>
            <w:vAlign w:val="center"/>
            <w:hideMark/>
          </w:tcPr>
          <w:p w14:paraId="6ACA466E" w14:textId="77777777" w:rsidR="00FB2CFA" w:rsidRPr="00983CA6" w:rsidRDefault="00FB2CFA" w:rsidP="00983CA6">
            <w:pPr>
              <w:pStyle w:val="cuadroCabe"/>
              <w:spacing w:line="240" w:lineRule="auto"/>
              <w:jc w:val="right"/>
              <w:rPr>
                <w:sz w:val="16"/>
                <w:szCs w:val="16"/>
              </w:rPr>
            </w:pPr>
            <w:r w:rsidRPr="00983CA6">
              <w:rPr>
                <w:sz w:val="16"/>
                <w:szCs w:val="16"/>
              </w:rPr>
              <w:t>6</w:t>
            </w:r>
          </w:p>
        </w:tc>
        <w:tc>
          <w:tcPr>
            <w:tcW w:w="851" w:type="dxa"/>
            <w:tcBorders>
              <w:top w:val="single" w:sz="4" w:space="0" w:color="auto"/>
              <w:bottom w:val="single" w:sz="4" w:space="0" w:color="auto"/>
              <w:right w:val="nil"/>
            </w:tcBorders>
            <w:shd w:val="clear" w:color="auto" w:fill="FABF8F" w:themeFill="accent6" w:themeFillTint="99"/>
            <w:noWrap/>
            <w:vAlign w:val="center"/>
            <w:hideMark/>
          </w:tcPr>
          <w:p w14:paraId="6CFCD28F" w14:textId="77777777" w:rsidR="00FB2CFA" w:rsidRPr="00983CA6" w:rsidRDefault="00FB2CFA" w:rsidP="00983CA6">
            <w:pPr>
              <w:pStyle w:val="cuadroCabe"/>
              <w:spacing w:line="240" w:lineRule="auto"/>
              <w:jc w:val="right"/>
              <w:rPr>
                <w:sz w:val="16"/>
                <w:szCs w:val="16"/>
              </w:rPr>
            </w:pPr>
            <w:r w:rsidRPr="00983CA6">
              <w:rPr>
                <w:sz w:val="16"/>
                <w:szCs w:val="16"/>
              </w:rPr>
              <w:t>16</w:t>
            </w:r>
          </w:p>
        </w:tc>
      </w:tr>
    </w:tbl>
    <w:p w14:paraId="77C8CE6B" w14:textId="607D163B" w:rsidR="00DB537B" w:rsidRDefault="00DB537B" w:rsidP="00983CA6">
      <w:pPr>
        <w:tabs>
          <w:tab w:val="left" w:pos="1630"/>
          <w:tab w:val="left" w:pos="2480"/>
          <w:tab w:val="left" w:pos="3189"/>
          <w:tab w:val="left" w:pos="4039"/>
          <w:tab w:val="left" w:pos="4748"/>
          <w:tab w:val="left" w:pos="5740"/>
          <w:tab w:val="left" w:pos="6733"/>
          <w:tab w:val="left" w:pos="7725"/>
        </w:tabs>
        <w:spacing w:before="240"/>
        <w:ind w:left="68" w:firstLine="215"/>
        <w:rPr>
          <w:rFonts w:cs="Arial"/>
          <w:color w:val="000000" w:themeColor="text1"/>
          <w:spacing w:val="6"/>
          <w:sz w:val="26"/>
          <w:szCs w:val="24"/>
          <w:lang w:val="es-ES"/>
        </w:rPr>
      </w:pPr>
      <w:r>
        <w:rPr>
          <w:rFonts w:cs="Arial"/>
          <w:color w:val="000000" w:themeColor="text1"/>
          <w:spacing w:val="6"/>
          <w:sz w:val="26"/>
          <w:szCs w:val="24"/>
          <w:lang w:val="es-ES"/>
        </w:rPr>
        <w:t xml:space="preserve">En el cuadro se observa que la mayor parte de los reparos se concentra en los municipios de entre 1.000 y 5.000 habitantes, si bien cabe indicar que en este tramo se sitúan </w:t>
      </w:r>
      <w:r w:rsidR="00B01A5E">
        <w:rPr>
          <w:rFonts w:cs="Arial"/>
          <w:color w:val="000000" w:themeColor="text1"/>
          <w:spacing w:val="6"/>
          <w:sz w:val="26"/>
          <w:szCs w:val="24"/>
          <w:lang w:val="es-ES"/>
        </w:rPr>
        <w:t xml:space="preserve">dos </w:t>
      </w:r>
      <w:r w:rsidR="00464D81">
        <w:rPr>
          <w:rFonts w:cs="Arial"/>
          <w:color w:val="000000" w:themeColor="text1"/>
          <w:spacing w:val="6"/>
          <w:sz w:val="26"/>
          <w:szCs w:val="24"/>
          <w:lang w:val="es-ES"/>
        </w:rPr>
        <w:t>ayuntamientos</w:t>
      </w:r>
      <w:r>
        <w:rPr>
          <w:rFonts w:cs="Arial"/>
          <w:color w:val="000000" w:themeColor="text1"/>
          <w:spacing w:val="6"/>
          <w:sz w:val="26"/>
          <w:szCs w:val="24"/>
          <w:lang w:val="es-ES"/>
        </w:rPr>
        <w:t xml:space="preserve"> que totalizan 97 reparos correspondientes a </w:t>
      </w:r>
      <w:r w:rsidRPr="004C5885">
        <w:rPr>
          <w:rFonts w:cs="Arial"/>
          <w:color w:val="000000" w:themeColor="text1"/>
          <w:spacing w:val="6"/>
          <w:sz w:val="26"/>
          <w:szCs w:val="24"/>
          <w:lang w:val="es-ES"/>
        </w:rPr>
        <w:t xml:space="preserve">un gasto de 1,58 millones. </w:t>
      </w:r>
    </w:p>
    <w:p w14:paraId="49540CFE" w14:textId="0D03B98E" w:rsidR="00AF04B7" w:rsidRDefault="00FB2CFA" w:rsidP="00AF04B7">
      <w:pPr>
        <w:pStyle w:val="texto"/>
        <w:spacing w:after="0"/>
        <w:rPr>
          <w:lang w:val="es-ES"/>
        </w:rPr>
      </w:pPr>
      <w:r>
        <w:rPr>
          <w:lang w:val="es-ES"/>
        </w:rPr>
        <w:lastRenderedPageBreak/>
        <w:t xml:space="preserve">En las tablas siguientes se desglosan </w:t>
      </w:r>
      <w:r w:rsidR="00AE13D4">
        <w:rPr>
          <w:lang w:val="es-ES"/>
        </w:rPr>
        <w:t xml:space="preserve">las áreas de gestión afectadas por los reparos y </w:t>
      </w:r>
      <w:r w:rsidR="004D3571">
        <w:rPr>
          <w:lang w:val="es-ES"/>
        </w:rPr>
        <w:t xml:space="preserve">sus </w:t>
      </w:r>
      <w:r w:rsidR="00AE13D4">
        <w:rPr>
          <w:lang w:val="es-ES"/>
        </w:rPr>
        <w:t>motivaciones:</w:t>
      </w:r>
    </w:p>
    <w:tbl>
      <w:tblPr>
        <w:tblpPr w:leftFromText="141" w:rightFromText="141" w:vertAnchor="text" w:horzAnchor="margin" w:tblpY="146"/>
        <w:tblW w:w="8841" w:type="dxa"/>
        <w:tblCellMar>
          <w:left w:w="70" w:type="dxa"/>
          <w:right w:w="70" w:type="dxa"/>
        </w:tblCellMar>
        <w:tblLook w:val="04A0" w:firstRow="1" w:lastRow="0" w:firstColumn="1" w:lastColumn="0" w:noHBand="0" w:noVBand="1"/>
      </w:tblPr>
      <w:tblGrid>
        <w:gridCol w:w="2765"/>
        <w:gridCol w:w="899"/>
        <w:gridCol w:w="809"/>
        <w:gridCol w:w="995"/>
        <w:gridCol w:w="1228"/>
        <w:gridCol w:w="1244"/>
        <w:gridCol w:w="901"/>
      </w:tblGrid>
      <w:tr w:rsidR="004D3571" w:rsidRPr="00474131" w14:paraId="0125FC09" w14:textId="77777777" w:rsidTr="00AF04B7">
        <w:trPr>
          <w:trHeight w:val="227"/>
        </w:trPr>
        <w:tc>
          <w:tcPr>
            <w:tcW w:w="2765" w:type="dxa"/>
            <w:vMerge w:val="restart"/>
            <w:tcBorders>
              <w:top w:val="single" w:sz="4" w:space="0" w:color="auto"/>
              <w:left w:val="nil"/>
              <w:bottom w:val="single" w:sz="8" w:space="0" w:color="000000"/>
            </w:tcBorders>
            <w:shd w:val="clear" w:color="auto" w:fill="FABF8F" w:themeFill="accent6" w:themeFillTint="99"/>
            <w:noWrap/>
            <w:vAlign w:val="center"/>
            <w:hideMark/>
          </w:tcPr>
          <w:p w14:paraId="0B77FB0C" w14:textId="77777777" w:rsidR="004D3571" w:rsidRPr="00AF04B7" w:rsidRDefault="004D3571" w:rsidP="00AF04B7">
            <w:pPr>
              <w:pStyle w:val="cuadroCabe"/>
              <w:spacing w:line="240" w:lineRule="auto"/>
            </w:pPr>
            <w:r w:rsidRPr="00AF04B7">
              <w:t>Área de gestión</w:t>
            </w:r>
          </w:p>
        </w:tc>
        <w:tc>
          <w:tcPr>
            <w:tcW w:w="1708" w:type="dxa"/>
            <w:gridSpan w:val="2"/>
            <w:tcBorders>
              <w:top w:val="single" w:sz="4" w:space="0" w:color="auto"/>
              <w:bottom w:val="single" w:sz="2" w:space="0" w:color="auto"/>
            </w:tcBorders>
            <w:shd w:val="clear" w:color="auto" w:fill="FABF8F" w:themeFill="accent6" w:themeFillTint="99"/>
            <w:vAlign w:val="center"/>
            <w:hideMark/>
          </w:tcPr>
          <w:p w14:paraId="14E6B701" w14:textId="77777777" w:rsidR="004D3571" w:rsidRPr="00AF04B7" w:rsidRDefault="004D3571" w:rsidP="00AF04B7">
            <w:pPr>
              <w:pStyle w:val="cuadroCabe"/>
              <w:spacing w:line="240" w:lineRule="auto"/>
              <w:jc w:val="right"/>
            </w:pPr>
            <w:proofErr w:type="spellStart"/>
            <w:r w:rsidRPr="00AF04B7">
              <w:t>Nº</w:t>
            </w:r>
            <w:proofErr w:type="spellEnd"/>
            <w:r w:rsidRPr="00AF04B7">
              <w:t xml:space="preserve"> Reparos</w:t>
            </w:r>
          </w:p>
        </w:tc>
        <w:tc>
          <w:tcPr>
            <w:tcW w:w="2223" w:type="dxa"/>
            <w:gridSpan w:val="2"/>
            <w:tcBorders>
              <w:top w:val="single" w:sz="4" w:space="0" w:color="auto"/>
              <w:bottom w:val="single" w:sz="2" w:space="0" w:color="auto"/>
            </w:tcBorders>
            <w:shd w:val="clear" w:color="auto" w:fill="FABF8F" w:themeFill="accent6" w:themeFillTint="99"/>
            <w:vAlign w:val="center"/>
            <w:hideMark/>
          </w:tcPr>
          <w:p w14:paraId="72076B51" w14:textId="77777777" w:rsidR="004D3571" w:rsidRPr="00AF04B7" w:rsidRDefault="004D3571" w:rsidP="00AF04B7">
            <w:pPr>
              <w:pStyle w:val="cuadroCabe"/>
              <w:spacing w:line="240" w:lineRule="auto"/>
              <w:jc w:val="right"/>
            </w:pPr>
            <w:r w:rsidRPr="00AF04B7">
              <w:t>Importe (euros)</w:t>
            </w:r>
          </w:p>
        </w:tc>
        <w:tc>
          <w:tcPr>
            <w:tcW w:w="2145" w:type="dxa"/>
            <w:gridSpan w:val="2"/>
            <w:tcBorders>
              <w:top w:val="single" w:sz="4" w:space="0" w:color="auto"/>
              <w:bottom w:val="single" w:sz="2" w:space="0" w:color="auto"/>
              <w:right w:val="nil"/>
            </w:tcBorders>
            <w:shd w:val="clear" w:color="auto" w:fill="FABF8F" w:themeFill="accent6" w:themeFillTint="99"/>
            <w:vAlign w:val="center"/>
            <w:hideMark/>
          </w:tcPr>
          <w:p w14:paraId="21ACE6FB" w14:textId="77777777" w:rsidR="004D3571" w:rsidRPr="00AF04B7" w:rsidRDefault="004D3571" w:rsidP="00AF04B7">
            <w:pPr>
              <w:pStyle w:val="cuadroCabe"/>
              <w:spacing w:line="240" w:lineRule="auto"/>
              <w:jc w:val="right"/>
            </w:pPr>
            <w:r w:rsidRPr="00AF04B7">
              <w:t>Sin Importe</w:t>
            </w:r>
          </w:p>
        </w:tc>
      </w:tr>
      <w:tr w:rsidR="004D3571" w:rsidRPr="00474131" w14:paraId="26F2693F" w14:textId="77777777" w:rsidTr="00AF04B7">
        <w:trPr>
          <w:trHeight w:val="227"/>
        </w:trPr>
        <w:tc>
          <w:tcPr>
            <w:tcW w:w="2765" w:type="dxa"/>
            <w:vMerge/>
            <w:tcBorders>
              <w:top w:val="single" w:sz="8" w:space="0" w:color="auto"/>
              <w:left w:val="nil"/>
              <w:bottom w:val="single" w:sz="8" w:space="0" w:color="000000"/>
            </w:tcBorders>
            <w:shd w:val="clear" w:color="auto" w:fill="FABF8F" w:themeFill="accent6" w:themeFillTint="99"/>
            <w:vAlign w:val="center"/>
            <w:hideMark/>
          </w:tcPr>
          <w:p w14:paraId="2942985F" w14:textId="77777777" w:rsidR="004D3571" w:rsidRPr="00AF04B7" w:rsidRDefault="004D3571" w:rsidP="00AF04B7">
            <w:pPr>
              <w:pStyle w:val="cuadroCabe"/>
              <w:spacing w:line="240" w:lineRule="auto"/>
            </w:pPr>
          </w:p>
        </w:tc>
        <w:tc>
          <w:tcPr>
            <w:tcW w:w="899" w:type="dxa"/>
            <w:tcBorders>
              <w:top w:val="single" w:sz="2" w:space="0" w:color="auto"/>
              <w:bottom w:val="single" w:sz="4" w:space="0" w:color="auto"/>
            </w:tcBorders>
            <w:shd w:val="clear" w:color="auto" w:fill="FABF8F" w:themeFill="accent6" w:themeFillTint="99"/>
            <w:noWrap/>
            <w:vAlign w:val="center"/>
            <w:hideMark/>
          </w:tcPr>
          <w:p w14:paraId="7ADC49B4" w14:textId="77777777" w:rsidR="004D3571" w:rsidRPr="00AF04B7" w:rsidRDefault="004D3571" w:rsidP="00AF04B7">
            <w:pPr>
              <w:pStyle w:val="cuadroCabe"/>
              <w:spacing w:line="240" w:lineRule="auto"/>
              <w:jc w:val="right"/>
            </w:pPr>
            <w:r w:rsidRPr="00AF04B7">
              <w:t>2019</w:t>
            </w:r>
          </w:p>
        </w:tc>
        <w:tc>
          <w:tcPr>
            <w:tcW w:w="809" w:type="dxa"/>
            <w:tcBorders>
              <w:top w:val="single" w:sz="2" w:space="0" w:color="auto"/>
              <w:bottom w:val="single" w:sz="4" w:space="0" w:color="auto"/>
            </w:tcBorders>
            <w:shd w:val="clear" w:color="auto" w:fill="FABF8F" w:themeFill="accent6" w:themeFillTint="99"/>
            <w:noWrap/>
            <w:vAlign w:val="center"/>
            <w:hideMark/>
          </w:tcPr>
          <w:p w14:paraId="700477E2" w14:textId="77777777" w:rsidR="004D3571" w:rsidRPr="00AF04B7" w:rsidRDefault="004D3571" w:rsidP="00AF04B7">
            <w:pPr>
              <w:pStyle w:val="cuadroCabe"/>
              <w:spacing w:line="240" w:lineRule="auto"/>
              <w:jc w:val="right"/>
            </w:pPr>
            <w:r w:rsidRPr="00AF04B7">
              <w:t>2020</w:t>
            </w:r>
          </w:p>
        </w:tc>
        <w:tc>
          <w:tcPr>
            <w:tcW w:w="995" w:type="dxa"/>
            <w:tcBorders>
              <w:top w:val="single" w:sz="2" w:space="0" w:color="auto"/>
              <w:bottom w:val="single" w:sz="4" w:space="0" w:color="auto"/>
            </w:tcBorders>
            <w:shd w:val="clear" w:color="auto" w:fill="FABF8F" w:themeFill="accent6" w:themeFillTint="99"/>
            <w:noWrap/>
            <w:vAlign w:val="center"/>
            <w:hideMark/>
          </w:tcPr>
          <w:p w14:paraId="76781A80" w14:textId="77777777" w:rsidR="004D3571" w:rsidRPr="00AF04B7" w:rsidRDefault="004D3571" w:rsidP="00AF04B7">
            <w:pPr>
              <w:pStyle w:val="cuadroCabe"/>
              <w:spacing w:line="240" w:lineRule="auto"/>
              <w:jc w:val="right"/>
            </w:pPr>
            <w:r w:rsidRPr="00AF04B7">
              <w:t>2019</w:t>
            </w:r>
          </w:p>
        </w:tc>
        <w:tc>
          <w:tcPr>
            <w:tcW w:w="1228" w:type="dxa"/>
            <w:tcBorders>
              <w:top w:val="single" w:sz="2" w:space="0" w:color="auto"/>
              <w:bottom w:val="single" w:sz="4" w:space="0" w:color="auto"/>
            </w:tcBorders>
            <w:shd w:val="clear" w:color="auto" w:fill="FABF8F" w:themeFill="accent6" w:themeFillTint="99"/>
            <w:noWrap/>
            <w:vAlign w:val="center"/>
            <w:hideMark/>
          </w:tcPr>
          <w:p w14:paraId="789D9503" w14:textId="77777777" w:rsidR="004D3571" w:rsidRPr="00AF04B7" w:rsidRDefault="004D3571" w:rsidP="00AF04B7">
            <w:pPr>
              <w:pStyle w:val="cuadroCabe"/>
              <w:spacing w:line="240" w:lineRule="auto"/>
              <w:jc w:val="right"/>
            </w:pPr>
            <w:r w:rsidRPr="00AF04B7">
              <w:t>2020</w:t>
            </w:r>
          </w:p>
        </w:tc>
        <w:tc>
          <w:tcPr>
            <w:tcW w:w="1244" w:type="dxa"/>
            <w:tcBorders>
              <w:top w:val="single" w:sz="2" w:space="0" w:color="auto"/>
              <w:bottom w:val="single" w:sz="4" w:space="0" w:color="auto"/>
            </w:tcBorders>
            <w:shd w:val="clear" w:color="auto" w:fill="FABF8F" w:themeFill="accent6" w:themeFillTint="99"/>
            <w:noWrap/>
            <w:vAlign w:val="center"/>
            <w:hideMark/>
          </w:tcPr>
          <w:p w14:paraId="506A7F50" w14:textId="77777777" w:rsidR="004D3571" w:rsidRPr="00AF04B7" w:rsidRDefault="004D3571" w:rsidP="00AF04B7">
            <w:pPr>
              <w:pStyle w:val="cuadroCabe"/>
              <w:spacing w:line="240" w:lineRule="auto"/>
              <w:jc w:val="right"/>
            </w:pPr>
            <w:r w:rsidRPr="00AF04B7">
              <w:t>2019</w:t>
            </w:r>
          </w:p>
        </w:tc>
        <w:tc>
          <w:tcPr>
            <w:tcW w:w="901" w:type="dxa"/>
            <w:tcBorders>
              <w:top w:val="single" w:sz="2" w:space="0" w:color="auto"/>
              <w:bottom w:val="single" w:sz="4" w:space="0" w:color="auto"/>
              <w:right w:val="nil"/>
            </w:tcBorders>
            <w:shd w:val="clear" w:color="auto" w:fill="FABF8F" w:themeFill="accent6" w:themeFillTint="99"/>
            <w:noWrap/>
            <w:vAlign w:val="center"/>
            <w:hideMark/>
          </w:tcPr>
          <w:p w14:paraId="20A2F735" w14:textId="77777777" w:rsidR="004D3571" w:rsidRPr="00AF04B7" w:rsidRDefault="004D3571" w:rsidP="00AF04B7">
            <w:pPr>
              <w:pStyle w:val="cuadroCabe"/>
              <w:spacing w:line="240" w:lineRule="auto"/>
              <w:jc w:val="right"/>
            </w:pPr>
            <w:r w:rsidRPr="00AF04B7">
              <w:t>2020</w:t>
            </w:r>
          </w:p>
        </w:tc>
      </w:tr>
      <w:tr w:rsidR="004D3571" w:rsidRPr="00474131" w14:paraId="7057C15A" w14:textId="77777777" w:rsidTr="00AF04B7">
        <w:trPr>
          <w:trHeight w:val="227"/>
        </w:trPr>
        <w:tc>
          <w:tcPr>
            <w:tcW w:w="2765" w:type="dxa"/>
            <w:tcBorders>
              <w:top w:val="nil"/>
              <w:left w:val="nil"/>
              <w:bottom w:val="single" w:sz="2" w:space="0" w:color="auto"/>
            </w:tcBorders>
            <w:shd w:val="clear" w:color="auto" w:fill="auto"/>
            <w:noWrap/>
            <w:vAlign w:val="center"/>
            <w:hideMark/>
          </w:tcPr>
          <w:p w14:paraId="3CBC6A2E" w14:textId="77777777" w:rsidR="004D3571" w:rsidRPr="00AF04B7" w:rsidRDefault="004D3571" w:rsidP="00AF04B7">
            <w:pPr>
              <w:pStyle w:val="cuatexto"/>
              <w:spacing w:line="240" w:lineRule="auto"/>
            </w:pPr>
            <w:r w:rsidRPr="00AF04B7">
              <w:t>Contratación</w:t>
            </w:r>
          </w:p>
        </w:tc>
        <w:tc>
          <w:tcPr>
            <w:tcW w:w="899" w:type="dxa"/>
            <w:tcBorders>
              <w:top w:val="single" w:sz="4" w:space="0" w:color="auto"/>
              <w:bottom w:val="single" w:sz="2" w:space="0" w:color="auto"/>
            </w:tcBorders>
            <w:shd w:val="clear" w:color="auto" w:fill="auto"/>
            <w:noWrap/>
            <w:vAlign w:val="center"/>
            <w:hideMark/>
          </w:tcPr>
          <w:p w14:paraId="23424DD0" w14:textId="77777777" w:rsidR="004D3571" w:rsidRPr="00AF04B7" w:rsidRDefault="004D3571" w:rsidP="00AF04B7">
            <w:pPr>
              <w:pStyle w:val="cuatexto"/>
              <w:spacing w:line="240" w:lineRule="auto"/>
              <w:jc w:val="right"/>
            </w:pPr>
            <w:r w:rsidRPr="00AF04B7">
              <w:t>98</w:t>
            </w:r>
          </w:p>
        </w:tc>
        <w:tc>
          <w:tcPr>
            <w:tcW w:w="809" w:type="dxa"/>
            <w:tcBorders>
              <w:top w:val="single" w:sz="4" w:space="0" w:color="auto"/>
              <w:bottom w:val="single" w:sz="2" w:space="0" w:color="auto"/>
            </w:tcBorders>
            <w:shd w:val="clear" w:color="auto" w:fill="auto"/>
            <w:noWrap/>
            <w:vAlign w:val="center"/>
            <w:hideMark/>
          </w:tcPr>
          <w:p w14:paraId="41AFFC01" w14:textId="77777777" w:rsidR="004D3571" w:rsidRPr="00AF04B7" w:rsidRDefault="004D3571" w:rsidP="00AF04B7">
            <w:pPr>
              <w:pStyle w:val="cuatexto"/>
              <w:spacing w:line="240" w:lineRule="auto"/>
              <w:jc w:val="right"/>
            </w:pPr>
            <w:r w:rsidRPr="00AF04B7">
              <w:t>114</w:t>
            </w:r>
          </w:p>
        </w:tc>
        <w:tc>
          <w:tcPr>
            <w:tcW w:w="995" w:type="dxa"/>
            <w:tcBorders>
              <w:top w:val="single" w:sz="4" w:space="0" w:color="auto"/>
              <w:bottom w:val="single" w:sz="2" w:space="0" w:color="auto"/>
            </w:tcBorders>
            <w:shd w:val="clear" w:color="auto" w:fill="auto"/>
            <w:noWrap/>
            <w:vAlign w:val="center"/>
            <w:hideMark/>
          </w:tcPr>
          <w:p w14:paraId="17638B3B" w14:textId="77777777" w:rsidR="004D3571" w:rsidRPr="00AF04B7" w:rsidRDefault="004D3571" w:rsidP="00AF04B7">
            <w:pPr>
              <w:pStyle w:val="cuatexto"/>
              <w:spacing w:line="240" w:lineRule="auto"/>
              <w:jc w:val="right"/>
            </w:pPr>
            <w:r w:rsidRPr="00AF04B7">
              <w:t>3.905.190</w:t>
            </w:r>
          </w:p>
        </w:tc>
        <w:tc>
          <w:tcPr>
            <w:tcW w:w="1228" w:type="dxa"/>
            <w:tcBorders>
              <w:top w:val="single" w:sz="4" w:space="0" w:color="auto"/>
              <w:bottom w:val="single" w:sz="2" w:space="0" w:color="auto"/>
            </w:tcBorders>
            <w:shd w:val="clear" w:color="auto" w:fill="auto"/>
            <w:noWrap/>
            <w:vAlign w:val="center"/>
            <w:hideMark/>
          </w:tcPr>
          <w:p w14:paraId="60E11A3E" w14:textId="77777777" w:rsidR="004D3571" w:rsidRPr="00AF04B7" w:rsidRDefault="004D3571" w:rsidP="00AF04B7">
            <w:pPr>
              <w:pStyle w:val="cuatexto"/>
              <w:spacing w:line="240" w:lineRule="auto"/>
              <w:jc w:val="right"/>
            </w:pPr>
            <w:r w:rsidRPr="00AF04B7">
              <w:t>4.349.098</w:t>
            </w:r>
          </w:p>
        </w:tc>
        <w:tc>
          <w:tcPr>
            <w:tcW w:w="1244" w:type="dxa"/>
            <w:tcBorders>
              <w:top w:val="single" w:sz="4" w:space="0" w:color="auto"/>
              <w:bottom w:val="single" w:sz="2" w:space="0" w:color="auto"/>
            </w:tcBorders>
            <w:shd w:val="clear" w:color="auto" w:fill="auto"/>
            <w:noWrap/>
            <w:vAlign w:val="center"/>
            <w:hideMark/>
          </w:tcPr>
          <w:p w14:paraId="36B8A520" w14:textId="77777777" w:rsidR="004D3571" w:rsidRPr="00AF04B7" w:rsidRDefault="004D3571" w:rsidP="00AF04B7">
            <w:pPr>
              <w:pStyle w:val="cuatexto"/>
              <w:spacing w:line="240" w:lineRule="auto"/>
              <w:jc w:val="right"/>
            </w:pPr>
            <w:r w:rsidRPr="00AF04B7">
              <w:t>3</w:t>
            </w:r>
          </w:p>
        </w:tc>
        <w:tc>
          <w:tcPr>
            <w:tcW w:w="901" w:type="dxa"/>
            <w:tcBorders>
              <w:top w:val="single" w:sz="4" w:space="0" w:color="auto"/>
              <w:bottom w:val="single" w:sz="2" w:space="0" w:color="auto"/>
              <w:right w:val="nil"/>
            </w:tcBorders>
            <w:shd w:val="clear" w:color="auto" w:fill="auto"/>
            <w:noWrap/>
            <w:vAlign w:val="center"/>
            <w:hideMark/>
          </w:tcPr>
          <w:p w14:paraId="64A385FA" w14:textId="77777777" w:rsidR="004D3571" w:rsidRPr="00AF04B7" w:rsidRDefault="004D3571" w:rsidP="00AF04B7">
            <w:pPr>
              <w:pStyle w:val="cuatexto"/>
              <w:spacing w:line="240" w:lineRule="auto"/>
              <w:jc w:val="right"/>
            </w:pPr>
            <w:r w:rsidRPr="00AF04B7">
              <w:t>5</w:t>
            </w:r>
          </w:p>
        </w:tc>
      </w:tr>
      <w:tr w:rsidR="004D3571" w:rsidRPr="00474131" w14:paraId="3549BF41" w14:textId="77777777" w:rsidTr="00AF04B7">
        <w:trPr>
          <w:trHeight w:val="227"/>
        </w:trPr>
        <w:tc>
          <w:tcPr>
            <w:tcW w:w="2765" w:type="dxa"/>
            <w:tcBorders>
              <w:top w:val="single" w:sz="2" w:space="0" w:color="auto"/>
              <w:left w:val="nil"/>
              <w:bottom w:val="single" w:sz="2" w:space="0" w:color="auto"/>
            </w:tcBorders>
            <w:shd w:val="clear" w:color="auto" w:fill="auto"/>
            <w:noWrap/>
            <w:vAlign w:val="center"/>
            <w:hideMark/>
          </w:tcPr>
          <w:p w14:paraId="71A18B5C" w14:textId="77777777" w:rsidR="004D3571" w:rsidRPr="00AF04B7" w:rsidRDefault="004D3571" w:rsidP="00AF04B7">
            <w:pPr>
              <w:pStyle w:val="cuatexto"/>
              <w:spacing w:line="240" w:lineRule="auto"/>
            </w:pPr>
            <w:r w:rsidRPr="00AF04B7">
              <w:t>Personal</w:t>
            </w:r>
          </w:p>
        </w:tc>
        <w:tc>
          <w:tcPr>
            <w:tcW w:w="899" w:type="dxa"/>
            <w:tcBorders>
              <w:top w:val="single" w:sz="2" w:space="0" w:color="auto"/>
              <w:bottom w:val="single" w:sz="2" w:space="0" w:color="auto"/>
            </w:tcBorders>
            <w:shd w:val="clear" w:color="auto" w:fill="auto"/>
            <w:noWrap/>
            <w:vAlign w:val="center"/>
            <w:hideMark/>
          </w:tcPr>
          <w:p w14:paraId="5D6C3764" w14:textId="77777777" w:rsidR="004D3571" w:rsidRPr="00AF04B7" w:rsidRDefault="004D3571" w:rsidP="00AF04B7">
            <w:pPr>
              <w:pStyle w:val="cuatexto"/>
              <w:spacing w:line="240" w:lineRule="auto"/>
              <w:jc w:val="right"/>
            </w:pPr>
            <w:r w:rsidRPr="00AF04B7">
              <w:t>32</w:t>
            </w:r>
          </w:p>
        </w:tc>
        <w:tc>
          <w:tcPr>
            <w:tcW w:w="809" w:type="dxa"/>
            <w:tcBorders>
              <w:top w:val="single" w:sz="2" w:space="0" w:color="auto"/>
              <w:bottom w:val="single" w:sz="2" w:space="0" w:color="auto"/>
            </w:tcBorders>
            <w:shd w:val="clear" w:color="auto" w:fill="auto"/>
            <w:noWrap/>
            <w:vAlign w:val="center"/>
            <w:hideMark/>
          </w:tcPr>
          <w:p w14:paraId="1B95D19F" w14:textId="77777777" w:rsidR="004D3571" w:rsidRPr="00AF04B7" w:rsidRDefault="004D3571" w:rsidP="00AF04B7">
            <w:pPr>
              <w:pStyle w:val="cuatexto"/>
              <w:spacing w:line="240" w:lineRule="auto"/>
              <w:jc w:val="right"/>
            </w:pPr>
            <w:r w:rsidRPr="00AF04B7">
              <w:t>56</w:t>
            </w:r>
          </w:p>
        </w:tc>
        <w:tc>
          <w:tcPr>
            <w:tcW w:w="995" w:type="dxa"/>
            <w:tcBorders>
              <w:top w:val="single" w:sz="2" w:space="0" w:color="auto"/>
              <w:bottom w:val="single" w:sz="2" w:space="0" w:color="auto"/>
            </w:tcBorders>
            <w:shd w:val="clear" w:color="auto" w:fill="auto"/>
            <w:noWrap/>
            <w:vAlign w:val="center"/>
            <w:hideMark/>
          </w:tcPr>
          <w:p w14:paraId="5D976F84" w14:textId="77777777" w:rsidR="004D3571" w:rsidRPr="00AF04B7" w:rsidRDefault="004D3571" w:rsidP="00AF04B7">
            <w:pPr>
              <w:pStyle w:val="cuatexto"/>
              <w:spacing w:line="240" w:lineRule="auto"/>
              <w:jc w:val="right"/>
            </w:pPr>
            <w:r w:rsidRPr="00AF04B7">
              <w:t>134.396</w:t>
            </w:r>
          </w:p>
        </w:tc>
        <w:tc>
          <w:tcPr>
            <w:tcW w:w="1228" w:type="dxa"/>
            <w:tcBorders>
              <w:top w:val="single" w:sz="2" w:space="0" w:color="auto"/>
              <w:bottom w:val="single" w:sz="2" w:space="0" w:color="auto"/>
            </w:tcBorders>
            <w:shd w:val="clear" w:color="auto" w:fill="auto"/>
            <w:noWrap/>
            <w:vAlign w:val="center"/>
            <w:hideMark/>
          </w:tcPr>
          <w:p w14:paraId="159E01FC" w14:textId="77777777" w:rsidR="004D3571" w:rsidRPr="00AF04B7" w:rsidRDefault="004D3571" w:rsidP="00AF04B7">
            <w:pPr>
              <w:pStyle w:val="cuatexto"/>
              <w:spacing w:line="240" w:lineRule="auto"/>
              <w:jc w:val="right"/>
            </w:pPr>
            <w:r w:rsidRPr="00AF04B7">
              <w:t>305.658</w:t>
            </w:r>
          </w:p>
        </w:tc>
        <w:tc>
          <w:tcPr>
            <w:tcW w:w="1244" w:type="dxa"/>
            <w:tcBorders>
              <w:top w:val="single" w:sz="2" w:space="0" w:color="auto"/>
              <w:bottom w:val="single" w:sz="2" w:space="0" w:color="auto"/>
            </w:tcBorders>
            <w:shd w:val="clear" w:color="auto" w:fill="auto"/>
            <w:noWrap/>
            <w:vAlign w:val="center"/>
            <w:hideMark/>
          </w:tcPr>
          <w:p w14:paraId="69BECAA8" w14:textId="77777777" w:rsidR="004D3571" w:rsidRPr="00AF04B7" w:rsidRDefault="004D3571" w:rsidP="00AF04B7">
            <w:pPr>
              <w:pStyle w:val="cuatexto"/>
              <w:spacing w:line="240" w:lineRule="auto"/>
              <w:jc w:val="right"/>
            </w:pPr>
            <w:r w:rsidRPr="00AF04B7">
              <w:t>3</w:t>
            </w:r>
          </w:p>
        </w:tc>
        <w:tc>
          <w:tcPr>
            <w:tcW w:w="901" w:type="dxa"/>
            <w:tcBorders>
              <w:top w:val="single" w:sz="2" w:space="0" w:color="auto"/>
              <w:bottom w:val="single" w:sz="2" w:space="0" w:color="auto"/>
              <w:right w:val="nil"/>
            </w:tcBorders>
            <w:shd w:val="clear" w:color="auto" w:fill="auto"/>
            <w:noWrap/>
            <w:vAlign w:val="center"/>
            <w:hideMark/>
          </w:tcPr>
          <w:p w14:paraId="57716C04" w14:textId="77777777" w:rsidR="004D3571" w:rsidRPr="00AF04B7" w:rsidRDefault="004D3571" w:rsidP="00AF04B7">
            <w:pPr>
              <w:pStyle w:val="cuatexto"/>
              <w:spacing w:line="240" w:lineRule="auto"/>
              <w:jc w:val="right"/>
            </w:pPr>
            <w:r w:rsidRPr="00AF04B7">
              <w:t>9</w:t>
            </w:r>
          </w:p>
        </w:tc>
      </w:tr>
      <w:tr w:rsidR="004D3571" w:rsidRPr="00474131" w14:paraId="68A77D9A" w14:textId="77777777" w:rsidTr="00AF04B7">
        <w:trPr>
          <w:trHeight w:val="227"/>
        </w:trPr>
        <w:tc>
          <w:tcPr>
            <w:tcW w:w="2765" w:type="dxa"/>
            <w:tcBorders>
              <w:top w:val="single" w:sz="2" w:space="0" w:color="auto"/>
              <w:left w:val="nil"/>
              <w:bottom w:val="single" w:sz="2" w:space="0" w:color="auto"/>
            </w:tcBorders>
            <w:shd w:val="clear" w:color="auto" w:fill="auto"/>
            <w:noWrap/>
            <w:vAlign w:val="center"/>
            <w:hideMark/>
          </w:tcPr>
          <w:p w14:paraId="693AE65F" w14:textId="77777777" w:rsidR="004D3571" w:rsidRPr="00AF04B7" w:rsidRDefault="004D3571" w:rsidP="00AF04B7">
            <w:pPr>
              <w:pStyle w:val="cuatexto"/>
              <w:spacing w:line="240" w:lineRule="auto"/>
            </w:pPr>
            <w:r w:rsidRPr="00AF04B7">
              <w:t>Subvenciones</w:t>
            </w:r>
          </w:p>
        </w:tc>
        <w:tc>
          <w:tcPr>
            <w:tcW w:w="899" w:type="dxa"/>
            <w:tcBorders>
              <w:top w:val="single" w:sz="2" w:space="0" w:color="auto"/>
              <w:bottom w:val="single" w:sz="2" w:space="0" w:color="auto"/>
            </w:tcBorders>
            <w:shd w:val="clear" w:color="auto" w:fill="auto"/>
            <w:noWrap/>
            <w:vAlign w:val="center"/>
            <w:hideMark/>
          </w:tcPr>
          <w:p w14:paraId="13A4A87A" w14:textId="77777777" w:rsidR="004D3571" w:rsidRPr="00AF04B7" w:rsidRDefault="004D3571" w:rsidP="00AF04B7">
            <w:pPr>
              <w:pStyle w:val="cuatexto"/>
              <w:spacing w:line="240" w:lineRule="auto"/>
              <w:jc w:val="right"/>
            </w:pPr>
            <w:r w:rsidRPr="00AF04B7">
              <w:t>23</w:t>
            </w:r>
          </w:p>
        </w:tc>
        <w:tc>
          <w:tcPr>
            <w:tcW w:w="809" w:type="dxa"/>
            <w:tcBorders>
              <w:top w:val="single" w:sz="2" w:space="0" w:color="auto"/>
              <w:bottom w:val="single" w:sz="2" w:space="0" w:color="auto"/>
            </w:tcBorders>
            <w:shd w:val="clear" w:color="auto" w:fill="auto"/>
            <w:noWrap/>
            <w:vAlign w:val="center"/>
            <w:hideMark/>
          </w:tcPr>
          <w:p w14:paraId="2EDFFB41" w14:textId="77777777" w:rsidR="004D3571" w:rsidRPr="00AF04B7" w:rsidRDefault="004D3571" w:rsidP="00AF04B7">
            <w:pPr>
              <w:pStyle w:val="cuatexto"/>
              <w:spacing w:line="240" w:lineRule="auto"/>
              <w:jc w:val="right"/>
            </w:pPr>
            <w:r w:rsidRPr="00AF04B7">
              <w:t>13</w:t>
            </w:r>
          </w:p>
        </w:tc>
        <w:tc>
          <w:tcPr>
            <w:tcW w:w="995" w:type="dxa"/>
            <w:tcBorders>
              <w:top w:val="single" w:sz="2" w:space="0" w:color="auto"/>
              <w:bottom w:val="single" w:sz="2" w:space="0" w:color="auto"/>
            </w:tcBorders>
            <w:shd w:val="clear" w:color="auto" w:fill="auto"/>
            <w:noWrap/>
            <w:vAlign w:val="center"/>
            <w:hideMark/>
          </w:tcPr>
          <w:p w14:paraId="61B6C986" w14:textId="77777777" w:rsidR="004D3571" w:rsidRPr="00AF04B7" w:rsidRDefault="004D3571" w:rsidP="00AF04B7">
            <w:pPr>
              <w:pStyle w:val="cuatexto"/>
              <w:spacing w:line="240" w:lineRule="auto"/>
              <w:jc w:val="right"/>
            </w:pPr>
            <w:r w:rsidRPr="00AF04B7">
              <w:t>357.455</w:t>
            </w:r>
          </w:p>
        </w:tc>
        <w:tc>
          <w:tcPr>
            <w:tcW w:w="1228" w:type="dxa"/>
            <w:tcBorders>
              <w:top w:val="single" w:sz="2" w:space="0" w:color="auto"/>
              <w:bottom w:val="single" w:sz="2" w:space="0" w:color="auto"/>
            </w:tcBorders>
            <w:shd w:val="clear" w:color="auto" w:fill="auto"/>
            <w:noWrap/>
            <w:vAlign w:val="center"/>
            <w:hideMark/>
          </w:tcPr>
          <w:p w14:paraId="3C5DFC83" w14:textId="77777777" w:rsidR="004D3571" w:rsidRPr="00AF04B7" w:rsidRDefault="004D3571" w:rsidP="00AF04B7">
            <w:pPr>
              <w:pStyle w:val="cuatexto"/>
              <w:spacing w:line="240" w:lineRule="auto"/>
              <w:jc w:val="right"/>
            </w:pPr>
            <w:r w:rsidRPr="00AF04B7">
              <w:t>388.049</w:t>
            </w:r>
          </w:p>
        </w:tc>
        <w:tc>
          <w:tcPr>
            <w:tcW w:w="1244" w:type="dxa"/>
            <w:tcBorders>
              <w:top w:val="single" w:sz="2" w:space="0" w:color="auto"/>
              <w:bottom w:val="single" w:sz="2" w:space="0" w:color="auto"/>
            </w:tcBorders>
            <w:shd w:val="clear" w:color="auto" w:fill="auto"/>
            <w:noWrap/>
            <w:vAlign w:val="center"/>
            <w:hideMark/>
          </w:tcPr>
          <w:p w14:paraId="7CACF777" w14:textId="77777777" w:rsidR="004D3571" w:rsidRPr="00AF04B7" w:rsidRDefault="004D3571" w:rsidP="00AF04B7">
            <w:pPr>
              <w:pStyle w:val="cuatexto"/>
              <w:spacing w:line="240" w:lineRule="auto"/>
              <w:jc w:val="right"/>
            </w:pPr>
            <w:r w:rsidRPr="00AF04B7">
              <w:t>0</w:t>
            </w:r>
          </w:p>
        </w:tc>
        <w:tc>
          <w:tcPr>
            <w:tcW w:w="901" w:type="dxa"/>
            <w:tcBorders>
              <w:top w:val="single" w:sz="2" w:space="0" w:color="auto"/>
              <w:bottom w:val="single" w:sz="2" w:space="0" w:color="auto"/>
              <w:right w:val="nil"/>
            </w:tcBorders>
            <w:shd w:val="clear" w:color="auto" w:fill="auto"/>
            <w:noWrap/>
            <w:vAlign w:val="center"/>
            <w:hideMark/>
          </w:tcPr>
          <w:p w14:paraId="129E942F" w14:textId="77777777" w:rsidR="004D3571" w:rsidRPr="00AF04B7" w:rsidRDefault="004D3571" w:rsidP="00AF04B7">
            <w:pPr>
              <w:pStyle w:val="cuatexto"/>
              <w:spacing w:line="240" w:lineRule="auto"/>
              <w:jc w:val="right"/>
            </w:pPr>
            <w:r w:rsidRPr="00AF04B7">
              <w:t>1</w:t>
            </w:r>
          </w:p>
        </w:tc>
      </w:tr>
      <w:tr w:rsidR="004D3571" w:rsidRPr="00474131" w14:paraId="0C02DB6E" w14:textId="77777777" w:rsidTr="00AF04B7">
        <w:trPr>
          <w:trHeight w:val="227"/>
        </w:trPr>
        <w:tc>
          <w:tcPr>
            <w:tcW w:w="2765" w:type="dxa"/>
            <w:tcBorders>
              <w:top w:val="single" w:sz="2" w:space="0" w:color="auto"/>
              <w:left w:val="nil"/>
              <w:bottom w:val="single" w:sz="2" w:space="0" w:color="auto"/>
            </w:tcBorders>
            <w:shd w:val="clear" w:color="auto" w:fill="auto"/>
            <w:noWrap/>
            <w:vAlign w:val="center"/>
            <w:hideMark/>
          </w:tcPr>
          <w:p w14:paraId="7C8A756D" w14:textId="33EC5EE4" w:rsidR="004D3571" w:rsidRPr="00AF04B7" w:rsidRDefault="004D3571" w:rsidP="00AF04B7">
            <w:pPr>
              <w:pStyle w:val="cuatexto"/>
              <w:spacing w:line="240" w:lineRule="auto"/>
            </w:pPr>
            <w:proofErr w:type="gramStart"/>
            <w:r w:rsidRPr="00AF04B7">
              <w:t>Pagos a justificar</w:t>
            </w:r>
            <w:proofErr w:type="gramEnd"/>
            <w:r w:rsidRPr="00AF04B7">
              <w:t xml:space="preserve"> y </w:t>
            </w:r>
            <w:proofErr w:type="spellStart"/>
            <w:r w:rsidRPr="00AF04B7">
              <w:t>antici</w:t>
            </w:r>
            <w:proofErr w:type="spellEnd"/>
            <w:r w:rsidR="001C793D" w:rsidRPr="00AF04B7">
              <w:t>.</w:t>
            </w:r>
            <w:r w:rsidRPr="00AF04B7">
              <w:t xml:space="preserve"> caja fija</w:t>
            </w:r>
          </w:p>
        </w:tc>
        <w:tc>
          <w:tcPr>
            <w:tcW w:w="899" w:type="dxa"/>
            <w:tcBorders>
              <w:top w:val="single" w:sz="2" w:space="0" w:color="auto"/>
              <w:bottom w:val="single" w:sz="2" w:space="0" w:color="auto"/>
            </w:tcBorders>
            <w:shd w:val="clear" w:color="auto" w:fill="auto"/>
            <w:noWrap/>
            <w:vAlign w:val="center"/>
            <w:hideMark/>
          </w:tcPr>
          <w:p w14:paraId="66C7D9CC" w14:textId="77777777" w:rsidR="004D3571" w:rsidRPr="00AF04B7" w:rsidRDefault="004D3571" w:rsidP="00AF04B7">
            <w:pPr>
              <w:pStyle w:val="cuatexto"/>
              <w:spacing w:line="240" w:lineRule="auto"/>
              <w:jc w:val="right"/>
            </w:pPr>
            <w:r w:rsidRPr="00AF04B7">
              <w:t>2</w:t>
            </w:r>
          </w:p>
        </w:tc>
        <w:tc>
          <w:tcPr>
            <w:tcW w:w="809" w:type="dxa"/>
            <w:tcBorders>
              <w:top w:val="single" w:sz="2" w:space="0" w:color="auto"/>
              <w:bottom w:val="single" w:sz="2" w:space="0" w:color="auto"/>
            </w:tcBorders>
            <w:shd w:val="clear" w:color="auto" w:fill="auto"/>
            <w:noWrap/>
            <w:vAlign w:val="center"/>
            <w:hideMark/>
          </w:tcPr>
          <w:p w14:paraId="1BFB430D" w14:textId="77777777" w:rsidR="004D3571" w:rsidRPr="00AF04B7" w:rsidRDefault="004D3571" w:rsidP="00AF04B7">
            <w:pPr>
              <w:pStyle w:val="cuatexto"/>
              <w:spacing w:line="240" w:lineRule="auto"/>
              <w:jc w:val="right"/>
            </w:pPr>
            <w:r w:rsidRPr="00AF04B7">
              <w:t>0</w:t>
            </w:r>
          </w:p>
        </w:tc>
        <w:tc>
          <w:tcPr>
            <w:tcW w:w="995" w:type="dxa"/>
            <w:tcBorders>
              <w:top w:val="single" w:sz="2" w:space="0" w:color="auto"/>
              <w:bottom w:val="single" w:sz="2" w:space="0" w:color="auto"/>
            </w:tcBorders>
            <w:shd w:val="clear" w:color="auto" w:fill="auto"/>
            <w:noWrap/>
            <w:vAlign w:val="center"/>
            <w:hideMark/>
          </w:tcPr>
          <w:p w14:paraId="1147F855" w14:textId="77777777" w:rsidR="004D3571" w:rsidRPr="00AF04B7" w:rsidRDefault="004D3571" w:rsidP="00AF04B7">
            <w:pPr>
              <w:pStyle w:val="cuatexto"/>
              <w:spacing w:line="240" w:lineRule="auto"/>
              <w:jc w:val="right"/>
            </w:pPr>
            <w:r w:rsidRPr="00AF04B7">
              <w:t>191</w:t>
            </w:r>
          </w:p>
        </w:tc>
        <w:tc>
          <w:tcPr>
            <w:tcW w:w="1228" w:type="dxa"/>
            <w:tcBorders>
              <w:top w:val="single" w:sz="2" w:space="0" w:color="auto"/>
              <w:bottom w:val="single" w:sz="2" w:space="0" w:color="auto"/>
            </w:tcBorders>
            <w:shd w:val="clear" w:color="auto" w:fill="auto"/>
            <w:noWrap/>
            <w:vAlign w:val="center"/>
            <w:hideMark/>
          </w:tcPr>
          <w:p w14:paraId="110E879C" w14:textId="77777777" w:rsidR="004D3571" w:rsidRPr="00AF04B7" w:rsidRDefault="004D3571" w:rsidP="00AF04B7">
            <w:pPr>
              <w:pStyle w:val="cuatexto"/>
              <w:spacing w:line="240" w:lineRule="auto"/>
              <w:jc w:val="right"/>
            </w:pPr>
            <w:r w:rsidRPr="00AF04B7">
              <w:t>0</w:t>
            </w:r>
          </w:p>
        </w:tc>
        <w:tc>
          <w:tcPr>
            <w:tcW w:w="1244" w:type="dxa"/>
            <w:tcBorders>
              <w:top w:val="single" w:sz="2" w:space="0" w:color="auto"/>
              <w:bottom w:val="single" w:sz="2" w:space="0" w:color="auto"/>
            </w:tcBorders>
            <w:shd w:val="clear" w:color="auto" w:fill="auto"/>
            <w:noWrap/>
            <w:vAlign w:val="center"/>
            <w:hideMark/>
          </w:tcPr>
          <w:p w14:paraId="75751E05" w14:textId="77777777" w:rsidR="004D3571" w:rsidRPr="00AF04B7" w:rsidRDefault="004D3571" w:rsidP="00AF04B7">
            <w:pPr>
              <w:pStyle w:val="cuatexto"/>
              <w:spacing w:line="240" w:lineRule="auto"/>
              <w:jc w:val="right"/>
            </w:pPr>
            <w:r w:rsidRPr="00AF04B7">
              <w:t>0</w:t>
            </w:r>
          </w:p>
        </w:tc>
        <w:tc>
          <w:tcPr>
            <w:tcW w:w="901" w:type="dxa"/>
            <w:tcBorders>
              <w:top w:val="single" w:sz="2" w:space="0" w:color="auto"/>
              <w:bottom w:val="single" w:sz="2" w:space="0" w:color="auto"/>
              <w:right w:val="nil"/>
            </w:tcBorders>
            <w:shd w:val="clear" w:color="auto" w:fill="auto"/>
            <w:noWrap/>
            <w:vAlign w:val="center"/>
            <w:hideMark/>
          </w:tcPr>
          <w:p w14:paraId="290DA86B" w14:textId="77777777" w:rsidR="004D3571" w:rsidRPr="00AF04B7" w:rsidRDefault="004D3571" w:rsidP="00AF04B7">
            <w:pPr>
              <w:pStyle w:val="cuatexto"/>
              <w:spacing w:line="240" w:lineRule="auto"/>
              <w:jc w:val="right"/>
            </w:pPr>
            <w:r w:rsidRPr="00AF04B7">
              <w:t> </w:t>
            </w:r>
          </w:p>
        </w:tc>
      </w:tr>
      <w:tr w:rsidR="004D3571" w:rsidRPr="00474131" w14:paraId="2B28D221" w14:textId="77777777" w:rsidTr="00AF04B7">
        <w:trPr>
          <w:trHeight w:val="227"/>
        </w:trPr>
        <w:tc>
          <w:tcPr>
            <w:tcW w:w="2765" w:type="dxa"/>
            <w:tcBorders>
              <w:top w:val="single" w:sz="2" w:space="0" w:color="auto"/>
              <w:left w:val="nil"/>
              <w:bottom w:val="single" w:sz="2" w:space="0" w:color="auto"/>
            </w:tcBorders>
            <w:shd w:val="clear" w:color="auto" w:fill="auto"/>
            <w:noWrap/>
            <w:vAlign w:val="center"/>
            <w:hideMark/>
          </w:tcPr>
          <w:p w14:paraId="64A8B42B" w14:textId="77777777" w:rsidR="004D3571" w:rsidRPr="00AF04B7" w:rsidRDefault="004D3571" w:rsidP="00AF04B7">
            <w:pPr>
              <w:pStyle w:val="cuatexto"/>
              <w:spacing w:line="240" w:lineRule="auto"/>
            </w:pPr>
            <w:r w:rsidRPr="00AF04B7">
              <w:t>Otros procedimientos</w:t>
            </w:r>
          </w:p>
        </w:tc>
        <w:tc>
          <w:tcPr>
            <w:tcW w:w="899" w:type="dxa"/>
            <w:tcBorders>
              <w:top w:val="single" w:sz="2" w:space="0" w:color="auto"/>
              <w:bottom w:val="single" w:sz="2" w:space="0" w:color="auto"/>
            </w:tcBorders>
            <w:shd w:val="clear" w:color="auto" w:fill="auto"/>
            <w:noWrap/>
            <w:vAlign w:val="center"/>
            <w:hideMark/>
          </w:tcPr>
          <w:p w14:paraId="3714D214" w14:textId="77777777" w:rsidR="004D3571" w:rsidRPr="00AF04B7" w:rsidRDefault="004D3571" w:rsidP="00AF04B7">
            <w:pPr>
              <w:pStyle w:val="cuatexto"/>
              <w:spacing w:line="240" w:lineRule="auto"/>
              <w:jc w:val="right"/>
            </w:pPr>
            <w:r w:rsidRPr="00AF04B7">
              <w:t>13</w:t>
            </w:r>
          </w:p>
        </w:tc>
        <w:tc>
          <w:tcPr>
            <w:tcW w:w="809" w:type="dxa"/>
            <w:tcBorders>
              <w:top w:val="single" w:sz="2" w:space="0" w:color="auto"/>
              <w:bottom w:val="single" w:sz="2" w:space="0" w:color="auto"/>
            </w:tcBorders>
            <w:shd w:val="clear" w:color="auto" w:fill="auto"/>
            <w:noWrap/>
            <w:vAlign w:val="center"/>
            <w:hideMark/>
          </w:tcPr>
          <w:p w14:paraId="34CC17CB" w14:textId="77777777" w:rsidR="004D3571" w:rsidRPr="00AF04B7" w:rsidRDefault="004D3571" w:rsidP="00AF04B7">
            <w:pPr>
              <w:pStyle w:val="cuatexto"/>
              <w:spacing w:line="240" w:lineRule="auto"/>
              <w:jc w:val="right"/>
            </w:pPr>
            <w:r w:rsidRPr="00AF04B7">
              <w:t>0</w:t>
            </w:r>
          </w:p>
        </w:tc>
        <w:tc>
          <w:tcPr>
            <w:tcW w:w="995" w:type="dxa"/>
            <w:tcBorders>
              <w:top w:val="single" w:sz="2" w:space="0" w:color="auto"/>
              <w:bottom w:val="single" w:sz="2" w:space="0" w:color="auto"/>
            </w:tcBorders>
            <w:shd w:val="clear" w:color="auto" w:fill="auto"/>
            <w:noWrap/>
            <w:vAlign w:val="center"/>
            <w:hideMark/>
          </w:tcPr>
          <w:p w14:paraId="14B98803" w14:textId="77777777" w:rsidR="004D3571" w:rsidRPr="00AF04B7" w:rsidRDefault="004D3571" w:rsidP="00AF04B7">
            <w:pPr>
              <w:pStyle w:val="cuatexto"/>
              <w:spacing w:line="240" w:lineRule="auto"/>
              <w:jc w:val="right"/>
            </w:pPr>
            <w:r w:rsidRPr="00AF04B7">
              <w:t>370.998</w:t>
            </w:r>
          </w:p>
        </w:tc>
        <w:tc>
          <w:tcPr>
            <w:tcW w:w="1228" w:type="dxa"/>
            <w:tcBorders>
              <w:top w:val="single" w:sz="2" w:space="0" w:color="auto"/>
              <w:bottom w:val="single" w:sz="2" w:space="0" w:color="auto"/>
            </w:tcBorders>
            <w:shd w:val="clear" w:color="auto" w:fill="auto"/>
            <w:noWrap/>
            <w:vAlign w:val="center"/>
            <w:hideMark/>
          </w:tcPr>
          <w:p w14:paraId="2CA39696" w14:textId="77777777" w:rsidR="004D3571" w:rsidRPr="00AF04B7" w:rsidRDefault="004D3571" w:rsidP="00AF04B7">
            <w:pPr>
              <w:pStyle w:val="cuatexto"/>
              <w:spacing w:line="240" w:lineRule="auto"/>
              <w:jc w:val="right"/>
            </w:pPr>
            <w:r w:rsidRPr="00AF04B7">
              <w:t>0</w:t>
            </w:r>
          </w:p>
        </w:tc>
        <w:tc>
          <w:tcPr>
            <w:tcW w:w="1244" w:type="dxa"/>
            <w:tcBorders>
              <w:top w:val="single" w:sz="2" w:space="0" w:color="auto"/>
              <w:bottom w:val="single" w:sz="2" w:space="0" w:color="auto"/>
            </w:tcBorders>
            <w:shd w:val="clear" w:color="auto" w:fill="auto"/>
            <w:noWrap/>
            <w:vAlign w:val="center"/>
            <w:hideMark/>
          </w:tcPr>
          <w:p w14:paraId="1AD4B483" w14:textId="77777777" w:rsidR="004D3571" w:rsidRPr="00AF04B7" w:rsidRDefault="004D3571" w:rsidP="00AF04B7">
            <w:pPr>
              <w:pStyle w:val="cuatexto"/>
              <w:spacing w:line="240" w:lineRule="auto"/>
              <w:jc w:val="right"/>
            </w:pPr>
            <w:r w:rsidRPr="00AF04B7">
              <w:t>0</w:t>
            </w:r>
          </w:p>
        </w:tc>
        <w:tc>
          <w:tcPr>
            <w:tcW w:w="901" w:type="dxa"/>
            <w:tcBorders>
              <w:top w:val="single" w:sz="2" w:space="0" w:color="auto"/>
              <w:bottom w:val="single" w:sz="2" w:space="0" w:color="auto"/>
              <w:right w:val="nil"/>
            </w:tcBorders>
            <w:shd w:val="clear" w:color="auto" w:fill="auto"/>
            <w:noWrap/>
            <w:vAlign w:val="center"/>
            <w:hideMark/>
          </w:tcPr>
          <w:p w14:paraId="6D1DCC05" w14:textId="77777777" w:rsidR="004D3571" w:rsidRPr="00AF04B7" w:rsidRDefault="004D3571" w:rsidP="00AF04B7">
            <w:pPr>
              <w:pStyle w:val="cuatexto"/>
              <w:spacing w:line="240" w:lineRule="auto"/>
              <w:jc w:val="right"/>
            </w:pPr>
            <w:r w:rsidRPr="00AF04B7">
              <w:t> </w:t>
            </w:r>
          </w:p>
        </w:tc>
      </w:tr>
      <w:tr w:rsidR="004D3571" w:rsidRPr="00474131" w14:paraId="60478B2D" w14:textId="77777777" w:rsidTr="00AF04B7">
        <w:trPr>
          <w:trHeight w:val="227"/>
        </w:trPr>
        <w:tc>
          <w:tcPr>
            <w:tcW w:w="2765" w:type="dxa"/>
            <w:tcBorders>
              <w:top w:val="single" w:sz="2" w:space="0" w:color="auto"/>
              <w:left w:val="nil"/>
              <w:bottom w:val="single" w:sz="2" w:space="0" w:color="auto"/>
            </w:tcBorders>
            <w:shd w:val="clear" w:color="auto" w:fill="auto"/>
            <w:noWrap/>
            <w:vAlign w:val="center"/>
            <w:hideMark/>
          </w:tcPr>
          <w:p w14:paraId="58120EA2" w14:textId="77777777" w:rsidR="004D3571" w:rsidRPr="00AF04B7" w:rsidRDefault="004D3571" w:rsidP="00AF04B7">
            <w:pPr>
              <w:pStyle w:val="cuatexto"/>
              <w:spacing w:line="240" w:lineRule="auto"/>
            </w:pPr>
            <w:r w:rsidRPr="00AF04B7">
              <w:t>Operaciones financieras</w:t>
            </w:r>
          </w:p>
        </w:tc>
        <w:tc>
          <w:tcPr>
            <w:tcW w:w="899" w:type="dxa"/>
            <w:tcBorders>
              <w:top w:val="single" w:sz="2" w:space="0" w:color="auto"/>
              <w:bottom w:val="single" w:sz="2" w:space="0" w:color="auto"/>
            </w:tcBorders>
            <w:shd w:val="clear" w:color="auto" w:fill="auto"/>
            <w:noWrap/>
            <w:vAlign w:val="center"/>
            <w:hideMark/>
          </w:tcPr>
          <w:p w14:paraId="47C8441A" w14:textId="77777777" w:rsidR="004D3571" w:rsidRPr="00AF04B7" w:rsidRDefault="004D3571" w:rsidP="00AF04B7">
            <w:pPr>
              <w:pStyle w:val="cuatexto"/>
              <w:spacing w:line="240" w:lineRule="auto"/>
              <w:jc w:val="right"/>
            </w:pPr>
            <w:r w:rsidRPr="00AF04B7">
              <w:t>0</w:t>
            </w:r>
          </w:p>
        </w:tc>
        <w:tc>
          <w:tcPr>
            <w:tcW w:w="809" w:type="dxa"/>
            <w:tcBorders>
              <w:top w:val="single" w:sz="2" w:space="0" w:color="auto"/>
              <w:bottom w:val="single" w:sz="2" w:space="0" w:color="auto"/>
            </w:tcBorders>
            <w:shd w:val="clear" w:color="auto" w:fill="auto"/>
            <w:noWrap/>
            <w:vAlign w:val="center"/>
            <w:hideMark/>
          </w:tcPr>
          <w:p w14:paraId="68E97ED2" w14:textId="77777777" w:rsidR="004D3571" w:rsidRPr="00AF04B7" w:rsidRDefault="004D3571" w:rsidP="00AF04B7">
            <w:pPr>
              <w:pStyle w:val="cuatexto"/>
              <w:spacing w:line="240" w:lineRule="auto"/>
              <w:jc w:val="right"/>
            </w:pPr>
            <w:r w:rsidRPr="00AF04B7">
              <w:t>0</w:t>
            </w:r>
          </w:p>
        </w:tc>
        <w:tc>
          <w:tcPr>
            <w:tcW w:w="995" w:type="dxa"/>
            <w:tcBorders>
              <w:top w:val="single" w:sz="2" w:space="0" w:color="auto"/>
              <w:bottom w:val="single" w:sz="2" w:space="0" w:color="auto"/>
            </w:tcBorders>
            <w:shd w:val="clear" w:color="auto" w:fill="auto"/>
            <w:noWrap/>
            <w:vAlign w:val="center"/>
            <w:hideMark/>
          </w:tcPr>
          <w:p w14:paraId="60B33546" w14:textId="77777777" w:rsidR="004D3571" w:rsidRPr="00AF04B7" w:rsidRDefault="004D3571" w:rsidP="00AF04B7">
            <w:pPr>
              <w:pStyle w:val="cuatexto"/>
              <w:spacing w:line="240" w:lineRule="auto"/>
              <w:jc w:val="right"/>
            </w:pPr>
            <w:r w:rsidRPr="00AF04B7">
              <w:t>0</w:t>
            </w:r>
          </w:p>
        </w:tc>
        <w:tc>
          <w:tcPr>
            <w:tcW w:w="1228" w:type="dxa"/>
            <w:tcBorders>
              <w:top w:val="single" w:sz="2" w:space="0" w:color="auto"/>
              <w:bottom w:val="single" w:sz="2" w:space="0" w:color="auto"/>
            </w:tcBorders>
            <w:shd w:val="clear" w:color="auto" w:fill="auto"/>
            <w:noWrap/>
            <w:vAlign w:val="center"/>
            <w:hideMark/>
          </w:tcPr>
          <w:p w14:paraId="560FA95A" w14:textId="77777777" w:rsidR="004D3571" w:rsidRPr="00AF04B7" w:rsidRDefault="004D3571" w:rsidP="00AF04B7">
            <w:pPr>
              <w:pStyle w:val="cuatexto"/>
              <w:spacing w:line="240" w:lineRule="auto"/>
              <w:jc w:val="right"/>
            </w:pPr>
            <w:r w:rsidRPr="00AF04B7">
              <w:t>0</w:t>
            </w:r>
          </w:p>
        </w:tc>
        <w:tc>
          <w:tcPr>
            <w:tcW w:w="1244" w:type="dxa"/>
            <w:tcBorders>
              <w:top w:val="single" w:sz="2" w:space="0" w:color="auto"/>
              <w:bottom w:val="single" w:sz="2" w:space="0" w:color="auto"/>
            </w:tcBorders>
            <w:shd w:val="clear" w:color="auto" w:fill="auto"/>
            <w:noWrap/>
            <w:vAlign w:val="center"/>
            <w:hideMark/>
          </w:tcPr>
          <w:p w14:paraId="31E0C341" w14:textId="77777777" w:rsidR="004D3571" w:rsidRPr="00AF04B7" w:rsidRDefault="004D3571" w:rsidP="00AF04B7">
            <w:pPr>
              <w:pStyle w:val="cuatexto"/>
              <w:spacing w:line="240" w:lineRule="auto"/>
              <w:jc w:val="right"/>
            </w:pPr>
            <w:r w:rsidRPr="00AF04B7">
              <w:t>0</w:t>
            </w:r>
          </w:p>
        </w:tc>
        <w:tc>
          <w:tcPr>
            <w:tcW w:w="901" w:type="dxa"/>
            <w:tcBorders>
              <w:top w:val="single" w:sz="2" w:space="0" w:color="auto"/>
              <w:bottom w:val="single" w:sz="2" w:space="0" w:color="auto"/>
              <w:right w:val="nil"/>
            </w:tcBorders>
            <w:shd w:val="clear" w:color="auto" w:fill="auto"/>
            <w:noWrap/>
            <w:vAlign w:val="center"/>
            <w:hideMark/>
          </w:tcPr>
          <w:p w14:paraId="16AF5B20" w14:textId="77777777" w:rsidR="004D3571" w:rsidRPr="00AF04B7" w:rsidRDefault="004D3571" w:rsidP="00AF04B7">
            <w:pPr>
              <w:pStyle w:val="cuatexto"/>
              <w:spacing w:line="240" w:lineRule="auto"/>
              <w:jc w:val="right"/>
            </w:pPr>
            <w:r w:rsidRPr="00AF04B7">
              <w:t> </w:t>
            </w:r>
          </w:p>
        </w:tc>
      </w:tr>
      <w:tr w:rsidR="004D3571" w:rsidRPr="00474131" w14:paraId="3BC1384F" w14:textId="77777777" w:rsidTr="00AF04B7">
        <w:trPr>
          <w:trHeight w:val="227"/>
        </w:trPr>
        <w:tc>
          <w:tcPr>
            <w:tcW w:w="2765" w:type="dxa"/>
            <w:tcBorders>
              <w:top w:val="single" w:sz="2" w:space="0" w:color="auto"/>
              <w:left w:val="nil"/>
              <w:bottom w:val="single" w:sz="4" w:space="0" w:color="auto"/>
            </w:tcBorders>
            <w:shd w:val="clear" w:color="auto" w:fill="auto"/>
            <w:noWrap/>
            <w:vAlign w:val="center"/>
            <w:hideMark/>
          </w:tcPr>
          <w:p w14:paraId="33B33229" w14:textId="77777777" w:rsidR="004D3571" w:rsidRPr="00AF04B7" w:rsidRDefault="004D3571" w:rsidP="00AF04B7">
            <w:pPr>
              <w:pStyle w:val="cuatexto"/>
              <w:spacing w:line="240" w:lineRule="auto"/>
            </w:pPr>
            <w:r w:rsidRPr="00AF04B7">
              <w:t>Sin indicar</w:t>
            </w:r>
          </w:p>
        </w:tc>
        <w:tc>
          <w:tcPr>
            <w:tcW w:w="899" w:type="dxa"/>
            <w:tcBorders>
              <w:top w:val="single" w:sz="2" w:space="0" w:color="auto"/>
              <w:bottom w:val="single" w:sz="4" w:space="0" w:color="auto"/>
            </w:tcBorders>
            <w:shd w:val="clear" w:color="auto" w:fill="auto"/>
            <w:noWrap/>
            <w:vAlign w:val="center"/>
            <w:hideMark/>
          </w:tcPr>
          <w:p w14:paraId="7C982F8C" w14:textId="77777777" w:rsidR="004D3571" w:rsidRPr="00AF04B7" w:rsidRDefault="004D3571" w:rsidP="00AF04B7">
            <w:pPr>
              <w:pStyle w:val="cuatexto"/>
              <w:spacing w:line="240" w:lineRule="auto"/>
              <w:jc w:val="right"/>
            </w:pPr>
            <w:r w:rsidRPr="00AF04B7">
              <w:t>0</w:t>
            </w:r>
          </w:p>
        </w:tc>
        <w:tc>
          <w:tcPr>
            <w:tcW w:w="809" w:type="dxa"/>
            <w:tcBorders>
              <w:top w:val="single" w:sz="2" w:space="0" w:color="auto"/>
              <w:bottom w:val="single" w:sz="4" w:space="0" w:color="auto"/>
            </w:tcBorders>
            <w:shd w:val="clear" w:color="auto" w:fill="auto"/>
            <w:noWrap/>
            <w:vAlign w:val="center"/>
            <w:hideMark/>
          </w:tcPr>
          <w:p w14:paraId="75651A32" w14:textId="77777777" w:rsidR="004D3571" w:rsidRPr="00AF04B7" w:rsidRDefault="004D3571" w:rsidP="00AF04B7">
            <w:pPr>
              <w:pStyle w:val="cuatexto"/>
              <w:spacing w:line="240" w:lineRule="auto"/>
              <w:jc w:val="right"/>
            </w:pPr>
            <w:r w:rsidRPr="00AF04B7">
              <w:t>5</w:t>
            </w:r>
          </w:p>
        </w:tc>
        <w:tc>
          <w:tcPr>
            <w:tcW w:w="995" w:type="dxa"/>
            <w:tcBorders>
              <w:top w:val="single" w:sz="2" w:space="0" w:color="auto"/>
              <w:bottom w:val="single" w:sz="4" w:space="0" w:color="auto"/>
            </w:tcBorders>
            <w:shd w:val="clear" w:color="auto" w:fill="auto"/>
            <w:noWrap/>
            <w:vAlign w:val="center"/>
            <w:hideMark/>
          </w:tcPr>
          <w:p w14:paraId="42AAF89C" w14:textId="77777777" w:rsidR="004D3571" w:rsidRPr="00AF04B7" w:rsidRDefault="004D3571" w:rsidP="00AF04B7">
            <w:pPr>
              <w:pStyle w:val="cuatexto"/>
              <w:spacing w:line="240" w:lineRule="auto"/>
              <w:jc w:val="right"/>
            </w:pPr>
            <w:r w:rsidRPr="00AF04B7">
              <w:t>0</w:t>
            </w:r>
          </w:p>
        </w:tc>
        <w:tc>
          <w:tcPr>
            <w:tcW w:w="1228" w:type="dxa"/>
            <w:tcBorders>
              <w:top w:val="single" w:sz="2" w:space="0" w:color="auto"/>
              <w:bottom w:val="single" w:sz="4" w:space="0" w:color="auto"/>
            </w:tcBorders>
            <w:shd w:val="clear" w:color="auto" w:fill="auto"/>
            <w:noWrap/>
            <w:vAlign w:val="center"/>
            <w:hideMark/>
          </w:tcPr>
          <w:p w14:paraId="341049AC" w14:textId="77777777" w:rsidR="004D3571" w:rsidRPr="00AF04B7" w:rsidRDefault="004D3571" w:rsidP="00AF04B7">
            <w:pPr>
              <w:pStyle w:val="cuatexto"/>
              <w:spacing w:line="240" w:lineRule="auto"/>
              <w:jc w:val="right"/>
            </w:pPr>
            <w:r w:rsidRPr="00AF04B7">
              <w:t>16.661</w:t>
            </w:r>
          </w:p>
        </w:tc>
        <w:tc>
          <w:tcPr>
            <w:tcW w:w="1244" w:type="dxa"/>
            <w:tcBorders>
              <w:top w:val="single" w:sz="2" w:space="0" w:color="auto"/>
              <w:bottom w:val="single" w:sz="4" w:space="0" w:color="auto"/>
            </w:tcBorders>
            <w:shd w:val="clear" w:color="auto" w:fill="auto"/>
            <w:noWrap/>
            <w:vAlign w:val="center"/>
            <w:hideMark/>
          </w:tcPr>
          <w:p w14:paraId="6FE70C85" w14:textId="77777777" w:rsidR="004D3571" w:rsidRPr="00AF04B7" w:rsidRDefault="004D3571" w:rsidP="00AF04B7">
            <w:pPr>
              <w:pStyle w:val="cuatexto"/>
              <w:spacing w:line="240" w:lineRule="auto"/>
              <w:jc w:val="right"/>
            </w:pPr>
            <w:r w:rsidRPr="00AF04B7">
              <w:t>0</w:t>
            </w:r>
          </w:p>
        </w:tc>
        <w:tc>
          <w:tcPr>
            <w:tcW w:w="901" w:type="dxa"/>
            <w:tcBorders>
              <w:top w:val="single" w:sz="2" w:space="0" w:color="auto"/>
              <w:bottom w:val="single" w:sz="4" w:space="0" w:color="auto"/>
              <w:right w:val="nil"/>
            </w:tcBorders>
            <w:shd w:val="clear" w:color="auto" w:fill="auto"/>
            <w:noWrap/>
            <w:vAlign w:val="center"/>
            <w:hideMark/>
          </w:tcPr>
          <w:p w14:paraId="0DD83DA2" w14:textId="77777777" w:rsidR="004D3571" w:rsidRPr="00AF04B7" w:rsidRDefault="004D3571" w:rsidP="00AF04B7">
            <w:pPr>
              <w:pStyle w:val="cuatexto"/>
              <w:spacing w:line="240" w:lineRule="auto"/>
              <w:jc w:val="right"/>
            </w:pPr>
            <w:r w:rsidRPr="00AF04B7">
              <w:t>1</w:t>
            </w:r>
          </w:p>
        </w:tc>
      </w:tr>
      <w:tr w:rsidR="004D3571" w:rsidRPr="00474131" w14:paraId="612A2DCA" w14:textId="77777777" w:rsidTr="00AF04B7">
        <w:trPr>
          <w:trHeight w:val="227"/>
        </w:trPr>
        <w:tc>
          <w:tcPr>
            <w:tcW w:w="2765" w:type="dxa"/>
            <w:tcBorders>
              <w:top w:val="single" w:sz="4" w:space="0" w:color="auto"/>
              <w:left w:val="nil"/>
              <w:bottom w:val="single" w:sz="4" w:space="0" w:color="auto"/>
            </w:tcBorders>
            <w:shd w:val="clear" w:color="auto" w:fill="FABF8F" w:themeFill="accent6" w:themeFillTint="99"/>
            <w:noWrap/>
            <w:vAlign w:val="center"/>
            <w:hideMark/>
          </w:tcPr>
          <w:p w14:paraId="7E99FAF9" w14:textId="77777777" w:rsidR="004D3571" w:rsidRPr="00AF04B7" w:rsidRDefault="004D3571" w:rsidP="00AF04B7">
            <w:pPr>
              <w:pStyle w:val="cuadroCabe"/>
              <w:spacing w:line="240" w:lineRule="auto"/>
            </w:pPr>
            <w:r w:rsidRPr="00AF04B7">
              <w:t>Total</w:t>
            </w:r>
          </w:p>
        </w:tc>
        <w:tc>
          <w:tcPr>
            <w:tcW w:w="899" w:type="dxa"/>
            <w:tcBorders>
              <w:top w:val="single" w:sz="4" w:space="0" w:color="auto"/>
              <w:bottom w:val="single" w:sz="4" w:space="0" w:color="auto"/>
            </w:tcBorders>
            <w:shd w:val="clear" w:color="auto" w:fill="FABF8F" w:themeFill="accent6" w:themeFillTint="99"/>
            <w:noWrap/>
            <w:vAlign w:val="center"/>
            <w:hideMark/>
          </w:tcPr>
          <w:p w14:paraId="743E1F36" w14:textId="77777777" w:rsidR="004D3571" w:rsidRPr="00AF04B7" w:rsidRDefault="004D3571" w:rsidP="00AF04B7">
            <w:pPr>
              <w:pStyle w:val="cuadroCabe"/>
              <w:spacing w:line="240" w:lineRule="auto"/>
              <w:jc w:val="right"/>
            </w:pPr>
            <w:r w:rsidRPr="00AF04B7">
              <w:t>168</w:t>
            </w:r>
          </w:p>
        </w:tc>
        <w:tc>
          <w:tcPr>
            <w:tcW w:w="809" w:type="dxa"/>
            <w:tcBorders>
              <w:top w:val="single" w:sz="4" w:space="0" w:color="auto"/>
              <w:bottom w:val="single" w:sz="4" w:space="0" w:color="auto"/>
            </w:tcBorders>
            <w:shd w:val="clear" w:color="auto" w:fill="FABF8F" w:themeFill="accent6" w:themeFillTint="99"/>
            <w:noWrap/>
            <w:vAlign w:val="center"/>
            <w:hideMark/>
          </w:tcPr>
          <w:p w14:paraId="0E404518" w14:textId="77777777" w:rsidR="004D3571" w:rsidRPr="00AF04B7" w:rsidRDefault="004D3571" w:rsidP="00AF04B7">
            <w:pPr>
              <w:pStyle w:val="cuadroCabe"/>
              <w:spacing w:line="240" w:lineRule="auto"/>
              <w:jc w:val="right"/>
            </w:pPr>
            <w:r w:rsidRPr="00AF04B7">
              <w:t>188</w:t>
            </w:r>
          </w:p>
        </w:tc>
        <w:tc>
          <w:tcPr>
            <w:tcW w:w="995" w:type="dxa"/>
            <w:tcBorders>
              <w:top w:val="single" w:sz="4" w:space="0" w:color="auto"/>
              <w:bottom w:val="single" w:sz="4" w:space="0" w:color="auto"/>
            </w:tcBorders>
            <w:shd w:val="clear" w:color="auto" w:fill="FABF8F" w:themeFill="accent6" w:themeFillTint="99"/>
            <w:noWrap/>
            <w:vAlign w:val="center"/>
            <w:hideMark/>
          </w:tcPr>
          <w:p w14:paraId="52A7618A" w14:textId="77777777" w:rsidR="004D3571" w:rsidRPr="00AF04B7" w:rsidRDefault="004D3571" w:rsidP="00AF04B7">
            <w:pPr>
              <w:pStyle w:val="cuadroCabe"/>
              <w:spacing w:line="240" w:lineRule="auto"/>
              <w:jc w:val="right"/>
            </w:pPr>
            <w:r w:rsidRPr="00AF04B7">
              <w:t>4.768.229</w:t>
            </w:r>
          </w:p>
        </w:tc>
        <w:tc>
          <w:tcPr>
            <w:tcW w:w="1228" w:type="dxa"/>
            <w:tcBorders>
              <w:top w:val="single" w:sz="4" w:space="0" w:color="auto"/>
              <w:bottom w:val="single" w:sz="4" w:space="0" w:color="auto"/>
            </w:tcBorders>
            <w:shd w:val="clear" w:color="auto" w:fill="FABF8F" w:themeFill="accent6" w:themeFillTint="99"/>
            <w:noWrap/>
            <w:vAlign w:val="center"/>
            <w:hideMark/>
          </w:tcPr>
          <w:p w14:paraId="7A55D155" w14:textId="77777777" w:rsidR="004D3571" w:rsidRPr="00AF04B7" w:rsidRDefault="004D3571" w:rsidP="00AF04B7">
            <w:pPr>
              <w:pStyle w:val="cuadroCabe"/>
              <w:spacing w:line="240" w:lineRule="auto"/>
              <w:jc w:val="right"/>
            </w:pPr>
            <w:r w:rsidRPr="00AF04B7">
              <w:t>5.059.465</w:t>
            </w:r>
          </w:p>
        </w:tc>
        <w:tc>
          <w:tcPr>
            <w:tcW w:w="1244" w:type="dxa"/>
            <w:tcBorders>
              <w:top w:val="single" w:sz="4" w:space="0" w:color="auto"/>
              <w:bottom w:val="single" w:sz="4" w:space="0" w:color="auto"/>
            </w:tcBorders>
            <w:shd w:val="clear" w:color="auto" w:fill="FABF8F" w:themeFill="accent6" w:themeFillTint="99"/>
            <w:noWrap/>
            <w:vAlign w:val="center"/>
            <w:hideMark/>
          </w:tcPr>
          <w:p w14:paraId="494CA0CA" w14:textId="77777777" w:rsidR="004D3571" w:rsidRPr="00AF04B7" w:rsidRDefault="004D3571" w:rsidP="00AF04B7">
            <w:pPr>
              <w:pStyle w:val="cuadroCabe"/>
              <w:spacing w:line="240" w:lineRule="auto"/>
              <w:jc w:val="right"/>
            </w:pPr>
            <w:r w:rsidRPr="00AF04B7">
              <w:t>6</w:t>
            </w:r>
          </w:p>
        </w:tc>
        <w:tc>
          <w:tcPr>
            <w:tcW w:w="901" w:type="dxa"/>
            <w:tcBorders>
              <w:top w:val="single" w:sz="4" w:space="0" w:color="auto"/>
              <w:bottom w:val="single" w:sz="4" w:space="0" w:color="auto"/>
              <w:right w:val="nil"/>
            </w:tcBorders>
            <w:shd w:val="clear" w:color="auto" w:fill="FABF8F" w:themeFill="accent6" w:themeFillTint="99"/>
            <w:noWrap/>
            <w:vAlign w:val="center"/>
            <w:hideMark/>
          </w:tcPr>
          <w:p w14:paraId="1BC1496A" w14:textId="77777777" w:rsidR="004D3571" w:rsidRPr="00AF04B7" w:rsidRDefault="004D3571" w:rsidP="00AF04B7">
            <w:pPr>
              <w:pStyle w:val="cuadroCabe"/>
              <w:spacing w:line="240" w:lineRule="auto"/>
              <w:jc w:val="right"/>
            </w:pPr>
            <w:r w:rsidRPr="00AF04B7">
              <w:t>16</w:t>
            </w:r>
          </w:p>
        </w:tc>
      </w:tr>
    </w:tbl>
    <w:p w14:paraId="045EB145" w14:textId="4F2C3F54" w:rsidR="00AF04B7" w:rsidRPr="00AF04B7" w:rsidRDefault="00AF04B7" w:rsidP="00AF04B7">
      <w:pPr>
        <w:pStyle w:val="texto"/>
        <w:spacing w:after="0"/>
        <w:ind w:firstLine="0"/>
      </w:pPr>
    </w:p>
    <w:tbl>
      <w:tblPr>
        <w:tblW w:w="8791" w:type="dxa"/>
        <w:tblInd w:w="70"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474"/>
        <w:gridCol w:w="993"/>
        <w:gridCol w:w="638"/>
        <w:gridCol w:w="995"/>
        <w:gridCol w:w="995"/>
        <w:gridCol w:w="992"/>
        <w:gridCol w:w="704"/>
      </w:tblGrid>
      <w:tr w:rsidR="00DB537B" w:rsidRPr="00474131" w14:paraId="60485BBC" w14:textId="77777777" w:rsidTr="00AF04B7">
        <w:trPr>
          <w:trHeight w:val="227"/>
        </w:trPr>
        <w:tc>
          <w:tcPr>
            <w:tcW w:w="3474" w:type="dxa"/>
            <w:vMerge w:val="restart"/>
            <w:tcBorders>
              <w:top w:val="single" w:sz="4" w:space="0" w:color="auto"/>
              <w:bottom w:val="single" w:sz="2" w:space="0" w:color="auto"/>
            </w:tcBorders>
            <w:shd w:val="clear" w:color="auto" w:fill="FABF8F" w:themeFill="accent6" w:themeFillTint="99"/>
            <w:noWrap/>
            <w:vAlign w:val="center"/>
            <w:hideMark/>
          </w:tcPr>
          <w:p w14:paraId="3F815261" w14:textId="6FA871B2" w:rsidR="00DB537B" w:rsidRPr="00AF04B7" w:rsidRDefault="00DB537B" w:rsidP="00AF04B7">
            <w:pPr>
              <w:pStyle w:val="cuadroCabe"/>
              <w:spacing w:line="240" w:lineRule="auto"/>
            </w:pPr>
            <w:r w:rsidRPr="00AF04B7">
              <w:t xml:space="preserve">Infracción / </w:t>
            </w:r>
            <w:r w:rsidR="00474131" w:rsidRPr="00AF04B7">
              <w:t>c</w:t>
            </w:r>
            <w:r w:rsidRPr="00AF04B7">
              <w:t>ausa</w:t>
            </w:r>
          </w:p>
        </w:tc>
        <w:tc>
          <w:tcPr>
            <w:tcW w:w="1631" w:type="dxa"/>
            <w:gridSpan w:val="2"/>
            <w:tcBorders>
              <w:top w:val="single" w:sz="4" w:space="0" w:color="auto"/>
              <w:bottom w:val="single" w:sz="2" w:space="0" w:color="auto"/>
            </w:tcBorders>
            <w:shd w:val="clear" w:color="auto" w:fill="FABF8F" w:themeFill="accent6" w:themeFillTint="99"/>
            <w:vAlign w:val="center"/>
            <w:hideMark/>
          </w:tcPr>
          <w:p w14:paraId="5F4220CA" w14:textId="0D878DF4" w:rsidR="00DB537B" w:rsidRPr="00AF04B7" w:rsidRDefault="00DB537B" w:rsidP="00AF04B7">
            <w:pPr>
              <w:pStyle w:val="cuadroCabe"/>
              <w:spacing w:line="240" w:lineRule="auto"/>
              <w:jc w:val="right"/>
            </w:pPr>
            <w:proofErr w:type="spellStart"/>
            <w:r w:rsidRPr="00AF04B7">
              <w:t>Nº</w:t>
            </w:r>
            <w:proofErr w:type="spellEnd"/>
            <w:r w:rsidRPr="00AF04B7">
              <w:t xml:space="preserve"> Reparos</w:t>
            </w:r>
          </w:p>
        </w:tc>
        <w:tc>
          <w:tcPr>
            <w:tcW w:w="1990" w:type="dxa"/>
            <w:gridSpan w:val="2"/>
            <w:tcBorders>
              <w:top w:val="single" w:sz="4" w:space="0" w:color="auto"/>
              <w:bottom w:val="single" w:sz="2" w:space="0" w:color="auto"/>
            </w:tcBorders>
            <w:shd w:val="clear" w:color="auto" w:fill="FABF8F" w:themeFill="accent6" w:themeFillTint="99"/>
            <w:vAlign w:val="center"/>
            <w:hideMark/>
          </w:tcPr>
          <w:p w14:paraId="06F0BF27" w14:textId="431DA057" w:rsidR="00DB537B" w:rsidRPr="00AF04B7" w:rsidRDefault="00DB537B" w:rsidP="00AF04B7">
            <w:pPr>
              <w:pStyle w:val="cuadroCabe"/>
              <w:spacing w:line="240" w:lineRule="auto"/>
              <w:jc w:val="right"/>
            </w:pPr>
            <w:r w:rsidRPr="00AF04B7">
              <w:t xml:space="preserve">Importe </w:t>
            </w:r>
            <w:r w:rsidR="006B372D" w:rsidRPr="00AF04B7">
              <w:t>(euros)</w:t>
            </w:r>
          </w:p>
        </w:tc>
        <w:tc>
          <w:tcPr>
            <w:tcW w:w="1696" w:type="dxa"/>
            <w:gridSpan w:val="2"/>
            <w:tcBorders>
              <w:top w:val="single" w:sz="4" w:space="0" w:color="auto"/>
              <w:bottom w:val="single" w:sz="2" w:space="0" w:color="auto"/>
            </w:tcBorders>
            <w:shd w:val="clear" w:color="auto" w:fill="FABF8F" w:themeFill="accent6" w:themeFillTint="99"/>
            <w:vAlign w:val="center"/>
            <w:hideMark/>
          </w:tcPr>
          <w:p w14:paraId="5CE1DF82" w14:textId="77777777" w:rsidR="00DB537B" w:rsidRPr="00AF04B7" w:rsidRDefault="00DB537B" w:rsidP="00AF04B7">
            <w:pPr>
              <w:pStyle w:val="cuadroCabe"/>
              <w:spacing w:line="240" w:lineRule="auto"/>
              <w:jc w:val="right"/>
            </w:pPr>
            <w:r w:rsidRPr="00AF04B7">
              <w:t>Sin Importe</w:t>
            </w:r>
          </w:p>
        </w:tc>
      </w:tr>
      <w:tr w:rsidR="00DB537B" w:rsidRPr="00474131" w14:paraId="632A5294" w14:textId="77777777" w:rsidTr="00AF04B7">
        <w:trPr>
          <w:trHeight w:val="227"/>
        </w:trPr>
        <w:tc>
          <w:tcPr>
            <w:tcW w:w="3474" w:type="dxa"/>
            <w:vMerge/>
            <w:tcBorders>
              <w:top w:val="single" w:sz="2" w:space="0" w:color="auto"/>
              <w:bottom w:val="single" w:sz="2" w:space="0" w:color="auto"/>
            </w:tcBorders>
            <w:shd w:val="clear" w:color="auto" w:fill="FABF8F" w:themeFill="accent6" w:themeFillTint="99"/>
            <w:vAlign w:val="center"/>
            <w:hideMark/>
          </w:tcPr>
          <w:p w14:paraId="52F42F83" w14:textId="77777777" w:rsidR="00DB537B" w:rsidRPr="00AF04B7" w:rsidRDefault="00DB537B" w:rsidP="00AF04B7">
            <w:pPr>
              <w:pStyle w:val="cuadroCabe"/>
              <w:spacing w:line="240" w:lineRule="auto"/>
            </w:pPr>
          </w:p>
        </w:tc>
        <w:tc>
          <w:tcPr>
            <w:tcW w:w="993" w:type="dxa"/>
            <w:tcBorders>
              <w:top w:val="single" w:sz="2" w:space="0" w:color="auto"/>
              <w:bottom w:val="single" w:sz="2" w:space="0" w:color="auto"/>
            </w:tcBorders>
            <w:shd w:val="clear" w:color="auto" w:fill="FABF8F" w:themeFill="accent6" w:themeFillTint="99"/>
            <w:noWrap/>
            <w:vAlign w:val="center"/>
            <w:hideMark/>
          </w:tcPr>
          <w:p w14:paraId="7CCF83DC" w14:textId="77777777" w:rsidR="00DB537B" w:rsidRPr="00AF04B7" w:rsidRDefault="00DB537B" w:rsidP="00AF04B7">
            <w:pPr>
              <w:pStyle w:val="cuadroCabe"/>
              <w:spacing w:line="240" w:lineRule="auto"/>
              <w:jc w:val="right"/>
            </w:pPr>
            <w:r w:rsidRPr="00AF04B7">
              <w:t>2019</w:t>
            </w:r>
          </w:p>
        </w:tc>
        <w:tc>
          <w:tcPr>
            <w:tcW w:w="638" w:type="dxa"/>
            <w:tcBorders>
              <w:top w:val="single" w:sz="2" w:space="0" w:color="auto"/>
              <w:bottom w:val="single" w:sz="2" w:space="0" w:color="auto"/>
            </w:tcBorders>
            <w:shd w:val="clear" w:color="auto" w:fill="FABF8F" w:themeFill="accent6" w:themeFillTint="99"/>
            <w:noWrap/>
            <w:vAlign w:val="center"/>
            <w:hideMark/>
          </w:tcPr>
          <w:p w14:paraId="400295DE" w14:textId="77777777" w:rsidR="00DB537B" w:rsidRPr="00AF04B7" w:rsidRDefault="00DB537B" w:rsidP="00AF04B7">
            <w:pPr>
              <w:pStyle w:val="cuadroCabe"/>
              <w:spacing w:line="240" w:lineRule="auto"/>
              <w:jc w:val="right"/>
            </w:pPr>
            <w:r w:rsidRPr="00AF04B7">
              <w:t>2020</w:t>
            </w:r>
          </w:p>
        </w:tc>
        <w:tc>
          <w:tcPr>
            <w:tcW w:w="995" w:type="dxa"/>
            <w:tcBorders>
              <w:top w:val="single" w:sz="2" w:space="0" w:color="auto"/>
              <w:bottom w:val="single" w:sz="2" w:space="0" w:color="auto"/>
            </w:tcBorders>
            <w:shd w:val="clear" w:color="auto" w:fill="FABF8F" w:themeFill="accent6" w:themeFillTint="99"/>
            <w:noWrap/>
            <w:vAlign w:val="center"/>
            <w:hideMark/>
          </w:tcPr>
          <w:p w14:paraId="3E3C44BC" w14:textId="77777777" w:rsidR="00DB537B" w:rsidRPr="00AF04B7" w:rsidRDefault="00DB537B" w:rsidP="00AF04B7">
            <w:pPr>
              <w:pStyle w:val="cuadroCabe"/>
              <w:spacing w:line="240" w:lineRule="auto"/>
              <w:jc w:val="right"/>
            </w:pPr>
            <w:r w:rsidRPr="00AF04B7">
              <w:t>2019</w:t>
            </w:r>
          </w:p>
        </w:tc>
        <w:tc>
          <w:tcPr>
            <w:tcW w:w="995" w:type="dxa"/>
            <w:tcBorders>
              <w:top w:val="single" w:sz="2" w:space="0" w:color="auto"/>
              <w:bottom w:val="single" w:sz="2" w:space="0" w:color="auto"/>
            </w:tcBorders>
            <w:shd w:val="clear" w:color="auto" w:fill="FABF8F" w:themeFill="accent6" w:themeFillTint="99"/>
            <w:noWrap/>
            <w:vAlign w:val="center"/>
            <w:hideMark/>
          </w:tcPr>
          <w:p w14:paraId="2925A708" w14:textId="77777777" w:rsidR="00DB537B" w:rsidRPr="00AF04B7" w:rsidRDefault="00DB537B" w:rsidP="00AF04B7">
            <w:pPr>
              <w:pStyle w:val="cuadroCabe"/>
              <w:spacing w:line="240" w:lineRule="auto"/>
              <w:jc w:val="right"/>
            </w:pPr>
            <w:r w:rsidRPr="00AF04B7">
              <w:t>2020</w:t>
            </w:r>
          </w:p>
        </w:tc>
        <w:tc>
          <w:tcPr>
            <w:tcW w:w="992" w:type="dxa"/>
            <w:tcBorders>
              <w:top w:val="single" w:sz="2" w:space="0" w:color="auto"/>
              <w:bottom w:val="single" w:sz="2" w:space="0" w:color="auto"/>
            </w:tcBorders>
            <w:shd w:val="clear" w:color="auto" w:fill="FABF8F" w:themeFill="accent6" w:themeFillTint="99"/>
            <w:noWrap/>
            <w:vAlign w:val="center"/>
            <w:hideMark/>
          </w:tcPr>
          <w:p w14:paraId="2485A35E" w14:textId="77777777" w:rsidR="00DB537B" w:rsidRPr="00AF04B7" w:rsidRDefault="00DB537B" w:rsidP="00AF04B7">
            <w:pPr>
              <w:pStyle w:val="cuadroCabe"/>
              <w:spacing w:line="240" w:lineRule="auto"/>
              <w:jc w:val="right"/>
            </w:pPr>
            <w:r w:rsidRPr="00AF04B7">
              <w:t>2019</w:t>
            </w:r>
          </w:p>
        </w:tc>
        <w:tc>
          <w:tcPr>
            <w:tcW w:w="704" w:type="dxa"/>
            <w:tcBorders>
              <w:top w:val="single" w:sz="2" w:space="0" w:color="auto"/>
              <w:bottom w:val="single" w:sz="2" w:space="0" w:color="auto"/>
            </w:tcBorders>
            <w:shd w:val="clear" w:color="auto" w:fill="FABF8F" w:themeFill="accent6" w:themeFillTint="99"/>
            <w:noWrap/>
            <w:vAlign w:val="center"/>
            <w:hideMark/>
          </w:tcPr>
          <w:p w14:paraId="35D90F3C" w14:textId="77777777" w:rsidR="00DB537B" w:rsidRPr="00AF04B7" w:rsidRDefault="00DB537B" w:rsidP="00AF04B7">
            <w:pPr>
              <w:pStyle w:val="cuadroCabe"/>
              <w:spacing w:line="240" w:lineRule="auto"/>
              <w:jc w:val="right"/>
            </w:pPr>
            <w:r w:rsidRPr="00AF04B7">
              <w:t>2020</w:t>
            </w:r>
          </w:p>
        </w:tc>
      </w:tr>
      <w:tr w:rsidR="004C5885" w:rsidRPr="00474131" w14:paraId="4E01123E"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69AED32D" w14:textId="77777777" w:rsidR="004C5885" w:rsidRPr="00AF04B7" w:rsidRDefault="004C5885" w:rsidP="00AF04B7">
            <w:pPr>
              <w:pStyle w:val="cuatexto"/>
              <w:spacing w:line="240" w:lineRule="auto"/>
            </w:pPr>
            <w:r w:rsidRPr="00AF04B7">
              <w:t>Insuficiencia de crédito</w:t>
            </w:r>
          </w:p>
        </w:tc>
        <w:tc>
          <w:tcPr>
            <w:tcW w:w="993" w:type="dxa"/>
            <w:tcBorders>
              <w:top w:val="single" w:sz="2" w:space="0" w:color="auto"/>
              <w:bottom w:val="single" w:sz="2" w:space="0" w:color="auto"/>
            </w:tcBorders>
            <w:shd w:val="clear" w:color="auto" w:fill="auto"/>
            <w:noWrap/>
            <w:vAlign w:val="center"/>
            <w:hideMark/>
          </w:tcPr>
          <w:p w14:paraId="72E85643" w14:textId="77777777" w:rsidR="004C5885" w:rsidRPr="00AF04B7" w:rsidRDefault="004C5885" w:rsidP="00AF04B7">
            <w:pPr>
              <w:pStyle w:val="cuatexto"/>
              <w:spacing w:line="240" w:lineRule="auto"/>
              <w:jc w:val="right"/>
            </w:pPr>
            <w:r w:rsidRPr="00AF04B7">
              <w:t>21</w:t>
            </w:r>
          </w:p>
        </w:tc>
        <w:tc>
          <w:tcPr>
            <w:tcW w:w="638" w:type="dxa"/>
            <w:tcBorders>
              <w:top w:val="single" w:sz="2" w:space="0" w:color="auto"/>
              <w:bottom w:val="single" w:sz="2" w:space="0" w:color="auto"/>
            </w:tcBorders>
            <w:shd w:val="clear" w:color="auto" w:fill="auto"/>
            <w:noWrap/>
            <w:vAlign w:val="center"/>
            <w:hideMark/>
          </w:tcPr>
          <w:p w14:paraId="56423E47" w14:textId="77777777" w:rsidR="004C5885" w:rsidRPr="00AF04B7" w:rsidRDefault="004C5885" w:rsidP="00AF04B7">
            <w:pPr>
              <w:pStyle w:val="cuatexto"/>
              <w:spacing w:line="240" w:lineRule="auto"/>
              <w:jc w:val="right"/>
            </w:pPr>
            <w:r w:rsidRPr="00AF04B7">
              <w:t>29</w:t>
            </w:r>
          </w:p>
        </w:tc>
        <w:tc>
          <w:tcPr>
            <w:tcW w:w="995" w:type="dxa"/>
            <w:tcBorders>
              <w:top w:val="single" w:sz="2" w:space="0" w:color="auto"/>
              <w:bottom w:val="single" w:sz="2" w:space="0" w:color="auto"/>
            </w:tcBorders>
            <w:shd w:val="clear" w:color="auto" w:fill="auto"/>
            <w:noWrap/>
            <w:vAlign w:val="center"/>
            <w:hideMark/>
          </w:tcPr>
          <w:p w14:paraId="465C0009" w14:textId="77777777" w:rsidR="004C5885" w:rsidRPr="00AF04B7" w:rsidRDefault="004C5885" w:rsidP="00AF04B7">
            <w:pPr>
              <w:pStyle w:val="cuatexto"/>
              <w:spacing w:line="240" w:lineRule="auto"/>
              <w:jc w:val="right"/>
            </w:pPr>
            <w:r w:rsidRPr="00AF04B7">
              <w:t>339.995</w:t>
            </w:r>
          </w:p>
        </w:tc>
        <w:tc>
          <w:tcPr>
            <w:tcW w:w="995" w:type="dxa"/>
            <w:tcBorders>
              <w:top w:val="single" w:sz="2" w:space="0" w:color="auto"/>
              <w:bottom w:val="single" w:sz="2" w:space="0" w:color="auto"/>
            </w:tcBorders>
            <w:shd w:val="clear" w:color="auto" w:fill="auto"/>
            <w:noWrap/>
            <w:vAlign w:val="center"/>
            <w:hideMark/>
          </w:tcPr>
          <w:p w14:paraId="527A35BB" w14:textId="77777777" w:rsidR="004C5885" w:rsidRPr="00AF04B7" w:rsidRDefault="004C5885" w:rsidP="00AF04B7">
            <w:pPr>
              <w:pStyle w:val="cuatexto"/>
              <w:spacing w:line="240" w:lineRule="auto"/>
              <w:jc w:val="right"/>
            </w:pPr>
            <w:r w:rsidRPr="00AF04B7">
              <w:t>1.257.933</w:t>
            </w:r>
          </w:p>
        </w:tc>
        <w:tc>
          <w:tcPr>
            <w:tcW w:w="992" w:type="dxa"/>
            <w:tcBorders>
              <w:top w:val="single" w:sz="2" w:space="0" w:color="auto"/>
              <w:bottom w:val="single" w:sz="2" w:space="0" w:color="auto"/>
            </w:tcBorders>
            <w:shd w:val="clear" w:color="auto" w:fill="auto"/>
            <w:noWrap/>
            <w:vAlign w:val="center"/>
            <w:hideMark/>
          </w:tcPr>
          <w:p w14:paraId="356C2651" w14:textId="77777777" w:rsidR="004C5885" w:rsidRPr="00AF04B7" w:rsidRDefault="004C5885" w:rsidP="00AF04B7">
            <w:pPr>
              <w:pStyle w:val="cuatexto"/>
              <w:spacing w:line="240" w:lineRule="auto"/>
              <w:jc w:val="right"/>
            </w:pPr>
            <w:r w:rsidRPr="00AF04B7">
              <w:t>2</w:t>
            </w:r>
          </w:p>
        </w:tc>
        <w:tc>
          <w:tcPr>
            <w:tcW w:w="704" w:type="dxa"/>
            <w:tcBorders>
              <w:top w:val="single" w:sz="2" w:space="0" w:color="auto"/>
              <w:bottom w:val="single" w:sz="2" w:space="0" w:color="auto"/>
            </w:tcBorders>
            <w:shd w:val="clear" w:color="auto" w:fill="auto"/>
            <w:noWrap/>
            <w:vAlign w:val="center"/>
            <w:hideMark/>
          </w:tcPr>
          <w:p w14:paraId="1106D409" w14:textId="77777777" w:rsidR="004C5885" w:rsidRPr="00AF04B7" w:rsidRDefault="004C5885" w:rsidP="00AF04B7">
            <w:pPr>
              <w:pStyle w:val="cuatexto"/>
              <w:spacing w:line="240" w:lineRule="auto"/>
              <w:jc w:val="right"/>
            </w:pPr>
            <w:r w:rsidRPr="00AF04B7">
              <w:t>4</w:t>
            </w:r>
          </w:p>
        </w:tc>
      </w:tr>
      <w:tr w:rsidR="004C5885" w:rsidRPr="00474131" w14:paraId="3D806881"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1A25BE7A" w14:textId="77777777" w:rsidR="004C5885" w:rsidRPr="00AF04B7" w:rsidRDefault="004C5885" w:rsidP="00AF04B7">
            <w:pPr>
              <w:pStyle w:val="cuatexto"/>
              <w:spacing w:line="240" w:lineRule="auto"/>
            </w:pPr>
            <w:r w:rsidRPr="00AF04B7">
              <w:t>Crédito no adecuado</w:t>
            </w:r>
          </w:p>
        </w:tc>
        <w:tc>
          <w:tcPr>
            <w:tcW w:w="993" w:type="dxa"/>
            <w:tcBorders>
              <w:top w:val="single" w:sz="2" w:space="0" w:color="auto"/>
              <w:bottom w:val="single" w:sz="2" w:space="0" w:color="auto"/>
            </w:tcBorders>
            <w:shd w:val="clear" w:color="auto" w:fill="auto"/>
            <w:noWrap/>
            <w:vAlign w:val="center"/>
            <w:hideMark/>
          </w:tcPr>
          <w:p w14:paraId="3508FBA7" w14:textId="77777777" w:rsidR="004C5885" w:rsidRPr="00AF04B7" w:rsidRDefault="004C5885" w:rsidP="00AF04B7">
            <w:pPr>
              <w:pStyle w:val="cuatexto"/>
              <w:spacing w:line="240" w:lineRule="auto"/>
              <w:jc w:val="right"/>
            </w:pPr>
            <w:r w:rsidRPr="00AF04B7">
              <w:t>5</w:t>
            </w:r>
          </w:p>
        </w:tc>
        <w:tc>
          <w:tcPr>
            <w:tcW w:w="638" w:type="dxa"/>
            <w:tcBorders>
              <w:top w:val="single" w:sz="2" w:space="0" w:color="auto"/>
              <w:bottom w:val="single" w:sz="2" w:space="0" w:color="auto"/>
            </w:tcBorders>
            <w:shd w:val="clear" w:color="auto" w:fill="auto"/>
            <w:noWrap/>
            <w:vAlign w:val="center"/>
            <w:hideMark/>
          </w:tcPr>
          <w:p w14:paraId="34AB0B63" w14:textId="77777777" w:rsidR="004C5885" w:rsidRPr="00AF04B7" w:rsidRDefault="004C5885" w:rsidP="00AF04B7">
            <w:pPr>
              <w:pStyle w:val="cuatexto"/>
              <w:spacing w:line="240" w:lineRule="auto"/>
              <w:jc w:val="right"/>
            </w:pPr>
            <w:r w:rsidRPr="00AF04B7">
              <w:t>8</w:t>
            </w:r>
          </w:p>
        </w:tc>
        <w:tc>
          <w:tcPr>
            <w:tcW w:w="995" w:type="dxa"/>
            <w:tcBorders>
              <w:top w:val="single" w:sz="2" w:space="0" w:color="auto"/>
              <w:bottom w:val="single" w:sz="2" w:space="0" w:color="auto"/>
            </w:tcBorders>
            <w:shd w:val="clear" w:color="auto" w:fill="auto"/>
            <w:noWrap/>
            <w:vAlign w:val="center"/>
            <w:hideMark/>
          </w:tcPr>
          <w:p w14:paraId="20E0A703" w14:textId="77777777" w:rsidR="004C5885" w:rsidRPr="00AF04B7" w:rsidRDefault="004C5885" w:rsidP="00AF04B7">
            <w:pPr>
              <w:pStyle w:val="cuatexto"/>
              <w:spacing w:line="240" w:lineRule="auto"/>
              <w:jc w:val="right"/>
            </w:pPr>
            <w:r w:rsidRPr="00AF04B7">
              <w:t>78.246</w:t>
            </w:r>
          </w:p>
        </w:tc>
        <w:tc>
          <w:tcPr>
            <w:tcW w:w="995" w:type="dxa"/>
            <w:tcBorders>
              <w:top w:val="single" w:sz="2" w:space="0" w:color="auto"/>
              <w:bottom w:val="single" w:sz="2" w:space="0" w:color="auto"/>
            </w:tcBorders>
            <w:shd w:val="clear" w:color="auto" w:fill="auto"/>
            <w:noWrap/>
            <w:vAlign w:val="center"/>
            <w:hideMark/>
          </w:tcPr>
          <w:p w14:paraId="6573F3F5" w14:textId="77777777" w:rsidR="004C5885" w:rsidRPr="00AF04B7" w:rsidRDefault="004C5885" w:rsidP="00AF04B7">
            <w:pPr>
              <w:pStyle w:val="cuatexto"/>
              <w:spacing w:line="240" w:lineRule="auto"/>
              <w:jc w:val="right"/>
            </w:pPr>
            <w:r w:rsidRPr="00AF04B7">
              <w:t>162.910</w:t>
            </w:r>
          </w:p>
        </w:tc>
        <w:tc>
          <w:tcPr>
            <w:tcW w:w="992" w:type="dxa"/>
            <w:tcBorders>
              <w:top w:val="single" w:sz="2" w:space="0" w:color="auto"/>
              <w:bottom w:val="single" w:sz="2" w:space="0" w:color="auto"/>
            </w:tcBorders>
            <w:shd w:val="clear" w:color="auto" w:fill="auto"/>
            <w:noWrap/>
            <w:vAlign w:val="center"/>
            <w:hideMark/>
          </w:tcPr>
          <w:p w14:paraId="2C62DDFD" w14:textId="77777777" w:rsidR="004C5885" w:rsidRPr="00AF04B7" w:rsidRDefault="004C5885" w:rsidP="00AF04B7">
            <w:pPr>
              <w:pStyle w:val="cuatexto"/>
              <w:spacing w:line="240" w:lineRule="auto"/>
              <w:jc w:val="right"/>
            </w:pPr>
            <w:r w:rsidRPr="00AF04B7">
              <w:t>0</w:t>
            </w:r>
          </w:p>
        </w:tc>
        <w:tc>
          <w:tcPr>
            <w:tcW w:w="704" w:type="dxa"/>
            <w:tcBorders>
              <w:top w:val="single" w:sz="2" w:space="0" w:color="auto"/>
              <w:bottom w:val="single" w:sz="2" w:space="0" w:color="auto"/>
            </w:tcBorders>
            <w:shd w:val="clear" w:color="auto" w:fill="auto"/>
            <w:noWrap/>
            <w:vAlign w:val="center"/>
            <w:hideMark/>
          </w:tcPr>
          <w:p w14:paraId="67EB0089" w14:textId="77777777" w:rsidR="004C5885" w:rsidRPr="00AF04B7" w:rsidRDefault="004C5885" w:rsidP="00AF04B7">
            <w:pPr>
              <w:pStyle w:val="cuatexto"/>
              <w:spacing w:line="240" w:lineRule="auto"/>
              <w:jc w:val="right"/>
            </w:pPr>
            <w:r w:rsidRPr="00AF04B7">
              <w:t>0</w:t>
            </w:r>
          </w:p>
        </w:tc>
      </w:tr>
      <w:tr w:rsidR="004C5885" w:rsidRPr="00474131" w14:paraId="775DDF79"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0235E373" w14:textId="77777777" w:rsidR="004C5885" w:rsidRPr="00AF04B7" w:rsidRDefault="004C5885" w:rsidP="00AF04B7">
            <w:pPr>
              <w:pStyle w:val="cuatexto"/>
              <w:spacing w:line="240" w:lineRule="auto"/>
            </w:pPr>
            <w:r w:rsidRPr="00AF04B7">
              <w:t>Omisión de fiscalización</w:t>
            </w:r>
          </w:p>
        </w:tc>
        <w:tc>
          <w:tcPr>
            <w:tcW w:w="993" w:type="dxa"/>
            <w:tcBorders>
              <w:top w:val="single" w:sz="2" w:space="0" w:color="auto"/>
              <w:bottom w:val="single" w:sz="2" w:space="0" w:color="auto"/>
            </w:tcBorders>
            <w:shd w:val="clear" w:color="auto" w:fill="auto"/>
            <w:noWrap/>
            <w:vAlign w:val="center"/>
            <w:hideMark/>
          </w:tcPr>
          <w:p w14:paraId="68636A4C" w14:textId="77777777" w:rsidR="004C5885" w:rsidRPr="00AF04B7" w:rsidRDefault="004C5885" w:rsidP="00AF04B7">
            <w:pPr>
              <w:pStyle w:val="cuatexto"/>
              <w:spacing w:line="240" w:lineRule="auto"/>
              <w:jc w:val="right"/>
            </w:pPr>
            <w:r w:rsidRPr="00AF04B7">
              <w:t>11</w:t>
            </w:r>
          </w:p>
        </w:tc>
        <w:tc>
          <w:tcPr>
            <w:tcW w:w="638" w:type="dxa"/>
            <w:tcBorders>
              <w:top w:val="single" w:sz="2" w:space="0" w:color="auto"/>
              <w:bottom w:val="single" w:sz="2" w:space="0" w:color="auto"/>
            </w:tcBorders>
            <w:shd w:val="clear" w:color="auto" w:fill="auto"/>
            <w:noWrap/>
            <w:vAlign w:val="center"/>
            <w:hideMark/>
          </w:tcPr>
          <w:p w14:paraId="48F1D64E" w14:textId="77777777" w:rsidR="004C5885" w:rsidRPr="00AF04B7" w:rsidRDefault="004C5885" w:rsidP="00AF04B7">
            <w:pPr>
              <w:pStyle w:val="cuatexto"/>
              <w:spacing w:line="240" w:lineRule="auto"/>
              <w:jc w:val="right"/>
            </w:pPr>
            <w:r w:rsidRPr="00AF04B7">
              <w:t>7</w:t>
            </w:r>
          </w:p>
        </w:tc>
        <w:tc>
          <w:tcPr>
            <w:tcW w:w="995" w:type="dxa"/>
            <w:tcBorders>
              <w:top w:val="single" w:sz="2" w:space="0" w:color="auto"/>
              <w:bottom w:val="single" w:sz="2" w:space="0" w:color="auto"/>
            </w:tcBorders>
            <w:shd w:val="clear" w:color="auto" w:fill="auto"/>
            <w:noWrap/>
            <w:vAlign w:val="center"/>
            <w:hideMark/>
          </w:tcPr>
          <w:p w14:paraId="00B74003" w14:textId="77777777" w:rsidR="004C5885" w:rsidRPr="00AF04B7" w:rsidRDefault="004C5885" w:rsidP="00AF04B7">
            <w:pPr>
              <w:pStyle w:val="cuatexto"/>
              <w:spacing w:line="240" w:lineRule="auto"/>
              <w:jc w:val="right"/>
            </w:pPr>
            <w:r w:rsidRPr="00AF04B7">
              <w:t>28.238</w:t>
            </w:r>
          </w:p>
        </w:tc>
        <w:tc>
          <w:tcPr>
            <w:tcW w:w="995" w:type="dxa"/>
            <w:tcBorders>
              <w:top w:val="single" w:sz="2" w:space="0" w:color="auto"/>
              <w:bottom w:val="single" w:sz="2" w:space="0" w:color="auto"/>
            </w:tcBorders>
            <w:shd w:val="clear" w:color="auto" w:fill="auto"/>
            <w:noWrap/>
            <w:vAlign w:val="center"/>
            <w:hideMark/>
          </w:tcPr>
          <w:p w14:paraId="111F661F" w14:textId="77777777" w:rsidR="004C5885" w:rsidRPr="00AF04B7" w:rsidRDefault="004C5885" w:rsidP="00AF04B7">
            <w:pPr>
              <w:pStyle w:val="cuatexto"/>
              <w:spacing w:line="240" w:lineRule="auto"/>
              <w:jc w:val="right"/>
            </w:pPr>
            <w:r w:rsidRPr="00AF04B7">
              <w:t>11.983</w:t>
            </w:r>
          </w:p>
        </w:tc>
        <w:tc>
          <w:tcPr>
            <w:tcW w:w="992" w:type="dxa"/>
            <w:tcBorders>
              <w:top w:val="single" w:sz="2" w:space="0" w:color="auto"/>
              <w:bottom w:val="single" w:sz="2" w:space="0" w:color="auto"/>
            </w:tcBorders>
            <w:shd w:val="clear" w:color="auto" w:fill="auto"/>
            <w:noWrap/>
            <w:vAlign w:val="center"/>
            <w:hideMark/>
          </w:tcPr>
          <w:p w14:paraId="7C9D5B1F" w14:textId="77777777" w:rsidR="004C5885" w:rsidRPr="00AF04B7" w:rsidRDefault="004C5885" w:rsidP="00AF04B7">
            <w:pPr>
              <w:pStyle w:val="cuatexto"/>
              <w:spacing w:line="240" w:lineRule="auto"/>
              <w:jc w:val="right"/>
            </w:pPr>
            <w:r w:rsidRPr="00AF04B7">
              <w:t>0</w:t>
            </w:r>
          </w:p>
        </w:tc>
        <w:tc>
          <w:tcPr>
            <w:tcW w:w="704" w:type="dxa"/>
            <w:tcBorders>
              <w:top w:val="single" w:sz="2" w:space="0" w:color="auto"/>
              <w:bottom w:val="single" w:sz="2" w:space="0" w:color="auto"/>
            </w:tcBorders>
            <w:shd w:val="clear" w:color="auto" w:fill="auto"/>
            <w:noWrap/>
            <w:vAlign w:val="center"/>
            <w:hideMark/>
          </w:tcPr>
          <w:p w14:paraId="3BBDB1E1" w14:textId="77777777" w:rsidR="004C5885" w:rsidRPr="00AF04B7" w:rsidRDefault="004C5885" w:rsidP="00AF04B7">
            <w:pPr>
              <w:pStyle w:val="cuatexto"/>
              <w:spacing w:line="240" w:lineRule="auto"/>
              <w:jc w:val="right"/>
            </w:pPr>
            <w:r w:rsidRPr="00AF04B7">
              <w:t>4</w:t>
            </w:r>
          </w:p>
        </w:tc>
      </w:tr>
      <w:tr w:rsidR="004C5885" w:rsidRPr="00474131" w14:paraId="2AD3D03C"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675323E2" w14:textId="4D463DA1" w:rsidR="004C5885" w:rsidRPr="00AF04B7" w:rsidRDefault="004C5885" w:rsidP="00AF04B7">
            <w:pPr>
              <w:pStyle w:val="cuatexto"/>
              <w:spacing w:line="240" w:lineRule="auto"/>
            </w:pPr>
            <w:r w:rsidRPr="00AF04B7">
              <w:t xml:space="preserve">Irregularidades en </w:t>
            </w:r>
            <w:proofErr w:type="spellStart"/>
            <w:r w:rsidRPr="00AF04B7">
              <w:t>documen</w:t>
            </w:r>
            <w:r w:rsidR="00403EFD" w:rsidRPr="00AF04B7">
              <w:t>t</w:t>
            </w:r>
            <w:proofErr w:type="spellEnd"/>
            <w:r w:rsidR="00B51B98" w:rsidRPr="00AF04B7">
              <w:t>.</w:t>
            </w:r>
            <w:r w:rsidRPr="00AF04B7">
              <w:t xml:space="preserve"> justificativa</w:t>
            </w:r>
          </w:p>
        </w:tc>
        <w:tc>
          <w:tcPr>
            <w:tcW w:w="993" w:type="dxa"/>
            <w:tcBorders>
              <w:top w:val="single" w:sz="2" w:space="0" w:color="auto"/>
              <w:bottom w:val="single" w:sz="2" w:space="0" w:color="auto"/>
            </w:tcBorders>
            <w:shd w:val="clear" w:color="auto" w:fill="auto"/>
            <w:noWrap/>
            <w:vAlign w:val="center"/>
            <w:hideMark/>
          </w:tcPr>
          <w:p w14:paraId="7B9489E9" w14:textId="77777777" w:rsidR="004C5885" w:rsidRPr="00AF04B7" w:rsidRDefault="004C5885" w:rsidP="00AF04B7">
            <w:pPr>
              <w:pStyle w:val="cuatexto"/>
              <w:spacing w:line="240" w:lineRule="auto"/>
              <w:jc w:val="right"/>
            </w:pPr>
            <w:r w:rsidRPr="00AF04B7">
              <w:t>13</w:t>
            </w:r>
          </w:p>
        </w:tc>
        <w:tc>
          <w:tcPr>
            <w:tcW w:w="638" w:type="dxa"/>
            <w:tcBorders>
              <w:top w:val="single" w:sz="2" w:space="0" w:color="auto"/>
              <w:bottom w:val="single" w:sz="2" w:space="0" w:color="auto"/>
            </w:tcBorders>
            <w:shd w:val="clear" w:color="auto" w:fill="auto"/>
            <w:noWrap/>
            <w:vAlign w:val="center"/>
            <w:hideMark/>
          </w:tcPr>
          <w:p w14:paraId="0C7BB6AB" w14:textId="77777777" w:rsidR="004C5885" w:rsidRPr="00AF04B7" w:rsidRDefault="004C5885" w:rsidP="00AF04B7">
            <w:pPr>
              <w:pStyle w:val="cuatexto"/>
              <w:spacing w:line="240" w:lineRule="auto"/>
              <w:jc w:val="right"/>
            </w:pPr>
            <w:r w:rsidRPr="00AF04B7">
              <w:t>5</w:t>
            </w:r>
          </w:p>
        </w:tc>
        <w:tc>
          <w:tcPr>
            <w:tcW w:w="995" w:type="dxa"/>
            <w:tcBorders>
              <w:top w:val="single" w:sz="2" w:space="0" w:color="auto"/>
              <w:bottom w:val="single" w:sz="2" w:space="0" w:color="auto"/>
            </w:tcBorders>
            <w:shd w:val="clear" w:color="auto" w:fill="auto"/>
            <w:noWrap/>
            <w:vAlign w:val="center"/>
            <w:hideMark/>
          </w:tcPr>
          <w:p w14:paraId="011B7DE4" w14:textId="77777777" w:rsidR="004C5885" w:rsidRPr="00AF04B7" w:rsidRDefault="004C5885" w:rsidP="00AF04B7">
            <w:pPr>
              <w:pStyle w:val="cuatexto"/>
              <w:spacing w:line="240" w:lineRule="auto"/>
              <w:jc w:val="right"/>
            </w:pPr>
            <w:r w:rsidRPr="00AF04B7">
              <w:t>110.796</w:t>
            </w:r>
          </w:p>
        </w:tc>
        <w:tc>
          <w:tcPr>
            <w:tcW w:w="995" w:type="dxa"/>
            <w:tcBorders>
              <w:top w:val="single" w:sz="2" w:space="0" w:color="auto"/>
              <w:bottom w:val="single" w:sz="2" w:space="0" w:color="auto"/>
            </w:tcBorders>
            <w:shd w:val="clear" w:color="auto" w:fill="auto"/>
            <w:noWrap/>
            <w:vAlign w:val="center"/>
            <w:hideMark/>
          </w:tcPr>
          <w:p w14:paraId="16B9370C" w14:textId="77777777" w:rsidR="004C5885" w:rsidRPr="00AF04B7" w:rsidRDefault="004C5885" w:rsidP="00AF04B7">
            <w:pPr>
              <w:pStyle w:val="cuatexto"/>
              <w:spacing w:line="240" w:lineRule="auto"/>
              <w:jc w:val="right"/>
            </w:pPr>
            <w:r w:rsidRPr="00AF04B7">
              <w:t>73.000</w:t>
            </w:r>
          </w:p>
        </w:tc>
        <w:tc>
          <w:tcPr>
            <w:tcW w:w="992" w:type="dxa"/>
            <w:tcBorders>
              <w:top w:val="single" w:sz="2" w:space="0" w:color="auto"/>
              <w:bottom w:val="single" w:sz="2" w:space="0" w:color="auto"/>
            </w:tcBorders>
            <w:shd w:val="clear" w:color="auto" w:fill="auto"/>
            <w:noWrap/>
            <w:vAlign w:val="center"/>
            <w:hideMark/>
          </w:tcPr>
          <w:p w14:paraId="5A818912" w14:textId="77777777" w:rsidR="004C5885" w:rsidRPr="00AF04B7" w:rsidRDefault="004C5885" w:rsidP="00AF04B7">
            <w:pPr>
              <w:pStyle w:val="cuatexto"/>
              <w:spacing w:line="240" w:lineRule="auto"/>
              <w:jc w:val="right"/>
            </w:pPr>
            <w:r w:rsidRPr="00AF04B7">
              <w:t>0</w:t>
            </w:r>
          </w:p>
        </w:tc>
        <w:tc>
          <w:tcPr>
            <w:tcW w:w="704" w:type="dxa"/>
            <w:tcBorders>
              <w:top w:val="single" w:sz="2" w:space="0" w:color="auto"/>
              <w:bottom w:val="single" w:sz="2" w:space="0" w:color="auto"/>
            </w:tcBorders>
            <w:shd w:val="clear" w:color="auto" w:fill="auto"/>
            <w:noWrap/>
            <w:vAlign w:val="center"/>
            <w:hideMark/>
          </w:tcPr>
          <w:p w14:paraId="36746858" w14:textId="77777777" w:rsidR="004C5885" w:rsidRPr="00AF04B7" w:rsidRDefault="004C5885" w:rsidP="00AF04B7">
            <w:pPr>
              <w:pStyle w:val="cuatexto"/>
              <w:spacing w:line="240" w:lineRule="auto"/>
              <w:jc w:val="right"/>
            </w:pPr>
            <w:r w:rsidRPr="00AF04B7">
              <w:t>0</w:t>
            </w:r>
          </w:p>
        </w:tc>
      </w:tr>
      <w:tr w:rsidR="004C5885" w:rsidRPr="00474131" w14:paraId="18A085DB"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1AE86697" w14:textId="046B2BD1" w:rsidR="004C5885" w:rsidRPr="00AF04B7" w:rsidRDefault="004C5885" w:rsidP="00AF04B7">
            <w:pPr>
              <w:pStyle w:val="cuatexto"/>
              <w:spacing w:line="240" w:lineRule="auto"/>
            </w:pPr>
            <w:r w:rsidRPr="00AF04B7">
              <w:t>Omisión requisitos o trámites esenciales</w:t>
            </w:r>
          </w:p>
        </w:tc>
        <w:tc>
          <w:tcPr>
            <w:tcW w:w="993" w:type="dxa"/>
            <w:tcBorders>
              <w:top w:val="single" w:sz="2" w:space="0" w:color="auto"/>
              <w:bottom w:val="single" w:sz="2" w:space="0" w:color="auto"/>
            </w:tcBorders>
            <w:shd w:val="clear" w:color="auto" w:fill="auto"/>
            <w:noWrap/>
            <w:vAlign w:val="center"/>
            <w:hideMark/>
          </w:tcPr>
          <w:p w14:paraId="60B46BB2" w14:textId="77777777" w:rsidR="004C5885" w:rsidRPr="00AF04B7" w:rsidRDefault="004C5885" w:rsidP="00AF04B7">
            <w:pPr>
              <w:pStyle w:val="cuatexto"/>
              <w:spacing w:line="240" w:lineRule="auto"/>
              <w:jc w:val="right"/>
            </w:pPr>
            <w:r w:rsidRPr="00AF04B7">
              <w:t>99</w:t>
            </w:r>
          </w:p>
        </w:tc>
        <w:tc>
          <w:tcPr>
            <w:tcW w:w="638" w:type="dxa"/>
            <w:tcBorders>
              <w:top w:val="single" w:sz="2" w:space="0" w:color="auto"/>
              <w:bottom w:val="single" w:sz="2" w:space="0" w:color="auto"/>
            </w:tcBorders>
            <w:shd w:val="clear" w:color="auto" w:fill="auto"/>
            <w:noWrap/>
            <w:vAlign w:val="center"/>
            <w:hideMark/>
          </w:tcPr>
          <w:p w14:paraId="04947864" w14:textId="77777777" w:rsidR="004C5885" w:rsidRPr="00AF04B7" w:rsidRDefault="004C5885" w:rsidP="00AF04B7">
            <w:pPr>
              <w:pStyle w:val="cuatexto"/>
              <w:spacing w:line="240" w:lineRule="auto"/>
              <w:jc w:val="right"/>
            </w:pPr>
            <w:r w:rsidRPr="00AF04B7">
              <w:t>122</w:t>
            </w:r>
          </w:p>
        </w:tc>
        <w:tc>
          <w:tcPr>
            <w:tcW w:w="995" w:type="dxa"/>
            <w:tcBorders>
              <w:top w:val="single" w:sz="2" w:space="0" w:color="auto"/>
              <w:bottom w:val="single" w:sz="2" w:space="0" w:color="auto"/>
            </w:tcBorders>
            <w:shd w:val="clear" w:color="auto" w:fill="auto"/>
            <w:noWrap/>
            <w:vAlign w:val="center"/>
            <w:hideMark/>
          </w:tcPr>
          <w:p w14:paraId="4EDB36F2" w14:textId="77777777" w:rsidR="004C5885" w:rsidRPr="00AF04B7" w:rsidRDefault="004C5885" w:rsidP="00AF04B7">
            <w:pPr>
              <w:pStyle w:val="cuatexto"/>
              <w:spacing w:line="240" w:lineRule="auto"/>
              <w:jc w:val="right"/>
            </w:pPr>
            <w:r w:rsidRPr="00AF04B7">
              <w:t>2.864.717</w:t>
            </w:r>
          </w:p>
        </w:tc>
        <w:tc>
          <w:tcPr>
            <w:tcW w:w="995" w:type="dxa"/>
            <w:tcBorders>
              <w:top w:val="single" w:sz="2" w:space="0" w:color="auto"/>
              <w:bottom w:val="single" w:sz="2" w:space="0" w:color="auto"/>
            </w:tcBorders>
            <w:shd w:val="clear" w:color="auto" w:fill="auto"/>
            <w:noWrap/>
            <w:vAlign w:val="center"/>
            <w:hideMark/>
          </w:tcPr>
          <w:p w14:paraId="4AD7B89B" w14:textId="681E17E3" w:rsidR="004C5885" w:rsidRPr="00AF04B7" w:rsidRDefault="00F14730" w:rsidP="00AF04B7">
            <w:pPr>
              <w:pStyle w:val="cuatexto"/>
              <w:spacing w:line="240" w:lineRule="auto"/>
              <w:jc w:val="right"/>
            </w:pPr>
            <w:r w:rsidRPr="00AF04B7">
              <w:t>3.201.997</w:t>
            </w:r>
          </w:p>
        </w:tc>
        <w:tc>
          <w:tcPr>
            <w:tcW w:w="992" w:type="dxa"/>
            <w:tcBorders>
              <w:top w:val="single" w:sz="2" w:space="0" w:color="auto"/>
              <w:bottom w:val="single" w:sz="2" w:space="0" w:color="auto"/>
            </w:tcBorders>
            <w:shd w:val="clear" w:color="auto" w:fill="auto"/>
            <w:noWrap/>
            <w:vAlign w:val="center"/>
            <w:hideMark/>
          </w:tcPr>
          <w:p w14:paraId="50D1F237" w14:textId="77777777" w:rsidR="004C5885" w:rsidRPr="00AF04B7" w:rsidRDefault="004C5885" w:rsidP="00AF04B7">
            <w:pPr>
              <w:pStyle w:val="cuatexto"/>
              <w:spacing w:line="240" w:lineRule="auto"/>
              <w:jc w:val="right"/>
            </w:pPr>
            <w:r w:rsidRPr="00AF04B7">
              <w:t>3</w:t>
            </w:r>
          </w:p>
        </w:tc>
        <w:tc>
          <w:tcPr>
            <w:tcW w:w="704" w:type="dxa"/>
            <w:tcBorders>
              <w:top w:val="single" w:sz="2" w:space="0" w:color="auto"/>
              <w:bottom w:val="single" w:sz="2" w:space="0" w:color="auto"/>
            </w:tcBorders>
            <w:shd w:val="clear" w:color="auto" w:fill="auto"/>
            <w:noWrap/>
            <w:vAlign w:val="center"/>
            <w:hideMark/>
          </w:tcPr>
          <w:p w14:paraId="21461501" w14:textId="77777777" w:rsidR="004C5885" w:rsidRPr="00AF04B7" w:rsidRDefault="004C5885" w:rsidP="00AF04B7">
            <w:pPr>
              <w:pStyle w:val="cuatexto"/>
              <w:spacing w:line="240" w:lineRule="auto"/>
              <w:jc w:val="right"/>
            </w:pPr>
            <w:r w:rsidRPr="00AF04B7">
              <w:t>5</w:t>
            </w:r>
          </w:p>
        </w:tc>
      </w:tr>
      <w:tr w:rsidR="004C5885" w:rsidRPr="00474131" w14:paraId="0DB461EC"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613BE8C4" w14:textId="77777777" w:rsidR="004C5885" w:rsidRPr="00AF04B7" w:rsidRDefault="004C5885" w:rsidP="00AF04B7">
            <w:pPr>
              <w:pStyle w:val="cuatexto"/>
              <w:spacing w:line="240" w:lineRule="auto"/>
            </w:pPr>
            <w:r w:rsidRPr="00AF04B7">
              <w:t>Comprobación material de obras, suministros, adquisiciones y servicios</w:t>
            </w:r>
          </w:p>
        </w:tc>
        <w:tc>
          <w:tcPr>
            <w:tcW w:w="993" w:type="dxa"/>
            <w:tcBorders>
              <w:top w:val="single" w:sz="2" w:space="0" w:color="auto"/>
              <w:bottom w:val="single" w:sz="2" w:space="0" w:color="auto"/>
            </w:tcBorders>
            <w:shd w:val="clear" w:color="auto" w:fill="auto"/>
            <w:noWrap/>
            <w:vAlign w:val="center"/>
            <w:hideMark/>
          </w:tcPr>
          <w:p w14:paraId="525D889C" w14:textId="77777777" w:rsidR="004C5885" w:rsidRPr="00AF04B7" w:rsidRDefault="004C5885" w:rsidP="00AF04B7">
            <w:pPr>
              <w:pStyle w:val="cuatexto"/>
              <w:spacing w:line="240" w:lineRule="auto"/>
              <w:jc w:val="right"/>
            </w:pPr>
            <w:r w:rsidRPr="00AF04B7">
              <w:t>0</w:t>
            </w:r>
          </w:p>
        </w:tc>
        <w:tc>
          <w:tcPr>
            <w:tcW w:w="638" w:type="dxa"/>
            <w:tcBorders>
              <w:top w:val="single" w:sz="2" w:space="0" w:color="auto"/>
              <w:bottom w:val="single" w:sz="2" w:space="0" w:color="auto"/>
            </w:tcBorders>
            <w:shd w:val="clear" w:color="auto" w:fill="auto"/>
            <w:noWrap/>
            <w:vAlign w:val="center"/>
            <w:hideMark/>
          </w:tcPr>
          <w:p w14:paraId="694EA79B" w14:textId="77777777" w:rsidR="004C5885" w:rsidRPr="00AF04B7" w:rsidRDefault="004C5885" w:rsidP="00AF04B7">
            <w:pPr>
              <w:pStyle w:val="cuatexto"/>
              <w:spacing w:line="240" w:lineRule="auto"/>
              <w:jc w:val="right"/>
            </w:pPr>
            <w:r w:rsidRPr="00AF04B7">
              <w:t>2</w:t>
            </w:r>
          </w:p>
        </w:tc>
        <w:tc>
          <w:tcPr>
            <w:tcW w:w="995" w:type="dxa"/>
            <w:tcBorders>
              <w:top w:val="single" w:sz="2" w:space="0" w:color="auto"/>
              <w:bottom w:val="single" w:sz="2" w:space="0" w:color="auto"/>
            </w:tcBorders>
            <w:shd w:val="clear" w:color="auto" w:fill="auto"/>
            <w:noWrap/>
            <w:vAlign w:val="center"/>
            <w:hideMark/>
          </w:tcPr>
          <w:p w14:paraId="0980C479" w14:textId="77777777" w:rsidR="004C5885" w:rsidRPr="00AF04B7" w:rsidRDefault="004C5885" w:rsidP="00AF04B7">
            <w:pPr>
              <w:pStyle w:val="cuatexto"/>
              <w:spacing w:line="240" w:lineRule="auto"/>
              <w:jc w:val="right"/>
            </w:pPr>
            <w:r w:rsidRPr="00AF04B7">
              <w:t>0</w:t>
            </w:r>
          </w:p>
        </w:tc>
        <w:tc>
          <w:tcPr>
            <w:tcW w:w="995" w:type="dxa"/>
            <w:tcBorders>
              <w:top w:val="single" w:sz="2" w:space="0" w:color="auto"/>
              <w:bottom w:val="single" w:sz="2" w:space="0" w:color="auto"/>
            </w:tcBorders>
            <w:shd w:val="clear" w:color="auto" w:fill="auto"/>
            <w:noWrap/>
            <w:vAlign w:val="center"/>
            <w:hideMark/>
          </w:tcPr>
          <w:p w14:paraId="2BFDFD4C" w14:textId="77777777" w:rsidR="004C5885" w:rsidRPr="00AF04B7" w:rsidRDefault="004C5885" w:rsidP="00AF04B7">
            <w:pPr>
              <w:pStyle w:val="cuatexto"/>
              <w:spacing w:line="240" w:lineRule="auto"/>
              <w:jc w:val="right"/>
            </w:pPr>
            <w:r w:rsidRPr="00AF04B7">
              <w:t>6.476</w:t>
            </w:r>
          </w:p>
        </w:tc>
        <w:tc>
          <w:tcPr>
            <w:tcW w:w="992" w:type="dxa"/>
            <w:tcBorders>
              <w:top w:val="single" w:sz="2" w:space="0" w:color="auto"/>
              <w:bottom w:val="single" w:sz="2" w:space="0" w:color="auto"/>
            </w:tcBorders>
            <w:shd w:val="clear" w:color="auto" w:fill="auto"/>
            <w:noWrap/>
            <w:vAlign w:val="center"/>
            <w:hideMark/>
          </w:tcPr>
          <w:p w14:paraId="49EB0DF2" w14:textId="77777777" w:rsidR="004C5885" w:rsidRPr="00AF04B7" w:rsidRDefault="004C5885" w:rsidP="00AF04B7">
            <w:pPr>
              <w:pStyle w:val="cuatexto"/>
              <w:spacing w:line="240" w:lineRule="auto"/>
              <w:jc w:val="right"/>
            </w:pPr>
            <w:r w:rsidRPr="00AF04B7">
              <w:t>0</w:t>
            </w:r>
          </w:p>
        </w:tc>
        <w:tc>
          <w:tcPr>
            <w:tcW w:w="704" w:type="dxa"/>
            <w:tcBorders>
              <w:top w:val="single" w:sz="2" w:space="0" w:color="auto"/>
              <w:bottom w:val="single" w:sz="2" w:space="0" w:color="auto"/>
            </w:tcBorders>
            <w:shd w:val="clear" w:color="auto" w:fill="auto"/>
            <w:noWrap/>
            <w:vAlign w:val="center"/>
            <w:hideMark/>
          </w:tcPr>
          <w:p w14:paraId="5982E5BD" w14:textId="77777777" w:rsidR="004C5885" w:rsidRPr="00AF04B7" w:rsidRDefault="004C5885" w:rsidP="00AF04B7">
            <w:pPr>
              <w:pStyle w:val="cuatexto"/>
              <w:spacing w:line="240" w:lineRule="auto"/>
              <w:jc w:val="right"/>
            </w:pPr>
            <w:r w:rsidRPr="00AF04B7">
              <w:t>0</w:t>
            </w:r>
          </w:p>
        </w:tc>
      </w:tr>
      <w:tr w:rsidR="004C5885" w:rsidRPr="00474131" w14:paraId="60E75F5D"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5C1D618A" w14:textId="76E4F119" w:rsidR="004C5885" w:rsidRPr="00AF04B7" w:rsidRDefault="00B51B98" w:rsidP="00AF04B7">
            <w:pPr>
              <w:pStyle w:val="cuatexto"/>
              <w:spacing w:line="240" w:lineRule="auto"/>
            </w:pPr>
            <w:r w:rsidRPr="00AF04B7">
              <w:t>Otros actos contrarios al</w:t>
            </w:r>
            <w:r w:rsidR="00403EFD" w:rsidRPr="00AF04B7">
              <w:t xml:space="preserve"> </w:t>
            </w:r>
            <w:r w:rsidR="004C5885" w:rsidRPr="00AF04B7">
              <w:t>orden</w:t>
            </w:r>
            <w:r w:rsidR="00AF04B7">
              <w:t>.</w:t>
            </w:r>
            <w:r w:rsidR="004C5885" w:rsidRPr="00AF04B7">
              <w:t xml:space="preserve"> jurídico</w:t>
            </w:r>
          </w:p>
        </w:tc>
        <w:tc>
          <w:tcPr>
            <w:tcW w:w="993" w:type="dxa"/>
            <w:tcBorders>
              <w:top w:val="single" w:sz="2" w:space="0" w:color="auto"/>
              <w:bottom w:val="single" w:sz="2" w:space="0" w:color="auto"/>
            </w:tcBorders>
            <w:shd w:val="clear" w:color="auto" w:fill="auto"/>
            <w:noWrap/>
            <w:vAlign w:val="center"/>
            <w:hideMark/>
          </w:tcPr>
          <w:p w14:paraId="6E33DDEC" w14:textId="77777777" w:rsidR="004C5885" w:rsidRPr="00AF04B7" w:rsidRDefault="004C5885" w:rsidP="00AF04B7">
            <w:pPr>
              <w:pStyle w:val="cuatexto"/>
              <w:spacing w:line="240" w:lineRule="auto"/>
              <w:jc w:val="right"/>
            </w:pPr>
            <w:r w:rsidRPr="00AF04B7">
              <w:t>19</w:t>
            </w:r>
          </w:p>
        </w:tc>
        <w:tc>
          <w:tcPr>
            <w:tcW w:w="638" w:type="dxa"/>
            <w:tcBorders>
              <w:top w:val="single" w:sz="2" w:space="0" w:color="auto"/>
              <w:bottom w:val="single" w:sz="2" w:space="0" w:color="auto"/>
            </w:tcBorders>
            <w:shd w:val="clear" w:color="auto" w:fill="auto"/>
            <w:noWrap/>
            <w:vAlign w:val="center"/>
            <w:hideMark/>
          </w:tcPr>
          <w:p w14:paraId="56D58B10" w14:textId="77777777" w:rsidR="004C5885" w:rsidRPr="00AF04B7" w:rsidRDefault="004C5885" w:rsidP="00AF04B7">
            <w:pPr>
              <w:pStyle w:val="cuatexto"/>
              <w:spacing w:line="240" w:lineRule="auto"/>
              <w:jc w:val="right"/>
            </w:pPr>
            <w:r w:rsidRPr="00AF04B7">
              <w:t>9</w:t>
            </w:r>
          </w:p>
        </w:tc>
        <w:tc>
          <w:tcPr>
            <w:tcW w:w="995" w:type="dxa"/>
            <w:tcBorders>
              <w:top w:val="single" w:sz="2" w:space="0" w:color="auto"/>
              <w:bottom w:val="single" w:sz="2" w:space="0" w:color="auto"/>
            </w:tcBorders>
            <w:shd w:val="clear" w:color="auto" w:fill="auto"/>
            <w:noWrap/>
            <w:vAlign w:val="center"/>
            <w:hideMark/>
          </w:tcPr>
          <w:p w14:paraId="5944C70B" w14:textId="77777777" w:rsidR="004C5885" w:rsidRPr="00AF04B7" w:rsidRDefault="004C5885" w:rsidP="00AF04B7">
            <w:pPr>
              <w:pStyle w:val="cuatexto"/>
              <w:spacing w:line="240" w:lineRule="auto"/>
              <w:jc w:val="right"/>
            </w:pPr>
            <w:r w:rsidRPr="00AF04B7">
              <w:t>1.346.237</w:t>
            </w:r>
          </w:p>
        </w:tc>
        <w:tc>
          <w:tcPr>
            <w:tcW w:w="995" w:type="dxa"/>
            <w:tcBorders>
              <w:top w:val="single" w:sz="2" w:space="0" w:color="auto"/>
              <w:bottom w:val="single" w:sz="2" w:space="0" w:color="auto"/>
            </w:tcBorders>
            <w:shd w:val="clear" w:color="auto" w:fill="auto"/>
            <w:noWrap/>
            <w:vAlign w:val="center"/>
            <w:hideMark/>
          </w:tcPr>
          <w:p w14:paraId="3E94CFDB" w14:textId="672EBC68" w:rsidR="004C5885" w:rsidRPr="00AF04B7" w:rsidRDefault="00F14730" w:rsidP="00AF04B7">
            <w:pPr>
              <w:pStyle w:val="cuatexto"/>
              <w:spacing w:line="240" w:lineRule="auto"/>
              <w:jc w:val="right"/>
            </w:pPr>
            <w:r w:rsidRPr="00AF04B7">
              <w:t>29.093</w:t>
            </w:r>
          </w:p>
        </w:tc>
        <w:tc>
          <w:tcPr>
            <w:tcW w:w="992" w:type="dxa"/>
            <w:tcBorders>
              <w:top w:val="single" w:sz="2" w:space="0" w:color="auto"/>
              <w:bottom w:val="single" w:sz="2" w:space="0" w:color="auto"/>
            </w:tcBorders>
            <w:shd w:val="clear" w:color="auto" w:fill="auto"/>
            <w:noWrap/>
            <w:vAlign w:val="center"/>
            <w:hideMark/>
          </w:tcPr>
          <w:p w14:paraId="6DF6DCBF" w14:textId="77777777" w:rsidR="004C5885" w:rsidRPr="00AF04B7" w:rsidRDefault="004C5885" w:rsidP="00AF04B7">
            <w:pPr>
              <w:pStyle w:val="cuatexto"/>
              <w:spacing w:line="240" w:lineRule="auto"/>
              <w:jc w:val="right"/>
            </w:pPr>
            <w:r w:rsidRPr="00AF04B7">
              <w:t>1</w:t>
            </w:r>
          </w:p>
        </w:tc>
        <w:tc>
          <w:tcPr>
            <w:tcW w:w="704" w:type="dxa"/>
            <w:tcBorders>
              <w:top w:val="single" w:sz="2" w:space="0" w:color="auto"/>
              <w:bottom w:val="single" w:sz="2" w:space="0" w:color="auto"/>
            </w:tcBorders>
            <w:shd w:val="clear" w:color="auto" w:fill="auto"/>
            <w:noWrap/>
            <w:vAlign w:val="center"/>
            <w:hideMark/>
          </w:tcPr>
          <w:p w14:paraId="327F8393" w14:textId="77777777" w:rsidR="004C5885" w:rsidRPr="00AF04B7" w:rsidRDefault="004C5885" w:rsidP="00AF04B7">
            <w:pPr>
              <w:pStyle w:val="cuatexto"/>
              <w:spacing w:line="240" w:lineRule="auto"/>
              <w:jc w:val="right"/>
            </w:pPr>
            <w:r w:rsidRPr="00AF04B7">
              <w:t>3</w:t>
            </w:r>
          </w:p>
        </w:tc>
      </w:tr>
      <w:tr w:rsidR="004C5885" w:rsidRPr="00474131" w14:paraId="6425AE89" w14:textId="77777777" w:rsidTr="00AF04B7">
        <w:trPr>
          <w:trHeight w:val="227"/>
        </w:trPr>
        <w:tc>
          <w:tcPr>
            <w:tcW w:w="3474" w:type="dxa"/>
            <w:tcBorders>
              <w:top w:val="single" w:sz="2" w:space="0" w:color="auto"/>
              <w:bottom w:val="single" w:sz="4" w:space="0" w:color="auto"/>
            </w:tcBorders>
            <w:shd w:val="clear" w:color="auto" w:fill="auto"/>
            <w:noWrap/>
            <w:vAlign w:val="center"/>
            <w:hideMark/>
          </w:tcPr>
          <w:p w14:paraId="27425F22" w14:textId="77777777" w:rsidR="004C5885" w:rsidRPr="00AF04B7" w:rsidRDefault="004C5885" w:rsidP="00AF04B7">
            <w:pPr>
              <w:pStyle w:val="cuatexto"/>
              <w:spacing w:line="240" w:lineRule="auto"/>
            </w:pPr>
            <w:r w:rsidRPr="00AF04B7">
              <w:t>Órgano no competente para la aprobación del gasto</w:t>
            </w:r>
          </w:p>
        </w:tc>
        <w:tc>
          <w:tcPr>
            <w:tcW w:w="993" w:type="dxa"/>
            <w:tcBorders>
              <w:top w:val="single" w:sz="2" w:space="0" w:color="auto"/>
              <w:bottom w:val="single" w:sz="4" w:space="0" w:color="auto"/>
            </w:tcBorders>
            <w:shd w:val="clear" w:color="auto" w:fill="auto"/>
            <w:noWrap/>
            <w:vAlign w:val="center"/>
            <w:hideMark/>
          </w:tcPr>
          <w:p w14:paraId="384867DB" w14:textId="77777777" w:rsidR="004C5885" w:rsidRPr="00AF04B7" w:rsidRDefault="004C5885" w:rsidP="00AF04B7">
            <w:pPr>
              <w:pStyle w:val="cuatexto"/>
              <w:spacing w:line="240" w:lineRule="auto"/>
              <w:jc w:val="right"/>
            </w:pPr>
            <w:r w:rsidRPr="00AF04B7">
              <w:t>0</w:t>
            </w:r>
          </w:p>
        </w:tc>
        <w:tc>
          <w:tcPr>
            <w:tcW w:w="638" w:type="dxa"/>
            <w:tcBorders>
              <w:top w:val="single" w:sz="2" w:space="0" w:color="auto"/>
              <w:bottom w:val="single" w:sz="4" w:space="0" w:color="auto"/>
            </w:tcBorders>
            <w:shd w:val="clear" w:color="auto" w:fill="auto"/>
            <w:noWrap/>
            <w:vAlign w:val="center"/>
            <w:hideMark/>
          </w:tcPr>
          <w:p w14:paraId="4CC5017E" w14:textId="77777777" w:rsidR="004C5885" w:rsidRPr="00AF04B7" w:rsidRDefault="004C5885" w:rsidP="00AF04B7">
            <w:pPr>
              <w:pStyle w:val="cuatexto"/>
              <w:spacing w:line="240" w:lineRule="auto"/>
              <w:jc w:val="right"/>
            </w:pPr>
            <w:r w:rsidRPr="00AF04B7">
              <w:t>6</w:t>
            </w:r>
          </w:p>
        </w:tc>
        <w:tc>
          <w:tcPr>
            <w:tcW w:w="995" w:type="dxa"/>
            <w:tcBorders>
              <w:top w:val="single" w:sz="2" w:space="0" w:color="auto"/>
              <w:bottom w:val="single" w:sz="4" w:space="0" w:color="auto"/>
            </w:tcBorders>
            <w:shd w:val="clear" w:color="auto" w:fill="auto"/>
            <w:noWrap/>
            <w:vAlign w:val="center"/>
            <w:hideMark/>
          </w:tcPr>
          <w:p w14:paraId="3CD71CCF" w14:textId="77777777" w:rsidR="004C5885" w:rsidRPr="00AF04B7" w:rsidRDefault="004C5885" w:rsidP="00AF04B7">
            <w:pPr>
              <w:pStyle w:val="cuatexto"/>
              <w:spacing w:line="240" w:lineRule="auto"/>
              <w:jc w:val="right"/>
            </w:pPr>
            <w:r w:rsidRPr="00AF04B7">
              <w:t>0</w:t>
            </w:r>
          </w:p>
        </w:tc>
        <w:tc>
          <w:tcPr>
            <w:tcW w:w="995" w:type="dxa"/>
            <w:tcBorders>
              <w:top w:val="single" w:sz="2" w:space="0" w:color="auto"/>
              <w:bottom w:val="single" w:sz="4" w:space="0" w:color="auto"/>
            </w:tcBorders>
            <w:shd w:val="clear" w:color="auto" w:fill="auto"/>
            <w:noWrap/>
            <w:vAlign w:val="center"/>
            <w:hideMark/>
          </w:tcPr>
          <w:p w14:paraId="23790978" w14:textId="1D87E969" w:rsidR="004C5885" w:rsidRPr="00AF04B7" w:rsidRDefault="004C5885" w:rsidP="00AF04B7">
            <w:pPr>
              <w:pStyle w:val="cuatexto"/>
              <w:spacing w:line="240" w:lineRule="auto"/>
              <w:jc w:val="right"/>
            </w:pPr>
            <w:r w:rsidRPr="00AF04B7">
              <w:t>316.074</w:t>
            </w:r>
          </w:p>
        </w:tc>
        <w:tc>
          <w:tcPr>
            <w:tcW w:w="992" w:type="dxa"/>
            <w:tcBorders>
              <w:top w:val="single" w:sz="2" w:space="0" w:color="auto"/>
              <w:bottom w:val="single" w:sz="4" w:space="0" w:color="auto"/>
            </w:tcBorders>
            <w:shd w:val="clear" w:color="auto" w:fill="auto"/>
            <w:noWrap/>
            <w:vAlign w:val="center"/>
            <w:hideMark/>
          </w:tcPr>
          <w:p w14:paraId="756CF304" w14:textId="77777777" w:rsidR="004C5885" w:rsidRPr="00AF04B7" w:rsidRDefault="004C5885" w:rsidP="00AF04B7">
            <w:pPr>
              <w:pStyle w:val="cuatexto"/>
              <w:spacing w:line="240" w:lineRule="auto"/>
              <w:jc w:val="right"/>
            </w:pPr>
            <w:r w:rsidRPr="00AF04B7">
              <w:t>0</w:t>
            </w:r>
          </w:p>
        </w:tc>
        <w:tc>
          <w:tcPr>
            <w:tcW w:w="704" w:type="dxa"/>
            <w:tcBorders>
              <w:top w:val="single" w:sz="2" w:space="0" w:color="auto"/>
              <w:bottom w:val="single" w:sz="4" w:space="0" w:color="auto"/>
            </w:tcBorders>
            <w:shd w:val="clear" w:color="auto" w:fill="auto"/>
            <w:noWrap/>
            <w:vAlign w:val="center"/>
            <w:hideMark/>
          </w:tcPr>
          <w:p w14:paraId="6FB3EA05" w14:textId="77777777" w:rsidR="004C5885" w:rsidRPr="00AF04B7" w:rsidRDefault="004C5885" w:rsidP="00AF04B7">
            <w:pPr>
              <w:pStyle w:val="cuatexto"/>
              <w:spacing w:line="240" w:lineRule="auto"/>
              <w:jc w:val="right"/>
            </w:pPr>
            <w:r w:rsidRPr="00AF04B7">
              <w:t>0</w:t>
            </w:r>
          </w:p>
        </w:tc>
      </w:tr>
      <w:tr w:rsidR="004C5885" w:rsidRPr="00474131" w14:paraId="60F70ACC" w14:textId="77777777" w:rsidTr="00AF04B7">
        <w:trPr>
          <w:trHeight w:val="227"/>
        </w:trPr>
        <w:tc>
          <w:tcPr>
            <w:tcW w:w="3474" w:type="dxa"/>
            <w:tcBorders>
              <w:top w:val="single" w:sz="4" w:space="0" w:color="auto"/>
              <w:bottom w:val="single" w:sz="4" w:space="0" w:color="auto"/>
            </w:tcBorders>
            <w:shd w:val="clear" w:color="auto" w:fill="FABF8F" w:themeFill="accent6" w:themeFillTint="99"/>
            <w:noWrap/>
            <w:vAlign w:val="center"/>
            <w:hideMark/>
          </w:tcPr>
          <w:p w14:paraId="14A5AD31" w14:textId="77777777" w:rsidR="004C5885" w:rsidRPr="00AF04B7" w:rsidRDefault="004C5885" w:rsidP="00AF04B7">
            <w:pPr>
              <w:pStyle w:val="cuadroCabe"/>
              <w:spacing w:line="240" w:lineRule="auto"/>
            </w:pPr>
            <w:r w:rsidRPr="00AF04B7">
              <w:t>Total</w:t>
            </w:r>
          </w:p>
        </w:tc>
        <w:tc>
          <w:tcPr>
            <w:tcW w:w="993" w:type="dxa"/>
            <w:tcBorders>
              <w:top w:val="single" w:sz="4" w:space="0" w:color="auto"/>
              <w:bottom w:val="single" w:sz="4" w:space="0" w:color="auto"/>
            </w:tcBorders>
            <w:shd w:val="clear" w:color="auto" w:fill="FABF8F" w:themeFill="accent6" w:themeFillTint="99"/>
            <w:noWrap/>
            <w:vAlign w:val="center"/>
            <w:hideMark/>
          </w:tcPr>
          <w:p w14:paraId="32F1E819" w14:textId="77777777" w:rsidR="004C5885" w:rsidRPr="00AF04B7" w:rsidRDefault="004C5885" w:rsidP="00AF04B7">
            <w:pPr>
              <w:pStyle w:val="cuadroCabe"/>
              <w:spacing w:line="240" w:lineRule="auto"/>
              <w:jc w:val="right"/>
            </w:pPr>
            <w:r w:rsidRPr="00AF04B7">
              <w:t>168</w:t>
            </w:r>
          </w:p>
        </w:tc>
        <w:tc>
          <w:tcPr>
            <w:tcW w:w="638" w:type="dxa"/>
            <w:tcBorders>
              <w:top w:val="single" w:sz="4" w:space="0" w:color="auto"/>
              <w:bottom w:val="single" w:sz="4" w:space="0" w:color="auto"/>
            </w:tcBorders>
            <w:shd w:val="clear" w:color="auto" w:fill="FABF8F" w:themeFill="accent6" w:themeFillTint="99"/>
            <w:noWrap/>
            <w:vAlign w:val="center"/>
            <w:hideMark/>
          </w:tcPr>
          <w:p w14:paraId="0561E2E0" w14:textId="77777777" w:rsidR="004C5885" w:rsidRPr="00AF04B7" w:rsidRDefault="004C5885" w:rsidP="00AF04B7">
            <w:pPr>
              <w:pStyle w:val="cuadroCabe"/>
              <w:spacing w:line="240" w:lineRule="auto"/>
              <w:jc w:val="right"/>
            </w:pPr>
            <w:r w:rsidRPr="00AF04B7">
              <w:t>188</w:t>
            </w:r>
          </w:p>
        </w:tc>
        <w:tc>
          <w:tcPr>
            <w:tcW w:w="995" w:type="dxa"/>
            <w:tcBorders>
              <w:top w:val="single" w:sz="4" w:space="0" w:color="auto"/>
              <w:bottom w:val="single" w:sz="4" w:space="0" w:color="auto"/>
            </w:tcBorders>
            <w:shd w:val="clear" w:color="auto" w:fill="FABF8F" w:themeFill="accent6" w:themeFillTint="99"/>
            <w:noWrap/>
            <w:vAlign w:val="center"/>
            <w:hideMark/>
          </w:tcPr>
          <w:p w14:paraId="17494C0C" w14:textId="77777777" w:rsidR="004C5885" w:rsidRPr="00AF04B7" w:rsidRDefault="004C5885" w:rsidP="00AF04B7">
            <w:pPr>
              <w:pStyle w:val="cuadroCabe"/>
              <w:spacing w:line="240" w:lineRule="auto"/>
              <w:jc w:val="right"/>
            </w:pPr>
            <w:r w:rsidRPr="00AF04B7">
              <w:t>4.768.229</w:t>
            </w:r>
          </w:p>
        </w:tc>
        <w:tc>
          <w:tcPr>
            <w:tcW w:w="995" w:type="dxa"/>
            <w:tcBorders>
              <w:top w:val="single" w:sz="4" w:space="0" w:color="auto"/>
              <w:bottom w:val="single" w:sz="4" w:space="0" w:color="auto"/>
            </w:tcBorders>
            <w:shd w:val="clear" w:color="auto" w:fill="FABF8F" w:themeFill="accent6" w:themeFillTint="99"/>
            <w:noWrap/>
            <w:vAlign w:val="center"/>
            <w:hideMark/>
          </w:tcPr>
          <w:p w14:paraId="71F72353" w14:textId="52838D10" w:rsidR="004C5885" w:rsidRPr="00AF04B7" w:rsidRDefault="00F14730" w:rsidP="00AF04B7">
            <w:pPr>
              <w:pStyle w:val="cuadroCabe"/>
              <w:spacing w:line="240" w:lineRule="auto"/>
              <w:jc w:val="right"/>
            </w:pPr>
            <w:r w:rsidRPr="00AF04B7">
              <w:t>5.059.465</w:t>
            </w:r>
          </w:p>
        </w:tc>
        <w:tc>
          <w:tcPr>
            <w:tcW w:w="992" w:type="dxa"/>
            <w:tcBorders>
              <w:top w:val="single" w:sz="4" w:space="0" w:color="auto"/>
              <w:bottom w:val="single" w:sz="4" w:space="0" w:color="auto"/>
            </w:tcBorders>
            <w:shd w:val="clear" w:color="auto" w:fill="FABF8F" w:themeFill="accent6" w:themeFillTint="99"/>
            <w:noWrap/>
            <w:vAlign w:val="center"/>
            <w:hideMark/>
          </w:tcPr>
          <w:p w14:paraId="3113257C" w14:textId="77777777" w:rsidR="004C5885" w:rsidRPr="00AF04B7" w:rsidRDefault="004C5885" w:rsidP="00AF04B7">
            <w:pPr>
              <w:pStyle w:val="cuadroCabe"/>
              <w:spacing w:line="240" w:lineRule="auto"/>
              <w:jc w:val="right"/>
            </w:pPr>
            <w:r w:rsidRPr="00AF04B7">
              <w:t>6</w:t>
            </w:r>
          </w:p>
        </w:tc>
        <w:tc>
          <w:tcPr>
            <w:tcW w:w="704" w:type="dxa"/>
            <w:tcBorders>
              <w:top w:val="single" w:sz="4" w:space="0" w:color="auto"/>
              <w:bottom w:val="single" w:sz="4" w:space="0" w:color="auto"/>
            </w:tcBorders>
            <w:shd w:val="clear" w:color="auto" w:fill="FABF8F" w:themeFill="accent6" w:themeFillTint="99"/>
            <w:noWrap/>
            <w:vAlign w:val="center"/>
            <w:hideMark/>
          </w:tcPr>
          <w:p w14:paraId="4691C31D" w14:textId="77777777" w:rsidR="004C5885" w:rsidRPr="00AF04B7" w:rsidRDefault="004C5885" w:rsidP="00AF04B7">
            <w:pPr>
              <w:pStyle w:val="cuadroCabe"/>
              <w:spacing w:line="240" w:lineRule="auto"/>
              <w:jc w:val="right"/>
            </w:pPr>
            <w:r w:rsidRPr="00AF04B7">
              <w:t>16</w:t>
            </w:r>
          </w:p>
        </w:tc>
      </w:tr>
    </w:tbl>
    <w:p w14:paraId="45EBEBF5" w14:textId="38B76C87" w:rsidR="00AE13D4" w:rsidRPr="00DB537B" w:rsidRDefault="00AE13D4" w:rsidP="00AF04B7">
      <w:pPr>
        <w:tabs>
          <w:tab w:val="left" w:pos="1630"/>
          <w:tab w:val="left" w:pos="2480"/>
          <w:tab w:val="left" w:pos="3189"/>
          <w:tab w:val="left" w:pos="4039"/>
          <w:tab w:val="left" w:pos="4748"/>
          <w:tab w:val="left" w:pos="5740"/>
          <w:tab w:val="left" w:pos="6733"/>
          <w:tab w:val="left" w:pos="7725"/>
        </w:tabs>
        <w:spacing w:before="120"/>
        <w:ind w:left="68" w:firstLine="215"/>
        <w:jc w:val="left"/>
        <w:rPr>
          <w:color w:val="000000"/>
          <w:sz w:val="26"/>
          <w:szCs w:val="26"/>
          <w:lang w:val="es-ES" w:eastAsia="es-ES"/>
        </w:rPr>
      </w:pPr>
      <w:r>
        <w:rPr>
          <w:rFonts w:cs="Arial"/>
          <w:color w:val="000000" w:themeColor="text1"/>
          <w:spacing w:val="6"/>
          <w:sz w:val="26"/>
          <w:szCs w:val="24"/>
          <w:lang w:val="es-ES"/>
        </w:rPr>
        <w:t xml:space="preserve">El área de contratación pública </w:t>
      </w:r>
      <w:r w:rsidRPr="00DB537B">
        <w:rPr>
          <w:rFonts w:cs="Arial"/>
          <w:color w:val="000000" w:themeColor="text1"/>
          <w:spacing w:val="6"/>
          <w:sz w:val="26"/>
          <w:szCs w:val="24"/>
          <w:lang w:val="es-ES"/>
        </w:rPr>
        <w:t>concentra el 61 por ciento de los reparos y el 86 por ciento del importe afectado, seguida por las áreas de personal y subvenciones</w:t>
      </w:r>
      <w:r w:rsidR="00005CAD">
        <w:rPr>
          <w:rFonts w:cs="Arial"/>
          <w:color w:val="000000" w:themeColor="text1"/>
          <w:spacing w:val="6"/>
          <w:sz w:val="26"/>
          <w:szCs w:val="24"/>
          <w:lang w:val="es-ES"/>
        </w:rPr>
        <w:t>. Por otra parte, las ca</w:t>
      </w:r>
      <w:r>
        <w:rPr>
          <w:rFonts w:cs="Arial"/>
          <w:color w:val="000000" w:themeColor="text1"/>
          <w:spacing w:val="6"/>
          <w:sz w:val="26"/>
          <w:szCs w:val="24"/>
          <w:lang w:val="es-ES"/>
        </w:rPr>
        <w:t>usas más frecuentes de los reparos son la omisión en el expediente de requisitos o trámites esenciales (65 por ciento) y la insuficiencia de crédito presupuestario (15 por ciento).</w:t>
      </w:r>
    </w:p>
    <w:p w14:paraId="06C7FD1C" w14:textId="736C99EB" w:rsidR="00AE13D4" w:rsidRDefault="008B5AD0" w:rsidP="00EC2B57">
      <w:pPr>
        <w:spacing w:after="0"/>
        <w:ind w:firstLine="0"/>
        <w:jc w:val="left"/>
        <w:rPr>
          <w:rFonts w:cs="Arial"/>
          <w:color w:val="000000" w:themeColor="text1"/>
          <w:spacing w:val="6"/>
          <w:sz w:val="26"/>
          <w:szCs w:val="24"/>
          <w:lang w:val="es-ES"/>
        </w:rPr>
      </w:pPr>
      <w:r>
        <w:rPr>
          <w:rFonts w:cs="Arial"/>
          <w:color w:val="000000" w:themeColor="text1"/>
          <w:spacing w:val="6"/>
          <w:sz w:val="26"/>
          <w:szCs w:val="24"/>
          <w:lang w:val="es-ES"/>
        </w:rPr>
        <w:t>P</w:t>
      </w:r>
      <w:r w:rsidR="00AE13D4">
        <w:rPr>
          <w:rFonts w:cs="Arial"/>
          <w:color w:val="000000" w:themeColor="text1"/>
          <w:spacing w:val="6"/>
          <w:sz w:val="26"/>
          <w:szCs w:val="24"/>
          <w:lang w:val="es-ES"/>
        </w:rPr>
        <w:t xml:space="preserve">or último, la siguiente tabla desglosa los reparos </w:t>
      </w:r>
      <w:r w:rsidR="00005CAD">
        <w:rPr>
          <w:rFonts w:cs="Arial"/>
          <w:color w:val="000000" w:themeColor="text1"/>
          <w:spacing w:val="6"/>
          <w:sz w:val="26"/>
          <w:szCs w:val="24"/>
          <w:lang w:val="es-ES"/>
        </w:rPr>
        <w:t xml:space="preserve">de 2020 </w:t>
      </w:r>
      <w:r w:rsidR="00576A54">
        <w:rPr>
          <w:rFonts w:cs="Arial"/>
          <w:color w:val="000000" w:themeColor="text1"/>
          <w:spacing w:val="6"/>
          <w:sz w:val="26"/>
          <w:szCs w:val="24"/>
          <w:lang w:val="es-ES"/>
        </w:rPr>
        <w:t>en función del importe afectado</w:t>
      </w:r>
      <w:r w:rsidR="00AE13D4">
        <w:rPr>
          <w:rFonts w:cs="Arial"/>
          <w:color w:val="000000" w:themeColor="text1"/>
          <w:spacing w:val="6"/>
          <w:sz w:val="26"/>
          <w:szCs w:val="24"/>
          <w:lang w:val="es-ES"/>
        </w:rPr>
        <w:t>:</w:t>
      </w:r>
    </w:p>
    <w:p w14:paraId="5B6251A1" w14:textId="1F226469" w:rsidR="00297E99" w:rsidRPr="0003647B" w:rsidRDefault="00AF04B7" w:rsidP="00297E99">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297E99">
        <w:rPr>
          <w:rFonts w:ascii="Arial Narrow" w:hAnsi="Arial Narrow"/>
          <w:color w:val="000000" w:themeColor="text1"/>
          <w:sz w:val="18"/>
          <w:szCs w:val="18"/>
        </w:rPr>
        <w:t>Euros</w:t>
      </w:r>
      <w:r>
        <w:rPr>
          <w:rFonts w:ascii="Arial Narrow" w:hAnsi="Arial Narrow"/>
          <w:color w:val="000000" w:themeColor="text1"/>
          <w:sz w:val="18"/>
          <w:szCs w:val="18"/>
        </w:rPr>
        <w:t>)</w:t>
      </w:r>
    </w:p>
    <w:tbl>
      <w:tblPr>
        <w:tblW w:w="8789" w:type="dxa"/>
        <w:tblBorders>
          <w:top w:val="single" w:sz="4" w:space="0" w:color="auto"/>
          <w:bottom w:val="single" w:sz="4" w:space="0" w:color="auto"/>
          <w:insideH w:val="single" w:sz="2" w:space="0" w:color="auto"/>
        </w:tblBorders>
        <w:tblCellMar>
          <w:left w:w="0" w:type="dxa"/>
          <w:right w:w="0" w:type="dxa"/>
        </w:tblCellMar>
        <w:tblLook w:val="04A0" w:firstRow="1" w:lastRow="0" w:firstColumn="1" w:lastColumn="0" w:noHBand="0" w:noVBand="1"/>
      </w:tblPr>
      <w:tblGrid>
        <w:gridCol w:w="3261"/>
        <w:gridCol w:w="1256"/>
        <w:gridCol w:w="2545"/>
        <w:gridCol w:w="1727"/>
      </w:tblGrid>
      <w:tr w:rsidR="00AE13D4" w:rsidRPr="00AF04B7" w14:paraId="641BE269" w14:textId="77777777" w:rsidTr="00565DBB">
        <w:trPr>
          <w:trHeight w:val="227"/>
        </w:trPr>
        <w:tc>
          <w:tcPr>
            <w:tcW w:w="3261" w:type="dxa"/>
            <w:shd w:val="clear" w:color="auto" w:fill="FABF8F" w:themeFill="accent6" w:themeFillTint="99"/>
            <w:noWrap/>
            <w:tcMar>
              <w:top w:w="0" w:type="dxa"/>
              <w:left w:w="70" w:type="dxa"/>
              <w:bottom w:w="0" w:type="dxa"/>
              <w:right w:w="70" w:type="dxa"/>
            </w:tcMar>
            <w:vAlign w:val="center"/>
            <w:hideMark/>
          </w:tcPr>
          <w:p w14:paraId="4145CC40" w14:textId="77777777" w:rsidR="00AE13D4" w:rsidRPr="00AF04B7" w:rsidRDefault="00AE13D4" w:rsidP="00AF04B7">
            <w:pPr>
              <w:pStyle w:val="cuadroCabe"/>
              <w:spacing w:line="240" w:lineRule="auto"/>
            </w:pPr>
            <w:r w:rsidRPr="00AF04B7">
              <w:t>Intervalo monetario</w:t>
            </w:r>
          </w:p>
        </w:tc>
        <w:tc>
          <w:tcPr>
            <w:tcW w:w="1256" w:type="dxa"/>
            <w:shd w:val="clear" w:color="auto" w:fill="FABF8F" w:themeFill="accent6" w:themeFillTint="99"/>
            <w:noWrap/>
            <w:tcMar>
              <w:top w:w="0" w:type="dxa"/>
              <w:left w:w="70" w:type="dxa"/>
              <w:bottom w:w="0" w:type="dxa"/>
              <w:right w:w="70" w:type="dxa"/>
            </w:tcMar>
            <w:vAlign w:val="center"/>
            <w:hideMark/>
          </w:tcPr>
          <w:p w14:paraId="2DB98C1E" w14:textId="77777777" w:rsidR="00AE13D4" w:rsidRPr="00AF04B7" w:rsidRDefault="00AE13D4" w:rsidP="00AF04B7">
            <w:pPr>
              <w:pStyle w:val="cuadroCabe"/>
              <w:spacing w:line="240" w:lineRule="auto"/>
              <w:jc w:val="right"/>
            </w:pPr>
            <w:proofErr w:type="spellStart"/>
            <w:r w:rsidRPr="00AF04B7">
              <w:t>Nº</w:t>
            </w:r>
            <w:proofErr w:type="spellEnd"/>
            <w:r w:rsidRPr="00AF04B7">
              <w:t xml:space="preserve"> reparos</w:t>
            </w:r>
          </w:p>
        </w:tc>
        <w:tc>
          <w:tcPr>
            <w:tcW w:w="2545" w:type="dxa"/>
            <w:shd w:val="clear" w:color="auto" w:fill="FABF8F" w:themeFill="accent6" w:themeFillTint="99"/>
            <w:noWrap/>
            <w:tcMar>
              <w:top w:w="0" w:type="dxa"/>
              <w:left w:w="70" w:type="dxa"/>
              <w:bottom w:w="0" w:type="dxa"/>
              <w:right w:w="70" w:type="dxa"/>
            </w:tcMar>
            <w:vAlign w:val="center"/>
            <w:hideMark/>
          </w:tcPr>
          <w:p w14:paraId="42411EB5" w14:textId="77777777" w:rsidR="00AE13D4" w:rsidRPr="00AF04B7" w:rsidRDefault="00AE13D4" w:rsidP="00AF04B7">
            <w:pPr>
              <w:pStyle w:val="cuadroCabe"/>
              <w:spacing w:line="240" w:lineRule="auto"/>
              <w:jc w:val="right"/>
            </w:pPr>
            <w:r w:rsidRPr="00AF04B7">
              <w:t>Importe total cuantificado</w:t>
            </w:r>
          </w:p>
        </w:tc>
        <w:tc>
          <w:tcPr>
            <w:tcW w:w="1727" w:type="dxa"/>
            <w:shd w:val="clear" w:color="auto" w:fill="FABF8F" w:themeFill="accent6" w:themeFillTint="99"/>
            <w:noWrap/>
            <w:tcMar>
              <w:top w:w="0" w:type="dxa"/>
              <w:left w:w="70" w:type="dxa"/>
              <w:bottom w:w="0" w:type="dxa"/>
              <w:right w:w="70" w:type="dxa"/>
            </w:tcMar>
            <w:vAlign w:val="center"/>
            <w:hideMark/>
          </w:tcPr>
          <w:p w14:paraId="5743EE5A" w14:textId="77777777" w:rsidR="00AE13D4" w:rsidRPr="00AF04B7" w:rsidRDefault="00AE13D4" w:rsidP="00AF04B7">
            <w:pPr>
              <w:pStyle w:val="cuadroCabe"/>
              <w:spacing w:line="240" w:lineRule="auto"/>
              <w:jc w:val="right"/>
            </w:pPr>
            <w:r w:rsidRPr="00AF04B7">
              <w:t>Importe medio</w:t>
            </w:r>
          </w:p>
        </w:tc>
      </w:tr>
      <w:tr w:rsidR="004C5885" w:rsidRPr="00AF04B7" w14:paraId="580F3C84" w14:textId="77777777" w:rsidTr="00565DBB">
        <w:trPr>
          <w:trHeight w:val="227"/>
        </w:trPr>
        <w:tc>
          <w:tcPr>
            <w:tcW w:w="3261" w:type="dxa"/>
            <w:noWrap/>
            <w:tcMar>
              <w:top w:w="0" w:type="dxa"/>
              <w:left w:w="70" w:type="dxa"/>
              <w:bottom w:w="0" w:type="dxa"/>
              <w:right w:w="70" w:type="dxa"/>
            </w:tcMar>
            <w:vAlign w:val="center"/>
            <w:hideMark/>
          </w:tcPr>
          <w:p w14:paraId="1CC9CFAE" w14:textId="0890CA2A" w:rsidR="004C5885" w:rsidRPr="00AF04B7" w:rsidRDefault="004C5885" w:rsidP="00AF04B7">
            <w:pPr>
              <w:pStyle w:val="cuatexto"/>
              <w:spacing w:line="240" w:lineRule="auto"/>
            </w:pPr>
            <w:r w:rsidRPr="00AF04B7">
              <w:t>Hasta 1.000 eur</w:t>
            </w:r>
            <w:r w:rsidR="004C741A" w:rsidRPr="00AF04B7">
              <w:t>os</w:t>
            </w:r>
          </w:p>
        </w:tc>
        <w:tc>
          <w:tcPr>
            <w:tcW w:w="1256" w:type="dxa"/>
            <w:noWrap/>
            <w:tcMar>
              <w:top w:w="0" w:type="dxa"/>
              <w:left w:w="70" w:type="dxa"/>
              <w:bottom w:w="0" w:type="dxa"/>
              <w:right w:w="70" w:type="dxa"/>
            </w:tcMar>
            <w:vAlign w:val="center"/>
            <w:hideMark/>
          </w:tcPr>
          <w:p w14:paraId="05311185" w14:textId="77777777" w:rsidR="004C5885" w:rsidRPr="00AF04B7" w:rsidRDefault="004C5885" w:rsidP="00AF04B7">
            <w:pPr>
              <w:pStyle w:val="cuatexto"/>
              <w:spacing w:line="240" w:lineRule="auto"/>
              <w:jc w:val="right"/>
            </w:pPr>
            <w:r w:rsidRPr="00AF04B7">
              <w:t>17</w:t>
            </w:r>
          </w:p>
        </w:tc>
        <w:tc>
          <w:tcPr>
            <w:tcW w:w="2545" w:type="dxa"/>
            <w:noWrap/>
            <w:tcMar>
              <w:top w:w="0" w:type="dxa"/>
              <w:left w:w="70" w:type="dxa"/>
              <w:bottom w:w="0" w:type="dxa"/>
              <w:right w:w="70" w:type="dxa"/>
            </w:tcMar>
            <w:vAlign w:val="center"/>
            <w:hideMark/>
          </w:tcPr>
          <w:p w14:paraId="4679BD7C" w14:textId="77777777" w:rsidR="004C5885" w:rsidRPr="00AF04B7" w:rsidRDefault="004C5885" w:rsidP="00AF04B7">
            <w:pPr>
              <w:pStyle w:val="cuatexto"/>
              <w:spacing w:line="240" w:lineRule="auto"/>
              <w:jc w:val="right"/>
            </w:pPr>
            <w:r w:rsidRPr="00AF04B7">
              <w:t xml:space="preserve">             10.448 </w:t>
            </w:r>
          </w:p>
        </w:tc>
        <w:tc>
          <w:tcPr>
            <w:tcW w:w="1727" w:type="dxa"/>
            <w:noWrap/>
            <w:tcMar>
              <w:top w:w="0" w:type="dxa"/>
              <w:left w:w="70" w:type="dxa"/>
              <w:bottom w:w="0" w:type="dxa"/>
              <w:right w:w="70" w:type="dxa"/>
            </w:tcMar>
            <w:vAlign w:val="center"/>
            <w:hideMark/>
          </w:tcPr>
          <w:p w14:paraId="4767114B" w14:textId="77777777" w:rsidR="004C5885" w:rsidRPr="00AF04B7" w:rsidRDefault="004C5885" w:rsidP="00AF04B7">
            <w:pPr>
              <w:pStyle w:val="cuatexto"/>
              <w:spacing w:line="240" w:lineRule="auto"/>
              <w:jc w:val="right"/>
            </w:pPr>
            <w:r w:rsidRPr="00AF04B7">
              <w:t xml:space="preserve">                  615 </w:t>
            </w:r>
          </w:p>
        </w:tc>
      </w:tr>
      <w:tr w:rsidR="004C5885" w:rsidRPr="00AF04B7" w14:paraId="661C9FB1" w14:textId="77777777" w:rsidTr="00565DBB">
        <w:trPr>
          <w:trHeight w:val="227"/>
        </w:trPr>
        <w:tc>
          <w:tcPr>
            <w:tcW w:w="3261" w:type="dxa"/>
            <w:noWrap/>
            <w:tcMar>
              <w:top w:w="0" w:type="dxa"/>
              <w:left w:w="70" w:type="dxa"/>
              <w:bottom w:w="0" w:type="dxa"/>
              <w:right w:w="70" w:type="dxa"/>
            </w:tcMar>
            <w:vAlign w:val="center"/>
            <w:hideMark/>
          </w:tcPr>
          <w:p w14:paraId="5B917EB9" w14:textId="7E3F3AA2" w:rsidR="004C5885" w:rsidRPr="00AF04B7" w:rsidRDefault="004C5885" w:rsidP="00AF04B7">
            <w:pPr>
              <w:pStyle w:val="cuatexto"/>
              <w:spacing w:line="240" w:lineRule="auto"/>
            </w:pPr>
            <w:r w:rsidRPr="00AF04B7">
              <w:t>De 1.001 a 5.000 eur</w:t>
            </w:r>
            <w:r w:rsidR="004C741A" w:rsidRPr="00AF04B7">
              <w:t>os</w:t>
            </w:r>
          </w:p>
        </w:tc>
        <w:tc>
          <w:tcPr>
            <w:tcW w:w="1256" w:type="dxa"/>
            <w:noWrap/>
            <w:tcMar>
              <w:top w:w="0" w:type="dxa"/>
              <w:left w:w="70" w:type="dxa"/>
              <w:bottom w:w="0" w:type="dxa"/>
              <w:right w:w="70" w:type="dxa"/>
            </w:tcMar>
            <w:vAlign w:val="center"/>
            <w:hideMark/>
          </w:tcPr>
          <w:p w14:paraId="77B77930" w14:textId="77777777" w:rsidR="004C5885" w:rsidRPr="00AF04B7" w:rsidRDefault="004C5885" w:rsidP="00AF04B7">
            <w:pPr>
              <w:pStyle w:val="cuatexto"/>
              <w:spacing w:line="240" w:lineRule="auto"/>
              <w:jc w:val="right"/>
            </w:pPr>
            <w:r w:rsidRPr="00AF04B7">
              <w:t>72</w:t>
            </w:r>
          </w:p>
        </w:tc>
        <w:tc>
          <w:tcPr>
            <w:tcW w:w="2545" w:type="dxa"/>
            <w:noWrap/>
            <w:tcMar>
              <w:top w:w="0" w:type="dxa"/>
              <w:left w:w="70" w:type="dxa"/>
              <w:bottom w:w="0" w:type="dxa"/>
              <w:right w:w="70" w:type="dxa"/>
            </w:tcMar>
            <w:vAlign w:val="center"/>
            <w:hideMark/>
          </w:tcPr>
          <w:p w14:paraId="54B11B8D" w14:textId="77777777" w:rsidR="004C5885" w:rsidRPr="00AF04B7" w:rsidRDefault="004C5885" w:rsidP="00AF04B7">
            <w:pPr>
              <w:pStyle w:val="cuatexto"/>
              <w:spacing w:line="240" w:lineRule="auto"/>
              <w:jc w:val="right"/>
            </w:pPr>
            <w:r w:rsidRPr="00AF04B7">
              <w:t xml:space="preserve">           202.235 </w:t>
            </w:r>
          </w:p>
        </w:tc>
        <w:tc>
          <w:tcPr>
            <w:tcW w:w="1727" w:type="dxa"/>
            <w:noWrap/>
            <w:tcMar>
              <w:top w:w="0" w:type="dxa"/>
              <w:left w:w="70" w:type="dxa"/>
              <w:bottom w:w="0" w:type="dxa"/>
              <w:right w:w="70" w:type="dxa"/>
            </w:tcMar>
            <w:vAlign w:val="center"/>
            <w:hideMark/>
          </w:tcPr>
          <w:p w14:paraId="297AC678" w14:textId="77777777" w:rsidR="004C5885" w:rsidRPr="00AF04B7" w:rsidRDefault="004C5885" w:rsidP="00AF04B7">
            <w:pPr>
              <w:pStyle w:val="cuatexto"/>
              <w:spacing w:line="240" w:lineRule="auto"/>
              <w:jc w:val="right"/>
            </w:pPr>
            <w:r w:rsidRPr="00AF04B7">
              <w:t xml:space="preserve">               2.809 </w:t>
            </w:r>
          </w:p>
        </w:tc>
      </w:tr>
      <w:tr w:rsidR="004C5885" w:rsidRPr="00AF04B7" w14:paraId="2369BC8C" w14:textId="77777777" w:rsidTr="00565DBB">
        <w:trPr>
          <w:trHeight w:val="227"/>
        </w:trPr>
        <w:tc>
          <w:tcPr>
            <w:tcW w:w="3261" w:type="dxa"/>
            <w:noWrap/>
            <w:tcMar>
              <w:top w:w="0" w:type="dxa"/>
              <w:left w:w="70" w:type="dxa"/>
              <w:bottom w:w="0" w:type="dxa"/>
              <w:right w:w="70" w:type="dxa"/>
            </w:tcMar>
            <w:vAlign w:val="center"/>
            <w:hideMark/>
          </w:tcPr>
          <w:p w14:paraId="732728AF" w14:textId="2A95DF27" w:rsidR="004C5885" w:rsidRPr="00AF04B7" w:rsidRDefault="004C5885" w:rsidP="00AF04B7">
            <w:pPr>
              <w:pStyle w:val="cuatexto"/>
              <w:spacing w:line="240" w:lineRule="auto"/>
            </w:pPr>
            <w:r w:rsidRPr="00AF04B7">
              <w:t>De 5.001 a 10.000 eur</w:t>
            </w:r>
            <w:r w:rsidR="004C741A" w:rsidRPr="00AF04B7">
              <w:t>os</w:t>
            </w:r>
          </w:p>
        </w:tc>
        <w:tc>
          <w:tcPr>
            <w:tcW w:w="1256" w:type="dxa"/>
            <w:noWrap/>
            <w:tcMar>
              <w:top w:w="0" w:type="dxa"/>
              <w:left w:w="70" w:type="dxa"/>
              <w:bottom w:w="0" w:type="dxa"/>
              <w:right w:w="70" w:type="dxa"/>
            </w:tcMar>
            <w:vAlign w:val="center"/>
            <w:hideMark/>
          </w:tcPr>
          <w:p w14:paraId="4050A42E" w14:textId="77777777" w:rsidR="004C5885" w:rsidRPr="00AF04B7" w:rsidRDefault="004C5885" w:rsidP="00AF04B7">
            <w:pPr>
              <w:pStyle w:val="cuatexto"/>
              <w:spacing w:line="240" w:lineRule="auto"/>
              <w:jc w:val="right"/>
            </w:pPr>
            <w:r w:rsidRPr="00AF04B7">
              <w:t>21</w:t>
            </w:r>
          </w:p>
        </w:tc>
        <w:tc>
          <w:tcPr>
            <w:tcW w:w="2545" w:type="dxa"/>
            <w:noWrap/>
            <w:tcMar>
              <w:top w:w="0" w:type="dxa"/>
              <w:left w:w="70" w:type="dxa"/>
              <w:bottom w:w="0" w:type="dxa"/>
              <w:right w:w="70" w:type="dxa"/>
            </w:tcMar>
            <w:vAlign w:val="center"/>
            <w:hideMark/>
          </w:tcPr>
          <w:p w14:paraId="70B7540C" w14:textId="1AD3774F" w:rsidR="004C5885" w:rsidRPr="00AF04B7" w:rsidRDefault="00F14730" w:rsidP="00AF04B7">
            <w:pPr>
              <w:pStyle w:val="cuatexto"/>
              <w:spacing w:line="240" w:lineRule="auto"/>
              <w:jc w:val="right"/>
            </w:pPr>
            <w:r w:rsidRPr="00AF04B7">
              <w:t>162.088</w:t>
            </w:r>
            <w:r w:rsidR="004C5885" w:rsidRPr="00AF04B7">
              <w:t xml:space="preserve"> </w:t>
            </w:r>
          </w:p>
        </w:tc>
        <w:tc>
          <w:tcPr>
            <w:tcW w:w="1727" w:type="dxa"/>
            <w:noWrap/>
            <w:tcMar>
              <w:top w:w="0" w:type="dxa"/>
              <w:left w:w="70" w:type="dxa"/>
              <w:bottom w:w="0" w:type="dxa"/>
              <w:right w:w="70" w:type="dxa"/>
            </w:tcMar>
            <w:vAlign w:val="center"/>
            <w:hideMark/>
          </w:tcPr>
          <w:p w14:paraId="44203A4F" w14:textId="6977FE83" w:rsidR="004C5885" w:rsidRPr="00AF04B7" w:rsidRDefault="00F14730" w:rsidP="00AF04B7">
            <w:pPr>
              <w:pStyle w:val="cuatexto"/>
              <w:spacing w:line="240" w:lineRule="auto"/>
              <w:jc w:val="right"/>
            </w:pPr>
            <w:r w:rsidRPr="00AF04B7">
              <w:t>7.718</w:t>
            </w:r>
            <w:r w:rsidR="004C5885" w:rsidRPr="00AF04B7">
              <w:t xml:space="preserve"> </w:t>
            </w:r>
          </w:p>
        </w:tc>
      </w:tr>
      <w:tr w:rsidR="004C5885" w:rsidRPr="00AF04B7" w14:paraId="74F97E52" w14:textId="77777777" w:rsidTr="00565DBB">
        <w:trPr>
          <w:trHeight w:val="227"/>
        </w:trPr>
        <w:tc>
          <w:tcPr>
            <w:tcW w:w="3261" w:type="dxa"/>
            <w:noWrap/>
            <w:tcMar>
              <w:top w:w="0" w:type="dxa"/>
              <w:left w:w="70" w:type="dxa"/>
              <w:bottom w:w="0" w:type="dxa"/>
              <w:right w:w="70" w:type="dxa"/>
            </w:tcMar>
            <w:vAlign w:val="center"/>
            <w:hideMark/>
          </w:tcPr>
          <w:p w14:paraId="2A730427" w14:textId="44226403" w:rsidR="004C5885" w:rsidRPr="00AF04B7" w:rsidRDefault="004C5885" w:rsidP="00AF04B7">
            <w:pPr>
              <w:pStyle w:val="cuatexto"/>
              <w:spacing w:line="240" w:lineRule="auto"/>
            </w:pPr>
            <w:r w:rsidRPr="00AF04B7">
              <w:t>De 10.001 a 20.000 eur</w:t>
            </w:r>
            <w:r w:rsidR="004C741A" w:rsidRPr="00AF04B7">
              <w:t>os</w:t>
            </w:r>
          </w:p>
        </w:tc>
        <w:tc>
          <w:tcPr>
            <w:tcW w:w="1256" w:type="dxa"/>
            <w:noWrap/>
            <w:tcMar>
              <w:top w:w="0" w:type="dxa"/>
              <w:left w:w="70" w:type="dxa"/>
              <w:bottom w:w="0" w:type="dxa"/>
              <w:right w:w="70" w:type="dxa"/>
            </w:tcMar>
            <w:vAlign w:val="center"/>
            <w:hideMark/>
          </w:tcPr>
          <w:p w14:paraId="197315FA" w14:textId="77777777" w:rsidR="004C5885" w:rsidRPr="00AF04B7" w:rsidRDefault="004C5885" w:rsidP="00AF04B7">
            <w:pPr>
              <w:pStyle w:val="cuatexto"/>
              <w:spacing w:line="240" w:lineRule="auto"/>
              <w:jc w:val="right"/>
            </w:pPr>
            <w:r w:rsidRPr="00AF04B7">
              <w:t>18</w:t>
            </w:r>
          </w:p>
        </w:tc>
        <w:tc>
          <w:tcPr>
            <w:tcW w:w="2545" w:type="dxa"/>
            <w:noWrap/>
            <w:tcMar>
              <w:top w:w="0" w:type="dxa"/>
              <w:left w:w="70" w:type="dxa"/>
              <w:bottom w:w="0" w:type="dxa"/>
              <w:right w:w="70" w:type="dxa"/>
            </w:tcMar>
            <w:vAlign w:val="center"/>
            <w:hideMark/>
          </w:tcPr>
          <w:p w14:paraId="6F1EC812" w14:textId="4020D962" w:rsidR="004C5885" w:rsidRPr="00AF04B7" w:rsidRDefault="00F14730" w:rsidP="00AF04B7">
            <w:pPr>
              <w:pStyle w:val="cuatexto"/>
              <w:spacing w:line="240" w:lineRule="auto"/>
              <w:jc w:val="right"/>
            </w:pPr>
            <w:r w:rsidRPr="00AF04B7">
              <w:t>254.689</w:t>
            </w:r>
            <w:r w:rsidR="004C5885" w:rsidRPr="00AF04B7">
              <w:t xml:space="preserve"> </w:t>
            </w:r>
          </w:p>
        </w:tc>
        <w:tc>
          <w:tcPr>
            <w:tcW w:w="1727" w:type="dxa"/>
            <w:noWrap/>
            <w:tcMar>
              <w:top w:w="0" w:type="dxa"/>
              <w:left w:w="70" w:type="dxa"/>
              <w:bottom w:w="0" w:type="dxa"/>
              <w:right w:w="70" w:type="dxa"/>
            </w:tcMar>
            <w:vAlign w:val="center"/>
            <w:hideMark/>
          </w:tcPr>
          <w:p w14:paraId="0AEE59D9" w14:textId="07E83E7E" w:rsidR="004C5885" w:rsidRPr="00AF04B7" w:rsidRDefault="00F14730" w:rsidP="00AF04B7">
            <w:pPr>
              <w:pStyle w:val="cuatexto"/>
              <w:spacing w:line="240" w:lineRule="auto"/>
              <w:jc w:val="right"/>
            </w:pPr>
            <w:r w:rsidRPr="00AF04B7">
              <w:t>14.149</w:t>
            </w:r>
            <w:r w:rsidR="004C5885" w:rsidRPr="00AF04B7">
              <w:t xml:space="preserve"> </w:t>
            </w:r>
          </w:p>
        </w:tc>
      </w:tr>
      <w:tr w:rsidR="004C5885" w:rsidRPr="00AF04B7" w14:paraId="7D902641" w14:textId="77777777" w:rsidTr="00565DBB">
        <w:trPr>
          <w:trHeight w:val="227"/>
        </w:trPr>
        <w:tc>
          <w:tcPr>
            <w:tcW w:w="3261" w:type="dxa"/>
            <w:noWrap/>
            <w:tcMar>
              <w:top w:w="0" w:type="dxa"/>
              <w:left w:w="70" w:type="dxa"/>
              <w:bottom w:w="0" w:type="dxa"/>
              <w:right w:w="70" w:type="dxa"/>
            </w:tcMar>
            <w:vAlign w:val="center"/>
            <w:hideMark/>
          </w:tcPr>
          <w:p w14:paraId="226FFB3D" w14:textId="1BB5505C" w:rsidR="004C5885" w:rsidRPr="00AF04B7" w:rsidRDefault="004C5885" w:rsidP="00AF04B7">
            <w:pPr>
              <w:pStyle w:val="cuatexto"/>
              <w:spacing w:line="240" w:lineRule="auto"/>
            </w:pPr>
            <w:r w:rsidRPr="00AF04B7">
              <w:t xml:space="preserve">Más </w:t>
            </w:r>
            <w:proofErr w:type="gramStart"/>
            <w:r w:rsidRPr="00AF04B7">
              <w:t>de  20.000</w:t>
            </w:r>
            <w:proofErr w:type="gramEnd"/>
            <w:r w:rsidRPr="00AF04B7">
              <w:t xml:space="preserve"> eur</w:t>
            </w:r>
            <w:r w:rsidR="004C741A" w:rsidRPr="00AF04B7">
              <w:t>os</w:t>
            </w:r>
          </w:p>
        </w:tc>
        <w:tc>
          <w:tcPr>
            <w:tcW w:w="1256" w:type="dxa"/>
            <w:noWrap/>
            <w:tcMar>
              <w:top w:w="0" w:type="dxa"/>
              <w:left w:w="70" w:type="dxa"/>
              <w:bottom w:w="0" w:type="dxa"/>
              <w:right w:w="70" w:type="dxa"/>
            </w:tcMar>
            <w:vAlign w:val="center"/>
            <w:hideMark/>
          </w:tcPr>
          <w:p w14:paraId="3D0618EB" w14:textId="77777777" w:rsidR="004C5885" w:rsidRPr="00AF04B7" w:rsidRDefault="004C5885" w:rsidP="00AF04B7">
            <w:pPr>
              <w:pStyle w:val="cuatexto"/>
              <w:spacing w:line="240" w:lineRule="auto"/>
              <w:jc w:val="right"/>
            </w:pPr>
            <w:r w:rsidRPr="00AF04B7">
              <w:t>44</w:t>
            </w:r>
          </w:p>
        </w:tc>
        <w:tc>
          <w:tcPr>
            <w:tcW w:w="2545" w:type="dxa"/>
            <w:noWrap/>
            <w:tcMar>
              <w:top w:w="0" w:type="dxa"/>
              <w:left w:w="70" w:type="dxa"/>
              <w:bottom w:w="0" w:type="dxa"/>
              <w:right w:w="70" w:type="dxa"/>
            </w:tcMar>
            <w:vAlign w:val="center"/>
            <w:hideMark/>
          </w:tcPr>
          <w:p w14:paraId="2DF6CD55" w14:textId="269DE7C6" w:rsidR="004C5885" w:rsidRPr="00AF04B7" w:rsidRDefault="00F14730" w:rsidP="00AF04B7">
            <w:pPr>
              <w:pStyle w:val="cuatexto"/>
              <w:spacing w:line="240" w:lineRule="auto"/>
              <w:jc w:val="right"/>
            </w:pPr>
            <w:r w:rsidRPr="00AF04B7">
              <w:t>4.430.005</w:t>
            </w:r>
            <w:r w:rsidR="004C5885" w:rsidRPr="00AF04B7">
              <w:t xml:space="preserve"> </w:t>
            </w:r>
          </w:p>
        </w:tc>
        <w:tc>
          <w:tcPr>
            <w:tcW w:w="1727" w:type="dxa"/>
            <w:noWrap/>
            <w:tcMar>
              <w:top w:w="0" w:type="dxa"/>
              <w:left w:w="70" w:type="dxa"/>
              <w:bottom w:w="0" w:type="dxa"/>
              <w:right w:w="70" w:type="dxa"/>
            </w:tcMar>
            <w:vAlign w:val="center"/>
            <w:hideMark/>
          </w:tcPr>
          <w:p w14:paraId="7030072C" w14:textId="45791F87" w:rsidR="004C5885" w:rsidRPr="00AF04B7" w:rsidRDefault="00F14730" w:rsidP="00AF04B7">
            <w:pPr>
              <w:pStyle w:val="cuatexto"/>
              <w:spacing w:line="240" w:lineRule="auto"/>
              <w:jc w:val="right"/>
            </w:pPr>
            <w:r w:rsidRPr="00AF04B7">
              <w:t>100.682</w:t>
            </w:r>
            <w:r w:rsidR="004C5885" w:rsidRPr="00AF04B7">
              <w:t xml:space="preserve"> </w:t>
            </w:r>
          </w:p>
        </w:tc>
      </w:tr>
      <w:tr w:rsidR="004C5885" w:rsidRPr="00AF04B7" w14:paraId="2BF0CFCF" w14:textId="77777777" w:rsidTr="00565DBB">
        <w:trPr>
          <w:trHeight w:val="227"/>
        </w:trPr>
        <w:tc>
          <w:tcPr>
            <w:tcW w:w="3261" w:type="dxa"/>
            <w:shd w:val="clear" w:color="auto" w:fill="FABF8F" w:themeFill="accent6" w:themeFillTint="99"/>
            <w:noWrap/>
            <w:tcMar>
              <w:top w:w="0" w:type="dxa"/>
              <w:left w:w="70" w:type="dxa"/>
              <w:bottom w:w="0" w:type="dxa"/>
              <w:right w:w="70" w:type="dxa"/>
            </w:tcMar>
            <w:vAlign w:val="center"/>
            <w:hideMark/>
          </w:tcPr>
          <w:p w14:paraId="1E1894CF" w14:textId="77777777" w:rsidR="004C5885" w:rsidRPr="00AF04B7" w:rsidRDefault="004C5885" w:rsidP="00AF04B7">
            <w:pPr>
              <w:pStyle w:val="cuadroCabe"/>
              <w:spacing w:line="240" w:lineRule="auto"/>
            </w:pPr>
            <w:r w:rsidRPr="00AF04B7">
              <w:t>Total</w:t>
            </w:r>
          </w:p>
        </w:tc>
        <w:tc>
          <w:tcPr>
            <w:tcW w:w="1256" w:type="dxa"/>
            <w:shd w:val="clear" w:color="auto" w:fill="FABF8F" w:themeFill="accent6" w:themeFillTint="99"/>
            <w:noWrap/>
            <w:tcMar>
              <w:top w:w="0" w:type="dxa"/>
              <w:left w:w="70" w:type="dxa"/>
              <w:bottom w:w="0" w:type="dxa"/>
              <w:right w:w="70" w:type="dxa"/>
            </w:tcMar>
            <w:vAlign w:val="center"/>
            <w:hideMark/>
          </w:tcPr>
          <w:p w14:paraId="30119328" w14:textId="77777777" w:rsidR="004C5885" w:rsidRPr="00AF04B7" w:rsidRDefault="004C5885" w:rsidP="00AF04B7">
            <w:pPr>
              <w:pStyle w:val="cuadroCabe"/>
              <w:spacing w:line="240" w:lineRule="auto"/>
              <w:jc w:val="right"/>
            </w:pPr>
            <w:r w:rsidRPr="00AF04B7">
              <w:t>172</w:t>
            </w:r>
          </w:p>
        </w:tc>
        <w:tc>
          <w:tcPr>
            <w:tcW w:w="2545" w:type="dxa"/>
            <w:shd w:val="clear" w:color="auto" w:fill="FABF8F" w:themeFill="accent6" w:themeFillTint="99"/>
            <w:noWrap/>
            <w:tcMar>
              <w:top w:w="0" w:type="dxa"/>
              <w:left w:w="70" w:type="dxa"/>
              <w:bottom w:w="0" w:type="dxa"/>
              <w:right w:w="70" w:type="dxa"/>
            </w:tcMar>
            <w:vAlign w:val="center"/>
            <w:hideMark/>
          </w:tcPr>
          <w:p w14:paraId="2D4723B9" w14:textId="475B1031" w:rsidR="004C5885" w:rsidRPr="00AF04B7" w:rsidRDefault="00F14730" w:rsidP="00AF04B7">
            <w:pPr>
              <w:pStyle w:val="cuadroCabe"/>
              <w:spacing w:line="240" w:lineRule="auto"/>
              <w:jc w:val="right"/>
            </w:pPr>
            <w:r w:rsidRPr="00AF04B7">
              <w:t>5.059.465</w:t>
            </w:r>
            <w:r w:rsidR="004C5885" w:rsidRPr="00AF04B7">
              <w:t xml:space="preserve"> </w:t>
            </w:r>
          </w:p>
        </w:tc>
        <w:tc>
          <w:tcPr>
            <w:tcW w:w="1727" w:type="dxa"/>
            <w:shd w:val="clear" w:color="auto" w:fill="FABF8F" w:themeFill="accent6" w:themeFillTint="99"/>
            <w:noWrap/>
            <w:tcMar>
              <w:top w:w="0" w:type="dxa"/>
              <w:left w:w="70" w:type="dxa"/>
              <w:bottom w:w="0" w:type="dxa"/>
              <w:right w:w="70" w:type="dxa"/>
            </w:tcMar>
            <w:vAlign w:val="center"/>
            <w:hideMark/>
          </w:tcPr>
          <w:p w14:paraId="1D3240E8" w14:textId="579F5092" w:rsidR="004C5885" w:rsidRPr="00AF04B7" w:rsidRDefault="00F14730" w:rsidP="00AF04B7">
            <w:pPr>
              <w:pStyle w:val="cuadroCabe"/>
              <w:spacing w:line="240" w:lineRule="auto"/>
              <w:jc w:val="right"/>
            </w:pPr>
            <w:r w:rsidRPr="00AF04B7">
              <w:t>29.415</w:t>
            </w:r>
            <w:r w:rsidR="004C5885" w:rsidRPr="00AF04B7">
              <w:t xml:space="preserve"> </w:t>
            </w:r>
          </w:p>
        </w:tc>
      </w:tr>
    </w:tbl>
    <w:p w14:paraId="3787D519" w14:textId="77777777" w:rsidR="00DB537B" w:rsidRPr="00EF0883" w:rsidRDefault="004B044B" w:rsidP="00AF04B7">
      <w:pPr>
        <w:pStyle w:val="Ttulo2"/>
        <w:spacing w:after="120"/>
        <w:rPr>
          <w:szCs w:val="25"/>
        </w:rPr>
      </w:pPr>
      <w:bookmarkStart w:id="104" w:name="_Toc123724211"/>
      <w:r w:rsidRPr="00EF0883">
        <w:rPr>
          <w:szCs w:val="25"/>
        </w:rPr>
        <w:t xml:space="preserve">IX.4. </w:t>
      </w:r>
      <w:r w:rsidR="00DB537B" w:rsidRPr="00EF0883">
        <w:rPr>
          <w:szCs w:val="25"/>
        </w:rPr>
        <w:t>Principales anomalías en materia de ingresos</w:t>
      </w:r>
      <w:bookmarkEnd w:id="104"/>
    </w:p>
    <w:p w14:paraId="423E7093" w14:textId="2BA8AD1E" w:rsidR="001B2567" w:rsidRDefault="00DB537B" w:rsidP="00AF04B7">
      <w:pPr>
        <w:tabs>
          <w:tab w:val="left" w:pos="1630"/>
          <w:tab w:val="left" w:pos="2480"/>
          <w:tab w:val="left" w:pos="3189"/>
          <w:tab w:val="left" w:pos="4039"/>
          <w:tab w:val="left" w:pos="4748"/>
          <w:tab w:val="left" w:pos="5740"/>
          <w:tab w:val="left" w:pos="6733"/>
          <w:tab w:val="left" w:pos="7725"/>
        </w:tabs>
        <w:spacing w:after="240"/>
        <w:ind w:left="68" w:firstLine="216"/>
        <w:rPr>
          <w:color w:val="000000" w:themeColor="text1"/>
        </w:rPr>
      </w:pPr>
      <w:r>
        <w:rPr>
          <w:color w:val="000000"/>
          <w:sz w:val="26"/>
          <w:szCs w:val="26"/>
          <w:lang w:val="es-ES" w:eastAsia="es-ES"/>
        </w:rPr>
        <w:t>Se ha informado de siete anomalías en materia de ingresos, que afectan a 353.631 euros</w:t>
      </w:r>
      <w:r w:rsidR="007A3C1B">
        <w:rPr>
          <w:color w:val="000000"/>
          <w:sz w:val="26"/>
          <w:szCs w:val="26"/>
          <w:lang w:val="es-ES" w:eastAsia="es-ES"/>
        </w:rPr>
        <w:t xml:space="preserve">; de ellas, tres anomalías que suman el 87 por ciento del importe total corresponden a un ayuntamiento. </w:t>
      </w:r>
      <w:r>
        <w:rPr>
          <w:color w:val="000000"/>
          <w:sz w:val="26"/>
          <w:szCs w:val="26"/>
          <w:lang w:val="es-ES" w:eastAsia="es-ES"/>
        </w:rPr>
        <w:t xml:space="preserve"> </w:t>
      </w:r>
      <w:r w:rsidR="007A3C1B">
        <w:rPr>
          <w:color w:val="000000"/>
          <w:sz w:val="26"/>
          <w:szCs w:val="26"/>
          <w:lang w:val="es-ES" w:eastAsia="es-ES"/>
        </w:rPr>
        <w:t xml:space="preserve">El importe total afectado por las anomalías en 2020 es muy inferior al del ejercicio anterior, en el que </w:t>
      </w:r>
      <w:r w:rsidR="00974F8A">
        <w:rPr>
          <w:color w:val="000000"/>
          <w:sz w:val="26"/>
          <w:szCs w:val="26"/>
          <w:lang w:val="es-ES" w:eastAsia="es-ES"/>
        </w:rPr>
        <w:t>se reportaron 27 anomalías</w:t>
      </w:r>
      <w:r w:rsidR="00E361DB">
        <w:rPr>
          <w:color w:val="000000"/>
          <w:sz w:val="26"/>
          <w:szCs w:val="26"/>
          <w:lang w:val="es-ES" w:eastAsia="es-ES"/>
        </w:rPr>
        <w:t xml:space="preserve"> que afectaban a un total</w:t>
      </w:r>
      <w:r>
        <w:rPr>
          <w:color w:val="000000"/>
          <w:sz w:val="26"/>
          <w:szCs w:val="26"/>
          <w:lang w:val="es-ES" w:eastAsia="es-ES"/>
        </w:rPr>
        <w:t xml:space="preserve"> de 794.836 euros. </w:t>
      </w:r>
      <w:r w:rsidR="001B2567">
        <w:rPr>
          <w:color w:val="000000" w:themeColor="text1"/>
        </w:rPr>
        <w:br w:type="page"/>
      </w:r>
    </w:p>
    <w:p w14:paraId="70718BC5" w14:textId="77777777" w:rsidR="00683931" w:rsidRPr="004248BF" w:rsidRDefault="00683931" w:rsidP="004248BF">
      <w:pPr>
        <w:pStyle w:val="Ttulo1"/>
        <w:ind w:firstLine="0"/>
        <w:rPr>
          <w:szCs w:val="25"/>
        </w:rPr>
      </w:pPr>
      <w:bookmarkStart w:id="105" w:name="_Toc123724212"/>
      <w:r w:rsidRPr="004248BF">
        <w:rPr>
          <w:szCs w:val="25"/>
        </w:rPr>
        <w:lastRenderedPageBreak/>
        <w:t>X. Análisis comparativo</w:t>
      </w:r>
      <w:bookmarkEnd w:id="105"/>
    </w:p>
    <w:p w14:paraId="4F0BF2A3" w14:textId="77777777" w:rsidR="00683931" w:rsidRPr="00EF0883" w:rsidRDefault="00683931" w:rsidP="004248BF">
      <w:pPr>
        <w:pStyle w:val="Ttulo2"/>
        <w:rPr>
          <w:szCs w:val="25"/>
        </w:rPr>
      </w:pPr>
      <w:bookmarkStart w:id="106" w:name="_Toc123724213"/>
      <w:proofErr w:type="spellStart"/>
      <w:r w:rsidRPr="00EF0883">
        <w:rPr>
          <w:szCs w:val="25"/>
        </w:rPr>
        <w:t>X.1</w:t>
      </w:r>
      <w:proofErr w:type="spellEnd"/>
      <w:r w:rsidRPr="00EF0883">
        <w:rPr>
          <w:szCs w:val="25"/>
        </w:rPr>
        <w:t>. Compa</w:t>
      </w:r>
      <w:r w:rsidR="00FB2CFA" w:rsidRPr="00EF0883">
        <w:rPr>
          <w:szCs w:val="25"/>
        </w:rPr>
        <w:t xml:space="preserve">rativa </w:t>
      </w:r>
      <w:r w:rsidRPr="00EF0883">
        <w:rPr>
          <w:szCs w:val="25"/>
        </w:rPr>
        <w:t>de ayuntamientos navarros por tramos de población</w:t>
      </w:r>
      <w:bookmarkEnd w:id="106"/>
    </w:p>
    <w:p w14:paraId="18682A9D" w14:textId="5050E41F" w:rsidR="00683931" w:rsidRPr="005C70E8" w:rsidRDefault="00FB2CFA" w:rsidP="005C70E8">
      <w:pPr>
        <w:pStyle w:val="texto"/>
      </w:pPr>
      <w:r w:rsidRPr="005C70E8">
        <w:t xml:space="preserve">En la siguiente tabla se comparan un conjunto de indicadores en los que pueden apreciarse algunas diferencias significativas entre los ayuntamientos navarros comprendidos en distintos tramos de población. </w:t>
      </w:r>
    </w:p>
    <w:tbl>
      <w:tblPr>
        <w:tblW w:w="8788" w:type="dxa"/>
        <w:jc w:val="center"/>
        <w:tblLayout w:type="fixed"/>
        <w:tblCellMar>
          <w:left w:w="70" w:type="dxa"/>
          <w:right w:w="70" w:type="dxa"/>
        </w:tblCellMar>
        <w:tblLook w:val="04A0" w:firstRow="1" w:lastRow="0" w:firstColumn="1" w:lastColumn="0" w:noHBand="0" w:noVBand="1"/>
      </w:tblPr>
      <w:tblGrid>
        <w:gridCol w:w="3119"/>
        <w:gridCol w:w="851"/>
        <w:gridCol w:w="1275"/>
        <w:gridCol w:w="1275"/>
        <w:gridCol w:w="1418"/>
        <w:gridCol w:w="850"/>
      </w:tblGrid>
      <w:tr w:rsidR="00FB2CFA" w:rsidRPr="00ED1AC4" w14:paraId="15FC458A" w14:textId="77777777" w:rsidTr="00C01180">
        <w:trPr>
          <w:trHeight w:val="255"/>
          <w:jc w:val="center"/>
        </w:trPr>
        <w:tc>
          <w:tcPr>
            <w:tcW w:w="3119" w:type="dxa"/>
            <w:tcBorders>
              <w:top w:val="single" w:sz="4" w:space="0" w:color="auto"/>
              <w:left w:val="nil"/>
              <w:bottom w:val="single" w:sz="4" w:space="0" w:color="auto"/>
              <w:right w:val="nil"/>
            </w:tcBorders>
            <w:shd w:val="clear" w:color="auto" w:fill="FABF8F" w:themeFill="accent6" w:themeFillTint="99"/>
            <w:noWrap/>
            <w:vAlign w:val="center"/>
            <w:hideMark/>
          </w:tcPr>
          <w:p w14:paraId="6F3782E1" w14:textId="77777777" w:rsidR="00FB2CFA" w:rsidRPr="00ED1AC4" w:rsidRDefault="00FB2CFA" w:rsidP="00ED1AC4">
            <w:pPr>
              <w:pStyle w:val="cuadroCabe"/>
              <w:spacing w:line="240" w:lineRule="auto"/>
              <w:rPr>
                <w:sz w:val="16"/>
                <w:szCs w:val="16"/>
                <w:lang w:val="es-ES" w:eastAsia="es-ES"/>
              </w:rPr>
            </w:pPr>
            <w:r w:rsidRPr="00ED1AC4">
              <w:rPr>
                <w:sz w:val="16"/>
                <w:szCs w:val="16"/>
                <w:lang w:val="es-ES" w:eastAsia="es-ES"/>
              </w:rPr>
              <w:t>Población</w:t>
            </w:r>
          </w:p>
        </w:tc>
        <w:tc>
          <w:tcPr>
            <w:tcW w:w="851" w:type="dxa"/>
            <w:tcBorders>
              <w:top w:val="single" w:sz="4" w:space="0" w:color="auto"/>
              <w:left w:val="nil"/>
              <w:bottom w:val="single" w:sz="4" w:space="0" w:color="auto"/>
              <w:right w:val="nil"/>
            </w:tcBorders>
            <w:shd w:val="clear" w:color="auto" w:fill="FABF8F" w:themeFill="accent6" w:themeFillTint="99"/>
            <w:vAlign w:val="center"/>
            <w:hideMark/>
          </w:tcPr>
          <w:p w14:paraId="3FA4D445" w14:textId="77777777" w:rsidR="00FB2CFA" w:rsidRPr="00ED1AC4" w:rsidRDefault="00FB2CFA" w:rsidP="00ED1AC4">
            <w:pPr>
              <w:pStyle w:val="cuadroCabe"/>
              <w:spacing w:line="240" w:lineRule="auto"/>
              <w:jc w:val="right"/>
              <w:rPr>
                <w:sz w:val="16"/>
                <w:szCs w:val="16"/>
                <w:lang w:val="es-ES" w:eastAsia="es-ES"/>
              </w:rPr>
            </w:pPr>
            <w:proofErr w:type="gramStart"/>
            <w:r w:rsidRPr="00ED1AC4">
              <w:rPr>
                <w:sz w:val="16"/>
                <w:szCs w:val="16"/>
                <w:lang w:val="es-ES" w:eastAsia="es-ES"/>
              </w:rPr>
              <w:t>&lt;  1</w:t>
            </w:r>
            <w:proofErr w:type="gramEnd"/>
            <w:r w:rsidRPr="00ED1AC4">
              <w:rPr>
                <w:sz w:val="16"/>
                <w:szCs w:val="16"/>
                <w:lang w:val="es-ES" w:eastAsia="es-ES"/>
              </w:rPr>
              <w:t>.000</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14:paraId="31702F83" w14:textId="77777777" w:rsidR="00FB2CFA" w:rsidRPr="00ED1AC4" w:rsidRDefault="00AE13D4" w:rsidP="00ED1AC4">
            <w:pPr>
              <w:pStyle w:val="cuadroCabe"/>
              <w:spacing w:line="240" w:lineRule="auto"/>
              <w:jc w:val="right"/>
              <w:rPr>
                <w:sz w:val="16"/>
                <w:szCs w:val="16"/>
                <w:lang w:val="es-ES" w:eastAsia="es-ES"/>
              </w:rPr>
            </w:pPr>
            <w:r w:rsidRPr="00ED1AC4">
              <w:rPr>
                <w:sz w:val="16"/>
                <w:szCs w:val="16"/>
                <w:lang w:val="es-ES" w:eastAsia="es-ES"/>
              </w:rPr>
              <w:t xml:space="preserve">De 1.000 a </w:t>
            </w:r>
            <w:r w:rsidR="00FB2CFA" w:rsidRPr="00ED1AC4">
              <w:rPr>
                <w:sz w:val="16"/>
                <w:szCs w:val="16"/>
                <w:lang w:val="es-ES" w:eastAsia="es-ES"/>
              </w:rPr>
              <w:t>5.000</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14:paraId="37DB8344" w14:textId="77777777" w:rsidR="00FB2CFA" w:rsidRPr="00ED1AC4" w:rsidRDefault="00AE13D4" w:rsidP="00ED1AC4">
            <w:pPr>
              <w:pStyle w:val="cuadroCabe"/>
              <w:spacing w:line="240" w:lineRule="auto"/>
              <w:jc w:val="right"/>
              <w:rPr>
                <w:sz w:val="16"/>
                <w:szCs w:val="16"/>
                <w:lang w:val="es-ES" w:eastAsia="es-ES"/>
              </w:rPr>
            </w:pPr>
            <w:r w:rsidRPr="00ED1AC4">
              <w:rPr>
                <w:sz w:val="16"/>
                <w:szCs w:val="16"/>
                <w:lang w:val="es-ES" w:eastAsia="es-ES"/>
              </w:rPr>
              <w:t xml:space="preserve">De </w:t>
            </w:r>
            <w:r w:rsidR="00FB2CFA" w:rsidRPr="00ED1AC4">
              <w:rPr>
                <w:sz w:val="16"/>
                <w:szCs w:val="16"/>
                <w:lang w:val="es-ES" w:eastAsia="es-ES"/>
              </w:rPr>
              <w:t xml:space="preserve">5.000 </w:t>
            </w:r>
            <w:r w:rsidRPr="00ED1AC4">
              <w:rPr>
                <w:sz w:val="16"/>
                <w:szCs w:val="16"/>
                <w:lang w:val="es-ES" w:eastAsia="es-ES"/>
              </w:rPr>
              <w:t>a</w:t>
            </w:r>
            <w:r w:rsidR="00FB2CFA" w:rsidRPr="00ED1AC4">
              <w:rPr>
                <w:sz w:val="16"/>
                <w:szCs w:val="16"/>
                <w:lang w:val="es-ES" w:eastAsia="es-ES"/>
              </w:rPr>
              <w:t xml:space="preserve"> 10.000</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14:paraId="7B4796E6" w14:textId="77777777" w:rsidR="00FB2CFA" w:rsidRPr="00ED1AC4" w:rsidRDefault="00AE13D4" w:rsidP="00ED1AC4">
            <w:pPr>
              <w:pStyle w:val="cuadroCabe"/>
              <w:spacing w:line="240" w:lineRule="auto"/>
              <w:jc w:val="right"/>
              <w:rPr>
                <w:sz w:val="16"/>
                <w:szCs w:val="16"/>
                <w:lang w:val="es-ES" w:eastAsia="es-ES"/>
              </w:rPr>
            </w:pPr>
            <w:r w:rsidRPr="00ED1AC4">
              <w:rPr>
                <w:sz w:val="16"/>
                <w:szCs w:val="16"/>
                <w:lang w:val="es-ES" w:eastAsia="es-ES"/>
              </w:rPr>
              <w:t xml:space="preserve">De </w:t>
            </w:r>
            <w:r w:rsidR="00FB2CFA" w:rsidRPr="00ED1AC4">
              <w:rPr>
                <w:sz w:val="16"/>
                <w:szCs w:val="16"/>
                <w:lang w:val="es-ES" w:eastAsia="es-ES"/>
              </w:rPr>
              <w:t xml:space="preserve">10.000 </w:t>
            </w:r>
            <w:r w:rsidRPr="00ED1AC4">
              <w:rPr>
                <w:sz w:val="16"/>
                <w:szCs w:val="16"/>
                <w:lang w:val="es-ES" w:eastAsia="es-ES"/>
              </w:rPr>
              <w:t>a</w:t>
            </w:r>
            <w:r w:rsidR="00FB2CFA" w:rsidRPr="00ED1AC4">
              <w:rPr>
                <w:sz w:val="16"/>
                <w:szCs w:val="16"/>
                <w:lang w:val="es-ES" w:eastAsia="es-ES"/>
              </w:rPr>
              <w:t xml:space="preserve"> 40.000</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14:paraId="0474F589" w14:textId="77777777" w:rsidR="00FB2CFA" w:rsidRPr="00ED1AC4" w:rsidRDefault="00FB2CFA" w:rsidP="00ED1AC4">
            <w:pPr>
              <w:pStyle w:val="cuadroCabe"/>
              <w:spacing w:line="240" w:lineRule="auto"/>
              <w:jc w:val="right"/>
              <w:rPr>
                <w:sz w:val="16"/>
                <w:szCs w:val="16"/>
                <w:lang w:val="es-ES" w:eastAsia="es-ES"/>
              </w:rPr>
            </w:pPr>
            <w:r w:rsidRPr="00ED1AC4">
              <w:rPr>
                <w:sz w:val="16"/>
                <w:szCs w:val="16"/>
                <w:lang w:val="es-ES" w:eastAsia="es-ES"/>
              </w:rPr>
              <w:t>&gt; 40.000</w:t>
            </w:r>
          </w:p>
        </w:tc>
      </w:tr>
      <w:tr w:rsidR="00FB2CFA" w:rsidRPr="00ED1AC4" w14:paraId="1050521E" w14:textId="77777777" w:rsidTr="00BA63E6">
        <w:trPr>
          <w:trHeight w:val="255"/>
          <w:jc w:val="center"/>
        </w:trPr>
        <w:tc>
          <w:tcPr>
            <w:tcW w:w="3119" w:type="dxa"/>
            <w:tcBorders>
              <w:top w:val="nil"/>
              <w:left w:val="nil"/>
              <w:bottom w:val="single" w:sz="2" w:space="0" w:color="auto"/>
              <w:right w:val="nil"/>
            </w:tcBorders>
            <w:shd w:val="clear" w:color="auto" w:fill="auto"/>
            <w:noWrap/>
            <w:vAlign w:val="center"/>
          </w:tcPr>
          <w:p w14:paraId="0A047E87" w14:textId="77777777" w:rsidR="00FB2CFA" w:rsidRPr="00ED1AC4" w:rsidRDefault="00FB2CFA" w:rsidP="00ED1AC4">
            <w:pPr>
              <w:pStyle w:val="cuatexto"/>
              <w:spacing w:line="240" w:lineRule="auto"/>
              <w:rPr>
                <w:sz w:val="18"/>
                <w:szCs w:val="18"/>
                <w:lang w:val="es-ES" w:eastAsia="es-ES"/>
              </w:rPr>
            </w:pPr>
            <w:proofErr w:type="spellStart"/>
            <w:r w:rsidRPr="00ED1AC4">
              <w:rPr>
                <w:sz w:val="18"/>
                <w:szCs w:val="18"/>
                <w:lang w:val="es-ES" w:eastAsia="es-ES"/>
              </w:rPr>
              <w:t>Nº</w:t>
            </w:r>
            <w:proofErr w:type="spellEnd"/>
            <w:r w:rsidRPr="00ED1AC4">
              <w:rPr>
                <w:sz w:val="18"/>
                <w:szCs w:val="18"/>
                <w:lang w:val="es-ES" w:eastAsia="es-ES"/>
              </w:rPr>
              <w:t xml:space="preserve"> ayuntamientos</w:t>
            </w:r>
          </w:p>
        </w:tc>
        <w:tc>
          <w:tcPr>
            <w:tcW w:w="851" w:type="dxa"/>
            <w:tcBorders>
              <w:top w:val="nil"/>
              <w:left w:val="nil"/>
              <w:bottom w:val="single" w:sz="2" w:space="0" w:color="auto"/>
              <w:right w:val="nil"/>
            </w:tcBorders>
            <w:shd w:val="clear" w:color="auto" w:fill="auto"/>
            <w:vAlign w:val="center"/>
          </w:tcPr>
          <w:p w14:paraId="6976A7C7"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180</w:t>
            </w:r>
          </w:p>
        </w:tc>
        <w:tc>
          <w:tcPr>
            <w:tcW w:w="1275" w:type="dxa"/>
            <w:tcBorders>
              <w:top w:val="nil"/>
              <w:left w:val="nil"/>
              <w:bottom w:val="single" w:sz="2" w:space="0" w:color="auto"/>
              <w:right w:val="nil"/>
            </w:tcBorders>
            <w:shd w:val="clear" w:color="auto" w:fill="auto"/>
            <w:vAlign w:val="center"/>
          </w:tcPr>
          <w:p w14:paraId="080F79FA"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59</w:t>
            </w:r>
          </w:p>
        </w:tc>
        <w:tc>
          <w:tcPr>
            <w:tcW w:w="1275" w:type="dxa"/>
            <w:tcBorders>
              <w:top w:val="nil"/>
              <w:left w:val="nil"/>
              <w:bottom w:val="single" w:sz="2" w:space="0" w:color="auto"/>
              <w:right w:val="nil"/>
            </w:tcBorders>
            <w:shd w:val="clear" w:color="auto" w:fill="auto"/>
            <w:vAlign w:val="center"/>
          </w:tcPr>
          <w:p w14:paraId="54C728E3"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9</w:t>
            </w:r>
          </w:p>
        </w:tc>
        <w:tc>
          <w:tcPr>
            <w:tcW w:w="1418" w:type="dxa"/>
            <w:tcBorders>
              <w:top w:val="nil"/>
              <w:left w:val="nil"/>
              <w:bottom w:val="single" w:sz="2" w:space="0" w:color="auto"/>
              <w:right w:val="nil"/>
            </w:tcBorders>
            <w:shd w:val="clear" w:color="auto" w:fill="auto"/>
            <w:vAlign w:val="center"/>
          </w:tcPr>
          <w:p w14:paraId="777867B9"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11</w:t>
            </w:r>
          </w:p>
        </w:tc>
        <w:tc>
          <w:tcPr>
            <w:tcW w:w="850" w:type="dxa"/>
            <w:tcBorders>
              <w:top w:val="nil"/>
              <w:left w:val="nil"/>
              <w:bottom w:val="single" w:sz="2" w:space="0" w:color="auto"/>
              <w:right w:val="nil"/>
            </w:tcBorders>
            <w:shd w:val="clear" w:color="auto" w:fill="auto"/>
            <w:vAlign w:val="center"/>
          </w:tcPr>
          <w:p w14:paraId="61302D8D"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w:t>
            </w:r>
          </w:p>
        </w:tc>
      </w:tr>
      <w:tr w:rsidR="00FB2CFA" w:rsidRPr="00ED1AC4" w14:paraId="79814A15"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746AFED8" w14:textId="77777777" w:rsidR="00FB2CFA" w:rsidRPr="00ED1AC4" w:rsidRDefault="00FB2CFA" w:rsidP="00ED1AC4">
            <w:pPr>
              <w:pStyle w:val="cuatexto"/>
              <w:spacing w:line="240" w:lineRule="auto"/>
              <w:rPr>
                <w:sz w:val="18"/>
                <w:szCs w:val="18"/>
                <w:lang w:val="es-ES" w:eastAsia="es-ES"/>
              </w:rPr>
            </w:pPr>
            <w:r w:rsidRPr="00ED1AC4">
              <w:rPr>
                <w:sz w:val="18"/>
                <w:szCs w:val="18"/>
                <w:lang w:val="es-ES" w:eastAsia="es-ES"/>
              </w:rPr>
              <w:t>Población total</w:t>
            </w:r>
          </w:p>
        </w:tc>
        <w:tc>
          <w:tcPr>
            <w:tcW w:w="851" w:type="dxa"/>
            <w:tcBorders>
              <w:top w:val="single" w:sz="2" w:space="0" w:color="auto"/>
              <w:left w:val="nil"/>
              <w:bottom w:val="single" w:sz="2" w:space="0" w:color="auto"/>
              <w:right w:val="nil"/>
            </w:tcBorders>
            <w:shd w:val="clear" w:color="auto" w:fill="auto"/>
            <w:vAlign w:val="center"/>
            <w:hideMark/>
          </w:tcPr>
          <w:p w14:paraId="47BF9C47"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53.009</w:t>
            </w:r>
          </w:p>
        </w:tc>
        <w:tc>
          <w:tcPr>
            <w:tcW w:w="1275" w:type="dxa"/>
            <w:tcBorders>
              <w:top w:val="single" w:sz="2" w:space="0" w:color="auto"/>
              <w:left w:val="nil"/>
              <w:bottom w:val="single" w:sz="2" w:space="0" w:color="auto"/>
              <w:right w:val="nil"/>
            </w:tcBorders>
            <w:shd w:val="clear" w:color="auto" w:fill="auto"/>
            <w:vAlign w:val="center"/>
            <w:hideMark/>
          </w:tcPr>
          <w:p w14:paraId="1CDB3AB8"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146.927</w:t>
            </w:r>
          </w:p>
        </w:tc>
        <w:tc>
          <w:tcPr>
            <w:tcW w:w="1275" w:type="dxa"/>
            <w:tcBorders>
              <w:top w:val="single" w:sz="2" w:space="0" w:color="auto"/>
              <w:left w:val="nil"/>
              <w:bottom w:val="single" w:sz="2" w:space="0" w:color="auto"/>
              <w:right w:val="nil"/>
            </w:tcBorders>
            <w:shd w:val="clear" w:color="auto" w:fill="auto"/>
            <w:vAlign w:val="center"/>
            <w:hideMark/>
          </w:tcPr>
          <w:p w14:paraId="2168600A"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66.825</w:t>
            </w:r>
          </w:p>
        </w:tc>
        <w:tc>
          <w:tcPr>
            <w:tcW w:w="1418" w:type="dxa"/>
            <w:tcBorders>
              <w:top w:val="single" w:sz="2" w:space="0" w:color="auto"/>
              <w:left w:val="nil"/>
              <w:bottom w:val="single" w:sz="2" w:space="0" w:color="auto"/>
              <w:right w:val="nil"/>
            </w:tcBorders>
            <w:shd w:val="clear" w:color="auto" w:fill="auto"/>
            <w:vAlign w:val="center"/>
            <w:hideMark/>
          </w:tcPr>
          <w:p w14:paraId="3C392624"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180.906</w:t>
            </w:r>
          </w:p>
        </w:tc>
        <w:tc>
          <w:tcPr>
            <w:tcW w:w="850" w:type="dxa"/>
            <w:tcBorders>
              <w:top w:val="single" w:sz="2" w:space="0" w:color="auto"/>
              <w:left w:val="nil"/>
              <w:bottom w:val="single" w:sz="2" w:space="0" w:color="auto"/>
              <w:right w:val="nil"/>
            </w:tcBorders>
            <w:shd w:val="clear" w:color="auto" w:fill="auto"/>
            <w:vAlign w:val="center"/>
            <w:hideMark/>
          </w:tcPr>
          <w:p w14:paraId="777909FE"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203.944</w:t>
            </w:r>
          </w:p>
        </w:tc>
      </w:tr>
      <w:tr w:rsidR="00FB2CFA" w:rsidRPr="00ED1AC4" w14:paraId="3ABA0488"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70040EB9" w14:textId="77777777" w:rsidR="00FB2CFA" w:rsidRPr="00ED1AC4" w:rsidRDefault="00FB2CFA" w:rsidP="00ED1AC4">
            <w:pPr>
              <w:pStyle w:val="cuatexto"/>
              <w:spacing w:line="240" w:lineRule="auto"/>
              <w:rPr>
                <w:sz w:val="18"/>
                <w:szCs w:val="18"/>
                <w:lang w:val="es-ES" w:eastAsia="es-ES"/>
              </w:rPr>
            </w:pPr>
            <w:r w:rsidRPr="00ED1AC4">
              <w:rPr>
                <w:sz w:val="18"/>
                <w:szCs w:val="18"/>
                <w:lang w:val="es-ES" w:eastAsia="es-ES"/>
              </w:rPr>
              <w:t>Ingresos corrientes (por habitante)</w:t>
            </w:r>
          </w:p>
        </w:tc>
        <w:tc>
          <w:tcPr>
            <w:tcW w:w="851" w:type="dxa"/>
            <w:tcBorders>
              <w:top w:val="single" w:sz="2" w:space="0" w:color="auto"/>
              <w:left w:val="nil"/>
              <w:bottom w:val="single" w:sz="2" w:space="0" w:color="auto"/>
              <w:right w:val="nil"/>
            </w:tcBorders>
            <w:shd w:val="clear" w:color="auto" w:fill="auto"/>
            <w:noWrap/>
            <w:vAlign w:val="center"/>
            <w:hideMark/>
          </w:tcPr>
          <w:p w14:paraId="66B5BC3A"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1.221</w:t>
            </w:r>
          </w:p>
        </w:tc>
        <w:tc>
          <w:tcPr>
            <w:tcW w:w="1275" w:type="dxa"/>
            <w:tcBorders>
              <w:top w:val="single" w:sz="2" w:space="0" w:color="auto"/>
              <w:left w:val="nil"/>
              <w:bottom w:val="single" w:sz="2" w:space="0" w:color="auto"/>
              <w:right w:val="nil"/>
            </w:tcBorders>
            <w:shd w:val="clear" w:color="auto" w:fill="auto"/>
            <w:noWrap/>
            <w:vAlign w:val="center"/>
            <w:hideMark/>
          </w:tcPr>
          <w:p w14:paraId="6502E1FF"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1.079</w:t>
            </w:r>
          </w:p>
        </w:tc>
        <w:tc>
          <w:tcPr>
            <w:tcW w:w="1275" w:type="dxa"/>
            <w:tcBorders>
              <w:top w:val="single" w:sz="2" w:space="0" w:color="auto"/>
              <w:left w:val="nil"/>
              <w:bottom w:val="single" w:sz="2" w:space="0" w:color="auto"/>
              <w:right w:val="nil"/>
            </w:tcBorders>
            <w:shd w:val="clear" w:color="auto" w:fill="auto"/>
            <w:noWrap/>
            <w:vAlign w:val="center"/>
            <w:hideMark/>
          </w:tcPr>
          <w:p w14:paraId="3AA4E72D"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989</w:t>
            </w:r>
          </w:p>
        </w:tc>
        <w:tc>
          <w:tcPr>
            <w:tcW w:w="1418" w:type="dxa"/>
            <w:tcBorders>
              <w:top w:val="single" w:sz="2" w:space="0" w:color="auto"/>
              <w:left w:val="nil"/>
              <w:bottom w:val="single" w:sz="2" w:space="0" w:color="auto"/>
              <w:right w:val="nil"/>
            </w:tcBorders>
            <w:shd w:val="clear" w:color="auto" w:fill="auto"/>
            <w:noWrap/>
            <w:vAlign w:val="center"/>
            <w:hideMark/>
          </w:tcPr>
          <w:p w14:paraId="634586A2"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877</w:t>
            </w:r>
          </w:p>
        </w:tc>
        <w:tc>
          <w:tcPr>
            <w:tcW w:w="850" w:type="dxa"/>
            <w:tcBorders>
              <w:top w:val="single" w:sz="2" w:space="0" w:color="auto"/>
              <w:left w:val="nil"/>
              <w:bottom w:val="single" w:sz="2" w:space="0" w:color="auto"/>
              <w:right w:val="nil"/>
            </w:tcBorders>
            <w:shd w:val="clear" w:color="auto" w:fill="auto"/>
            <w:noWrap/>
            <w:vAlign w:val="center"/>
            <w:hideMark/>
          </w:tcPr>
          <w:p w14:paraId="7D4AD428"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1.065</w:t>
            </w:r>
          </w:p>
        </w:tc>
      </w:tr>
      <w:tr w:rsidR="00FB2CFA" w:rsidRPr="00ED1AC4" w14:paraId="10976124"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0D4CB4F1" w14:textId="46123429" w:rsidR="00FB2CFA" w:rsidRPr="00ED1AC4" w:rsidRDefault="00BA63E6" w:rsidP="00ED1AC4">
            <w:pPr>
              <w:pStyle w:val="cuatexto"/>
              <w:spacing w:line="240" w:lineRule="auto"/>
              <w:rPr>
                <w:sz w:val="18"/>
                <w:szCs w:val="18"/>
                <w:lang w:val="es-ES" w:eastAsia="es-ES"/>
              </w:rPr>
            </w:pPr>
            <w:r w:rsidRPr="00ED1AC4">
              <w:rPr>
                <w:sz w:val="18"/>
                <w:szCs w:val="18"/>
                <w:lang w:val="es-ES" w:eastAsia="es-ES"/>
              </w:rPr>
              <w:t xml:space="preserve">Gastos de </w:t>
            </w:r>
            <w:proofErr w:type="gramStart"/>
            <w:r w:rsidRPr="00ED1AC4">
              <w:rPr>
                <w:sz w:val="18"/>
                <w:szCs w:val="18"/>
                <w:lang w:val="es-ES" w:eastAsia="es-ES"/>
              </w:rPr>
              <w:t xml:space="preserve">funcionamiento  </w:t>
            </w:r>
            <w:r w:rsidR="00B25349" w:rsidRPr="00ED1AC4">
              <w:rPr>
                <w:sz w:val="18"/>
                <w:szCs w:val="18"/>
                <w:lang w:val="es-ES" w:eastAsia="es-ES"/>
              </w:rPr>
              <w:t>(</w:t>
            </w:r>
            <w:proofErr w:type="gramEnd"/>
            <w:r w:rsidRPr="00ED1AC4">
              <w:rPr>
                <w:sz w:val="18"/>
                <w:szCs w:val="18"/>
                <w:lang w:val="es-ES" w:eastAsia="es-ES"/>
              </w:rPr>
              <w:t xml:space="preserve">por </w:t>
            </w:r>
            <w:proofErr w:type="spellStart"/>
            <w:r w:rsidRPr="00ED1AC4">
              <w:rPr>
                <w:sz w:val="18"/>
                <w:szCs w:val="18"/>
                <w:lang w:val="es-ES" w:eastAsia="es-ES"/>
              </w:rPr>
              <w:t>habit</w:t>
            </w:r>
            <w:proofErr w:type="spellEnd"/>
            <w:r w:rsidRPr="00ED1AC4">
              <w:rPr>
                <w:sz w:val="18"/>
                <w:szCs w:val="18"/>
                <w:lang w:val="es-ES" w:eastAsia="es-ES"/>
              </w:rPr>
              <w:t>.</w:t>
            </w:r>
            <w:r w:rsidR="00B25349" w:rsidRPr="00ED1AC4">
              <w:rPr>
                <w:sz w:val="18"/>
                <w:szCs w:val="18"/>
                <w:lang w:val="es-ES" w:eastAsia="es-ES"/>
              </w:rPr>
              <w:t>)</w:t>
            </w:r>
          </w:p>
        </w:tc>
        <w:tc>
          <w:tcPr>
            <w:tcW w:w="851" w:type="dxa"/>
            <w:tcBorders>
              <w:top w:val="single" w:sz="2" w:space="0" w:color="auto"/>
              <w:left w:val="nil"/>
              <w:bottom w:val="single" w:sz="2" w:space="0" w:color="auto"/>
              <w:right w:val="nil"/>
            </w:tcBorders>
            <w:shd w:val="clear" w:color="auto" w:fill="auto"/>
            <w:noWrap/>
            <w:vAlign w:val="center"/>
            <w:hideMark/>
          </w:tcPr>
          <w:p w14:paraId="52C64BBB"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865</w:t>
            </w:r>
          </w:p>
        </w:tc>
        <w:tc>
          <w:tcPr>
            <w:tcW w:w="1275" w:type="dxa"/>
            <w:tcBorders>
              <w:top w:val="single" w:sz="2" w:space="0" w:color="auto"/>
              <w:left w:val="nil"/>
              <w:bottom w:val="single" w:sz="2" w:space="0" w:color="auto"/>
              <w:right w:val="nil"/>
            </w:tcBorders>
            <w:shd w:val="clear" w:color="auto" w:fill="auto"/>
            <w:noWrap/>
            <w:vAlign w:val="center"/>
            <w:hideMark/>
          </w:tcPr>
          <w:p w14:paraId="1C541808"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822</w:t>
            </w:r>
          </w:p>
        </w:tc>
        <w:tc>
          <w:tcPr>
            <w:tcW w:w="1275" w:type="dxa"/>
            <w:tcBorders>
              <w:top w:val="single" w:sz="2" w:space="0" w:color="auto"/>
              <w:left w:val="nil"/>
              <w:bottom w:val="single" w:sz="2" w:space="0" w:color="auto"/>
              <w:right w:val="nil"/>
            </w:tcBorders>
            <w:shd w:val="clear" w:color="auto" w:fill="auto"/>
            <w:noWrap/>
            <w:vAlign w:val="center"/>
            <w:hideMark/>
          </w:tcPr>
          <w:p w14:paraId="612AAF3D"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798</w:t>
            </w:r>
          </w:p>
        </w:tc>
        <w:tc>
          <w:tcPr>
            <w:tcW w:w="1418" w:type="dxa"/>
            <w:tcBorders>
              <w:top w:val="single" w:sz="2" w:space="0" w:color="auto"/>
              <w:left w:val="nil"/>
              <w:bottom w:val="single" w:sz="2" w:space="0" w:color="auto"/>
              <w:right w:val="nil"/>
            </w:tcBorders>
            <w:shd w:val="clear" w:color="auto" w:fill="auto"/>
            <w:noWrap/>
            <w:vAlign w:val="center"/>
            <w:hideMark/>
          </w:tcPr>
          <w:p w14:paraId="3D91AA2D"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750</w:t>
            </w:r>
          </w:p>
        </w:tc>
        <w:tc>
          <w:tcPr>
            <w:tcW w:w="850" w:type="dxa"/>
            <w:tcBorders>
              <w:top w:val="single" w:sz="2" w:space="0" w:color="auto"/>
              <w:left w:val="nil"/>
              <w:bottom w:val="single" w:sz="2" w:space="0" w:color="auto"/>
              <w:right w:val="nil"/>
            </w:tcBorders>
            <w:shd w:val="clear" w:color="auto" w:fill="auto"/>
            <w:noWrap/>
            <w:vAlign w:val="center"/>
            <w:hideMark/>
          </w:tcPr>
          <w:p w14:paraId="183A5339"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912</w:t>
            </w:r>
          </w:p>
        </w:tc>
      </w:tr>
      <w:tr w:rsidR="00FB2CFA" w:rsidRPr="00ED1AC4" w14:paraId="37C6816A"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1A7654BB" w14:textId="6CE3D04E" w:rsidR="00FB2CFA" w:rsidRPr="00ED1AC4" w:rsidRDefault="00FB2CFA" w:rsidP="00ED1AC4">
            <w:pPr>
              <w:pStyle w:val="cuatexto"/>
              <w:spacing w:line="240" w:lineRule="auto"/>
              <w:rPr>
                <w:sz w:val="18"/>
                <w:szCs w:val="18"/>
                <w:lang w:val="es-ES" w:eastAsia="es-ES"/>
              </w:rPr>
            </w:pPr>
            <w:r w:rsidRPr="00ED1AC4">
              <w:rPr>
                <w:sz w:val="18"/>
                <w:szCs w:val="18"/>
                <w:lang w:val="es-ES" w:eastAsia="es-ES"/>
              </w:rPr>
              <w:t>Carga financier</w:t>
            </w:r>
            <w:r w:rsidR="006F5F14" w:rsidRPr="00ED1AC4">
              <w:rPr>
                <w:sz w:val="18"/>
                <w:szCs w:val="18"/>
                <w:lang w:val="es-ES" w:eastAsia="es-ES"/>
              </w:rPr>
              <w:t>a</w:t>
            </w:r>
            <w:r w:rsidRPr="00ED1AC4">
              <w:rPr>
                <w:sz w:val="18"/>
                <w:szCs w:val="18"/>
                <w:lang w:val="es-ES" w:eastAsia="es-ES"/>
              </w:rPr>
              <w:t xml:space="preserve"> (por habitante)</w:t>
            </w:r>
          </w:p>
        </w:tc>
        <w:tc>
          <w:tcPr>
            <w:tcW w:w="851" w:type="dxa"/>
            <w:tcBorders>
              <w:top w:val="single" w:sz="2" w:space="0" w:color="auto"/>
              <w:left w:val="nil"/>
              <w:bottom w:val="single" w:sz="2" w:space="0" w:color="auto"/>
              <w:right w:val="nil"/>
            </w:tcBorders>
            <w:shd w:val="clear" w:color="auto" w:fill="auto"/>
            <w:noWrap/>
            <w:vAlign w:val="center"/>
            <w:hideMark/>
          </w:tcPr>
          <w:p w14:paraId="489D5BAE"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44</w:t>
            </w:r>
          </w:p>
        </w:tc>
        <w:tc>
          <w:tcPr>
            <w:tcW w:w="1275" w:type="dxa"/>
            <w:tcBorders>
              <w:top w:val="single" w:sz="2" w:space="0" w:color="auto"/>
              <w:left w:val="nil"/>
              <w:bottom w:val="single" w:sz="2" w:space="0" w:color="auto"/>
              <w:right w:val="nil"/>
            </w:tcBorders>
            <w:shd w:val="clear" w:color="auto" w:fill="auto"/>
            <w:noWrap/>
            <w:vAlign w:val="center"/>
            <w:hideMark/>
          </w:tcPr>
          <w:p w14:paraId="57D30291"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43</w:t>
            </w:r>
          </w:p>
        </w:tc>
        <w:tc>
          <w:tcPr>
            <w:tcW w:w="1275" w:type="dxa"/>
            <w:tcBorders>
              <w:top w:val="single" w:sz="2" w:space="0" w:color="auto"/>
              <w:left w:val="nil"/>
              <w:bottom w:val="single" w:sz="2" w:space="0" w:color="auto"/>
              <w:right w:val="nil"/>
            </w:tcBorders>
            <w:shd w:val="clear" w:color="auto" w:fill="auto"/>
            <w:noWrap/>
            <w:vAlign w:val="center"/>
            <w:hideMark/>
          </w:tcPr>
          <w:p w14:paraId="55166524"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30</w:t>
            </w:r>
          </w:p>
        </w:tc>
        <w:tc>
          <w:tcPr>
            <w:tcW w:w="1418" w:type="dxa"/>
            <w:tcBorders>
              <w:top w:val="single" w:sz="2" w:space="0" w:color="auto"/>
              <w:left w:val="nil"/>
              <w:bottom w:val="single" w:sz="2" w:space="0" w:color="auto"/>
              <w:right w:val="nil"/>
            </w:tcBorders>
            <w:shd w:val="clear" w:color="auto" w:fill="auto"/>
            <w:noWrap/>
            <w:vAlign w:val="center"/>
            <w:hideMark/>
          </w:tcPr>
          <w:p w14:paraId="57330891"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46</w:t>
            </w:r>
          </w:p>
        </w:tc>
        <w:tc>
          <w:tcPr>
            <w:tcW w:w="850" w:type="dxa"/>
            <w:tcBorders>
              <w:top w:val="single" w:sz="2" w:space="0" w:color="auto"/>
              <w:left w:val="nil"/>
              <w:bottom w:val="single" w:sz="2" w:space="0" w:color="auto"/>
              <w:right w:val="nil"/>
            </w:tcBorders>
            <w:shd w:val="clear" w:color="auto" w:fill="auto"/>
            <w:noWrap/>
            <w:vAlign w:val="center"/>
            <w:hideMark/>
          </w:tcPr>
          <w:p w14:paraId="5BDC917E"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46</w:t>
            </w:r>
          </w:p>
        </w:tc>
      </w:tr>
      <w:tr w:rsidR="00FB2CFA" w:rsidRPr="00ED1AC4" w14:paraId="2843CAD5"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555F95E6" w14:textId="77777777" w:rsidR="00FB2CFA" w:rsidRPr="00ED1AC4" w:rsidRDefault="00FB2CFA" w:rsidP="00ED1AC4">
            <w:pPr>
              <w:pStyle w:val="cuatexto"/>
              <w:spacing w:line="240" w:lineRule="auto"/>
              <w:rPr>
                <w:sz w:val="18"/>
                <w:szCs w:val="18"/>
                <w:lang w:val="es-ES" w:eastAsia="es-ES"/>
              </w:rPr>
            </w:pPr>
            <w:r w:rsidRPr="00ED1AC4">
              <w:rPr>
                <w:sz w:val="18"/>
                <w:szCs w:val="18"/>
                <w:lang w:val="es-ES" w:eastAsia="es-ES"/>
              </w:rPr>
              <w:t>Ahorro bruto (por habitante)</w:t>
            </w:r>
          </w:p>
        </w:tc>
        <w:tc>
          <w:tcPr>
            <w:tcW w:w="851" w:type="dxa"/>
            <w:tcBorders>
              <w:top w:val="single" w:sz="2" w:space="0" w:color="auto"/>
              <w:left w:val="nil"/>
              <w:bottom w:val="single" w:sz="2" w:space="0" w:color="auto"/>
              <w:right w:val="nil"/>
            </w:tcBorders>
            <w:shd w:val="clear" w:color="auto" w:fill="auto"/>
            <w:noWrap/>
            <w:vAlign w:val="center"/>
            <w:hideMark/>
          </w:tcPr>
          <w:p w14:paraId="4F0682F4"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356</w:t>
            </w:r>
          </w:p>
        </w:tc>
        <w:tc>
          <w:tcPr>
            <w:tcW w:w="1275" w:type="dxa"/>
            <w:tcBorders>
              <w:top w:val="single" w:sz="2" w:space="0" w:color="auto"/>
              <w:left w:val="nil"/>
              <w:bottom w:val="single" w:sz="2" w:space="0" w:color="auto"/>
              <w:right w:val="nil"/>
            </w:tcBorders>
            <w:shd w:val="clear" w:color="auto" w:fill="auto"/>
            <w:noWrap/>
            <w:vAlign w:val="center"/>
            <w:hideMark/>
          </w:tcPr>
          <w:p w14:paraId="47DAA1C8"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257</w:t>
            </w:r>
          </w:p>
        </w:tc>
        <w:tc>
          <w:tcPr>
            <w:tcW w:w="1275" w:type="dxa"/>
            <w:tcBorders>
              <w:top w:val="single" w:sz="2" w:space="0" w:color="auto"/>
              <w:left w:val="nil"/>
              <w:bottom w:val="single" w:sz="2" w:space="0" w:color="auto"/>
              <w:right w:val="nil"/>
            </w:tcBorders>
            <w:shd w:val="clear" w:color="auto" w:fill="auto"/>
            <w:noWrap/>
            <w:vAlign w:val="center"/>
            <w:hideMark/>
          </w:tcPr>
          <w:p w14:paraId="297D5903"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191</w:t>
            </w:r>
          </w:p>
        </w:tc>
        <w:tc>
          <w:tcPr>
            <w:tcW w:w="1418" w:type="dxa"/>
            <w:tcBorders>
              <w:top w:val="single" w:sz="2" w:space="0" w:color="auto"/>
              <w:left w:val="nil"/>
              <w:bottom w:val="single" w:sz="2" w:space="0" w:color="auto"/>
              <w:right w:val="nil"/>
            </w:tcBorders>
            <w:shd w:val="clear" w:color="auto" w:fill="auto"/>
            <w:noWrap/>
            <w:vAlign w:val="center"/>
            <w:hideMark/>
          </w:tcPr>
          <w:p w14:paraId="48CC9C62"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127</w:t>
            </w:r>
          </w:p>
        </w:tc>
        <w:tc>
          <w:tcPr>
            <w:tcW w:w="850" w:type="dxa"/>
            <w:tcBorders>
              <w:top w:val="single" w:sz="2" w:space="0" w:color="auto"/>
              <w:left w:val="nil"/>
              <w:bottom w:val="single" w:sz="2" w:space="0" w:color="auto"/>
              <w:right w:val="nil"/>
            </w:tcBorders>
            <w:shd w:val="clear" w:color="auto" w:fill="auto"/>
            <w:noWrap/>
            <w:vAlign w:val="center"/>
            <w:hideMark/>
          </w:tcPr>
          <w:p w14:paraId="6C9842B3"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152</w:t>
            </w:r>
          </w:p>
        </w:tc>
      </w:tr>
      <w:tr w:rsidR="00FB2CFA" w:rsidRPr="00ED1AC4" w14:paraId="40C0AB10"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4BC92652" w14:textId="77777777" w:rsidR="00FB2CFA" w:rsidRPr="00ED1AC4" w:rsidRDefault="00FB2CFA" w:rsidP="00ED1AC4">
            <w:pPr>
              <w:pStyle w:val="cuatexto"/>
              <w:spacing w:line="240" w:lineRule="auto"/>
              <w:rPr>
                <w:sz w:val="18"/>
                <w:szCs w:val="18"/>
                <w:lang w:val="es-ES" w:eastAsia="es-ES"/>
              </w:rPr>
            </w:pPr>
            <w:r w:rsidRPr="00ED1AC4">
              <w:rPr>
                <w:sz w:val="18"/>
                <w:szCs w:val="18"/>
                <w:lang w:val="es-ES" w:eastAsia="es-ES"/>
              </w:rPr>
              <w:t>Ahorro neto (por habitante)</w:t>
            </w:r>
          </w:p>
        </w:tc>
        <w:tc>
          <w:tcPr>
            <w:tcW w:w="851" w:type="dxa"/>
            <w:tcBorders>
              <w:top w:val="single" w:sz="2" w:space="0" w:color="auto"/>
              <w:left w:val="nil"/>
              <w:bottom w:val="single" w:sz="2" w:space="0" w:color="auto"/>
              <w:right w:val="nil"/>
            </w:tcBorders>
            <w:shd w:val="clear" w:color="auto" w:fill="auto"/>
            <w:noWrap/>
            <w:vAlign w:val="center"/>
            <w:hideMark/>
          </w:tcPr>
          <w:p w14:paraId="7ECFE290"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311</w:t>
            </w:r>
          </w:p>
        </w:tc>
        <w:tc>
          <w:tcPr>
            <w:tcW w:w="1275" w:type="dxa"/>
            <w:tcBorders>
              <w:top w:val="single" w:sz="2" w:space="0" w:color="auto"/>
              <w:left w:val="nil"/>
              <w:bottom w:val="single" w:sz="2" w:space="0" w:color="auto"/>
              <w:right w:val="nil"/>
            </w:tcBorders>
            <w:shd w:val="clear" w:color="auto" w:fill="auto"/>
            <w:noWrap/>
            <w:vAlign w:val="center"/>
            <w:hideMark/>
          </w:tcPr>
          <w:p w14:paraId="0833B929"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214</w:t>
            </w:r>
          </w:p>
        </w:tc>
        <w:tc>
          <w:tcPr>
            <w:tcW w:w="1275" w:type="dxa"/>
            <w:tcBorders>
              <w:top w:val="single" w:sz="2" w:space="0" w:color="auto"/>
              <w:left w:val="nil"/>
              <w:bottom w:val="single" w:sz="2" w:space="0" w:color="auto"/>
              <w:right w:val="nil"/>
            </w:tcBorders>
            <w:shd w:val="clear" w:color="auto" w:fill="auto"/>
            <w:noWrap/>
            <w:vAlign w:val="center"/>
            <w:hideMark/>
          </w:tcPr>
          <w:p w14:paraId="4352FD56"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161</w:t>
            </w:r>
          </w:p>
        </w:tc>
        <w:tc>
          <w:tcPr>
            <w:tcW w:w="1418" w:type="dxa"/>
            <w:tcBorders>
              <w:top w:val="single" w:sz="2" w:space="0" w:color="auto"/>
              <w:left w:val="nil"/>
              <w:bottom w:val="single" w:sz="2" w:space="0" w:color="auto"/>
              <w:right w:val="nil"/>
            </w:tcBorders>
            <w:shd w:val="clear" w:color="auto" w:fill="auto"/>
            <w:noWrap/>
            <w:vAlign w:val="center"/>
            <w:hideMark/>
          </w:tcPr>
          <w:p w14:paraId="61CDA2DC"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81</w:t>
            </w:r>
          </w:p>
        </w:tc>
        <w:tc>
          <w:tcPr>
            <w:tcW w:w="850" w:type="dxa"/>
            <w:tcBorders>
              <w:top w:val="single" w:sz="2" w:space="0" w:color="auto"/>
              <w:left w:val="nil"/>
              <w:bottom w:val="single" w:sz="2" w:space="0" w:color="auto"/>
              <w:right w:val="nil"/>
            </w:tcBorders>
            <w:shd w:val="clear" w:color="auto" w:fill="auto"/>
            <w:noWrap/>
            <w:vAlign w:val="center"/>
            <w:hideMark/>
          </w:tcPr>
          <w:p w14:paraId="28EDAADD"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107</w:t>
            </w:r>
          </w:p>
        </w:tc>
      </w:tr>
      <w:tr w:rsidR="00FB2CFA" w:rsidRPr="00ED1AC4" w14:paraId="406D6045"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3A6F694B" w14:textId="77777777" w:rsidR="00FB2CFA" w:rsidRPr="00ED1AC4" w:rsidRDefault="00FB2CFA" w:rsidP="00ED1AC4">
            <w:pPr>
              <w:pStyle w:val="cuatexto"/>
              <w:spacing w:line="240" w:lineRule="auto"/>
              <w:rPr>
                <w:sz w:val="18"/>
                <w:szCs w:val="18"/>
                <w:lang w:val="es-ES" w:eastAsia="es-ES"/>
              </w:rPr>
            </w:pPr>
            <w:r w:rsidRPr="00ED1AC4">
              <w:rPr>
                <w:sz w:val="18"/>
                <w:szCs w:val="18"/>
                <w:lang w:val="es-ES" w:eastAsia="es-ES"/>
              </w:rPr>
              <w:t xml:space="preserve">Índice de carga financiera (cap. 3 y 9 entre </w:t>
            </w:r>
            <w:proofErr w:type="spellStart"/>
            <w:r w:rsidRPr="00ED1AC4">
              <w:rPr>
                <w:sz w:val="18"/>
                <w:szCs w:val="18"/>
                <w:lang w:val="es-ES" w:eastAsia="es-ES"/>
              </w:rPr>
              <w:t>ingr</w:t>
            </w:r>
            <w:proofErr w:type="spellEnd"/>
            <w:r w:rsidRPr="00ED1AC4">
              <w:rPr>
                <w:sz w:val="18"/>
                <w:szCs w:val="18"/>
                <w:lang w:val="es-ES" w:eastAsia="es-ES"/>
              </w:rPr>
              <w:t>. Corrientes)</w:t>
            </w:r>
          </w:p>
        </w:tc>
        <w:tc>
          <w:tcPr>
            <w:tcW w:w="851" w:type="dxa"/>
            <w:tcBorders>
              <w:top w:val="single" w:sz="2" w:space="0" w:color="auto"/>
              <w:left w:val="nil"/>
              <w:bottom w:val="single" w:sz="2" w:space="0" w:color="auto"/>
              <w:right w:val="nil"/>
            </w:tcBorders>
            <w:shd w:val="clear" w:color="auto" w:fill="auto"/>
            <w:noWrap/>
            <w:vAlign w:val="center"/>
            <w:hideMark/>
          </w:tcPr>
          <w:p w14:paraId="5F272BF9"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4%</w:t>
            </w:r>
          </w:p>
        </w:tc>
        <w:tc>
          <w:tcPr>
            <w:tcW w:w="1275" w:type="dxa"/>
            <w:tcBorders>
              <w:top w:val="single" w:sz="2" w:space="0" w:color="auto"/>
              <w:left w:val="nil"/>
              <w:bottom w:val="single" w:sz="2" w:space="0" w:color="auto"/>
              <w:right w:val="nil"/>
            </w:tcBorders>
            <w:shd w:val="clear" w:color="auto" w:fill="auto"/>
            <w:noWrap/>
            <w:vAlign w:val="center"/>
            <w:hideMark/>
          </w:tcPr>
          <w:p w14:paraId="7CCEE577"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4%</w:t>
            </w:r>
          </w:p>
        </w:tc>
        <w:tc>
          <w:tcPr>
            <w:tcW w:w="1275" w:type="dxa"/>
            <w:tcBorders>
              <w:top w:val="single" w:sz="2" w:space="0" w:color="auto"/>
              <w:left w:val="nil"/>
              <w:bottom w:val="single" w:sz="2" w:space="0" w:color="auto"/>
              <w:right w:val="nil"/>
            </w:tcBorders>
            <w:shd w:val="clear" w:color="auto" w:fill="auto"/>
            <w:noWrap/>
            <w:vAlign w:val="center"/>
            <w:hideMark/>
          </w:tcPr>
          <w:p w14:paraId="284609A8"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3%</w:t>
            </w:r>
          </w:p>
        </w:tc>
        <w:tc>
          <w:tcPr>
            <w:tcW w:w="1418" w:type="dxa"/>
            <w:tcBorders>
              <w:top w:val="single" w:sz="2" w:space="0" w:color="auto"/>
              <w:left w:val="nil"/>
              <w:bottom w:val="single" w:sz="2" w:space="0" w:color="auto"/>
              <w:right w:val="nil"/>
            </w:tcBorders>
            <w:shd w:val="clear" w:color="auto" w:fill="auto"/>
            <w:noWrap/>
            <w:vAlign w:val="center"/>
            <w:hideMark/>
          </w:tcPr>
          <w:p w14:paraId="21ED3C96"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5%</w:t>
            </w:r>
          </w:p>
        </w:tc>
        <w:tc>
          <w:tcPr>
            <w:tcW w:w="850" w:type="dxa"/>
            <w:tcBorders>
              <w:top w:val="single" w:sz="2" w:space="0" w:color="auto"/>
              <w:left w:val="nil"/>
              <w:bottom w:val="single" w:sz="2" w:space="0" w:color="auto"/>
              <w:right w:val="nil"/>
            </w:tcBorders>
            <w:shd w:val="clear" w:color="auto" w:fill="auto"/>
            <w:noWrap/>
            <w:vAlign w:val="center"/>
            <w:hideMark/>
          </w:tcPr>
          <w:p w14:paraId="253A1611"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4%</w:t>
            </w:r>
          </w:p>
        </w:tc>
      </w:tr>
      <w:tr w:rsidR="00FB2CFA" w:rsidRPr="00ED1AC4" w14:paraId="61B6D794"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3F130597" w14:textId="05E89AED" w:rsidR="00FB2CFA" w:rsidRPr="00ED1AC4" w:rsidRDefault="00FB2CFA" w:rsidP="00ED1AC4">
            <w:pPr>
              <w:pStyle w:val="cuatexto"/>
              <w:spacing w:line="240" w:lineRule="auto"/>
              <w:rPr>
                <w:sz w:val="18"/>
                <w:szCs w:val="18"/>
                <w:lang w:val="es-ES" w:eastAsia="es-ES"/>
              </w:rPr>
            </w:pPr>
            <w:proofErr w:type="spellStart"/>
            <w:r w:rsidRPr="00ED1AC4">
              <w:rPr>
                <w:sz w:val="18"/>
                <w:szCs w:val="18"/>
                <w:lang w:val="es-ES" w:eastAsia="es-ES"/>
              </w:rPr>
              <w:t>Porc</w:t>
            </w:r>
            <w:proofErr w:type="spellEnd"/>
            <w:r w:rsidR="00BA63E6" w:rsidRPr="00ED1AC4">
              <w:rPr>
                <w:sz w:val="18"/>
                <w:szCs w:val="18"/>
                <w:lang w:val="es-ES" w:eastAsia="es-ES"/>
              </w:rPr>
              <w:t>.</w:t>
            </w:r>
            <w:r w:rsidRPr="00ED1AC4">
              <w:rPr>
                <w:sz w:val="18"/>
                <w:szCs w:val="18"/>
                <w:lang w:val="es-ES" w:eastAsia="es-ES"/>
              </w:rPr>
              <w:t xml:space="preserve"> ahorro bruto s</w:t>
            </w:r>
            <w:r w:rsidR="00BA63E6" w:rsidRPr="00ED1AC4">
              <w:rPr>
                <w:sz w:val="18"/>
                <w:szCs w:val="18"/>
                <w:lang w:val="es-ES" w:eastAsia="es-ES"/>
              </w:rPr>
              <w:t>/</w:t>
            </w:r>
            <w:r w:rsidRPr="00ED1AC4">
              <w:rPr>
                <w:sz w:val="18"/>
                <w:szCs w:val="18"/>
                <w:lang w:val="es-ES" w:eastAsia="es-ES"/>
              </w:rPr>
              <w:t xml:space="preserve"> ingresos corrientes (</w:t>
            </w:r>
            <w:proofErr w:type="spellStart"/>
            <w:r w:rsidRPr="00ED1AC4">
              <w:rPr>
                <w:sz w:val="18"/>
                <w:szCs w:val="18"/>
                <w:lang w:val="es-ES" w:eastAsia="es-ES"/>
              </w:rPr>
              <w:t>ing</w:t>
            </w:r>
            <w:proofErr w:type="spellEnd"/>
            <w:r w:rsidRPr="00ED1AC4">
              <w:rPr>
                <w:sz w:val="18"/>
                <w:szCs w:val="18"/>
                <w:lang w:val="es-ES" w:eastAsia="es-ES"/>
              </w:rPr>
              <w:t xml:space="preserve"> </w:t>
            </w:r>
            <w:proofErr w:type="spellStart"/>
            <w:r w:rsidRPr="00ED1AC4">
              <w:rPr>
                <w:sz w:val="18"/>
                <w:szCs w:val="18"/>
                <w:lang w:val="es-ES" w:eastAsia="es-ES"/>
              </w:rPr>
              <w:t>ctes</w:t>
            </w:r>
            <w:proofErr w:type="spellEnd"/>
            <w:r w:rsidRPr="00ED1AC4">
              <w:rPr>
                <w:sz w:val="18"/>
                <w:szCs w:val="18"/>
                <w:lang w:val="es-ES" w:eastAsia="es-ES"/>
              </w:rPr>
              <w:t xml:space="preserve"> - gastos </w:t>
            </w:r>
            <w:proofErr w:type="spellStart"/>
            <w:r w:rsidRPr="00ED1AC4">
              <w:rPr>
                <w:sz w:val="18"/>
                <w:szCs w:val="18"/>
                <w:lang w:val="es-ES" w:eastAsia="es-ES"/>
              </w:rPr>
              <w:t>func</w:t>
            </w:r>
            <w:proofErr w:type="spellEnd"/>
            <w:r w:rsidRPr="00ED1AC4">
              <w:rPr>
                <w:sz w:val="18"/>
                <w:szCs w:val="18"/>
                <w:lang w:val="es-ES" w:eastAsia="es-ES"/>
              </w:rPr>
              <w:t xml:space="preserve">. / </w:t>
            </w:r>
            <w:proofErr w:type="spellStart"/>
            <w:r w:rsidRPr="00ED1AC4">
              <w:rPr>
                <w:sz w:val="18"/>
                <w:szCs w:val="18"/>
                <w:lang w:val="es-ES" w:eastAsia="es-ES"/>
              </w:rPr>
              <w:t>ingr</w:t>
            </w:r>
            <w:proofErr w:type="spellEnd"/>
            <w:r w:rsidRPr="00ED1AC4">
              <w:rPr>
                <w:sz w:val="18"/>
                <w:szCs w:val="18"/>
                <w:lang w:val="es-ES" w:eastAsia="es-ES"/>
              </w:rPr>
              <w:t xml:space="preserve"> corrientes)</w:t>
            </w:r>
          </w:p>
        </w:tc>
        <w:tc>
          <w:tcPr>
            <w:tcW w:w="851" w:type="dxa"/>
            <w:tcBorders>
              <w:top w:val="single" w:sz="2" w:space="0" w:color="auto"/>
              <w:left w:val="nil"/>
              <w:bottom w:val="single" w:sz="2" w:space="0" w:color="auto"/>
              <w:right w:val="nil"/>
            </w:tcBorders>
            <w:shd w:val="clear" w:color="auto" w:fill="auto"/>
            <w:noWrap/>
            <w:vAlign w:val="center"/>
            <w:hideMark/>
          </w:tcPr>
          <w:p w14:paraId="57CA597B"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29%</w:t>
            </w:r>
          </w:p>
        </w:tc>
        <w:tc>
          <w:tcPr>
            <w:tcW w:w="1275" w:type="dxa"/>
            <w:tcBorders>
              <w:top w:val="single" w:sz="2" w:space="0" w:color="auto"/>
              <w:left w:val="nil"/>
              <w:bottom w:val="single" w:sz="2" w:space="0" w:color="auto"/>
              <w:right w:val="nil"/>
            </w:tcBorders>
            <w:shd w:val="clear" w:color="auto" w:fill="auto"/>
            <w:noWrap/>
            <w:vAlign w:val="center"/>
            <w:hideMark/>
          </w:tcPr>
          <w:p w14:paraId="08D7A58B"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24%</w:t>
            </w:r>
          </w:p>
        </w:tc>
        <w:tc>
          <w:tcPr>
            <w:tcW w:w="1275" w:type="dxa"/>
            <w:tcBorders>
              <w:top w:val="single" w:sz="2" w:space="0" w:color="auto"/>
              <w:left w:val="nil"/>
              <w:bottom w:val="single" w:sz="2" w:space="0" w:color="auto"/>
              <w:right w:val="nil"/>
            </w:tcBorders>
            <w:shd w:val="clear" w:color="auto" w:fill="auto"/>
            <w:noWrap/>
            <w:vAlign w:val="center"/>
            <w:hideMark/>
          </w:tcPr>
          <w:p w14:paraId="53F68183"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19%</w:t>
            </w:r>
          </w:p>
        </w:tc>
        <w:tc>
          <w:tcPr>
            <w:tcW w:w="1418" w:type="dxa"/>
            <w:tcBorders>
              <w:top w:val="single" w:sz="2" w:space="0" w:color="auto"/>
              <w:left w:val="nil"/>
              <w:bottom w:val="single" w:sz="2" w:space="0" w:color="auto"/>
              <w:right w:val="nil"/>
            </w:tcBorders>
            <w:shd w:val="clear" w:color="auto" w:fill="auto"/>
            <w:noWrap/>
            <w:vAlign w:val="center"/>
            <w:hideMark/>
          </w:tcPr>
          <w:p w14:paraId="32D36B63"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14%</w:t>
            </w:r>
          </w:p>
        </w:tc>
        <w:tc>
          <w:tcPr>
            <w:tcW w:w="850" w:type="dxa"/>
            <w:tcBorders>
              <w:top w:val="single" w:sz="2" w:space="0" w:color="auto"/>
              <w:left w:val="nil"/>
              <w:bottom w:val="single" w:sz="2" w:space="0" w:color="auto"/>
              <w:right w:val="nil"/>
            </w:tcBorders>
            <w:shd w:val="clear" w:color="auto" w:fill="auto"/>
            <w:noWrap/>
            <w:vAlign w:val="center"/>
            <w:hideMark/>
          </w:tcPr>
          <w:p w14:paraId="73CB84E9"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14%</w:t>
            </w:r>
          </w:p>
        </w:tc>
      </w:tr>
      <w:tr w:rsidR="00FB2CFA" w:rsidRPr="00ED1AC4" w14:paraId="7F6E66F9" w14:textId="77777777" w:rsidTr="00BA63E6">
        <w:trPr>
          <w:trHeight w:val="255"/>
          <w:jc w:val="center"/>
        </w:trPr>
        <w:tc>
          <w:tcPr>
            <w:tcW w:w="3119" w:type="dxa"/>
            <w:tcBorders>
              <w:top w:val="single" w:sz="2" w:space="0" w:color="auto"/>
              <w:left w:val="nil"/>
              <w:bottom w:val="single" w:sz="4" w:space="0" w:color="auto"/>
              <w:right w:val="nil"/>
            </w:tcBorders>
            <w:shd w:val="clear" w:color="auto" w:fill="auto"/>
            <w:noWrap/>
            <w:vAlign w:val="center"/>
            <w:hideMark/>
          </w:tcPr>
          <w:p w14:paraId="3E792933" w14:textId="77777777" w:rsidR="00FB2CFA" w:rsidRPr="00ED1AC4" w:rsidRDefault="00FB2CFA" w:rsidP="00ED1AC4">
            <w:pPr>
              <w:pStyle w:val="cuatexto"/>
              <w:spacing w:line="240" w:lineRule="auto"/>
              <w:rPr>
                <w:sz w:val="18"/>
                <w:szCs w:val="18"/>
                <w:lang w:val="es-ES" w:eastAsia="es-ES"/>
              </w:rPr>
            </w:pPr>
            <w:r w:rsidRPr="00ED1AC4">
              <w:rPr>
                <w:sz w:val="18"/>
                <w:szCs w:val="18"/>
                <w:lang w:val="es-ES" w:eastAsia="es-ES"/>
              </w:rPr>
              <w:t xml:space="preserve">Porcentaje de gastos corrientes financiados con </w:t>
            </w:r>
            <w:proofErr w:type="spellStart"/>
            <w:proofErr w:type="gramStart"/>
            <w:r w:rsidRPr="00ED1AC4">
              <w:rPr>
                <w:sz w:val="18"/>
                <w:szCs w:val="18"/>
                <w:lang w:val="es-ES" w:eastAsia="es-ES"/>
              </w:rPr>
              <w:t>transf.corrientes</w:t>
            </w:r>
            <w:proofErr w:type="spellEnd"/>
            <w:proofErr w:type="gramEnd"/>
          </w:p>
        </w:tc>
        <w:tc>
          <w:tcPr>
            <w:tcW w:w="851" w:type="dxa"/>
            <w:tcBorders>
              <w:top w:val="single" w:sz="2" w:space="0" w:color="auto"/>
              <w:left w:val="nil"/>
              <w:bottom w:val="single" w:sz="4" w:space="0" w:color="auto"/>
              <w:right w:val="nil"/>
            </w:tcBorders>
            <w:shd w:val="clear" w:color="auto" w:fill="auto"/>
            <w:noWrap/>
            <w:vAlign w:val="center"/>
            <w:hideMark/>
          </w:tcPr>
          <w:p w14:paraId="492E5A99"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62%</w:t>
            </w:r>
          </w:p>
        </w:tc>
        <w:tc>
          <w:tcPr>
            <w:tcW w:w="1275" w:type="dxa"/>
            <w:tcBorders>
              <w:top w:val="single" w:sz="2" w:space="0" w:color="auto"/>
              <w:left w:val="nil"/>
              <w:bottom w:val="single" w:sz="4" w:space="0" w:color="auto"/>
              <w:right w:val="nil"/>
            </w:tcBorders>
            <w:shd w:val="clear" w:color="auto" w:fill="auto"/>
            <w:noWrap/>
            <w:vAlign w:val="center"/>
            <w:hideMark/>
          </w:tcPr>
          <w:p w14:paraId="12568DF4"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59%</w:t>
            </w:r>
          </w:p>
        </w:tc>
        <w:tc>
          <w:tcPr>
            <w:tcW w:w="1275" w:type="dxa"/>
            <w:tcBorders>
              <w:top w:val="single" w:sz="2" w:space="0" w:color="auto"/>
              <w:left w:val="nil"/>
              <w:bottom w:val="single" w:sz="4" w:space="0" w:color="auto"/>
              <w:right w:val="nil"/>
            </w:tcBorders>
            <w:shd w:val="clear" w:color="auto" w:fill="auto"/>
            <w:noWrap/>
            <w:vAlign w:val="center"/>
            <w:hideMark/>
          </w:tcPr>
          <w:p w14:paraId="1D909279"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54%</w:t>
            </w:r>
          </w:p>
        </w:tc>
        <w:tc>
          <w:tcPr>
            <w:tcW w:w="1418" w:type="dxa"/>
            <w:tcBorders>
              <w:top w:val="single" w:sz="2" w:space="0" w:color="auto"/>
              <w:left w:val="nil"/>
              <w:bottom w:val="single" w:sz="4" w:space="0" w:color="auto"/>
              <w:right w:val="nil"/>
            </w:tcBorders>
            <w:shd w:val="clear" w:color="auto" w:fill="auto"/>
            <w:noWrap/>
            <w:vAlign w:val="center"/>
            <w:hideMark/>
          </w:tcPr>
          <w:p w14:paraId="4E4FF4B6"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54%</w:t>
            </w:r>
          </w:p>
        </w:tc>
        <w:tc>
          <w:tcPr>
            <w:tcW w:w="850" w:type="dxa"/>
            <w:tcBorders>
              <w:top w:val="single" w:sz="2" w:space="0" w:color="auto"/>
              <w:left w:val="nil"/>
              <w:bottom w:val="single" w:sz="4" w:space="0" w:color="auto"/>
              <w:right w:val="nil"/>
            </w:tcBorders>
            <w:shd w:val="clear" w:color="auto" w:fill="auto"/>
            <w:noWrap/>
            <w:vAlign w:val="center"/>
            <w:hideMark/>
          </w:tcPr>
          <w:p w14:paraId="6C6BD244" w14:textId="77777777" w:rsidR="00FB2CFA" w:rsidRPr="00ED1AC4" w:rsidRDefault="00FB2CFA" w:rsidP="00ED1AC4">
            <w:pPr>
              <w:pStyle w:val="cuatexto"/>
              <w:spacing w:line="240" w:lineRule="auto"/>
              <w:jc w:val="right"/>
              <w:rPr>
                <w:sz w:val="18"/>
                <w:szCs w:val="18"/>
                <w:lang w:val="es-ES" w:eastAsia="es-ES"/>
              </w:rPr>
            </w:pPr>
            <w:r w:rsidRPr="00ED1AC4">
              <w:rPr>
                <w:sz w:val="18"/>
                <w:szCs w:val="18"/>
                <w:lang w:val="es-ES" w:eastAsia="es-ES"/>
              </w:rPr>
              <w:t>62%</w:t>
            </w:r>
          </w:p>
        </w:tc>
      </w:tr>
    </w:tbl>
    <w:p w14:paraId="49714A6E" w14:textId="4BCFA8D8" w:rsidR="00683931" w:rsidRPr="00BA63E6" w:rsidRDefault="003C17BD" w:rsidP="00BA63E6">
      <w:pPr>
        <w:pStyle w:val="atitulo1"/>
        <w:spacing w:before="60" w:after="0"/>
        <w:rPr>
          <w:b w:val="0"/>
          <w:color w:val="000000" w:themeColor="text1"/>
          <w:sz w:val="14"/>
          <w:szCs w:val="14"/>
        </w:rPr>
      </w:pPr>
      <w:r w:rsidRPr="00BA63E6">
        <w:rPr>
          <w:b w:val="0"/>
          <w:color w:val="000000" w:themeColor="text1"/>
          <w:sz w:val="14"/>
          <w:szCs w:val="14"/>
        </w:rPr>
        <w:t>(*) Datos de los ayuntamientos consolidados con sus organismos autónomos dependientes</w:t>
      </w:r>
      <w:r w:rsidR="006F5F14" w:rsidRPr="00BA63E6">
        <w:rPr>
          <w:b w:val="0"/>
          <w:color w:val="000000" w:themeColor="text1"/>
          <w:sz w:val="14"/>
          <w:szCs w:val="14"/>
        </w:rPr>
        <w:t>.</w:t>
      </w:r>
    </w:p>
    <w:p w14:paraId="1A412E10" w14:textId="6D899757" w:rsidR="00FB2CFA" w:rsidRPr="005C70E8" w:rsidRDefault="00AE13D4" w:rsidP="005C70E8">
      <w:pPr>
        <w:pStyle w:val="texto"/>
        <w:spacing w:before="240"/>
      </w:pPr>
      <w:r w:rsidRPr="005C70E8">
        <w:t>C</w:t>
      </w:r>
      <w:r w:rsidR="00FB2CFA" w:rsidRPr="005C70E8">
        <w:t xml:space="preserve">on la excepción de Pamplona, que es </w:t>
      </w:r>
      <w:r w:rsidR="00E10ADA">
        <w:t xml:space="preserve">el </w:t>
      </w:r>
      <w:r w:rsidR="00FB2CFA" w:rsidRPr="005C70E8">
        <w:t>único municipio con más de 40.000 habitantes, conforme aumenta el tamaño del municipio, dismi</w:t>
      </w:r>
      <w:r w:rsidR="00D535F4" w:rsidRPr="005C70E8">
        <w:t>nuyen los ingresos corrientes</w:t>
      </w:r>
      <w:r w:rsidR="00FB2CFA" w:rsidRPr="005C70E8">
        <w:t>,</w:t>
      </w:r>
      <w:r w:rsidR="00D535F4" w:rsidRPr="005C70E8">
        <w:t xml:space="preserve"> </w:t>
      </w:r>
      <w:r w:rsidR="00974F8A" w:rsidRPr="005C70E8">
        <w:t>los gastos de funcionamiento y los</w:t>
      </w:r>
      <w:r w:rsidR="00D535F4" w:rsidRPr="005C70E8">
        <w:t xml:space="preserve"> </w:t>
      </w:r>
      <w:r w:rsidR="00FB2CFA" w:rsidRPr="005C70E8">
        <w:t>ahorro</w:t>
      </w:r>
      <w:r w:rsidR="00974F8A" w:rsidRPr="005C70E8">
        <w:t>s</w:t>
      </w:r>
      <w:r w:rsidR="00FB2CFA" w:rsidRPr="005C70E8">
        <w:t xml:space="preserve"> bruto</w:t>
      </w:r>
      <w:r w:rsidR="003C17BD" w:rsidRPr="005C70E8">
        <w:t xml:space="preserve"> y neto </w:t>
      </w:r>
      <w:r w:rsidR="00FB2CFA" w:rsidRPr="005C70E8">
        <w:t>por habitante.</w:t>
      </w:r>
    </w:p>
    <w:p w14:paraId="3C6CF00C" w14:textId="7C5A7332" w:rsidR="00345C6C" w:rsidRPr="00EF0883" w:rsidRDefault="00683931" w:rsidP="004248BF">
      <w:pPr>
        <w:pStyle w:val="Ttulo2"/>
        <w:rPr>
          <w:szCs w:val="25"/>
        </w:rPr>
      </w:pPr>
      <w:bookmarkStart w:id="107" w:name="_Toc123724214"/>
      <w:proofErr w:type="spellStart"/>
      <w:r w:rsidRPr="00EF0883">
        <w:rPr>
          <w:szCs w:val="25"/>
        </w:rPr>
        <w:t>X.2</w:t>
      </w:r>
      <w:proofErr w:type="spellEnd"/>
      <w:r w:rsidR="00EF0883">
        <w:rPr>
          <w:szCs w:val="25"/>
        </w:rPr>
        <w:t xml:space="preserve">. Comparativa </w:t>
      </w:r>
      <w:r w:rsidR="00345C6C" w:rsidRPr="00EF0883">
        <w:rPr>
          <w:szCs w:val="25"/>
        </w:rPr>
        <w:t>entre los ayuntamientos de Navarra, País Vasco y Estado</w:t>
      </w:r>
      <w:bookmarkStart w:id="108" w:name="_Toc52348297"/>
      <w:bookmarkEnd w:id="98"/>
      <w:bookmarkEnd w:id="99"/>
      <w:bookmarkEnd w:id="107"/>
    </w:p>
    <w:p w14:paraId="3A41C03F" w14:textId="77777777" w:rsidR="00E54FF7" w:rsidRDefault="007618A7" w:rsidP="00E54FF7">
      <w:pPr>
        <w:ind w:firstLine="284"/>
        <w:rPr>
          <w:rStyle w:val="textoCar"/>
          <w:color w:val="000000" w:themeColor="text1"/>
          <w:szCs w:val="26"/>
        </w:rPr>
      </w:pPr>
      <w:r>
        <w:rPr>
          <w:rStyle w:val="textoCar"/>
          <w:color w:val="000000" w:themeColor="text1"/>
          <w:szCs w:val="26"/>
        </w:rPr>
        <w:t>En esta sección</w:t>
      </w:r>
      <w:r w:rsidR="00E54FF7">
        <w:rPr>
          <w:rStyle w:val="textoCar"/>
          <w:color w:val="000000" w:themeColor="text1"/>
          <w:szCs w:val="26"/>
        </w:rPr>
        <w:t xml:space="preserve"> se comparan un conjunto de indicadores económico-financier</w:t>
      </w:r>
      <w:r w:rsidR="009F0AA8">
        <w:rPr>
          <w:rStyle w:val="textoCar"/>
          <w:color w:val="000000" w:themeColor="text1"/>
          <w:szCs w:val="26"/>
        </w:rPr>
        <w:t>os</w:t>
      </w:r>
      <w:r w:rsidR="00E54FF7">
        <w:rPr>
          <w:rStyle w:val="textoCar"/>
          <w:color w:val="000000" w:themeColor="text1"/>
          <w:szCs w:val="26"/>
        </w:rPr>
        <w:t xml:space="preserve"> de los ayuntamientos de Navarra con los del País Vasco y los del resto del Estado, que tienen sistemas de financiación</w:t>
      </w:r>
      <w:r w:rsidR="004367EF">
        <w:rPr>
          <w:rStyle w:val="textoCar"/>
          <w:color w:val="000000" w:themeColor="text1"/>
          <w:szCs w:val="26"/>
        </w:rPr>
        <w:t xml:space="preserve"> diferentes</w:t>
      </w:r>
      <w:r w:rsidR="00E54FF7">
        <w:rPr>
          <w:rStyle w:val="textoCar"/>
          <w:color w:val="000000" w:themeColor="text1"/>
          <w:szCs w:val="26"/>
        </w:rPr>
        <w:t>, en base a la información proporcionada en el Informe sobre la situación financiera del Sector P</w:t>
      </w:r>
      <w:r w:rsidR="004367EF">
        <w:rPr>
          <w:rStyle w:val="textoCar"/>
          <w:color w:val="000000" w:themeColor="text1"/>
          <w:szCs w:val="26"/>
        </w:rPr>
        <w:t>úblico Local 2020 de la DGALD</w:t>
      </w:r>
      <w:r w:rsidR="004C5885">
        <w:rPr>
          <w:rStyle w:val="textoCar"/>
          <w:color w:val="000000" w:themeColor="text1"/>
          <w:szCs w:val="26"/>
        </w:rPr>
        <w:t>.</w:t>
      </w:r>
    </w:p>
    <w:p w14:paraId="0778FA18" w14:textId="16CD3A27" w:rsidR="00345C6C" w:rsidRDefault="007618A7" w:rsidP="00534BA4">
      <w:pPr>
        <w:spacing w:after="240"/>
        <w:ind w:firstLine="284"/>
        <w:rPr>
          <w:rStyle w:val="textoCar"/>
          <w:color w:val="000000" w:themeColor="text1"/>
          <w:szCs w:val="26"/>
        </w:rPr>
      </w:pPr>
      <w:r>
        <w:rPr>
          <w:rStyle w:val="textoCar"/>
          <w:color w:val="000000" w:themeColor="text1"/>
          <w:szCs w:val="26"/>
        </w:rPr>
        <w:t>Dada la reducida dimensión de los municipios navarros</w:t>
      </w:r>
      <w:r w:rsidR="00E54FF7">
        <w:rPr>
          <w:rStyle w:val="textoCar"/>
          <w:color w:val="000000" w:themeColor="text1"/>
          <w:szCs w:val="26"/>
        </w:rPr>
        <w:t xml:space="preserve">, para que la comparativa sea más homogénea, se realiza únicamente sobre los municipios de población inferior a 40.000 habitantes y </w:t>
      </w:r>
      <w:r w:rsidR="004C5885">
        <w:rPr>
          <w:rStyle w:val="textoCar"/>
          <w:color w:val="000000" w:themeColor="text1"/>
          <w:szCs w:val="26"/>
        </w:rPr>
        <w:t xml:space="preserve">que </w:t>
      </w:r>
      <w:r w:rsidR="00E54FF7">
        <w:rPr>
          <w:rStyle w:val="textoCar"/>
          <w:color w:val="000000" w:themeColor="text1"/>
          <w:szCs w:val="26"/>
        </w:rPr>
        <w:t>no son capitales de provincia</w:t>
      </w:r>
      <w:r w:rsidR="00487743">
        <w:rPr>
          <w:rStyle w:val="textoCar"/>
          <w:color w:val="000000" w:themeColor="text1"/>
          <w:szCs w:val="26"/>
        </w:rPr>
        <w:t xml:space="preserve"> (en Navarra, todos excepto Pamplona)</w:t>
      </w:r>
      <w:r w:rsidR="00E54FF7">
        <w:rPr>
          <w:rStyle w:val="textoCar"/>
          <w:color w:val="000000" w:themeColor="text1"/>
          <w:szCs w:val="26"/>
        </w:rPr>
        <w:t>.</w:t>
      </w:r>
      <w:r w:rsidR="004367EF">
        <w:rPr>
          <w:rStyle w:val="textoCar"/>
          <w:color w:val="000000" w:themeColor="text1"/>
          <w:szCs w:val="26"/>
        </w:rPr>
        <w:t xml:space="preserve"> Así, </w:t>
      </w:r>
      <w:bookmarkEnd w:id="108"/>
      <w:r w:rsidR="004367EF">
        <w:rPr>
          <w:rStyle w:val="textoCar"/>
          <w:color w:val="000000" w:themeColor="text1"/>
          <w:szCs w:val="26"/>
        </w:rPr>
        <w:t>l</w:t>
      </w:r>
      <w:r w:rsidR="00345C6C">
        <w:rPr>
          <w:rStyle w:val="textoCar"/>
          <w:color w:val="000000" w:themeColor="text1"/>
          <w:szCs w:val="26"/>
        </w:rPr>
        <w:t>os datos a comparar corresponden a los siguientes municipios y habitantes:</w:t>
      </w:r>
    </w:p>
    <w:tbl>
      <w:tblPr>
        <w:tblW w:w="8861" w:type="dxa"/>
        <w:tblCellMar>
          <w:left w:w="70" w:type="dxa"/>
          <w:right w:w="70" w:type="dxa"/>
        </w:tblCellMar>
        <w:tblLook w:val="04A0" w:firstRow="1" w:lastRow="0" w:firstColumn="1" w:lastColumn="0" w:noHBand="0" w:noVBand="1"/>
      </w:tblPr>
      <w:tblGrid>
        <w:gridCol w:w="2480"/>
        <w:gridCol w:w="1418"/>
        <w:gridCol w:w="1559"/>
        <w:gridCol w:w="2056"/>
        <w:gridCol w:w="1348"/>
      </w:tblGrid>
      <w:tr w:rsidR="004367EF" w:rsidRPr="00534BA4" w14:paraId="4DFF921F" w14:textId="77777777" w:rsidTr="00C01180">
        <w:trPr>
          <w:trHeight w:val="300"/>
        </w:trPr>
        <w:tc>
          <w:tcPr>
            <w:tcW w:w="2480" w:type="dxa"/>
            <w:tcBorders>
              <w:top w:val="single" w:sz="4" w:space="0" w:color="auto"/>
              <w:left w:val="nil"/>
              <w:bottom w:val="single" w:sz="4" w:space="0" w:color="auto"/>
              <w:right w:val="nil"/>
            </w:tcBorders>
            <w:shd w:val="clear" w:color="auto" w:fill="FABF8F" w:themeFill="accent6" w:themeFillTint="99"/>
            <w:noWrap/>
            <w:vAlign w:val="center"/>
            <w:hideMark/>
          </w:tcPr>
          <w:p w14:paraId="471F2FF4" w14:textId="77777777" w:rsidR="004367EF" w:rsidRPr="00534BA4" w:rsidRDefault="004367EF" w:rsidP="00534BA4">
            <w:pPr>
              <w:pStyle w:val="cuadroCabe"/>
            </w:pPr>
            <w:r w:rsidRPr="00534BA4">
              <w:t>Indicador</w:t>
            </w:r>
          </w:p>
        </w:tc>
        <w:tc>
          <w:tcPr>
            <w:tcW w:w="1418" w:type="dxa"/>
            <w:tcBorders>
              <w:top w:val="single" w:sz="4" w:space="0" w:color="auto"/>
              <w:left w:val="nil"/>
              <w:bottom w:val="single" w:sz="4" w:space="0" w:color="auto"/>
              <w:right w:val="nil"/>
            </w:tcBorders>
            <w:shd w:val="clear" w:color="auto" w:fill="FABF8F" w:themeFill="accent6" w:themeFillTint="99"/>
            <w:noWrap/>
            <w:vAlign w:val="center"/>
            <w:hideMark/>
          </w:tcPr>
          <w:p w14:paraId="127F7730" w14:textId="77777777" w:rsidR="004367EF" w:rsidRPr="00534BA4" w:rsidRDefault="004367EF" w:rsidP="00534BA4">
            <w:pPr>
              <w:pStyle w:val="cuadroCabe"/>
              <w:jc w:val="right"/>
            </w:pPr>
            <w:r w:rsidRPr="00534BA4">
              <w:t>Navarra</w:t>
            </w:r>
          </w:p>
        </w:tc>
        <w:tc>
          <w:tcPr>
            <w:tcW w:w="1559" w:type="dxa"/>
            <w:tcBorders>
              <w:top w:val="single" w:sz="4" w:space="0" w:color="auto"/>
              <w:left w:val="nil"/>
              <w:bottom w:val="single" w:sz="4" w:space="0" w:color="auto"/>
              <w:right w:val="nil"/>
            </w:tcBorders>
            <w:shd w:val="clear" w:color="auto" w:fill="FABF8F" w:themeFill="accent6" w:themeFillTint="99"/>
            <w:noWrap/>
            <w:vAlign w:val="center"/>
            <w:hideMark/>
          </w:tcPr>
          <w:p w14:paraId="3F0C3438" w14:textId="77777777" w:rsidR="004367EF" w:rsidRPr="00534BA4" w:rsidRDefault="004367EF" w:rsidP="00534BA4">
            <w:pPr>
              <w:pStyle w:val="cuadroCabe"/>
              <w:jc w:val="right"/>
            </w:pPr>
            <w:r w:rsidRPr="00534BA4">
              <w:t>País Vasco</w:t>
            </w:r>
            <w:r w:rsidR="004C5885" w:rsidRPr="00534BA4">
              <w:t>*</w:t>
            </w:r>
          </w:p>
        </w:tc>
        <w:tc>
          <w:tcPr>
            <w:tcW w:w="2056" w:type="dxa"/>
            <w:tcBorders>
              <w:top w:val="single" w:sz="4" w:space="0" w:color="auto"/>
              <w:left w:val="nil"/>
              <w:bottom w:val="single" w:sz="4" w:space="0" w:color="auto"/>
              <w:right w:val="nil"/>
            </w:tcBorders>
            <w:shd w:val="clear" w:color="auto" w:fill="FABF8F" w:themeFill="accent6" w:themeFillTint="99"/>
            <w:vAlign w:val="center"/>
            <w:hideMark/>
          </w:tcPr>
          <w:p w14:paraId="523C22A2" w14:textId="77777777" w:rsidR="004367EF" w:rsidRPr="00534BA4" w:rsidRDefault="004C5885" w:rsidP="00534BA4">
            <w:pPr>
              <w:pStyle w:val="cuadroCabe"/>
              <w:jc w:val="right"/>
            </w:pPr>
            <w:r w:rsidRPr="00534BA4">
              <w:t xml:space="preserve">Resto del </w:t>
            </w:r>
            <w:r w:rsidR="004367EF" w:rsidRPr="00534BA4">
              <w:t>Estado</w:t>
            </w:r>
            <w:r w:rsidRPr="00534BA4">
              <w:t>*</w:t>
            </w:r>
          </w:p>
        </w:tc>
        <w:tc>
          <w:tcPr>
            <w:tcW w:w="1348" w:type="dxa"/>
            <w:tcBorders>
              <w:top w:val="single" w:sz="4" w:space="0" w:color="auto"/>
              <w:left w:val="nil"/>
              <w:bottom w:val="single" w:sz="4" w:space="0" w:color="auto"/>
              <w:right w:val="nil"/>
            </w:tcBorders>
            <w:shd w:val="clear" w:color="auto" w:fill="FABF8F" w:themeFill="accent6" w:themeFillTint="99"/>
            <w:vAlign w:val="center"/>
            <w:hideMark/>
          </w:tcPr>
          <w:p w14:paraId="680975F8" w14:textId="77777777" w:rsidR="004367EF" w:rsidRPr="00534BA4" w:rsidRDefault="004367EF" w:rsidP="00534BA4">
            <w:pPr>
              <w:pStyle w:val="cuadroCabe"/>
              <w:jc w:val="right"/>
            </w:pPr>
            <w:r w:rsidRPr="00534BA4">
              <w:t>Total</w:t>
            </w:r>
          </w:p>
        </w:tc>
      </w:tr>
      <w:tr w:rsidR="004367EF" w:rsidRPr="00534BA4" w14:paraId="08384EC6" w14:textId="77777777" w:rsidTr="00534BA4">
        <w:trPr>
          <w:trHeight w:val="300"/>
        </w:trPr>
        <w:tc>
          <w:tcPr>
            <w:tcW w:w="2480" w:type="dxa"/>
            <w:tcBorders>
              <w:top w:val="nil"/>
              <w:left w:val="nil"/>
              <w:bottom w:val="single" w:sz="2" w:space="0" w:color="auto"/>
              <w:right w:val="nil"/>
            </w:tcBorders>
            <w:shd w:val="clear" w:color="auto" w:fill="auto"/>
            <w:vAlign w:val="center"/>
            <w:hideMark/>
          </w:tcPr>
          <w:p w14:paraId="14602B2D" w14:textId="77777777" w:rsidR="00EE32F4" w:rsidRPr="00534BA4" w:rsidRDefault="004367EF" w:rsidP="00534BA4">
            <w:pPr>
              <w:pStyle w:val="cuatexto"/>
            </w:pPr>
            <w:r w:rsidRPr="00534BA4">
              <w:t xml:space="preserve">Número de municipios </w:t>
            </w:r>
          </w:p>
          <w:p w14:paraId="60957FBC" w14:textId="19FCDABC" w:rsidR="004367EF" w:rsidRPr="00534BA4" w:rsidRDefault="004367EF" w:rsidP="00534BA4">
            <w:pPr>
              <w:pStyle w:val="cuatexto"/>
            </w:pPr>
            <w:r w:rsidRPr="00534BA4">
              <w:t>&lt; 40.000 habitantes</w:t>
            </w:r>
          </w:p>
        </w:tc>
        <w:tc>
          <w:tcPr>
            <w:tcW w:w="1418" w:type="dxa"/>
            <w:tcBorders>
              <w:top w:val="nil"/>
              <w:left w:val="nil"/>
              <w:bottom w:val="single" w:sz="2" w:space="0" w:color="auto"/>
              <w:right w:val="nil"/>
            </w:tcBorders>
            <w:shd w:val="clear" w:color="auto" w:fill="auto"/>
            <w:noWrap/>
            <w:vAlign w:val="center"/>
            <w:hideMark/>
          </w:tcPr>
          <w:p w14:paraId="62522C48" w14:textId="77777777" w:rsidR="004367EF" w:rsidRPr="00534BA4" w:rsidRDefault="004367EF" w:rsidP="00534BA4">
            <w:pPr>
              <w:pStyle w:val="cuatexto"/>
              <w:jc w:val="right"/>
            </w:pPr>
            <w:r w:rsidRPr="00534BA4">
              <w:t>259</w:t>
            </w:r>
          </w:p>
        </w:tc>
        <w:tc>
          <w:tcPr>
            <w:tcW w:w="1559" w:type="dxa"/>
            <w:tcBorders>
              <w:top w:val="nil"/>
              <w:left w:val="nil"/>
              <w:bottom w:val="single" w:sz="2" w:space="0" w:color="auto"/>
              <w:right w:val="nil"/>
            </w:tcBorders>
            <w:shd w:val="clear" w:color="auto" w:fill="auto"/>
            <w:noWrap/>
            <w:vAlign w:val="center"/>
            <w:hideMark/>
          </w:tcPr>
          <w:p w14:paraId="0579AFF5" w14:textId="77777777" w:rsidR="004367EF" w:rsidRPr="00534BA4" w:rsidRDefault="004367EF" w:rsidP="00534BA4">
            <w:pPr>
              <w:pStyle w:val="cuatexto"/>
              <w:jc w:val="right"/>
            </w:pPr>
            <w:r w:rsidRPr="00534BA4">
              <w:t>174</w:t>
            </w:r>
          </w:p>
        </w:tc>
        <w:tc>
          <w:tcPr>
            <w:tcW w:w="2056" w:type="dxa"/>
            <w:tcBorders>
              <w:top w:val="nil"/>
              <w:left w:val="nil"/>
              <w:bottom w:val="single" w:sz="2" w:space="0" w:color="auto"/>
              <w:right w:val="nil"/>
            </w:tcBorders>
            <w:shd w:val="clear" w:color="auto" w:fill="auto"/>
            <w:noWrap/>
            <w:vAlign w:val="center"/>
            <w:hideMark/>
          </w:tcPr>
          <w:p w14:paraId="28600FC4" w14:textId="77777777" w:rsidR="004367EF" w:rsidRPr="00534BA4" w:rsidRDefault="004367EF" w:rsidP="00534BA4">
            <w:pPr>
              <w:pStyle w:val="cuatexto"/>
              <w:jc w:val="right"/>
            </w:pPr>
            <w:r w:rsidRPr="00534BA4">
              <w:t>6.604</w:t>
            </w:r>
          </w:p>
        </w:tc>
        <w:tc>
          <w:tcPr>
            <w:tcW w:w="1348" w:type="dxa"/>
            <w:tcBorders>
              <w:top w:val="nil"/>
              <w:left w:val="nil"/>
              <w:bottom w:val="single" w:sz="2" w:space="0" w:color="auto"/>
              <w:right w:val="nil"/>
            </w:tcBorders>
            <w:shd w:val="clear" w:color="auto" w:fill="auto"/>
            <w:noWrap/>
            <w:vAlign w:val="center"/>
            <w:hideMark/>
          </w:tcPr>
          <w:p w14:paraId="084989CE" w14:textId="77777777" w:rsidR="004367EF" w:rsidRPr="00534BA4" w:rsidRDefault="004367EF" w:rsidP="00534BA4">
            <w:pPr>
              <w:pStyle w:val="cuatexto"/>
              <w:jc w:val="right"/>
            </w:pPr>
            <w:r w:rsidRPr="00534BA4">
              <w:t>7.037</w:t>
            </w:r>
          </w:p>
        </w:tc>
      </w:tr>
      <w:tr w:rsidR="004367EF" w:rsidRPr="00534BA4" w14:paraId="7F29B78A" w14:textId="77777777" w:rsidTr="00534BA4">
        <w:trPr>
          <w:trHeight w:val="191"/>
        </w:trPr>
        <w:tc>
          <w:tcPr>
            <w:tcW w:w="2480" w:type="dxa"/>
            <w:tcBorders>
              <w:top w:val="single" w:sz="2" w:space="0" w:color="auto"/>
              <w:left w:val="nil"/>
              <w:bottom w:val="single" w:sz="2" w:space="0" w:color="auto"/>
              <w:right w:val="nil"/>
            </w:tcBorders>
            <w:shd w:val="clear" w:color="auto" w:fill="auto"/>
            <w:vAlign w:val="center"/>
            <w:hideMark/>
          </w:tcPr>
          <w:p w14:paraId="7332B87A" w14:textId="77777777" w:rsidR="004367EF" w:rsidRPr="00534BA4" w:rsidRDefault="004367EF" w:rsidP="00534BA4">
            <w:pPr>
              <w:pStyle w:val="cuatexto"/>
            </w:pPr>
            <w:r w:rsidRPr="00534BA4">
              <w:t>Población total de referencia</w:t>
            </w:r>
          </w:p>
        </w:tc>
        <w:tc>
          <w:tcPr>
            <w:tcW w:w="1418" w:type="dxa"/>
            <w:tcBorders>
              <w:top w:val="single" w:sz="2" w:space="0" w:color="auto"/>
              <w:left w:val="nil"/>
              <w:bottom w:val="single" w:sz="2" w:space="0" w:color="auto"/>
              <w:right w:val="nil"/>
            </w:tcBorders>
            <w:shd w:val="clear" w:color="auto" w:fill="auto"/>
            <w:noWrap/>
            <w:vAlign w:val="center"/>
            <w:hideMark/>
          </w:tcPr>
          <w:p w14:paraId="7BDC0326" w14:textId="77777777" w:rsidR="004367EF" w:rsidRPr="00534BA4" w:rsidRDefault="004367EF" w:rsidP="00534BA4">
            <w:pPr>
              <w:pStyle w:val="cuatexto"/>
              <w:jc w:val="right"/>
            </w:pPr>
            <w:r w:rsidRPr="00534BA4">
              <w:t>447.667</w:t>
            </w:r>
          </w:p>
        </w:tc>
        <w:tc>
          <w:tcPr>
            <w:tcW w:w="1559" w:type="dxa"/>
            <w:tcBorders>
              <w:top w:val="single" w:sz="2" w:space="0" w:color="auto"/>
              <w:left w:val="nil"/>
              <w:bottom w:val="single" w:sz="2" w:space="0" w:color="auto"/>
              <w:right w:val="nil"/>
            </w:tcBorders>
            <w:shd w:val="clear" w:color="auto" w:fill="auto"/>
            <w:noWrap/>
            <w:vAlign w:val="center"/>
            <w:hideMark/>
          </w:tcPr>
          <w:p w14:paraId="4271B91F" w14:textId="77777777" w:rsidR="004367EF" w:rsidRPr="00534BA4" w:rsidRDefault="004367EF" w:rsidP="00534BA4">
            <w:pPr>
              <w:pStyle w:val="cuatexto"/>
              <w:jc w:val="right"/>
            </w:pPr>
            <w:r w:rsidRPr="00534BA4">
              <w:t>858.530</w:t>
            </w:r>
          </w:p>
        </w:tc>
        <w:tc>
          <w:tcPr>
            <w:tcW w:w="2056" w:type="dxa"/>
            <w:tcBorders>
              <w:top w:val="single" w:sz="2" w:space="0" w:color="auto"/>
              <w:left w:val="nil"/>
              <w:bottom w:val="single" w:sz="2" w:space="0" w:color="auto"/>
              <w:right w:val="nil"/>
            </w:tcBorders>
            <w:shd w:val="clear" w:color="auto" w:fill="auto"/>
            <w:noWrap/>
            <w:vAlign w:val="center"/>
            <w:hideMark/>
          </w:tcPr>
          <w:p w14:paraId="1FD7BEE5" w14:textId="77777777" w:rsidR="004367EF" w:rsidRPr="00534BA4" w:rsidRDefault="004367EF" w:rsidP="00534BA4">
            <w:pPr>
              <w:pStyle w:val="cuatexto"/>
              <w:jc w:val="right"/>
            </w:pPr>
            <w:r w:rsidRPr="00534BA4">
              <w:t>18.379.497</w:t>
            </w:r>
          </w:p>
        </w:tc>
        <w:tc>
          <w:tcPr>
            <w:tcW w:w="1348" w:type="dxa"/>
            <w:tcBorders>
              <w:top w:val="single" w:sz="2" w:space="0" w:color="auto"/>
              <w:left w:val="nil"/>
              <w:bottom w:val="single" w:sz="2" w:space="0" w:color="auto"/>
              <w:right w:val="nil"/>
            </w:tcBorders>
            <w:shd w:val="clear" w:color="auto" w:fill="auto"/>
            <w:noWrap/>
            <w:vAlign w:val="center"/>
            <w:hideMark/>
          </w:tcPr>
          <w:p w14:paraId="32C3087F" w14:textId="77777777" w:rsidR="004367EF" w:rsidRPr="00534BA4" w:rsidRDefault="004367EF" w:rsidP="00534BA4">
            <w:pPr>
              <w:pStyle w:val="cuatexto"/>
              <w:jc w:val="right"/>
            </w:pPr>
            <w:r w:rsidRPr="00534BA4">
              <w:t>19.685.694</w:t>
            </w:r>
          </w:p>
        </w:tc>
      </w:tr>
      <w:tr w:rsidR="004367EF" w:rsidRPr="00534BA4" w14:paraId="6F464B9B" w14:textId="77777777" w:rsidTr="00534BA4">
        <w:trPr>
          <w:trHeight w:val="167"/>
        </w:trPr>
        <w:tc>
          <w:tcPr>
            <w:tcW w:w="2480" w:type="dxa"/>
            <w:tcBorders>
              <w:top w:val="single" w:sz="2" w:space="0" w:color="auto"/>
              <w:left w:val="nil"/>
              <w:bottom w:val="single" w:sz="4" w:space="0" w:color="auto"/>
              <w:right w:val="nil"/>
            </w:tcBorders>
            <w:shd w:val="clear" w:color="auto" w:fill="auto"/>
            <w:vAlign w:val="center"/>
            <w:hideMark/>
          </w:tcPr>
          <w:p w14:paraId="7E732D4E" w14:textId="77777777" w:rsidR="004367EF" w:rsidRPr="00534BA4" w:rsidRDefault="004367EF" w:rsidP="00534BA4">
            <w:pPr>
              <w:pStyle w:val="cuatexto"/>
            </w:pPr>
            <w:r w:rsidRPr="00534BA4">
              <w:t>Población media</w:t>
            </w:r>
          </w:p>
        </w:tc>
        <w:tc>
          <w:tcPr>
            <w:tcW w:w="1418" w:type="dxa"/>
            <w:tcBorders>
              <w:top w:val="single" w:sz="2" w:space="0" w:color="auto"/>
              <w:left w:val="nil"/>
              <w:bottom w:val="single" w:sz="4" w:space="0" w:color="auto"/>
              <w:right w:val="nil"/>
            </w:tcBorders>
            <w:shd w:val="clear" w:color="auto" w:fill="auto"/>
            <w:noWrap/>
            <w:vAlign w:val="center"/>
            <w:hideMark/>
          </w:tcPr>
          <w:p w14:paraId="239DF310" w14:textId="77777777" w:rsidR="004367EF" w:rsidRPr="00534BA4" w:rsidRDefault="004367EF" w:rsidP="00534BA4">
            <w:pPr>
              <w:pStyle w:val="cuatexto"/>
              <w:jc w:val="right"/>
            </w:pPr>
            <w:r w:rsidRPr="00534BA4">
              <w:t>1.728</w:t>
            </w:r>
          </w:p>
        </w:tc>
        <w:tc>
          <w:tcPr>
            <w:tcW w:w="1559" w:type="dxa"/>
            <w:tcBorders>
              <w:top w:val="single" w:sz="2" w:space="0" w:color="auto"/>
              <w:left w:val="nil"/>
              <w:bottom w:val="single" w:sz="4" w:space="0" w:color="auto"/>
              <w:right w:val="nil"/>
            </w:tcBorders>
            <w:shd w:val="clear" w:color="auto" w:fill="auto"/>
            <w:noWrap/>
            <w:vAlign w:val="center"/>
            <w:hideMark/>
          </w:tcPr>
          <w:p w14:paraId="7D826BAD" w14:textId="77777777" w:rsidR="004367EF" w:rsidRPr="00534BA4" w:rsidRDefault="004367EF" w:rsidP="00534BA4">
            <w:pPr>
              <w:pStyle w:val="cuatexto"/>
              <w:jc w:val="right"/>
            </w:pPr>
            <w:r w:rsidRPr="00534BA4">
              <w:t>4.934</w:t>
            </w:r>
          </w:p>
        </w:tc>
        <w:tc>
          <w:tcPr>
            <w:tcW w:w="2056" w:type="dxa"/>
            <w:tcBorders>
              <w:top w:val="single" w:sz="2" w:space="0" w:color="auto"/>
              <w:left w:val="nil"/>
              <w:bottom w:val="single" w:sz="4" w:space="0" w:color="auto"/>
              <w:right w:val="nil"/>
            </w:tcBorders>
            <w:shd w:val="clear" w:color="auto" w:fill="auto"/>
            <w:noWrap/>
            <w:vAlign w:val="center"/>
            <w:hideMark/>
          </w:tcPr>
          <w:p w14:paraId="0F69B4E7" w14:textId="77777777" w:rsidR="004367EF" w:rsidRPr="00534BA4" w:rsidRDefault="004367EF" w:rsidP="00534BA4">
            <w:pPr>
              <w:pStyle w:val="cuatexto"/>
              <w:jc w:val="right"/>
            </w:pPr>
            <w:r w:rsidRPr="00534BA4">
              <w:t>2.783</w:t>
            </w:r>
          </w:p>
        </w:tc>
        <w:tc>
          <w:tcPr>
            <w:tcW w:w="1348" w:type="dxa"/>
            <w:tcBorders>
              <w:top w:val="single" w:sz="2" w:space="0" w:color="auto"/>
              <w:left w:val="nil"/>
              <w:bottom w:val="single" w:sz="4" w:space="0" w:color="auto"/>
              <w:right w:val="nil"/>
            </w:tcBorders>
            <w:shd w:val="clear" w:color="auto" w:fill="auto"/>
            <w:noWrap/>
            <w:vAlign w:val="center"/>
            <w:hideMark/>
          </w:tcPr>
          <w:p w14:paraId="654DA881" w14:textId="77777777" w:rsidR="004367EF" w:rsidRPr="00534BA4" w:rsidRDefault="004367EF" w:rsidP="00534BA4">
            <w:pPr>
              <w:pStyle w:val="cuatexto"/>
              <w:jc w:val="right"/>
            </w:pPr>
            <w:r w:rsidRPr="00534BA4">
              <w:t>2.797</w:t>
            </w:r>
          </w:p>
        </w:tc>
      </w:tr>
    </w:tbl>
    <w:p w14:paraId="76CF64FA" w14:textId="6D7670E2" w:rsidR="004367EF" w:rsidRPr="004B1F4E" w:rsidRDefault="00974F8A" w:rsidP="00534BA4">
      <w:pPr>
        <w:spacing w:before="120" w:after="0"/>
        <w:ind w:firstLine="0"/>
        <w:rPr>
          <w:rStyle w:val="textoCar"/>
          <w:rFonts w:ascii="Arial" w:hAnsi="Arial" w:cs="Arial"/>
          <w:color w:val="000000" w:themeColor="text1"/>
          <w:sz w:val="14"/>
          <w:szCs w:val="14"/>
        </w:rPr>
      </w:pPr>
      <w:r w:rsidRPr="004B1F4E">
        <w:rPr>
          <w:rStyle w:val="textoCar"/>
          <w:rFonts w:ascii="Arial" w:hAnsi="Arial" w:cs="Arial"/>
          <w:color w:val="000000" w:themeColor="text1"/>
          <w:sz w:val="14"/>
          <w:szCs w:val="14"/>
        </w:rPr>
        <w:t>(*) Ayuntamiento</w:t>
      </w:r>
      <w:r w:rsidR="004C5885" w:rsidRPr="004B1F4E">
        <w:rPr>
          <w:rStyle w:val="textoCar"/>
          <w:rFonts w:ascii="Arial" w:hAnsi="Arial" w:cs="Arial"/>
          <w:color w:val="000000" w:themeColor="text1"/>
          <w:sz w:val="14"/>
          <w:szCs w:val="14"/>
        </w:rPr>
        <w:t>s</w:t>
      </w:r>
      <w:r w:rsidR="00487743" w:rsidRPr="004B1F4E">
        <w:rPr>
          <w:rStyle w:val="textoCar"/>
          <w:rFonts w:ascii="Arial" w:hAnsi="Arial" w:cs="Arial"/>
          <w:color w:val="000000" w:themeColor="text1"/>
          <w:sz w:val="14"/>
          <w:szCs w:val="14"/>
        </w:rPr>
        <w:t xml:space="preserve"> con información publicada en la página web del Ministerio de Hacienda a fecha de elaboración del informe de la DGALD.</w:t>
      </w:r>
      <w:r w:rsidR="004C5885" w:rsidRPr="004B1F4E">
        <w:rPr>
          <w:rStyle w:val="textoCar"/>
          <w:rFonts w:ascii="Arial" w:hAnsi="Arial" w:cs="Arial"/>
          <w:color w:val="000000" w:themeColor="text1"/>
          <w:sz w:val="14"/>
          <w:szCs w:val="14"/>
        </w:rPr>
        <w:t xml:space="preserve"> En el País Vasco </w:t>
      </w:r>
      <w:r w:rsidR="00487743" w:rsidRPr="004B1F4E">
        <w:rPr>
          <w:rStyle w:val="textoCar"/>
          <w:rFonts w:ascii="Arial" w:hAnsi="Arial" w:cs="Arial"/>
          <w:color w:val="000000" w:themeColor="text1"/>
          <w:sz w:val="14"/>
          <w:szCs w:val="14"/>
        </w:rPr>
        <w:t>no incluye</w:t>
      </w:r>
      <w:r w:rsidR="004C5885" w:rsidRPr="004B1F4E">
        <w:rPr>
          <w:rStyle w:val="textoCar"/>
          <w:rFonts w:ascii="Arial" w:hAnsi="Arial" w:cs="Arial"/>
          <w:color w:val="000000" w:themeColor="text1"/>
          <w:sz w:val="14"/>
          <w:szCs w:val="14"/>
        </w:rPr>
        <w:t xml:space="preserve"> ningún </w:t>
      </w:r>
      <w:r w:rsidRPr="004B1F4E">
        <w:rPr>
          <w:rStyle w:val="textoCar"/>
          <w:rFonts w:ascii="Arial" w:hAnsi="Arial" w:cs="Arial"/>
          <w:color w:val="000000" w:themeColor="text1"/>
          <w:sz w:val="14"/>
          <w:szCs w:val="14"/>
        </w:rPr>
        <w:t>ayuntamiento</w:t>
      </w:r>
      <w:r w:rsidR="004C5885" w:rsidRPr="004B1F4E">
        <w:rPr>
          <w:rStyle w:val="textoCar"/>
          <w:rFonts w:ascii="Arial" w:hAnsi="Arial" w:cs="Arial"/>
          <w:color w:val="000000" w:themeColor="text1"/>
          <w:sz w:val="14"/>
          <w:szCs w:val="14"/>
        </w:rPr>
        <w:t xml:space="preserve"> de Álava.</w:t>
      </w:r>
    </w:p>
    <w:p w14:paraId="0D61CBC6" w14:textId="77777777" w:rsidR="004367EF" w:rsidRDefault="004367EF" w:rsidP="004367EF">
      <w:pPr>
        <w:ind w:firstLine="284"/>
        <w:rPr>
          <w:rStyle w:val="textoCar"/>
          <w:color w:val="000000" w:themeColor="text1"/>
          <w:szCs w:val="26"/>
        </w:rPr>
      </w:pPr>
      <w:r>
        <w:rPr>
          <w:rStyle w:val="textoCar"/>
          <w:color w:val="000000" w:themeColor="text1"/>
          <w:szCs w:val="26"/>
        </w:rPr>
        <w:lastRenderedPageBreak/>
        <w:t>Se observa cómo, incluso limitando el análisis a los municipios de menos de 40.000 habitantes, los municipios de Navarra tienen una población media claramente inferior a la de los del resto del Estado y todavía más al promedio de los del País Vasco.</w:t>
      </w:r>
    </w:p>
    <w:p w14:paraId="7BD335A1" w14:textId="77777777" w:rsidR="00345C6C" w:rsidRDefault="00345C6C" w:rsidP="002B5258">
      <w:pPr>
        <w:spacing w:after="240"/>
        <w:ind w:firstLine="284"/>
        <w:rPr>
          <w:rStyle w:val="textoCar"/>
          <w:szCs w:val="26"/>
        </w:rPr>
      </w:pPr>
      <w:bookmarkStart w:id="109" w:name="_Toc52348299"/>
      <w:r>
        <w:rPr>
          <w:rStyle w:val="textoCar"/>
          <w:szCs w:val="26"/>
        </w:rPr>
        <w:t>En los siguientes cuadros mostramos tanto los ingresos como los gastos por capítulo económico y por habitante:</w:t>
      </w:r>
    </w:p>
    <w:tbl>
      <w:tblPr>
        <w:tblW w:w="8923" w:type="dxa"/>
        <w:jc w:val="center"/>
        <w:tblCellMar>
          <w:left w:w="70" w:type="dxa"/>
          <w:right w:w="70" w:type="dxa"/>
        </w:tblCellMar>
        <w:tblLook w:val="04A0" w:firstRow="1" w:lastRow="0" w:firstColumn="1" w:lastColumn="0" w:noHBand="0" w:noVBand="1"/>
      </w:tblPr>
      <w:tblGrid>
        <w:gridCol w:w="3403"/>
        <w:gridCol w:w="850"/>
        <w:gridCol w:w="1065"/>
        <w:gridCol w:w="863"/>
        <w:gridCol w:w="915"/>
        <w:gridCol w:w="863"/>
        <w:gridCol w:w="964"/>
      </w:tblGrid>
      <w:tr w:rsidR="004367EF" w:rsidRPr="008F7ECB" w14:paraId="36EEEA2D" w14:textId="77777777" w:rsidTr="00565DBB">
        <w:trPr>
          <w:trHeight w:val="227"/>
          <w:jc w:val="center"/>
        </w:trPr>
        <w:tc>
          <w:tcPr>
            <w:tcW w:w="3403" w:type="dxa"/>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70BD655C" w14:textId="77777777" w:rsidR="004367EF" w:rsidRPr="008F7ECB" w:rsidRDefault="004367EF" w:rsidP="00A16FC4">
            <w:pPr>
              <w:pStyle w:val="cuadroCabe"/>
              <w:spacing w:line="240" w:lineRule="auto"/>
              <w:rPr>
                <w:sz w:val="16"/>
                <w:szCs w:val="16"/>
                <w:lang w:val="es-ES" w:eastAsia="es-ES"/>
              </w:rPr>
            </w:pPr>
            <w:r w:rsidRPr="008F7ECB">
              <w:rPr>
                <w:sz w:val="16"/>
                <w:szCs w:val="16"/>
                <w:lang w:val="es-ES" w:eastAsia="es-ES"/>
              </w:rPr>
              <w:t>INGRESOS</w:t>
            </w:r>
          </w:p>
        </w:tc>
        <w:tc>
          <w:tcPr>
            <w:tcW w:w="1915" w:type="dxa"/>
            <w:gridSpan w:val="2"/>
            <w:tcBorders>
              <w:top w:val="single" w:sz="4" w:space="0" w:color="auto"/>
              <w:left w:val="nil"/>
              <w:bottom w:val="single" w:sz="4" w:space="0" w:color="auto"/>
              <w:right w:val="nil"/>
            </w:tcBorders>
            <w:shd w:val="clear" w:color="auto" w:fill="FABF8F" w:themeFill="accent6" w:themeFillTint="99"/>
            <w:vAlign w:val="center"/>
            <w:hideMark/>
          </w:tcPr>
          <w:p w14:paraId="2CE66EA3" w14:textId="77777777" w:rsidR="004367EF" w:rsidRPr="008F7ECB" w:rsidRDefault="004367EF" w:rsidP="00A16FC4">
            <w:pPr>
              <w:pStyle w:val="cuadroCabe"/>
              <w:spacing w:line="240" w:lineRule="auto"/>
              <w:jc w:val="center"/>
              <w:rPr>
                <w:sz w:val="16"/>
                <w:szCs w:val="16"/>
                <w:lang w:val="es-ES" w:eastAsia="es-ES"/>
              </w:rPr>
            </w:pPr>
            <w:r w:rsidRPr="008F7ECB">
              <w:rPr>
                <w:sz w:val="16"/>
                <w:szCs w:val="16"/>
                <w:lang w:val="es-ES" w:eastAsia="es-ES"/>
              </w:rPr>
              <w:t>Navarra</w:t>
            </w:r>
          </w:p>
        </w:tc>
        <w:tc>
          <w:tcPr>
            <w:tcW w:w="0" w:type="auto"/>
            <w:gridSpan w:val="2"/>
            <w:tcBorders>
              <w:top w:val="single" w:sz="4" w:space="0" w:color="auto"/>
              <w:left w:val="nil"/>
              <w:bottom w:val="single" w:sz="4" w:space="0" w:color="auto"/>
              <w:right w:val="nil"/>
            </w:tcBorders>
            <w:shd w:val="clear" w:color="auto" w:fill="FABF8F" w:themeFill="accent6" w:themeFillTint="99"/>
            <w:noWrap/>
            <w:vAlign w:val="center"/>
            <w:hideMark/>
          </w:tcPr>
          <w:p w14:paraId="1F2F3291" w14:textId="77777777" w:rsidR="004367EF" w:rsidRPr="008F7ECB" w:rsidRDefault="004367EF" w:rsidP="00A16FC4">
            <w:pPr>
              <w:pStyle w:val="cuadroCabe"/>
              <w:spacing w:line="240" w:lineRule="auto"/>
              <w:jc w:val="center"/>
              <w:rPr>
                <w:sz w:val="16"/>
                <w:szCs w:val="16"/>
                <w:lang w:val="es-ES" w:eastAsia="es-ES"/>
              </w:rPr>
            </w:pPr>
            <w:r w:rsidRPr="008F7ECB">
              <w:rPr>
                <w:sz w:val="16"/>
                <w:szCs w:val="16"/>
                <w:lang w:val="es-ES" w:eastAsia="es-ES"/>
              </w:rPr>
              <w:t>País Vasco</w:t>
            </w:r>
          </w:p>
        </w:tc>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14:paraId="70B3A5DC" w14:textId="77777777" w:rsidR="004367EF" w:rsidRPr="008F7ECB" w:rsidRDefault="004367EF" w:rsidP="00A16FC4">
            <w:pPr>
              <w:pStyle w:val="cuadroCabe"/>
              <w:spacing w:line="240" w:lineRule="auto"/>
              <w:jc w:val="center"/>
              <w:rPr>
                <w:sz w:val="16"/>
                <w:szCs w:val="16"/>
                <w:lang w:val="es-ES" w:eastAsia="es-ES"/>
              </w:rPr>
            </w:pPr>
            <w:r w:rsidRPr="008F7ECB">
              <w:rPr>
                <w:sz w:val="16"/>
                <w:szCs w:val="16"/>
                <w:lang w:val="es-ES" w:eastAsia="es-ES"/>
              </w:rPr>
              <w:t>Resto de Estado</w:t>
            </w:r>
          </w:p>
        </w:tc>
      </w:tr>
      <w:tr w:rsidR="004367EF" w:rsidRPr="008F7ECB" w14:paraId="21E37703" w14:textId="77777777" w:rsidTr="00565DBB">
        <w:trPr>
          <w:trHeight w:val="227"/>
          <w:jc w:val="center"/>
        </w:trPr>
        <w:tc>
          <w:tcPr>
            <w:tcW w:w="3403" w:type="dxa"/>
            <w:vMerge/>
            <w:tcBorders>
              <w:top w:val="single" w:sz="4" w:space="0" w:color="auto"/>
              <w:left w:val="nil"/>
              <w:bottom w:val="single" w:sz="4" w:space="0" w:color="000000"/>
              <w:right w:val="nil"/>
            </w:tcBorders>
            <w:shd w:val="clear" w:color="auto" w:fill="FBD4B4" w:themeFill="accent6" w:themeFillTint="66"/>
            <w:vAlign w:val="center"/>
            <w:hideMark/>
          </w:tcPr>
          <w:p w14:paraId="069A8091" w14:textId="77777777" w:rsidR="004367EF" w:rsidRPr="008F7ECB" w:rsidRDefault="004367EF" w:rsidP="00A16FC4">
            <w:pPr>
              <w:pStyle w:val="cuadroCabe"/>
              <w:spacing w:line="240" w:lineRule="auto"/>
              <w:rPr>
                <w:sz w:val="16"/>
                <w:szCs w:val="16"/>
                <w:lang w:val="es-ES" w:eastAsia="es-ES"/>
              </w:rPr>
            </w:pPr>
          </w:p>
        </w:tc>
        <w:tc>
          <w:tcPr>
            <w:tcW w:w="850" w:type="dxa"/>
            <w:tcBorders>
              <w:top w:val="nil"/>
              <w:left w:val="nil"/>
              <w:bottom w:val="single" w:sz="4" w:space="0" w:color="auto"/>
              <w:right w:val="nil"/>
            </w:tcBorders>
            <w:shd w:val="clear" w:color="auto" w:fill="FABF8F" w:themeFill="accent6" w:themeFillTint="99"/>
            <w:vAlign w:val="center"/>
            <w:hideMark/>
          </w:tcPr>
          <w:p w14:paraId="7042E156" w14:textId="77777777" w:rsidR="004367EF" w:rsidRPr="00A16FC4" w:rsidRDefault="004367EF" w:rsidP="00A16FC4">
            <w:pPr>
              <w:pStyle w:val="cuadroCabe"/>
              <w:spacing w:line="240" w:lineRule="auto"/>
              <w:jc w:val="right"/>
              <w:rPr>
                <w:sz w:val="14"/>
                <w:szCs w:val="14"/>
                <w:lang w:val="es-ES" w:eastAsia="es-ES"/>
              </w:rPr>
            </w:pPr>
            <w:r w:rsidRPr="00A16FC4">
              <w:rPr>
                <w:sz w:val="14"/>
                <w:szCs w:val="14"/>
                <w:lang w:val="es-ES" w:eastAsia="es-ES"/>
              </w:rPr>
              <w:t>Per cápita</w:t>
            </w:r>
          </w:p>
        </w:tc>
        <w:tc>
          <w:tcPr>
            <w:tcW w:w="1061" w:type="dxa"/>
            <w:tcBorders>
              <w:top w:val="nil"/>
              <w:left w:val="nil"/>
              <w:bottom w:val="single" w:sz="4" w:space="0" w:color="auto"/>
              <w:right w:val="nil"/>
            </w:tcBorders>
            <w:shd w:val="clear" w:color="auto" w:fill="FABF8F" w:themeFill="accent6" w:themeFillTint="99"/>
            <w:noWrap/>
            <w:vAlign w:val="center"/>
            <w:hideMark/>
          </w:tcPr>
          <w:p w14:paraId="50CB95F4" w14:textId="77777777" w:rsidR="004367EF" w:rsidRPr="00A16FC4" w:rsidRDefault="004367EF" w:rsidP="00A16FC4">
            <w:pPr>
              <w:pStyle w:val="cuadroCabe"/>
              <w:spacing w:line="240" w:lineRule="auto"/>
              <w:jc w:val="right"/>
              <w:rPr>
                <w:sz w:val="14"/>
                <w:szCs w:val="14"/>
                <w:lang w:val="es-ES" w:eastAsia="es-ES"/>
              </w:rPr>
            </w:pPr>
            <w:r w:rsidRPr="00A16FC4">
              <w:rPr>
                <w:sz w:val="14"/>
                <w:szCs w:val="14"/>
                <w:lang w:val="es-ES" w:eastAsia="es-ES"/>
              </w:rPr>
              <w:t>% del total</w:t>
            </w:r>
          </w:p>
        </w:tc>
        <w:tc>
          <w:tcPr>
            <w:tcW w:w="0" w:type="auto"/>
            <w:tcBorders>
              <w:top w:val="nil"/>
              <w:left w:val="nil"/>
              <w:bottom w:val="single" w:sz="4" w:space="0" w:color="auto"/>
              <w:right w:val="nil"/>
            </w:tcBorders>
            <w:shd w:val="clear" w:color="auto" w:fill="FABF8F" w:themeFill="accent6" w:themeFillTint="99"/>
            <w:noWrap/>
            <w:vAlign w:val="center"/>
            <w:hideMark/>
          </w:tcPr>
          <w:p w14:paraId="2D449945" w14:textId="77777777" w:rsidR="004367EF" w:rsidRPr="00A16FC4" w:rsidRDefault="004367EF" w:rsidP="00A16FC4">
            <w:pPr>
              <w:pStyle w:val="cuadroCabe"/>
              <w:spacing w:line="240" w:lineRule="auto"/>
              <w:jc w:val="right"/>
              <w:rPr>
                <w:sz w:val="14"/>
                <w:szCs w:val="14"/>
                <w:lang w:val="es-ES" w:eastAsia="es-ES"/>
              </w:rPr>
            </w:pPr>
            <w:r w:rsidRPr="00A16FC4">
              <w:rPr>
                <w:sz w:val="14"/>
                <w:szCs w:val="14"/>
                <w:lang w:val="es-ES" w:eastAsia="es-ES"/>
              </w:rPr>
              <w:t>Per cápita</w:t>
            </w:r>
          </w:p>
        </w:tc>
        <w:tc>
          <w:tcPr>
            <w:tcW w:w="0" w:type="auto"/>
            <w:tcBorders>
              <w:top w:val="nil"/>
              <w:left w:val="nil"/>
              <w:bottom w:val="single" w:sz="4" w:space="0" w:color="auto"/>
              <w:right w:val="nil"/>
            </w:tcBorders>
            <w:shd w:val="clear" w:color="auto" w:fill="FABF8F" w:themeFill="accent6" w:themeFillTint="99"/>
            <w:noWrap/>
            <w:vAlign w:val="center"/>
            <w:hideMark/>
          </w:tcPr>
          <w:p w14:paraId="3BB8A78F" w14:textId="77777777" w:rsidR="004367EF" w:rsidRPr="00A16FC4" w:rsidRDefault="004367EF" w:rsidP="00A16FC4">
            <w:pPr>
              <w:pStyle w:val="cuadroCabe"/>
              <w:spacing w:line="240" w:lineRule="auto"/>
              <w:jc w:val="right"/>
              <w:rPr>
                <w:sz w:val="14"/>
                <w:szCs w:val="14"/>
                <w:lang w:val="es-ES" w:eastAsia="es-ES"/>
              </w:rPr>
            </w:pPr>
            <w:r w:rsidRPr="00A16FC4">
              <w:rPr>
                <w:sz w:val="14"/>
                <w:szCs w:val="14"/>
                <w:lang w:val="es-ES" w:eastAsia="es-ES"/>
              </w:rPr>
              <w:t>% del total</w:t>
            </w:r>
          </w:p>
        </w:tc>
        <w:tc>
          <w:tcPr>
            <w:tcW w:w="0" w:type="auto"/>
            <w:tcBorders>
              <w:top w:val="nil"/>
              <w:left w:val="nil"/>
              <w:bottom w:val="single" w:sz="4" w:space="0" w:color="auto"/>
              <w:right w:val="nil"/>
            </w:tcBorders>
            <w:shd w:val="clear" w:color="auto" w:fill="FABF8F" w:themeFill="accent6" w:themeFillTint="99"/>
            <w:vAlign w:val="center"/>
            <w:hideMark/>
          </w:tcPr>
          <w:p w14:paraId="3600FB55" w14:textId="77777777" w:rsidR="004367EF" w:rsidRPr="00A16FC4" w:rsidRDefault="004367EF" w:rsidP="00A16FC4">
            <w:pPr>
              <w:pStyle w:val="cuadroCabe"/>
              <w:spacing w:line="240" w:lineRule="auto"/>
              <w:jc w:val="right"/>
              <w:rPr>
                <w:sz w:val="14"/>
                <w:szCs w:val="14"/>
                <w:lang w:val="es-ES" w:eastAsia="es-ES"/>
              </w:rPr>
            </w:pPr>
            <w:r w:rsidRPr="00A16FC4">
              <w:rPr>
                <w:sz w:val="14"/>
                <w:szCs w:val="14"/>
                <w:lang w:val="es-ES" w:eastAsia="es-ES"/>
              </w:rPr>
              <w:t>Per cápita</w:t>
            </w:r>
          </w:p>
        </w:tc>
        <w:tc>
          <w:tcPr>
            <w:tcW w:w="0" w:type="auto"/>
            <w:tcBorders>
              <w:top w:val="nil"/>
              <w:left w:val="nil"/>
              <w:bottom w:val="single" w:sz="4" w:space="0" w:color="auto"/>
              <w:right w:val="nil"/>
            </w:tcBorders>
            <w:shd w:val="clear" w:color="auto" w:fill="FABF8F" w:themeFill="accent6" w:themeFillTint="99"/>
            <w:vAlign w:val="center"/>
            <w:hideMark/>
          </w:tcPr>
          <w:p w14:paraId="5EB6B24F" w14:textId="77777777" w:rsidR="004367EF" w:rsidRPr="00A16FC4" w:rsidRDefault="004367EF" w:rsidP="00A16FC4">
            <w:pPr>
              <w:pStyle w:val="cuadroCabe"/>
              <w:spacing w:line="240" w:lineRule="auto"/>
              <w:jc w:val="right"/>
              <w:rPr>
                <w:sz w:val="14"/>
                <w:szCs w:val="14"/>
                <w:lang w:val="es-ES" w:eastAsia="es-ES"/>
              </w:rPr>
            </w:pPr>
            <w:r w:rsidRPr="00A16FC4">
              <w:rPr>
                <w:sz w:val="14"/>
                <w:szCs w:val="14"/>
                <w:lang w:val="es-ES" w:eastAsia="es-ES"/>
              </w:rPr>
              <w:t>% del total</w:t>
            </w:r>
          </w:p>
        </w:tc>
      </w:tr>
      <w:tr w:rsidR="004367EF" w:rsidRPr="00EE13C5" w14:paraId="6C4A4063"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2E5980AA" w14:textId="2A567283" w:rsidR="004367EF" w:rsidRPr="00EE13C5" w:rsidRDefault="004367EF" w:rsidP="00A16FC4">
            <w:pPr>
              <w:pStyle w:val="cuatexto"/>
              <w:spacing w:line="240" w:lineRule="auto"/>
              <w:rPr>
                <w:sz w:val="18"/>
                <w:szCs w:val="18"/>
                <w:lang w:val="es-ES" w:eastAsia="es-ES"/>
              </w:rPr>
            </w:pPr>
            <w:r w:rsidRPr="00EE13C5">
              <w:rPr>
                <w:sz w:val="18"/>
                <w:szCs w:val="18"/>
                <w:lang w:val="es-ES" w:eastAsia="es-ES"/>
              </w:rPr>
              <w:t>Impuesto</w:t>
            </w:r>
            <w:r w:rsidR="0014737C">
              <w:rPr>
                <w:sz w:val="18"/>
                <w:szCs w:val="18"/>
                <w:lang w:val="es-ES" w:eastAsia="es-ES"/>
              </w:rPr>
              <w:t>s</w:t>
            </w:r>
            <w:r w:rsidRPr="00EE13C5">
              <w:rPr>
                <w:sz w:val="18"/>
                <w:szCs w:val="18"/>
                <w:lang w:val="es-ES" w:eastAsia="es-ES"/>
              </w:rPr>
              <w:t xml:space="preserve"> directos</w:t>
            </w:r>
          </w:p>
        </w:tc>
        <w:tc>
          <w:tcPr>
            <w:tcW w:w="850" w:type="dxa"/>
            <w:tcBorders>
              <w:top w:val="nil"/>
              <w:left w:val="nil"/>
              <w:bottom w:val="single" w:sz="4" w:space="0" w:color="auto"/>
              <w:right w:val="nil"/>
            </w:tcBorders>
            <w:shd w:val="clear" w:color="auto" w:fill="auto"/>
            <w:noWrap/>
            <w:vAlign w:val="center"/>
            <w:hideMark/>
          </w:tcPr>
          <w:p w14:paraId="3AA9B3AE"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316</w:t>
            </w:r>
          </w:p>
        </w:tc>
        <w:tc>
          <w:tcPr>
            <w:tcW w:w="1061" w:type="dxa"/>
            <w:tcBorders>
              <w:top w:val="nil"/>
              <w:left w:val="nil"/>
              <w:bottom w:val="single" w:sz="4" w:space="0" w:color="auto"/>
              <w:right w:val="nil"/>
            </w:tcBorders>
            <w:shd w:val="clear" w:color="auto" w:fill="auto"/>
            <w:noWrap/>
            <w:vAlign w:val="center"/>
            <w:hideMark/>
          </w:tcPr>
          <w:p w14:paraId="1B5EDD59" w14:textId="1CD2CE86"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 xml:space="preserve">28,1 </w:t>
            </w:r>
          </w:p>
        </w:tc>
        <w:tc>
          <w:tcPr>
            <w:tcW w:w="0" w:type="auto"/>
            <w:tcBorders>
              <w:top w:val="nil"/>
              <w:left w:val="nil"/>
              <w:bottom w:val="single" w:sz="4" w:space="0" w:color="auto"/>
              <w:right w:val="nil"/>
            </w:tcBorders>
            <w:shd w:val="clear" w:color="auto" w:fill="auto"/>
            <w:noWrap/>
            <w:vAlign w:val="center"/>
            <w:hideMark/>
          </w:tcPr>
          <w:p w14:paraId="215E6F95"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312</w:t>
            </w:r>
          </w:p>
        </w:tc>
        <w:tc>
          <w:tcPr>
            <w:tcW w:w="0" w:type="auto"/>
            <w:tcBorders>
              <w:top w:val="nil"/>
              <w:left w:val="nil"/>
              <w:bottom w:val="single" w:sz="4" w:space="0" w:color="auto"/>
              <w:right w:val="nil"/>
            </w:tcBorders>
            <w:shd w:val="clear" w:color="auto" w:fill="auto"/>
            <w:noWrap/>
            <w:vAlign w:val="center"/>
            <w:hideMark/>
          </w:tcPr>
          <w:p w14:paraId="3EEB6F36"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 xml:space="preserve">         23,2 </w:t>
            </w:r>
          </w:p>
        </w:tc>
        <w:tc>
          <w:tcPr>
            <w:tcW w:w="0" w:type="auto"/>
            <w:tcBorders>
              <w:top w:val="nil"/>
              <w:left w:val="nil"/>
              <w:bottom w:val="single" w:sz="4" w:space="0" w:color="auto"/>
              <w:right w:val="nil"/>
            </w:tcBorders>
            <w:shd w:val="clear" w:color="auto" w:fill="auto"/>
            <w:noWrap/>
            <w:vAlign w:val="center"/>
            <w:hideMark/>
          </w:tcPr>
          <w:p w14:paraId="69163A6A"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423</w:t>
            </w:r>
          </w:p>
        </w:tc>
        <w:tc>
          <w:tcPr>
            <w:tcW w:w="0" w:type="auto"/>
            <w:tcBorders>
              <w:top w:val="nil"/>
              <w:left w:val="nil"/>
              <w:bottom w:val="single" w:sz="4" w:space="0" w:color="auto"/>
              <w:right w:val="nil"/>
            </w:tcBorders>
            <w:shd w:val="clear" w:color="auto" w:fill="auto"/>
            <w:noWrap/>
            <w:vAlign w:val="center"/>
            <w:hideMark/>
          </w:tcPr>
          <w:p w14:paraId="14CBDF82"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 xml:space="preserve">          38,2 </w:t>
            </w:r>
          </w:p>
        </w:tc>
      </w:tr>
      <w:tr w:rsidR="004367EF" w:rsidRPr="00EE13C5" w14:paraId="1BE79A38"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7794FEB6" w14:textId="77777777" w:rsidR="004367EF" w:rsidRPr="00EE13C5" w:rsidRDefault="004367EF" w:rsidP="00A16FC4">
            <w:pPr>
              <w:pStyle w:val="cuatexto"/>
              <w:spacing w:line="240" w:lineRule="auto"/>
              <w:rPr>
                <w:sz w:val="18"/>
                <w:szCs w:val="18"/>
                <w:lang w:val="es-ES" w:eastAsia="es-ES"/>
              </w:rPr>
            </w:pPr>
            <w:r w:rsidRPr="00EE13C5">
              <w:rPr>
                <w:sz w:val="18"/>
                <w:szCs w:val="18"/>
                <w:lang w:val="es-ES" w:eastAsia="es-ES"/>
              </w:rPr>
              <w:t>Impuestos indirectos</w:t>
            </w:r>
          </w:p>
        </w:tc>
        <w:tc>
          <w:tcPr>
            <w:tcW w:w="850" w:type="dxa"/>
            <w:tcBorders>
              <w:top w:val="nil"/>
              <w:left w:val="nil"/>
              <w:bottom w:val="single" w:sz="4" w:space="0" w:color="auto"/>
              <w:right w:val="nil"/>
            </w:tcBorders>
            <w:shd w:val="clear" w:color="auto" w:fill="auto"/>
            <w:noWrap/>
            <w:vAlign w:val="center"/>
            <w:hideMark/>
          </w:tcPr>
          <w:p w14:paraId="29FC89EC"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31</w:t>
            </w:r>
          </w:p>
        </w:tc>
        <w:tc>
          <w:tcPr>
            <w:tcW w:w="1061" w:type="dxa"/>
            <w:tcBorders>
              <w:top w:val="nil"/>
              <w:left w:val="nil"/>
              <w:bottom w:val="single" w:sz="4" w:space="0" w:color="auto"/>
              <w:right w:val="nil"/>
            </w:tcBorders>
            <w:shd w:val="clear" w:color="auto" w:fill="auto"/>
            <w:noWrap/>
            <w:vAlign w:val="center"/>
            <w:hideMark/>
          </w:tcPr>
          <w:p w14:paraId="5843FBAC" w14:textId="51C691A9"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2,8 </w:t>
            </w:r>
          </w:p>
        </w:tc>
        <w:tc>
          <w:tcPr>
            <w:tcW w:w="0" w:type="auto"/>
            <w:tcBorders>
              <w:top w:val="nil"/>
              <w:left w:val="nil"/>
              <w:bottom w:val="single" w:sz="4" w:space="0" w:color="auto"/>
              <w:right w:val="nil"/>
            </w:tcBorders>
            <w:shd w:val="clear" w:color="auto" w:fill="auto"/>
            <w:noWrap/>
            <w:vAlign w:val="center"/>
            <w:hideMark/>
          </w:tcPr>
          <w:p w14:paraId="431AE6A0"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29</w:t>
            </w:r>
          </w:p>
        </w:tc>
        <w:tc>
          <w:tcPr>
            <w:tcW w:w="0" w:type="auto"/>
            <w:tcBorders>
              <w:top w:val="nil"/>
              <w:left w:val="nil"/>
              <w:bottom w:val="single" w:sz="4" w:space="0" w:color="auto"/>
              <w:right w:val="nil"/>
            </w:tcBorders>
            <w:shd w:val="clear" w:color="auto" w:fill="auto"/>
            <w:noWrap/>
            <w:vAlign w:val="center"/>
            <w:hideMark/>
          </w:tcPr>
          <w:p w14:paraId="7A0E6C9A"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2,1 </w:t>
            </w:r>
          </w:p>
        </w:tc>
        <w:tc>
          <w:tcPr>
            <w:tcW w:w="0" w:type="auto"/>
            <w:tcBorders>
              <w:top w:val="nil"/>
              <w:left w:val="nil"/>
              <w:bottom w:val="single" w:sz="4" w:space="0" w:color="auto"/>
              <w:right w:val="nil"/>
            </w:tcBorders>
            <w:shd w:val="clear" w:color="auto" w:fill="auto"/>
            <w:noWrap/>
            <w:vAlign w:val="center"/>
            <w:hideMark/>
          </w:tcPr>
          <w:p w14:paraId="1669400A"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28</w:t>
            </w:r>
          </w:p>
        </w:tc>
        <w:tc>
          <w:tcPr>
            <w:tcW w:w="0" w:type="auto"/>
            <w:tcBorders>
              <w:top w:val="nil"/>
              <w:left w:val="nil"/>
              <w:bottom w:val="single" w:sz="4" w:space="0" w:color="auto"/>
              <w:right w:val="nil"/>
            </w:tcBorders>
            <w:shd w:val="clear" w:color="auto" w:fill="auto"/>
            <w:noWrap/>
            <w:vAlign w:val="center"/>
            <w:hideMark/>
          </w:tcPr>
          <w:p w14:paraId="5ECA8F48"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2,6 </w:t>
            </w:r>
          </w:p>
        </w:tc>
      </w:tr>
      <w:tr w:rsidR="004367EF" w:rsidRPr="00EE13C5" w14:paraId="479FE5FE"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1F1420C0" w14:textId="77777777" w:rsidR="004367EF" w:rsidRPr="00EE13C5" w:rsidRDefault="004367EF" w:rsidP="00A16FC4">
            <w:pPr>
              <w:pStyle w:val="cuatexto"/>
              <w:spacing w:line="240" w:lineRule="auto"/>
              <w:rPr>
                <w:sz w:val="18"/>
                <w:szCs w:val="18"/>
                <w:lang w:val="es-ES" w:eastAsia="es-ES"/>
              </w:rPr>
            </w:pPr>
            <w:r w:rsidRPr="00EE13C5">
              <w:rPr>
                <w:sz w:val="18"/>
                <w:szCs w:val="18"/>
                <w:lang w:val="es-ES" w:eastAsia="es-ES"/>
              </w:rPr>
              <w:t>Tasas, precios públicos y otros ingresos</w:t>
            </w:r>
          </w:p>
        </w:tc>
        <w:tc>
          <w:tcPr>
            <w:tcW w:w="850" w:type="dxa"/>
            <w:tcBorders>
              <w:top w:val="nil"/>
              <w:left w:val="nil"/>
              <w:bottom w:val="single" w:sz="4" w:space="0" w:color="auto"/>
              <w:right w:val="nil"/>
            </w:tcBorders>
            <w:shd w:val="clear" w:color="auto" w:fill="auto"/>
            <w:noWrap/>
            <w:vAlign w:val="center"/>
            <w:hideMark/>
          </w:tcPr>
          <w:p w14:paraId="62392763"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148</w:t>
            </w:r>
          </w:p>
        </w:tc>
        <w:tc>
          <w:tcPr>
            <w:tcW w:w="1061" w:type="dxa"/>
            <w:tcBorders>
              <w:top w:val="nil"/>
              <w:left w:val="nil"/>
              <w:bottom w:val="single" w:sz="4" w:space="0" w:color="auto"/>
              <w:right w:val="nil"/>
            </w:tcBorders>
            <w:shd w:val="clear" w:color="auto" w:fill="auto"/>
            <w:noWrap/>
            <w:vAlign w:val="center"/>
            <w:hideMark/>
          </w:tcPr>
          <w:p w14:paraId="45A8DF4D" w14:textId="28C13519"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13,1 </w:t>
            </w:r>
          </w:p>
        </w:tc>
        <w:tc>
          <w:tcPr>
            <w:tcW w:w="0" w:type="auto"/>
            <w:tcBorders>
              <w:top w:val="nil"/>
              <w:left w:val="nil"/>
              <w:bottom w:val="single" w:sz="4" w:space="0" w:color="auto"/>
              <w:right w:val="nil"/>
            </w:tcBorders>
            <w:shd w:val="clear" w:color="auto" w:fill="auto"/>
            <w:noWrap/>
            <w:vAlign w:val="center"/>
            <w:hideMark/>
          </w:tcPr>
          <w:p w14:paraId="7A8B5ABF"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203</w:t>
            </w:r>
          </w:p>
        </w:tc>
        <w:tc>
          <w:tcPr>
            <w:tcW w:w="0" w:type="auto"/>
            <w:tcBorders>
              <w:top w:val="nil"/>
              <w:left w:val="nil"/>
              <w:bottom w:val="single" w:sz="4" w:space="0" w:color="auto"/>
              <w:right w:val="nil"/>
            </w:tcBorders>
            <w:shd w:val="clear" w:color="auto" w:fill="auto"/>
            <w:noWrap/>
            <w:vAlign w:val="center"/>
            <w:hideMark/>
          </w:tcPr>
          <w:p w14:paraId="4F25400E"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15,1 </w:t>
            </w:r>
          </w:p>
        </w:tc>
        <w:tc>
          <w:tcPr>
            <w:tcW w:w="0" w:type="auto"/>
            <w:tcBorders>
              <w:top w:val="nil"/>
              <w:left w:val="nil"/>
              <w:bottom w:val="single" w:sz="4" w:space="0" w:color="auto"/>
              <w:right w:val="nil"/>
            </w:tcBorders>
            <w:shd w:val="clear" w:color="auto" w:fill="auto"/>
            <w:noWrap/>
            <w:vAlign w:val="center"/>
            <w:hideMark/>
          </w:tcPr>
          <w:p w14:paraId="63173DDD"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160</w:t>
            </w:r>
          </w:p>
        </w:tc>
        <w:tc>
          <w:tcPr>
            <w:tcW w:w="0" w:type="auto"/>
            <w:tcBorders>
              <w:top w:val="nil"/>
              <w:left w:val="nil"/>
              <w:bottom w:val="single" w:sz="4" w:space="0" w:color="auto"/>
              <w:right w:val="nil"/>
            </w:tcBorders>
            <w:shd w:val="clear" w:color="auto" w:fill="auto"/>
            <w:noWrap/>
            <w:vAlign w:val="center"/>
            <w:hideMark/>
          </w:tcPr>
          <w:p w14:paraId="0DAD2CE4"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14,5 </w:t>
            </w:r>
          </w:p>
        </w:tc>
      </w:tr>
      <w:tr w:rsidR="004367EF" w:rsidRPr="00EE13C5" w14:paraId="097EE7F2"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5C471FD5" w14:textId="77777777" w:rsidR="004367EF" w:rsidRPr="00EE13C5" w:rsidRDefault="004367EF" w:rsidP="00A16FC4">
            <w:pPr>
              <w:pStyle w:val="cuatexto"/>
              <w:spacing w:line="240" w:lineRule="auto"/>
              <w:rPr>
                <w:sz w:val="18"/>
                <w:szCs w:val="18"/>
                <w:lang w:val="es-ES" w:eastAsia="es-ES"/>
              </w:rPr>
            </w:pPr>
            <w:r w:rsidRPr="00EE13C5">
              <w:rPr>
                <w:sz w:val="18"/>
                <w:szCs w:val="18"/>
                <w:lang w:val="es-ES" w:eastAsia="es-ES"/>
              </w:rPr>
              <w:t>Transferencias corrientes</w:t>
            </w:r>
          </w:p>
        </w:tc>
        <w:tc>
          <w:tcPr>
            <w:tcW w:w="850" w:type="dxa"/>
            <w:tcBorders>
              <w:top w:val="nil"/>
              <w:left w:val="nil"/>
              <w:bottom w:val="single" w:sz="4" w:space="0" w:color="auto"/>
              <w:right w:val="nil"/>
            </w:tcBorders>
            <w:shd w:val="clear" w:color="auto" w:fill="auto"/>
            <w:noWrap/>
            <w:vAlign w:val="center"/>
            <w:hideMark/>
          </w:tcPr>
          <w:p w14:paraId="2F9D1110"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452</w:t>
            </w:r>
          </w:p>
        </w:tc>
        <w:tc>
          <w:tcPr>
            <w:tcW w:w="1061" w:type="dxa"/>
            <w:tcBorders>
              <w:top w:val="nil"/>
              <w:left w:val="nil"/>
              <w:bottom w:val="single" w:sz="4" w:space="0" w:color="auto"/>
              <w:right w:val="nil"/>
            </w:tcBorders>
            <w:shd w:val="clear" w:color="auto" w:fill="auto"/>
            <w:noWrap/>
            <w:vAlign w:val="center"/>
            <w:hideMark/>
          </w:tcPr>
          <w:p w14:paraId="37A44EC2" w14:textId="6FE8ACA3"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40,2 </w:t>
            </w:r>
          </w:p>
        </w:tc>
        <w:tc>
          <w:tcPr>
            <w:tcW w:w="0" w:type="auto"/>
            <w:tcBorders>
              <w:top w:val="nil"/>
              <w:left w:val="nil"/>
              <w:bottom w:val="single" w:sz="4" w:space="0" w:color="auto"/>
              <w:right w:val="nil"/>
            </w:tcBorders>
            <w:shd w:val="clear" w:color="auto" w:fill="auto"/>
            <w:noWrap/>
            <w:vAlign w:val="center"/>
            <w:hideMark/>
          </w:tcPr>
          <w:p w14:paraId="356E27F1"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734</w:t>
            </w:r>
          </w:p>
        </w:tc>
        <w:tc>
          <w:tcPr>
            <w:tcW w:w="0" w:type="auto"/>
            <w:tcBorders>
              <w:top w:val="nil"/>
              <w:left w:val="nil"/>
              <w:bottom w:val="single" w:sz="4" w:space="0" w:color="auto"/>
              <w:right w:val="nil"/>
            </w:tcBorders>
            <w:shd w:val="clear" w:color="auto" w:fill="auto"/>
            <w:noWrap/>
            <w:vAlign w:val="center"/>
            <w:hideMark/>
          </w:tcPr>
          <w:p w14:paraId="5DFF1C9E"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54,6 </w:t>
            </w:r>
          </w:p>
        </w:tc>
        <w:tc>
          <w:tcPr>
            <w:tcW w:w="0" w:type="auto"/>
            <w:tcBorders>
              <w:top w:val="nil"/>
              <w:left w:val="nil"/>
              <w:bottom w:val="single" w:sz="4" w:space="0" w:color="auto"/>
              <w:right w:val="nil"/>
            </w:tcBorders>
            <w:shd w:val="clear" w:color="auto" w:fill="auto"/>
            <w:noWrap/>
            <w:vAlign w:val="center"/>
            <w:hideMark/>
          </w:tcPr>
          <w:p w14:paraId="1EF9D1F6"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378</w:t>
            </w:r>
          </w:p>
        </w:tc>
        <w:tc>
          <w:tcPr>
            <w:tcW w:w="0" w:type="auto"/>
            <w:tcBorders>
              <w:top w:val="nil"/>
              <w:left w:val="nil"/>
              <w:bottom w:val="single" w:sz="4" w:space="0" w:color="auto"/>
              <w:right w:val="nil"/>
            </w:tcBorders>
            <w:shd w:val="clear" w:color="auto" w:fill="auto"/>
            <w:noWrap/>
            <w:vAlign w:val="center"/>
            <w:hideMark/>
          </w:tcPr>
          <w:p w14:paraId="70F887CE"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34,2 </w:t>
            </w:r>
          </w:p>
        </w:tc>
      </w:tr>
      <w:tr w:rsidR="004367EF" w:rsidRPr="00EE13C5" w14:paraId="1EFB5931"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2A5A6166" w14:textId="77777777" w:rsidR="00EE13C5" w:rsidRDefault="004367EF" w:rsidP="00A16FC4">
            <w:pPr>
              <w:pStyle w:val="cuatexto"/>
              <w:spacing w:line="240" w:lineRule="auto"/>
              <w:rPr>
                <w:sz w:val="18"/>
                <w:szCs w:val="18"/>
                <w:lang w:val="es-ES" w:eastAsia="es-ES"/>
              </w:rPr>
            </w:pPr>
            <w:r w:rsidRPr="00EE13C5">
              <w:rPr>
                <w:sz w:val="18"/>
                <w:szCs w:val="18"/>
                <w:lang w:val="es-ES" w:eastAsia="es-ES"/>
              </w:rPr>
              <w:t>Ingresos patrimoniales y aprovechamientos</w:t>
            </w:r>
          </w:p>
          <w:p w14:paraId="6494D700" w14:textId="699C4044" w:rsidR="004367EF" w:rsidRPr="00EE13C5" w:rsidRDefault="004367EF" w:rsidP="00A16FC4">
            <w:pPr>
              <w:pStyle w:val="cuatexto"/>
              <w:spacing w:line="240" w:lineRule="auto"/>
              <w:rPr>
                <w:sz w:val="18"/>
                <w:szCs w:val="18"/>
                <w:lang w:val="es-ES" w:eastAsia="es-ES"/>
              </w:rPr>
            </w:pPr>
            <w:r w:rsidRPr="00EE13C5">
              <w:rPr>
                <w:sz w:val="18"/>
                <w:szCs w:val="18"/>
                <w:lang w:val="es-ES" w:eastAsia="es-ES"/>
              </w:rPr>
              <w:t xml:space="preserve"> comunales</w:t>
            </w:r>
          </w:p>
        </w:tc>
        <w:tc>
          <w:tcPr>
            <w:tcW w:w="850" w:type="dxa"/>
            <w:tcBorders>
              <w:top w:val="nil"/>
              <w:left w:val="nil"/>
              <w:bottom w:val="single" w:sz="4" w:space="0" w:color="auto"/>
              <w:right w:val="nil"/>
            </w:tcBorders>
            <w:shd w:val="clear" w:color="auto" w:fill="auto"/>
            <w:noWrap/>
            <w:vAlign w:val="center"/>
            <w:hideMark/>
          </w:tcPr>
          <w:p w14:paraId="3D08FBA8"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56</w:t>
            </w:r>
          </w:p>
        </w:tc>
        <w:tc>
          <w:tcPr>
            <w:tcW w:w="1061" w:type="dxa"/>
            <w:tcBorders>
              <w:top w:val="nil"/>
              <w:left w:val="nil"/>
              <w:bottom w:val="single" w:sz="4" w:space="0" w:color="auto"/>
              <w:right w:val="nil"/>
            </w:tcBorders>
            <w:shd w:val="clear" w:color="auto" w:fill="auto"/>
            <w:noWrap/>
            <w:vAlign w:val="center"/>
            <w:hideMark/>
          </w:tcPr>
          <w:p w14:paraId="1CAB4203" w14:textId="3476D40E"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5,0 </w:t>
            </w:r>
          </w:p>
        </w:tc>
        <w:tc>
          <w:tcPr>
            <w:tcW w:w="0" w:type="auto"/>
            <w:tcBorders>
              <w:top w:val="nil"/>
              <w:left w:val="nil"/>
              <w:bottom w:val="single" w:sz="4" w:space="0" w:color="auto"/>
              <w:right w:val="nil"/>
            </w:tcBorders>
            <w:shd w:val="clear" w:color="auto" w:fill="auto"/>
            <w:noWrap/>
            <w:vAlign w:val="center"/>
            <w:hideMark/>
          </w:tcPr>
          <w:p w14:paraId="711028BB"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13</w:t>
            </w:r>
          </w:p>
        </w:tc>
        <w:tc>
          <w:tcPr>
            <w:tcW w:w="0" w:type="auto"/>
            <w:tcBorders>
              <w:top w:val="nil"/>
              <w:left w:val="nil"/>
              <w:bottom w:val="single" w:sz="4" w:space="0" w:color="auto"/>
              <w:right w:val="nil"/>
            </w:tcBorders>
            <w:shd w:val="clear" w:color="auto" w:fill="auto"/>
            <w:noWrap/>
            <w:vAlign w:val="center"/>
            <w:hideMark/>
          </w:tcPr>
          <w:p w14:paraId="13F77E41"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1,0 </w:t>
            </w:r>
          </w:p>
        </w:tc>
        <w:tc>
          <w:tcPr>
            <w:tcW w:w="0" w:type="auto"/>
            <w:tcBorders>
              <w:top w:val="nil"/>
              <w:left w:val="nil"/>
              <w:bottom w:val="single" w:sz="4" w:space="0" w:color="auto"/>
              <w:right w:val="nil"/>
            </w:tcBorders>
            <w:shd w:val="clear" w:color="auto" w:fill="auto"/>
            <w:noWrap/>
            <w:vAlign w:val="center"/>
            <w:hideMark/>
          </w:tcPr>
          <w:p w14:paraId="18B341E2"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17</w:t>
            </w:r>
          </w:p>
        </w:tc>
        <w:tc>
          <w:tcPr>
            <w:tcW w:w="0" w:type="auto"/>
            <w:tcBorders>
              <w:top w:val="nil"/>
              <w:left w:val="nil"/>
              <w:bottom w:val="single" w:sz="4" w:space="0" w:color="auto"/>
              <w:right w:val="nil"/>
            </w:tcBorders>
            <w:shd w:val="clear" w:color="auto" w:fill="auto"/>
            <w:noWrap/>
            <w:vAlign w:val="center"/>
            <w:hideMark/>
          </w:tcPr>
          <w:p w14:paraId="2FF32C68"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1,6 </w:t>
            </w:r>
          </w:p>
        </w:tc>
      </w:tr>
      <w:tr w:rsidR="004367EF" w:rsidRPr="00EE13C5" w14:paraId="4EF9C927" w14:textId="77777777" w:rsidTr="00565DBB">
        <w:trPr>
          <w:trHeight w:val="227"/>
          <w:jc w:val="center"/>
        </w:trPr>
        <w:tc>
          <w:tcPr>
            <w:tcW w:w="3403" w:type="dxa"/>
            <w:tcBorders>
              <w:top w:val="nil"/>
              <w:left w:val="nil"/>
              <w:bottom w:val="single" w:sz="4" w:space="0" w:color="auto"/>
              <w:right w:val="nil"/>
            </w:tcBorders>
            <w:shd w:val="clear" w:color="000000" w:fill="D9D9D9"/>
            <w:noWrap/>
            <w:vAlign w:val="center"/>
            <w:hideMark/>
          </w:tcPr>
          <w:p w14:paraId="2B996440" w14:textId="2E1C0B60" w:rsidR="004367EF" w:rsidRPr="00EE13C5" w:rsidRDefault="004D3571" w:rsidP="00A16FC4">
            <w:pPr>
              <w:pStyle w:val="cuatexto"/>
              <w:spacing w:line="240" w:lineRule="auto"/>
              <w:rPr>
                <w:b/>
                <w:bCs/>
                <w:i/>
                <w:iCs/>
                <w:sz w:val="18"/>
                <w:szCs w:val="18"/>
                <w:lang w:val="es-ES" w:eastAsia="es-ES"/>
              </w:rPr>
            </w:pPr>
            <w:r>
              <w:rPr>
                <w:b/>
                <w:bCs/>
                <w:i/>
                <w:iCs/>
                <w:sz w:val="18"/>
                <w:szCs w:val="18"/>
                <w:lang w:val="es-ES" w:eastAsia="es-ES"/>
              </w:rPr>
              <w:t>Operaciones corrientes</w:t>
            </w:r>
          </w:p>
        </w:tc>
        <w:tc>
          <w:tcPr>
            <w:tcW w:w="850" w:type="dxa"/>
            <w:tcBorders>
              <w:top w:val="nil"/>
              <w:left w:val="nil"/>
              <w:bottom w:val="single" w:sz="4" w:space="0" w:color="auto"/>
              <w:right w:val="nil"/>
            </w:tcBorders>
            <w:shd w:val="clear" w:color="000000" w:fill="D9D9D9"/>
            <w:noWrap/>
            <w:vAlign w:val="center"/>
            <w:hideMark/>
          </w:tcPr>
          <w:p w14:paraId="36A7AE9D" w14:textId="77777777" w:rsidR="004367EF" w:rsidRPr="00EE13C5" w:rsidRDefault="004367EF" w:rsidP="00A16FC4">
            <w:pPr>
              <w:pStyle w:val="cuatexto"/>
              <w:spacing w:line="240" w:lineRule="auto"/>
              <w:jc w:val="right"/>
              <w:rPr>
                <w:b/>
                <w:bCs/>
                <w:i/>
                <w:iCs/>
                <w:color w:val="000000"/>
                <w:sz w:val="18"/>
                <w:szCs w:val="18"/>
                <w:lang w:val="es-ES" w:eastAsia="es-ES"/>
              </w:rPr>
            </w:pPr>
            <w:r w:rsidRPr="00EE13C5">
              <w:rPr>
                <w:b/>
                <w:bCs/>
                <w:i/>
                <w:iCs/>
                <w:color w:val="000000"/>
                <w:sz w:val="18"/>
                <w:szCs w:val="18"/>
                <w:lang w:val="es-ES" w:eastAsia="es-ES"/>
              </w:rPr>
              <w:t>1.002</w:t>
            </w:r>
          </w:p>
        </w:tc>
        <w:tc>
          <w:tcPr>
            <w:tcW w:w="1061" w:type="dxa"/>
            <w:tcBorders>
              <w:top w:val="nil"/>
              <w:left w:val="nil"/>
              <w:bottom w:val="single" w:sz="4" w:space="0" w:color="auto"/>
              <w:right w:val="nil"/>
            </w:tcBorders>
            <w:shd w:val="clear" w:color="000000" w:fill="D9D9D9"/>
            <w:noWrap/>
            <w:vAlign w:val="center"/>
            <w:hideMark/>
          </w:tcPr>
          <w:p w14:paraId="59E27BD3" w14:textId="04696163" w:rsidR="004367EF" w:rsidRPr="00EE13C5" w:rsidRDefault="004367EF" w:rsidP="00A16FC4">
            <w:pPr>
              <w:pStyle w:val="cuatexto"/>
              <w:spacing w:line="240" w:lineRule="auto"/>
              <w:jc w:val="right"/>
              <w:rPr>
                <w:b/>
                <w:bCs/>
                <w:i/>
                <w:iCs/>
                <w:sz w:val="18"/>
                <w:szCs w:val="18"/>
                <w:lang w:val="es-ES" w:eastAsia="es-ES"/>
              </w:rPr>
            </w:pPr>
            <w:r w:rsidRPr="00EE13C5">
              <w:rPr>
                <w:b/>
                <w:bCs/>
                <w:i/>
                <w:iCs/>
                <w:sz w:val="18"/>
                <w:szCs w:val="18"/>
                <w:lang w:val="es-ES" w:eastAsia="es-ES"/>
              </w:rPr>
              <w:t xml:space="preserve">89,2 </w:t>
            </w:r>
          </w:p>
        </w:tc>
        <w:tc>
          <w:tcPr>
            <w:tcW w:w="0" w:type="auto"/>
            <w:tcBorders>
              <w:top w:val="nil"/>
              <w:left w:val="nil"/>
              <w:bottom w:val="single" w:sz="4" w:space="0" w:color="auto"/>
              <w:right w:val="nil"/>
            </w:tcBorders>
            <w:shd w:val="clear" w:color="000000" w:fill="D9D9D9"/>
            <w:noWrap/>
            <w:vAlign w:val="center"/>
            <w:hideMark/>
          </w:tcPr>
          <w:p w14:paraId="60B52FBB" w14:textId="77777777" w:rsidR="004367EF" w:rsidRPr="00EE13C5" w:rsidRDefault="004367EF" w:rsidP="00A16FC4">
            <w:pPr>
              <w:pStyle w:val="cuatexto"/>
              <w:spacing w:line="240" w:lineRule="auto"/>
              <w:jc w:val="right"/>
              <w:rPr>
                <w:b/>
                <w:bCs/>
                <w:i/>
                <w:iCs/>
                <w:color w:val="000000"/>
                <w:sz w:val="18"/>
                <w:szCs w:val="18"/>
                <w:lang w:val="es-ES" w:eastAsia="es-ES"/>
              </w:rPr>
            </w:pPr>
            <w:r w:rsidRPr="00EE13C5">
              <w:rPr>
                <w:b/>
                <w:bCs/>
                <w:i/>
                <w:iCs/>
                <w:color w:val="000000"/>
                <w:sz w:val="18"/>
                <w:szCs w:val="18"/>
                <w:lang w:val="es-ES" w:eastAsia="es-ES"/>
              </w:rPr>
              <w:t>1.291</w:t>
            </w:r>
          </w:p>
        </w:tc>
        <w:tc>
          <w:tcPr>
            <w:tcW w:w="0" w:type="auto"/>
            <w:tcBorders>
              <w:top w:val="nil"/>
              <w:left w:val="nil"/>
              <w:bottom w:val="single" w:sz="4" w:space="0" w:color="auto"/>
              <w:right w:val="nil"/>
            </w:tcBorders>
            <w:shd w:val="clear" w:color="000000" w:fill="D9D9D9"/>
            <w:noWrap/>
            <w:vAlign w:val="center"/>
            <w:hideMark/>
          </w:tcPr>
          <w:p w14:paraId="21F51039" w14:textId="77777777" w:rsidR="004367EF" w:rsidRPr="00EE13C5" w:rsidRDefault="004367EF" w:rsidP="00A16FC4">
            <w:pPr>
              <w:pStyle w:val="cuatexto"/>
              <w:spacing w:line="240" w:lineRule="auto"/>
              <w:jc w:val="right"/>
              <w:rPr>
                <w:b/>
                <w:bCs/>
                <w:i/>
                <w:iCs/>
                <w:sz w:val="18"/>
                <w:szCs w:val="18"/>
                <w:lang w:val="es-ES" w:eastAsia="es-ES"/>
              </w:rPr>
            </w:pPr>
            <w:r w:rsidRPr="00EE13C5">
              <w:rPr>
                <w:b/>
                <w:bCs/>
                <w:i/>
                <w:iCs/>
                <w:sz w:val="18"/>
                <w:szCs w:val="18"/>
                <w:lang w:val="es-ES" w:eastAsia="es-ES"/>
              </w:rPr>
              <w:t xml:space="preserve">       96,0 </w:t>
            </w:r>
          </w:p>
        </w:tc>
        <w:tc>
          <w:tcPr>
            <w:tcW w:w="0" w:type="auto"/>
            <w:tcBorders>
              <w:top w:val="nil"/>
              <w:left w:val="nil"/>
              <w:bottom w:val="single" w:sz="4" w:space="0" w:color="auto"/>
              <w:right w:val="nil"/>
            </w:tcBorders>
            <w:shd w:val="clear" w:color="000000" w:fill="D9D9D9"/>
            <w:noWrap/>
            <w:vAlign w:val="center"/>
            <w:hideMark/>
          </w:tcPr>
          <w:p w14:paraId="517C14C7" w14:textId="77777777" w:rsidR="004367EF" w:rsidRPr="00EE13C5" w:rsidRDefault="004367EF" w:rsidP="00A16FC4">
            <w:pPr>
              <w:pStyle w:val="cuatexto"/>
              <w:spacing w:line="240" w:lineRule="auto"/>
              <w:jc w:val="right"/>
              <w:rPr>
                <w:b/>
                <w:bCs/>
                <w:i/>
                <w:iCs/>
                <w:color w:val="000000"/>
                <w:sz w:val="18"/>
                <w:szCs w:val="18"/>
                <w:lang w:val="es-ES" w:eastAsia="es-ES"/>
              </w:rPr>
            </w:pPr>
            <w:r w:rsidRPr="00EE13C5">
              <w:rPr>
                <w:b/>
                <w:bCs/>
                <w:i/>
                <w:iCs/>
                <w:color w:val="000000"/>
                <w:sz w:val="18"/>
                <w:szCs w:val="18"/>
                <w:lang w:val="es-ES" w:eastAsia="es-ES"/>
              </w:rPr>
              <w:t>1.007</w:t>
            </w:r>
          </w:p>
        </w:tc>
        <w:tc>
          <w:tcPr>
            <w:tcW w:w="0" w:type="auto"/>
            <w:tcBorders>
              <w:top w:val="nil"/>
              <w:left w:val="nil"/>
              <w:bottom w:val="single" w:sz="4" w:space="0" w:color="auto"/>
              <w:right w:val="nil"/>
            </w:tcBorders>
            <w:shd w:val="clear" w:color="000000" w:fill="D9D9D9"/>
            <w:noWrap/>
            <w:vAlign w:val="center"/>
            <w:hideMark/>
          </w:tcPr>
          <w:p w14:paraId="2035E75E" w14:textId="77777777" w:rsidR="004367EF" w:rsidRPr="00EE13C5" w:rsidRDefault="004367EF" w:rsidP="00A16FC4">
            <w:pPr>
              <w:pStyle w:val="cuatexto"/>
              <w:spacing w:line="240" w:lineRule="auto"/>
              <w:jc w:val="right"/>
              <w:rPr>
                <w:b/>
                <w:bCs/>
                <w:i/>
                <w:iCs/>
                <w:sz w:val="18"/>
                <w:szCs w:val="18"/>
                <w:lang w:val="es-ES" w:eastAsia="es-ES"/>
              </w:rPr>
            </w:pPr>
            <w:r w:rsidRPr="00EE13C5">
              <w:rPr>
                <w:b/>
                <w:bCs/>
                <w:i/>
                <w:iCs/>
                <w:sz w:val="18"/>
                <w:szCs w:val="18"/>
                <w:lang w:val="es-ES" w:eastAsia="es-ES"/>
              </w:rPr>
              <w:t xml:space="preserve">        91,0 </w:t>
            </w:r>
          </w:p>
        </w:tc>
      </w:tr>
      <w:tr w:rsidR="004367EF" w:rsidRPr="00EE13C5" w14:paraId="088A51A8"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5FA6CC5C" w14:textId="77777777" w:rsidR="004367EF" w:rsidRPr="00EE13C5" w:rsidRDefault="004367EF" w:rsidP="00A16FC4">
            <w:pPr>
              <w:pStyle w:val="cuatexto"/>
              <w:spacing w:line="240" w:lineRule="auto"/>
              <w:rPr>
                <w:sz w:val="18"/>
                <w:szCs w:val="18"/>
                <w:lang w:val="es-ES" w:eastAsia="es-ES"/>
              </w:rPr>
            </w:pPr>
            <w:r w:rsidRPr="00EE13C5">
              <w:rPr>
                <w:sz w:val="18"/>
                <w:szCs w:val="18"/>
                <w:lang w:val="es-ES" w:eastAsia="es-ES"/>
              </w:rPr>
              <w:t>Enajenación de inversiones reales</w:t>
            </w:r>
          </w:p>
        </w:tc>
        <w:tc>
          <w:tcPr>
            <w:tcW w:w="850" w:type="dxa"/>
            <w:tcBorders>
              <w:top w:val="nil"/>
              <w:left w:val="nil"/>
              <w:bottom w:val="single" w:sz="4" w:space="0" w:color="auto"/>
              <w:right w:val="nil"/>
            </w:tcBorders>
            <w:shd w:val="clear" w:color="auto" w:fill="auto"/>
            <w:noWrap/>
            <w:vAlign w:val="center"/>
            <w:hideMark/>
          </w:tcPr>
          <w:p w14:paraId="1CFAD48B"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10</w:t>
            </w:r>
          </w:p>
        </w:tc>
        <w:tc>
          <w:tcPr>
            <w:tcW w:w="1061" w:type="dxa"/>
            <w:tcBorders>
              <w:top w:val="nil"/>
              <w:left w:val="nil"/>
              <w:bottom w:val="single" w:sz="4" w:space="0" w:color="auto"/>
              <w:right w:val="nil"/>
            </w:tcBorders>
            <w:shd w:val="clear" w:color="auto" w:fill="auto"/>
            <w:noWrap/>
            <w:vAlign w:val="center"/>
            <w:hideMark/>
          </w:tcPr>
          <w:p w14:paraId="5DB89A48" w14:textId="3C7D140F"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0,9 </w:t>
            </w:r>
          </w:p>
        </w:tc>
        <w:tc>
          <w:tcPr>
            <w:tcW w:w="0" w:type="auto"/>
            <w:tcBorders>
              <w:top w:val="nil"/>
              <w:left w:val="nil"/>
              <w:bottom w:val="single" w:sz="4" w:space="0" w:color="auto"/>
              <w:right w:val="nil"/>
            </w:tcBorders>
            <w:shd w:val="clear" w:color="auto" w:fill="auto"/>
            <w:noWrap/>
            <w:vAlign w:val="center"/>
            <w:hideMark/>
          </w:tcPr>
          <w:p w14:paraId="0E03A86E"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16</w:t>
            </w:r>
          </w:p>
        </w:tc>
        <w:tc>
          <w:tcPr>
            <w:tcW w:w="0" w:type="auto"/>
            <w:tcBorders>
              <w:top w:val="nil"/>
              <w:left w:val="nil"/>
              <w:bottom w:val="single" w:sz="4" w:space="0" w:color="auto"/>
              <w:right w:val="nil"/>
            </w:tcBorders>
            <w:shd w:val="clear" w:color="auto" w:fill="auto"/>
            <w:noWrap/>
            <w:vAlign w:val="center"/>
            <w:hideMark/>
          </w:tcPr>
          <w:p w14:paraId="3D61497F"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1,2 </w:t>
            </w:r>
          </w:p>
        </w:tc>
        <w:tc>
          <w:tcPr>
            <w:tcW w:w="0" w:type="auto"/>
            <w:tcBorders>
              <w:top w:val="nil"/>
              <w:left w:val="nil"/>
              <w:bottom w:val="single" w:sz="4" w:space="0" w:color="auto"/>
              <w:right w:val="nil"/>
            </w:tcBorders>
            <w:shd w:val="clear" w:color="auto" w:fill="auto"/>
            <w:noWrap/>
            <w:vAlign w:val="center"/>
            <w:hideMark/>
          </w:tcPr>
          <w:p w14:paraId="584D5631"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3</w:t>
            </w:r>
          </w:p>
        </w:tc>
        <w:tc>
          <w:tcPr>
            <w:tcW w:w="0" w:type="auto"/>
            <w:tcBorders>
              <w:top w:val="nil"/>
              <w:left w:val="nil"/>
              <w:bottom w:val="single" w:sz="4" w:space="0" w:color="auto"/>
              <w:right w:val="nil"/>
            </w:tcBorders>
            <w:shd w:val="clear" w:color="auto" w:fill="auto"/>
            <w:noWrap/>
            <w:vAlign w:val="center"/>
            <w:hideMark/>
          </w:tcPr>
          <w:p w14:paraId="29F07376"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0,3 </w:t>
            </w:r>
          </w:p>
        </w:tc>
      </w:tr>
      <w:tr w:rsidR="004367EF" w:rsidRPr="00EE13C5" w14:paraId="1AA3F401"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330068B4" w14:textId="77777777" w:rsidR="00EE13C5" w:rsidRDefault="004367EF" w:rsidP="00A16FC4">
            <w:pPr>
              <w:pStyle w:val="cuatexto"/>
              <w:spacing w:line="240" w:lineRule="auto"/>
              <w:rPr>
                <w:sz w:val="18"/>
                <w:szCs w:val="18"/>
                <w:lang w:val="es-ES" w:eastAsia="es-ES"/>
              </w:rPr>
            </w:pPr>
            <w:r w:rsidRPr="00EE13C5">
              <w:rPr>
                <w:sz w:val="18"/>
                <w:szCs w:val="18"/>
                <w:lang w:val="es-ES" w:eastAsia="es-ES"/>
              </w:rPr>
              <w:t>Transferencias de capital y otros ingresos</w:t>
            </w:r>
          </w:p>
          <w:p w14:paraId="3D6B6110" w14:textId="65A98280" w:rsidR="004367EF" w:rsidRPr="00EE13C5" w:rsidRDefault="004367EF" w:rsidP="00A16FC4">
            <w:pPr>
              <w:pStyle w:val="cuatexto"/>
              <w:spacing w:line="240" w:lineRule="auto"/>
              <w:rPr>
                <w:sz w:val="18"/>
                <w:szCs w:val="18"/>
                <w:lang w:val="es-ES" w:eastAsia="es-ES"/>
              </w:rPr>
            </w:pPr>
            <w:r w:rsidRPr="00EE13C5">
              <w:rPr>
                <w:sz w:val="18"/>
                <w:szCs w:val="18"/>
                <w:lang w:val="es-ES" w:eastAsia="es-ES"/>
              </w:rPr>
              <w:t xml:space="preserve"> de capital</w:t>
            </w:r>
          </w:p>
        </w:tc>
        <w:tc>
          <w:tcPr>
            <w:tcW w:w="850" w:type="dxa"/>
            <w:tcBorders>
              <w:top w:val="nil"/>
              <w:left w:val="nil"/>
              <w:bottom w:val="single" w:sz="4" w:space="0" w:color="auto"/>
              <w:right w:val="nil"/>
            </w:tcBorders>
            <w:shd w:val="clear" w:color="auto" w:fill="auto"/>
            <w:noWrap/>
            <w:vAlign w:val="center"/>
            <w:hideMark/>
          </w:tcPr>
          <w:p w14:paraId="5B778425"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96</w:t>
            </w:r>
          </w:p>
        </w:tc>
        <w:tc>
          <w:tcPr>
            <w:tcW w:w="1061" w:type="dxa"/>
            <w:tcBorders>
              <w:top w:val="nil"/>
              <w:left w:val="nil"/>
              <w:bottom w:val="single" w:sz="4" w:space="0" w:color="auto"/>
              <w:right w:val="nil"/>
            </w:tcBorders>
            <w:shd w:val="clear" w:color="auto" w:fill="auto"/>
            <w:noWrap/>
            <w:vAlign w:val="center"/>
            <w:hideMark/>
          </w:tcPr>
          <w:p w14:paraId="13155769" w14:textId="48E76F05"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8,5 </w:t>
            </w:r>
          </w:p>
        </w:tc>
        <w:tc>
          <w:tcPr>
            <w:tcW w:w="0" w:type="auto"/>
            <w:tcBorders>
              <w:top w:val="nil"/>
              <w:left w:val="nil"/>
              <w:bottom w:val="single" w:sz="4" w:space="0" w:color="auto"/>
              <w:right w:val="nil"/>
            </w:tcBorders>
            <w:shd w:val="clear" w:color="auto" w:fill="auto"/>
            <w:noWrap/>
            <w:vAlign w:val="center"/>
            <w:hideMark/>
          </w:tcPr>
          <w:p w14:paraId="34C71410"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31</w:t>
            </w:r>
          </w:p>
        </w:tc>
        <w:tc>
          <w:tcPr>
            <w:tcW w:w="0" w:type="auto"/>
            <w:tcBorders>
              <w:top w:val="nil"/>
              <w:left w:val="nil"/>
              <w:bottom w:val="single" w:sz="4" w:space="0" w:color="auto"/>
              <w:right w:val="nil"/>
            </w:tcBorders>
            <w:shd w:val="clear" w:color="auto" w:fill="auto"/>
            <w:noWrap/>
            <w:vAlign w:val="center"/>
            <w:hideMark/>
          </w:tcPr>
          <w:p w14:paraId="54597723"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2,3 </w:t>
            </w:r>
          </w:p>
        </w:tc>
        <w:tc>
          <w:tcPr>
            <w:tcW w:w="0" w:type="auto"/>
            <w:tcBorders>
              <w:top w:val="nil"/>
              <w:left w:val="nil"/>
              <w:bottom w:val="single" w:sz="4" w:space="0" w:color="auto"/>
              <w:right w:val="nil"/>
            </w:tcBorders>
            <w:shd w:val="clear" w:color="auto" w:fill="auto"/>
            <w:noWrap/>
            <w:vAlign w:val="center"/>
            <w:hideMark/>
          </w:tcPr>
          <w:p w14:paraId="073C64F1"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73</w:t>
            </w:r>
          </w:p>
        </w:tc>
        <w:tc>
          <w:tcPr>
            <w:tcW w:w="0" w:type="auto"/>
            <w:tcBorders>
              <w:top w:val="nil"/>
              <w:left w:val="nil"/>
              <w:bottom w:val="single" w:sz="4" w:space="0" w:color="auto"/>
              <w:right w:val="nil"/>
            </w:tcBorders>
            <w:shd w:val="clear" w:color="auto" w:fill="auto"/>
            <w:noWrap/>
            <w:vAlign w:val="center"/>
            <w:hideMark/>
          </w:tcPr>
          <w:p w14:paraId="32F92241"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6,6 </w:t>
            </w:r>
          </w:p>
        </w:tc>
      </w:tr>
      <w:tr w:rsidR="004367EF" w:rsidRPr="00EE13C5" w14:paraId="3EB1EAAC" w14:textId="77777777" w:rsidTr="00565DBB">
        <w:trPr>
          <w:trHeight w:val="227"/>
          <w:jc w:val="center"/>
        </w:trPr>
        <w:tc>
          <w:tcPr>
            <w:tcW w:w="3403" w:type="dxa"/>
            <w:tcBorders>
              <w:top w:val="nil"/>
              <w:left w:val="nil"/>
              <w:bottom w:val="single" w:sz="4" w:space="0" w:color="auto"/>
              <w:right w:val="nil"/>
            </w:tcBorders>
            <w:shd w:val="clear" w:color="000000" w:fill="D9D9D9"/>
            <w:noWrap/>
            <w:vAlign w:val="center"/>
            <w:hideMark/>
          </w:tcPr>
          <w:p w14:paraId="1ED47C6B" w14:textId="418A6249" w:rsidR="004367EF" w:rsidRPr="00EE13C5" w:rsidRDefault="004D3571" w:rsidP="00A16FC4">
            <w:pPr>
              <w:pStyle w:val="cuatexto"/>
              <w:spacing w:line="240" w:lineRule="auto"/>
              <w:rPr>
                <w:b/>
                <w:bCs/>
                <w:i/>
                <w:iCs/>
                <w:sz w:val="18"/>
                <w:szCs w:val="18"/>
                <w:lang w:val="es-ES" w:eastAsia="es-ES"/>
              </w:rPr>
            </w:pPr>
            <w:r>
              <w:rPr>
                <w:b/>
                <w:bCs/>
                <w:i/>
                <w:iCs/>
                <w:sz w:val="18"/>
                <w:szCs w:val="18"/>
                <w:lang w:val="es-ES" w:eastAsia="es-ES"/>
              </w:rPr>
              <w:t>Operaciones de capital</w:t>
            </w:r>
          </w:p>
        </w:tc>
        <w:tc>
          <w:tcPr>
            <w:tcW w:w="850" w:type="dxa"/>
            <w:tcBorders>
              <w:top w:val="nil"/>
              <w:left w:val="nil"/>
              <w:bottom w:val="single" w:sz="4" w:space="0" w:color="auto"/>
              <w:right w:val="nil"/>
            </w:tcBorders>
            <w:shd w:val="clear" w:color="000000" w:fill="D9D9D9"/>
            <w:noWrap/>
            <w:vAlign w:val="center"/>
            <w:hideMark/>
          </w:tcPr>
          <w:p w14:paraId="58B5D53C" w14:textId="77777777" w:rsidR="004367EF" w:rsidRPr="00EE13C5" w:rsidRDefault="004367EF" w:rsidP="00A16FC4">
            <w:pPr>
              <w:pStyle w:val="cuatexto"/>
              <w:spacing w:line="240" w:lineRule="auto"/>
              <w:jc w:val="right"/>
              <w:rPr>
                <w:b/>
                <w:bCs/>
                <w:i/>
                <w:iCs/>
                <w:color w:val="000000"/>
                <w:sz w:val="18"/>
                <w:szCs w:val="18"/>
                <w:lang w:val="es-ES" w:eastAsia="es-ES"/>
              </w:rPr>
            </w:pPr>
            <w:r w:rsidRPr="00EE13C5">
              <w:rPr>
                <w:b/>
                <w:bCs/>
                <w:i/>
                <w:iCs/>
                <w:color w:val="000000"/>
                <w:sz w:val="18"/>
                <w:szCs w:val="18"/>
                <w:lang w:val="es-ES" w:eastAsia="es-ES"/>
              </w:rPr>
              <w:t>106</w:t>
            </w:r>
          </w:p>
        </w:tc>
        <w:tc>
          <w:tcPr>
            <w:tcW w:w="1061" w:type="dxa"/>
            <w:tcBorders>
              <w:top w:val="nil"/>
              <w:left w:val="nil"/>
              <w:bottom w:val="single" w:sz="4" w:space="0" w:color="auto"/>
              <w:right w:val="nil"/>
            </w:tcBorders>
            <w:shd w:val="clear" w:color="000000" w:fill="D9D9D9"/>
            <w:noWrap/>
            <w:vAlign w:val="center"/>
            <w:hideMark/>
          </w:tcPr>
          <w:p w14:paraId="52C239C2" w14:textId="46E3DFBA" w:rsidR="004367EF" w:rsidRPr="00EE13C5" w:rsidRDefault="004367EF" w:rsidP="00A16FC4">
            <w:pPr>
              <w:pStyle w:val="cuatexto"/>
              <w:spacing w:line="240" w:lineRule="auto"/>
              <w:jc w:val="right"/>
              <w:rPr>
                <w:b/>
                <w:bCs/>
                <w:i/>
                <w:iCs/>
                <w:sz w:val="18"/>
                <w:szCs w:val="18"/>
                <w:lang w:val="es-ES" w:eastAsia="es-ES"/>
              </w:rPr>
            </w:pPr>
            <w:r w:rsidRPr="00EE13C5">
              <w:rPr>
                <w:b/>
                <w:bCs/>
                <w:i/>
                <w:iCs/>
                <w:sz w:val="18"/>
                <w:szCs w:val="18"/>
                <w:lang w:val="es-ES" w:eastAsia="es-ES"/>
              </w:rPr>
              <w:t xml:space="preserve"> 9,4 </w:t>
            </w:r>
          </w:p>
        </w:tc>
        <w:tc>
          <w:tcPr>
            <w:tcW w:w="0" w:type="auto"/>
            <w:tcBorders>
              <w:top w:val="nil"/>
              <w:left w:val="nil"/>
              <w:bottom w:val="single" w:sz="4" w:space="0" w:color="auto"/>
              <w:right w:val="nil"/>
            </w:tcBorders>
            <w:shd w:val="clear" w:color="000000" w:fill="D9D9D9"/>
            <w:noWrap/>
            <w:vAlign w:val="center"/>
            <w:hideMark/>
          </w:tcPr>
          <w:p w14:paraId="002EB4F3" w14:textId="77777777" w:rsidR="004367EF" w:rsidRPr="00EE13C5" w:rsidRDefault="004367EF" w:rsidP="00A16FC4">
            <w:pPr>
              <w:pStyle w:val="cuatexto"/>
              <w:spacing w:line="240" w:lineRule="auto"/>
              <w:jc w:val="right"/>
              <w:rPr>
                <w:b/>
                <w:bCs/>
                <w:i/>
                <w:iCs/>
                <w:color w:val="000000"/>
                <w:sz w:val="18"/>
                <w:szCs w:val="18"/>
                <w:lang w:val="es-ES" w:eastAsia="es-ES"/>
              </w:rPr>
            </w:pPr>
            <w:r w:rsidRPr="00EE13C5">
              <w:rPr>
                <w:b/>
                <w:bCs/>
                <w:i/>
                <w:iCs/>
                <w:color w:val="000000"/>
                <w:sz w:val="18"/>
                <w:szCs w:val="18"/>
                <w:lang w:val="es-ES" w:eastAsia="es-ES"/>
              </w:rPr>
              <w:t>47</w:t>
            </w:r>
          </w:p>
        </w:tc>
        <w:tc>
          <w:tcPr>
            <w:tcW w:w="0" w:type="auto"/>
            <w:tcBorders>
              <w:top w:val="nil"/>
              <w:left w:val="nil"/>
              <w:bottom w:val="single" w:sz="4" w:space="0" w:color="auto"/>
              <w:right w:val="nil"/>
            </w:tcBorders>
            <w:shd w:val="clear" w:color="000000" w:fill="D9D9D9"/>
            <w:noWrap/>
            <w:vAlign w:val="center"/>
            <w:hideMark/>
          </w:tcPr>
          <w:p w14:paraId="1AE09038" w14:textId="77777777" w:rsidR="004367EF" w:rsidRPr="00EE13C5" w:rsidRDefault="004367EF" w:rsidP="00A16FC4">
            <w:pPr>
              <w:pStyle w:val="cuatexto"/>
              <w:spacing w:line="240" w:lineRule="auto"/>
              <w:jc w:val="right"/>
              <w:rPr>
                <w:b/>
                <w:bCs/>
                <w:i/>
                <w:iCs/>
                <w:sz w:val="18"/>
                <w:szCs w:val="18"/>
                <w:lang w:val="es-ES" w:eastAsia="es-ES"/>
              </w:rPr>
            </w:pPr>
            <w:r w:rsidRPr="00EE13C5">
              <w:rPr>
                <w:b/>
                <w:bCs/>
                <w:i/>
                <w:iCs/>
                <w:sz w:val="18"/>
                <w:szCs w:val="18"/>
                <w:lang w:val="es-ES" w:eastAsia="es-ES"/>
              </w:rPr>
              <w:t xml:space="preserve">         3,5 </w:t>
            </w:r>
          </w:p>
        </w:tc>
        <w:tc>
          <w:tcPr>
            <w:tcW w:w="0" w:type="auto"/>
            <w:tcBorders>
              <w:top w:val="nil"/>
              <w:left w:val="nil"/>
              <w:bottom w:val="single" w:sz="4" w:space="0" w:color="auto"/>
              <w:right w:val="nil"/>
            </w:tcBorders>
            <w:shd w:val="clear" w:color="000000" w:fill="D9D9D9"/>
            <w:noWrap/>
            <w:vAlign w:val="center"/>
            <w:hideMark/>
          </w:tcPr>
          <w:p w14:paraId="340961D4" w14:textId="77777777" w:rsidR="004367EF" w:rsidRPr="00EE13C5" w:rsidRDefault="004367EF" w:rsidP="00A16FC4">
            <w:pPr>
              <w:pStyle w:val="cuatexto"/>
              <w:spacing w:line="240" w:lineRule="auto"/>
              <w:jc w:val="right"/>
              <w:rPr>
                <w:b/>
                <w:bCs/>
                <w:i/>
                <w:iCs/>
                <w:color w:val="000000"/>
                <w:sz w:val="18"/>
                <w:szCs w:val="18"/>
                <w:lang w:val="es-ES" w:eastAsia="es-ES"/>
              </w:rPr>
            </w:pPr>
            <w:r w:rsidRPr="00EE13C5">
              <w:rPr>
                <w:b/>
                <w:bCs/>
                <w:i/>
                <w:iCs/>
                <w:color w:val="000000"/>
                <w:sz w:val="18"/>
                <w:szCs w:val="18"/>
                <w:lang w:val="es-ES" w:eastAsia="es-ES"/>
              </w:rPr>
              <w:t>76</w:t>
            </w:r>
          </w:p>
        </w:tc>
        <w:tc>
          <w:tcPr>
            <w:tcW w:w="0" w:type="auto"/>
            <w:tcBorders>
              <w:top w:val="nil"/>
              <w:left w:val="nil"/>
              <w:bottom w:val="single" w:sz="4" w:space="0" w:color="auto"/>
              <w:right w:val="nil"/>
            </w:tcBorders>
            <w:shd w:val="clear" w:color="000000" w:fill="D9D9D9"/>
            <w:noWrap/>
            <w:vAlign w:val="center"/>
            <w:hideMark/>
          </w:tcPr>
          <w:p w14:paraId="66FACDB1" w14:textId="77777777" w:rsidR="004367EF" w:rsidRPr="00EE13C5" w:rsidRDefault="004367EF" w:rsidP="00A16FC4">
            <w:pPr>
              <w:pStyle w:val="cuatexto"/>
              <w:spacing w:line="240" w:lineRule="auto"/>
              <w:jc w:val="right"/>
              <w:rPr>
                <w:b/>
                <w:bCs/>
                <w:i/>
                <w:iCs/>
                <w:sz w:val="18"/>
                <w:szCs w:val="18"/>
                <w:lang w:val="es-ES" w:eastAsia="es-ES"/>
              </w:rPr>
            </w:pPr>
            <w:r w:rsidRPr="00EE13C5">
              <w:rPr>
                <w:b/>
                <w:bCs/>
                <w:i/>
                <w:iCs/>
                <w:sz w:val="18"/>
                <w:szCs w:val="18"/>
                <w:lang w:val="es-ES" w:eastAsia="es-ES"/>
              </w:rPr>
              <w:t xml:space="preserve">          6,9 </w:t>
            </w:r>
          </w:p>
        </w:tc>
      </w:tr>
      <w:tr w:rsidR="004367EF" w:rsidRPr="00EE13C5" w14:paraId="098BA0A2"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4A84AD7D" w14:textId="77777777" w:rsidR="004367EF" w:rsidRPr="00EE13C5" w:rsidRDefault="004367EF" w:rsidP="00A16FC4">
            <w:pPr>
              <w:pStyle w:val="cuatexto"/>
              <w:spacing w:line="240" w:lineRule="auto"/>
              <w:rPr>
                <w:sz w:val="18"/>
                <w:szCs w:val="18"/>
                <w:lang w:val="es-ES" w:eastAsia="es-ES"/>
              </w:rPr>
            </w:pPr>
            <w:r w:rsidRPr="00EE13C5">
              <w:rPr>
                <w:sz w:val="18"/>
                <w:szCs w:val="18"/>
                <w:lang w:val="es-ES" w:eastAsia="es-ES"/>
              </w:rPr>
              <w:t>Activos financieros</w:t>
            </w:r>
          </w:p>
        </w:tc>
        <w:tc>
          <w:tcPr>
            <w:tcW w:w="850" w:type="dxa"/>
            <w:tcBorders>
              <w:top w:val="nil"/>
              <w:left w:val="nil"/>
              <w:bottom w:val="single" w:sz="4" w:space="0" w:color="auto"/>
              <w:right w:val="nil"/>
            </w:tcBorders>
            <w:shd w:val="clear" w:color="auto" w:fill="auto"/>
            <w:noWrap/>
            <w:vAlign w:val="center"/>
            <w:hideMark/>
          </w:tcPr>
          <w:p w14:paraId="5F00688E"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2</w:t>
            </w:r>
          </w:p>
        </w:tc>
        <w:tc>
          <w:tcPr>
            <w:tcW w:w="1061" w:type="dxa"/>
            <w:tcBorders>
              <w:top w:val="nil"/>
              <w:left w:val="nil"/>
              <w:bottom w:val="single" w:sz="4" w:space="0" w:color="auto"/>
              <w:right w:val="nil"/>
            </w:tcBorders>
            <w:shd w:val="clear" w:color="auto" w:fill="auto"/>
            <w:noWrap/>
            <w:vAlign w:val="center"/>
            <w:hideMark/>
          </w:tcPr>
          <w:p w14:paraId="2DB7E8C1" w14:textId="24E550C3"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0,2 </w:t>
            </w:r>
          </w:p>
        </w:tc>
        <w:tc>
          <w:tcPr>
            <w:tcW w:w="0" w:type="auto"/>
            <w:tcBorders>
              <w:top w:val="nil"/>
              <w:left w:val="nil"/>
              <w:bottom w:val="single" w:sz="4" w:space="0" w:color="auto"/>
              <w:right w:val="nil"/>
            </w:tcBorders>
            <w:shd w:val="clear" w:color="auto" w:fill="auto"/>
            <w:noWrap/>
            <w:vAlign w:val="center"/>
            <w:hideMark/>
          </w:tcPr>
          <w:p w14:paraId="0368ED70"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1</w:t>
            </w:r>
          </w:p>
        </w:tc>
        <w:tc>
          <w:tcPr>
            <w:tcW w:w="0" w:type="auto"/>
            <w:tcBorders>
              <w:top w:val="nil"/>
              <w:left w:val="nil"/>
              <w:bottom w:val="single" w:sz="4" w:space="0" w:color="auto"/>
              <w:right w:val="nil"/>
            </w:tcBorders>
            <w:shd w:val="clear" w:color="auto" w:fill="auto"/>
            <w:noWrap/>
            <w:vAlign w:val="center"/>
            <w:hideMark/>
          </w:tcPr>
          <w:p w14:paraId="6B699370"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0,1 </w:t>
            </w:r>
          </w:p>
        </w:tc>
        <w:tc>
          <w:tcPr>
            <w:tcW w:w="0" w:type="auto"/>
            <w:tcBorders>
              <w:top w:val="nil"/>
              <w:left w:val="nil"/>
              <w:bottom w:val="single" w:sz="4" w:space="0" w:color="auto"/>
              <w:right w:val="nil"/>
            </w:tcBorders>
            <w:shd w:val="clear" w:color="auto" w:fill="auto"/>
            <w:noWrap/>
            <w:vAlign w:val="center"/>
            <w:hideMark/>
          </w:tcPr>
          <w:p w14:paraId="4C4A20E7"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1</w:t>
            </w:r>
          </w:p>
        </w:tc>
        <w:tc>
          <w:tcPr>
            <w:tcW w:w="0" w:type="auto"/>
            <w:tcBorders>
              <w:top w:val="nil"/>
              <w:left w:val="nil"/>
              <w:bottom w:val="single" w:sz="4" w:space="0" w:color="auto"/>
              <w:right w:val="nil"/>
            </w:tcBorders>
            <w:shd w:val="clear" w:color="auto" w:fill="auto"/>
            <w:noWrap/>
            <w:vAlign w:val="center"/>
            <w:hideMark/>
          </w:tcPr>
          <w:p w14:paraId="52DD2970"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0,1 </w:t>
            </w:r>
          </w:p>
        </w:tc>
      </w:tr>
      <w:tr w:rsidR="004367EF" w:rsidRPr="00EE13C5" w14:paraId="01A49E9A"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4C9E0C64" w14:textId="77777777" w:rsidR="004367EF" w:rsidRPr="00EE13C5" w:rsidRDefault="004367EF" w:rsidP="00A16FC4">
            <w:pPr>
              <w:pStyle w:val="cuatexto"/>
              <w:spacing w:line="240" w:lineRule="auto"/>
              <w:rPr>
                <w:sz w:val="18"/>
                <w:szCs w:val="18"/>
                <w:lang w:val="es-ES" w:eastAsia="es-ES"/>
              </w:rPr>
            </w:pPr>
            <w:r w:rsidRPr="00EE13C5">
              <w:rPr>
                <w:sz w:val="18"/>
                <w:szCs w:val="18"/>
                <w:lang w:val="es-ES" w:eastAsia="es-ES"/>
              </w:rPr>
              <w:t>Pasivos financieros</w:t>
            </w:r>
          </w:p>
        </w:tc>
        <w:tc>
          <w:tcPr>
            <w:tcW w:w="850" w:type="dxa"/>
            <w:tcBorders>
              <w:top w:val="nil"/>
              <w:left w:val="nil"/>
              <w:bottom w:val="single" w:sz="4" w:space="0" w:color="auto"/>
              <w:right w:val="nil"/>
            </w:tcBorders>
            <w:shd w:val="clear" w:color="auto" w:fill="auto"/>
            <w:noWrap/>
            <w:vAlign w:val="center"/>
            <w:hideMark/>
          </w:tcPr>
          <w:p w14:paraId="664E323D"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14</w:t>
            </w:r>
          </w:p>
        </w:tc>
        <w:tc>
          <w:tcPr>
            <w:tcW w:w="1061" w:type="dxa"/>
            <w:tcBorders>
              <w:top w:val="nil"/>
              <w:left w:val="nil"/>
              <w:bottom w:val="single" w:sz="4" w:space="0" w:color="auto"/>
              <w:right w:val="nil"/>
            </w:tcBorders>
            <w:shd w:val="clear" w:color="auto" w:fill="auto"/>
            <w:noWrap/>
            <w:vAlign w:val="center"/>
            <w:hideMark/>
          </w:tcPr>
          <w:p w14:paraId="60EA4D29" w14:textId="55CC91EA"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1,3 </w:t>
            </w:r>
          </w:p>
        </w:tc>
        <w:tc>
          <w:tcPr>
            <w:tcW w:w="0" w:type="auto"/>
            <w:tcBorders>
              <w:top w:val="nil"/>
              <w:left w:val="nil"/>
              <w:bottom w:val="single" w:sz="4" w:space="0" w:color="auto"/>
              <w:right w:val="nil"/>
            </w:tcBorders>
            <w:shd w:val="clear" w:color="auto" w:fill="auto"/>
            <w:noWrap/>
            <w:vAlign w:val="center"/>
            <w:hideMark/>
          </w:tcPr>
          <w:p w14:paraId="179F1987"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6</w:t>
            </w:r>
          </w:p>
        </w:tc>
        <w:tc>
          <w:tcPr>
            <w:tcW w:w="0" w:type="auto"/>
            <w:tcBorders>
              <w:top w:val="nil"/>
              <w:left w:val="nil"/>
              <w:bottom w:val="single" w:sz="4" w:space="0" w:color="auto"/>
              <w:right w:val="nil"/>
            </w:tcBorders>
            <w:shd w:val="clear" w:color="auto" w:fill="auto"/>
            <w:noWrap/>
            <w:vAlign w:val="center"/>
            <w:hideMark/>
          </w:tcPr>
          <w:p w14:paraId="4DA31EA4"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0,4 </w:t>
            </w:r>
          </w:p>
        </w:tc>
        <w:tc>
          <w:tcPr>
            <w:tcW w:w="0" w:type="auto"/>
            <w:tcBorders>
              <w:top w:val="nil"/>
              <w:left w:val="nil"/>
              <w:bottom w:val="single" w:sz="4" w:space="0" w:color="auto"/>
              <w:right w:val="nil"/>
            </w:tcBorders>
            <w:shd w:val="clear" w:color="auto" w:fill="auto"/>
            <w:noWrap/>
            <w:vAlign w:val="center"/>
            <w:hideMark/>
          </w:tcPr>
          <w:p w14:paraId="05DB682D" w14:textId="77777777" w:rsidR="004367EF" w:rsidRPr="00EE13C5" w:rsidRDefault="004367EF" w:rsidP="00A16FC4">
            <w:pPr>
              <w:pStyle w:val="cuatexto"/>
              <w:spacing w:line="240" w:lineRule="auto"/>
              <w:jc w:val="right"/>
              <w:rPr>
                <w:color w:val="000000"/>
                <w:sz w:val="18"/>
                <w:szCs w:val="18"/>
                <w:lang w:val="es-ES" w:eastAsia="es-ES"/>
              </w:rPr>
            </w:pPr>
            <w:r w:rsidRPr="00EE13C5">
              <w:rPr>
                <w:color w:val="000000"/>
                <w:sz w:val="18"/>
                <w:szCs w:val="18"/>
                <w:lang w:val="es-ES" w:eastAsia="es-ES"/>
              </w:rPr>
              <w:t>23</w:t>
            </w:r>
          </w:p>
        </w:tc>
        <w:tc>
          <w:tcPr>
            <w:tcW w:w="0" w:type="auto"/>
            <w:tcBorders>
              <w:top w:val="nil"/>
              <w:left w:val="nil"/>
              <w:bottom w:val="single" w:sz="4" w:space="0" w:color="auto"/>
              <w:right w:val="nil"/>
            </w:tcBorders>
            <w:shd w:val="clear" w:color="auto" w:fill="auto"/>
            <w:noWrap/>
            <w:vAlign w:val="center"/>
            <w:hideMark/>
          </w:tcPr>
          <w:p w14:paraId="4D383DB8" w14:textId="77777777" w:rsidR="004367EF" w:rsidRPr="00EE13C5" w:rsidRDefault="004367EF" w:rsidP="00A16FC4">
            <w:pPr>
              <w:pStyle w:val="cuatexto"/>
              <w:spacing w:line="240" w:lineRule="auto"/>
              <w:jc w:val="right"/>
              <w:rPr>
                <w:sz w:val="18"/>
                <w:szCs w:val="18"/>
                <w:lang w:val="es-ES" w:eastAsia="es-ES"/>
              </w:rPr>
            </w:pPr>
            <w:r w:rsidRPr="00EE13C5">
              <w:rPr>
                <w:sz w:val="18"/>
                <w:szCs w:val="18"/>
                <w:lang w:val="es-ES" w:eastAsia="es-ES"/>
              </w:rPr>
              <w:t xml:space="preserve">            2,1 </w:t>
            </w:r>
          </w:p>
        </w:tc>
      </w:tr>
      <w:tr w:rsidR="004367EF" w:rsidRPr="00EE13C5" w14:paraId="5620C29E" w14:textId="77777777" w:rsidTr="00565DBB">
        <w:trPr>
          <w:trHeight w:val="227"/>
          <w:jc w:val="center"/>
        </w:trPr>
        <w:tc>
          <w:tcPr>
            <w:tcW w:w="3403" w:type="dxa"/>
            <w:tcBorders>
              <w:top w:val="nil"/>
              <w:left w:val="nil"/>
              <w:bottom w:val="single" w:sz="4" w:space="0" w:color="auto"/>
              <w:right w:val="nil"/>
            </w:tcBorders>
            <w:shd w:val="clear" w:color="000000" w:fill="D9D9D9"/>
            <w:noWrap/>
            <w:vAlign w:val="center"/>
            <w:hideMark/>
          </w:tcPr>
          <w:p w14:paraId="23653CDC" w14:textId="45DD0040" w:rsidR="004367EF" w:rsidRPr="00EE13C5" w:rsidRDefault="004D3571" w:rsidP="00A16FC4">
            <w:pPr>
              <w:pStyle w:val="cuatexto"/>
              <w:spacing w:line="240" w:lineRule="auto"/>
              <w:rPr>
                <w:b/>
                <w:bCs/>
                <w:i/>
                <w:iCs/>
                <w:sz w:val="18"/>
                <w:szCs w:val="18"/>
                <w:lang w:val="es-ES" w:eastAsia="es-ES"/>
              </w:rPr>
            </w:pPr>
            <w:r>
              <w:rPr>
                <w:b/>
                <w:bCs/>
                <w:i/>
                <w:iCs/>
                <w:sz w:val="18"/>
                <w:szCs w:val="18"/>
                <w:lang w:val="es-ES" w:eastAsia="es-ES"/>
              </w:rPr>
              <w:t>Operaciones financieras</w:t>
            </w:r>
          </w:p>
        </w:tc>
        <w:tc>
          <w:tcPr>
            <w:tcW w:w="850" w:type="dxa"/>
            <w:tcBorders>
              <w:top w:val="nil"/>
              <w:left w:val="nil"/>
              <w:bottom w:val="single" w:sz="4" w:space="0" w:color="auto"/>
              <w:right w:val="nil"/>
            </w:tcBorders>
            <w:shd w:val="clear" w:color="000000" w:fill="D9D9D9"/>
            <w:noWrap/>
            <w:vAlign w:val="center"/>
            <w:hideMark/>
          </w:tcPr>
          <w:p w14:paraId="7DDC7F43" w14:textId="77777777" w:rsidR="004367EF" w:rsidRPr="00EE13C5" w:rsidRDefault="004367EF" w:rsidP="00A16FC4">
            <w:pPr>
              <w:pStyle w:val="cuatexto"/>
              <w:spacing w:line="240" w:lineRule="auto"/>
              <w:jc w:val="right"/>
              <w:rPr>
                <w:b/>
                <w:bCs/>
                <w:i/>
                <w:iCs/>
                <w:color w:val="000000"/>
                <w:sz w:val="18"/>
                <w:szCs w:val="18"/>
                <w:lang w:val="es-ES" w:eastAsia="es-ES"/>
              </w:rPr>
            </w:pPr>
            <w:r w:rsidRPr="00EE13C5">
              <w:rPr>
                <w:b/>
                <w:bCs/>
                <w:i/>
                <w:iCs/>
                <w:color w:val="000000"/>
                <w:sz w:val="18"/>
                <w:szCs w:val="18"/>
                <w:lang w:val="es-ES" w:eastAsia="es-ES"/>
              </w:rPr>
              <w:t>16</w:t>
            </w:r>
          </w:p>
        </w:tc>
        <w:tc>
          <w:tcPr>
            <w:tcW w:w="1061" w:type="dxa"/>
            <w:tcBorders>
              <w:top w:val="nil"/>
              <w:left w:val="nil"/>
              <w:bottom w:val="single" w:sz="4" w:space="0" w:color="auto"/>
              <w:right w:val="nil"/>
            </w:tcBorders>
            <w:shd w:val="clear" w:color="000000" w:fill="D9D9D9"/>
            <w:noWrap/>
            <w:vAlign w:val="center"/>
            <w:hideMark/>
          </w:tcPr>
          <w:p w14:paraId="0F0B33A7" w14:textId="506701BC" w:rsidR="004367EF" w:rsidRPr="00EE13C5" w:rsidRDefault="004367EF" w:rsidP="00A16FC4">
            <w:pPr>
              <w:pStyle w:val="cuatexto"/>
              <w:spacing w:line="240" w:lineRule="auto"/>
              <w:jc w:val="right"/>
              <w:rPr>
                <w:b/>
                <w:bCs/>
                <w:i/>
                <w:iCs/>
                <w:sz w:val="18"/>
                <w:szCs w:val="18"/>
                <w:lang w:val="es-ES" w:eastAsia="es-ES"/>
              </w:rPr>
            </w:pPr>
            <w:r w:rsidRPr="00EE13C5">
              <w:rPr>
                <w:b/>
                <w:bCs/>
                <w:i/>
                <w:iCs/>
                <w:sz w:val="18"/>
                <w:szCs w:val="18"/>
                <w:lang w:val="es-ES" w:eastAsia="es-ES"/>
              </w:rPr>
              <w:t xml:space="preserve">1,4 </w:t>
            </w:r>
          </w:p>
        </w:tc>
        <w:tc>
          <w:tcPr>
            <w:tcW w:w="0" w:type="auto"/>
            <w:tcBorders>
              <w:top w:val="nil"/>
              <w:left w:val="nil"/>
              <w:bottom w:val="single" w:sz="4" w:space="0" w:color="auto"/>
              <w:right w:val="nil"/>
            </w:tcBorders>
            <w:shd w:val="clear" w:color="000000" w:fill="D9D9D9"/>
            <w:noWrap/>
            <w:vAlign w:val="center"/>
            <w:hideMark/>
          </w:tcPr>
          <w:p w14:paraId="3BC944BE" w14:textId="77777777" w:rsidR="004367EF" w:rsidRPr="00EE13C5" w:rsidRDefault="004367EF" w:rsidP="00A16FC4">
            <w:pPr>
              <w:pStyle w:val="cuatexto"/>
              <w:spacing w:line="240" w:lineRule="auto"/>
              <w:jc w:val="right"/>
              <w:rPr>
                <w:b/>
                <w:bCs/>
                <w:i/>
                <w:iCs/>
                <w:color w:val="000000"/>
                <w:sz w:val="18"/>
                <w:szCs w:val="18"/>
                <w:lang w:val="es-ES" w:eastAsia="es-ES"/>
              </w:rPr>
            </w:pPr>
            <w:r w:rsidRPr="00EE13C5">
              <w:rPr>
                <w:b/>
                <w:bCs/>
                <w:i/>
                <w:iCs/>
                <w:color w:val="000000"/>
                <w:sz w:val="18"/>
                <w:szCs w:val="18"/>
                <w:lang w:val="es-ES" w:eastAsia="es-ES"/>
              </w:rPr>
              <w:t>7</w:t>
            </w:r>
          </w:p>
        </w:tc>
        <w:tc>
          <w:tcPr>
            <w:tcW w:w="0" w:type="auto"/>
            <w:tcBorders>
              <w:top w:val="nil"/>
              <w:left w:val="nil"/>
              <w:bottom w:val="single" w:sz="4" w:space="0" w:color="auto"/>
              <w:right w:val="nil"/>
            </w:tcBorders>
            <w:shd w:val="clear" w:color="000000" w:fill="D9D9D9"/>
            <w:noWrap/>
            <w:vAlign w:val="center"/>
            <w:hideMark/>
          </w:tcPr>
          <w:p w14:paraId="335EF3E8" w14:textId="77777777" w:rsidR="004367EF" w:rsidRPr="00EE13C5" w:rsidRDefault="004367EF" w:rsidP="00A16FC4">
            <w:pPr>
              <w:pStyle w:val="cuatexto"/>
              <w:spacing w:line="240" w:lineRule="auto"/>
              <w:jc w:val="right"/>
              <w:rPr>
                <w:b/>
                <w:bCs/>
                <w:i/>
                <w:iCs/>
                <w:sz w:val="18"/>
                <w:szCs w:val="18"/>
                <w:lang w:val="es-ES" w:eastAsia="es-ES"/>
              </w:rPr>
            </w:pPr>
            <w:r w:rsidRPr="00EE13C5">
              <w:rPr>
                <w:b/>
                <w:bCs/>
                <w:i/>
                <w:iCs/>
                <w:sz w:val="18"/>
                <w:szCs w:val="18"/>
                <w:lang w:val="es-ES" w:eastAsia="es-ES"/>
              </w:rPr>
              <w:t xml:space="preserve">         0,5 </w:t>
            </w:r>
          </w:p>
        </w:tc>
        <w:tc>
          <w:tcPr>
            <w:tcW w:w="0" w:type="auto"/>
            <w:tcBorders>
              <w:top w:val="nil"/>
              <w:left w:val="nil"/>
              <w:bottom w:val="single" w:sz="4" w:space="0" w:color="auto"/>
              <w:right w:val="nil"/>
            </w:tcBorders>
            <w:shd w:val="clear" w:color="000000" w:fill="D9D9D9"/>
            <w:noWrap/>
            <w:vAlign w:val="center"/>
            <w:hideMark/>
          </w:tcPr>
          <w:p w14:paraId="5CBFDEAD" w14:textId="77777777" w:rsidR="004367EF" w:rsidRPr="00EE13C5" w:rsidRDefault="004367EF" w:rsidP="00A16FC4">
            <w:pPr>
              <w:pStyle w:val="cuatexto"/>
              <w:spacing w:line="240" w:lineRule="auto"/>
              <w:jc w:val="right"/>
              <w:rPr>
                <w:b/>
                <w:bCs/>
                <w:i/>
                <w:iCs/>
                <w:color w:val="000000"/>
                <w:sz w:val="18"/>
                <w:szCs w:val="18"/>
                <w:lang w:val="es-ES" w:eastAsia="es-ES"/>
              </w:rPr>
            </w:pPr>
            <w:r w:rsidRPr="00EE13C5">
              <w:rPr>
                <w:b/>
                <w:bCs/>
                <w:i/>
                <w:iCs/>
                <w:color w:val="000000"/>
                <w:sz w:val="18"/>
                <w:szCs w:val="18"/>
                <w:lang w:val="es-ES" w:eastAsia="es-ES"/>
              </w:rPr>
              <w:t>24</w:t>
            </w:r>
          </w:p>
        </w:tc>
        <w:tc>
          <w:tcPr>
            <w:tcW w:w="0" w:type="auto"/>
            <w:tcBorders>
              <w:top w:val="nil"/>
              <w:left w:val="nil"/>
              <w:bottom w:val="single" w:sz="4" w:space="0" w:color="auto"/>
              <w:right w:val="nil"/>
            </w:tcBorders>
            <w:shd w:val="clear" w:color="000000" w:fill="D9D9D9"/>
            <w:noWrap/>
            <w:vAlign w:val="center"/>
            <w:hideMark/>
          </w:tcPr>
          <w:p w14:paraId="47CE730E" w14:textId="77777777" w:rsidR="004367EF" w:rsidRPr="00EE13C5" w:rsidRDefault="004367EF" w:rsidP="00A16FC4">
            <w:pPr>
              <w:pStyle w:val="cuatexto"/>
              <w:spacing w:line="240" w:lineRule="auto"/>
              <w:jc w:val="right"/>
              <w:rPr>
                <w:b/>
                <w:bCs/>
                <w:i/>
                <w:iCs/>
                <w:sz w:val="18"/>
                <w:szCs w:val="18"/>
                <w:lang w:val="es-ES" w:eastAsia="es-ES"/>
              </w:rPr>
            </w:pPr>
            <w:r w:rsidRPr="00EE13C5">
              <w:rPr>
                <w:b/>
                <w:bCs/>
                <w:i/>
                <w:iCs/>
                <w:sz w:val="18"/>
                <w:szCs w:val="18"/>
                <w:lang w:val="es-ES" w:eastAsia="es-ES"/>
              </w:rPr>
              <w:t xml:space="preserve">          2,2 </w:t>
            </w:r>
          </w:p>
        </w:tc>
      </w:tr>
      <w:tr w:rsidR="004367EF" w:rsidRPr="00A16FC4" w14:paraId="194EDAF8" w14:textId="77777777" w:rsidTr="00565DBB">
        <w:trPr>
          <w:trHeight w:val="227"/>
          <w:jc w:val="center"/>
        </w:trPr>
        <w:tc>
          <w:tcPr>
            <w:tcW w:w="3403" w:type="dxa"/>
            <w:tcBorders>
              <w:top w:val="nil"/>
              <w:left w:val="nil"/>
              <w:bottom w:val="single" w:sz="4" w:space="0" w:color="auto"/>
              <w:right w:val="nil"/>
            </w:tcBorders>
            <w:shd w:val="clear" w:color="auto" w:fill="FABF8F" w:themeFill="accent6" w:themeFillTint="99"/>
            <w:noWrap/>
            <w:vAlign w:val="center"/>
            <w:hideMark/>
          </w:tcPr>
          <w:p w14:paraId="41D6FBC5" w14:textId="70A49D65" w:rsidR="004367EF" w:rsidRPr="00A16FC4" w:rsidRDefault="004367EF" w:rsidP="00A16FC4">
            <w:pPr>
              <w:pStyle w:val="cuadroCabe"/>
              <w:spacing w:line="240" w:lineRule="auto"/>
              <w:rPr>
                <w:szCs w:val="18"/>
                <w:lang w:val="es-ES" w:eastAsia="es-ES"/>
              </w:rPr>
            </w:pPr>
            <w:r w:rsidRPr="00A16FC4">
              <w:rPr>
                <w:szCs w:val="18"/>
                <w:lang w:val="es-ES" w:eastAsia="es-ES"/>
              </w:rPr>
              <w:t>T</w:t>
            </w:r>
            <w:r w:rsidR="008F7ECB" w:rsidRPr="00A16FC4">
              <w:rPr>
                <w:szCs w:val="18"/>
                <w:lang w:val="es-ES" w:eastAsia="es-ES"/>
              </w:rPr>
              <w:t>otales</w:t>
            </w:r>
          </w:p>
        </w:tc>
        <w:tc>
          <w:tcPr>
            <w:tcW w:w="850" w:type="dxa"/>
            <w:tcBorders>
              <w:top w:val="nil"/>
              <w:left w:val="nil"/>
              <w:bottom w:val="single" w:sz="4" w:space="0" w:color="auto"/>
              <w:right w:val="nil"/>
            </w:tcBorders>
            <w:shd w:val="clear" w:color="auto" w:fill="FABF8F" w:themeFill="accent6" w:themeFillTint="99"/>
            <w:noWrap/>
            <w:vAlign w:val="center"/>
            <w:hideMark/>
          </w:tcPr>
          <w:p w14:paraId="6F857C45" w14:textId="77777777" w:rsidR="004367EF" w:rsidRPr="00A16FC4" w:rsidRDefault="004367EF" w:rsidP="00A16FC4">
            <w:pPr>
              <w:pStyle w:val="cuadroCabe"/>
              <w:spacing w:line="240" w:lineRule="auto"/>
              <w:jc w:val="right"/>
              <w:rPr>
                <w:bCs/>
                <w:szCs w:val="18"/>
                <w:lang w:val="es-ES" w:eastAsia="es-ES"/>
              </w:rPr>
            </w:pPr>
            <w:r w:rsidRPr="00A16FC4">
              <w:rPr>
                <w:bCs/>
                <w:szCs w:val="18"/>
                <w:lang w:val="es-ES" w:eastAsia="es-ES"/>
              </w:rPr>
              <w:t>1.124</w:t>
            </w:r>
          </w:p>
        </w:tc>
        <w:tc>
          <w:tcPr>
            <w:tcW w:w="1061" w:type="dxa"/>
            <w:tcBorders>
              <w:top w:val="nil"/>
              <w:left w:val="nil"/>
              <w:bottom w:val="single" w:sz="4" w:space="0" w:color="auto"/>
              <w:right w:val="nil"/>
            </w:tcBorders>
            <w:shd w:val="clear" w:color="auto" w:fill="FABF8F" w:themeFill="accent6" w:themeFillTint="99"/>
            <w:noWrap/>
            <w:vAlign w:val="center"/>
            <w:hideMark/>
          </w:tcPr>
          <w:p w14:paraId="6EFD5CBF" w14:textId="77777777" w:rsidR="004367EF" w:rsidRPr="00A16FC4" w:rsidRDefault="004367EF" w:rsidP="00A16FC4">
            <w:pPr>
              <w:pStyle w:val="cuadroCabe"/>
              <w:spacing w:line="240" w:lineRule="auto"/>
              <w:jc w:val="right"/>
              <w:rPr>
                <w:bCs/>
                <w:szCs w:val="18"/>
                <w:lang w:val="es-ES" w:eastAsia="es-ES"/>
              </w:rPr>
            </w:pPr>
            <w:r w:rsidRPr="00A16FC4">
              <w:rPr>
                <w:bCs/>
                <w:szCs w:val="18"/>
                <w:lang w:val="es-ES" w:eastAsia="es-ES"/>
              </w:rPr>
              <w:t>100</w:t>
            </w:r>
          </w:p>
        </w:tc>
        <w:tc>
          <w:tcPr>
            <w:tcW w:w="0" w:type="auto"/>
            <w:tcBorders>
              <w:top w:val="nil"/>
              <w:left w:val="nil"/>
              <w:bottom w:val="single" w:sz="4" w:space="0" w:color="auto"/>
              <w:right w:val="nil"/>
            </w:tcBorders>
            <w:shd w:val="clear" w:color="auto" w:fill="FABF8F" w:themeFill="accent6" w:themeFillTint="99"/>
            <w:noWrap/>
            <w:vAlign w:val="center"/>
            <w:hideMark/>
          </w:tcPr>
          <w:p w14:paraId="08DC0AFE" w14:textId="77777777" w:rsidR="004367EF" w:rsidRPr="00A16FC4" w:rsidRDefault="004367EF" w:rsidP="00A16FC4">
            <w:pPr>
              <w:pStyle w:val="cuadroCabe"/>
              <w:spacing w:line="240" w:lineRule="auto"/>
              <w:jc w:val="right"/>
              <w:rPr>
                <w:bCs/>
                <w:szCs w:val="18"/>
                <w:lang w:val="es-ES" w:eastAsia="es-ES"/>
              </w:rPr>
            </w:pPr>
            <w:r w:rsidRPr="00A16FC4">
              <w:rPr>
                <w:bCs/>
                <w:szCs w:val="18"/>
                <w:lang w:val="es-ES" w:eastAsia="es-ES"/>
              </w:rPr>
              <w:t>1.345</w:t>
            </w:r>
          </w:p>
        </w:tc>
        <w:tc>
          <w:tcPr>
            <w:tcW w:w="0" w:type="auto"/>
            <w:tcBorders>
              <w:top w:val="nil"/>
              <w:left w:val="nil"/>
              <w:bottom w:val="single" w:sz="4" w:space="0" w:color="auto"/>
              <w:right w:val="nil"/>
            </w:tcBorders>
            <w:shd w:val="clear" w:color="auto" w:fill="FABF8F" w:themeFill="accent6" w:themeFillTint="99"/>
            <w:noWrap/>
            <w:vAlign w:val="center"/>
            <w:hideMark/>
          </w:tcPr>
          <w:p w14:paraId="7C9E72A2" w14:textId="77777777" w:rsidR="004367EF" w:rsidRPr="00A16FC4" w:rsidRDefault="004367EF" w:rsidP="00A16FC4">
            <w:pPr>
              <w:pStyle w:val="cuadroCabe"/>
              <w:spacing w:line="240" w:lineRule="auto"/>
              <w:jc w:val="right"/>
              <w:rPr>
                <w:bCs/>
                <w:szCs w:val="18"/>
                <w:lang w:val="es-ES" w:eastAsia="es-ES"/>
              </w:rPr>
            </w:pPr>
            <w:r w:rsidRPr="00A16FC4">
              <w:rPr>
                <w:bCs/>
                <w:szCs w:val="18"/>
                <w:lang w:val="es-ES" w:eastAsia="es-ES"/>
              </w:rPr>
              <w:t>100</w:t>
            </w:r>
          </w:p>
        </w:tc>
        <w:tc>
          <w:tcPr>
            <w:tcW w:w="0" w:type="auto"/>
            <w:tcBorders>
              <w:top w:val="nil"/>
              <w:left w:val="nil"/>
              <w:bottom w:val="single" w:sz="4" w:space="0" w:color="auto"/>
              <w:right w:val="nil"/>
            </w:tcBorders>
            <w:shd w:val="clear" w:color="auto" w:fill="FABF8F" w:themeFill="accent6" w:themeFillTint="99"/>
            <w:noWrap/>
            <w:vAlign w:val="center"/>
            <w:hideMark/>
          </w:tcPr>
          <w:p w14:paraId="65A0B22D" w14:textId="77777777" w:rsidR="004367EF" w:rsidRPr="00A16FC4" w:rsidRDefault="004367EF" w:rsidP="00A16FC4">
            <w:pPr>
              <w:pStyle w:val="cuadroCabe"/>
              <w:spacing w:line="240" w:lineRule="auto"/>
              <w:jc w:val="right"/>
              <w:rPr>
                <w:bCs/>
                <w:szCs w:val="18"/>
                <w:lang w:val="es-ES" w:eastAsia="es-ES"/>
              </w:rPr>
            </w:pPr>
            <w:r w:rsidRPr="00A16FC4">
              <w:rPr>
                <w:bCs/>
                <w:szCs w:val="18"/>
                <w:lang w:val="es-ES" w:eastAsia="es-ES"/>
              </w:rPr>
              <w:t>1.107</w:t>
            </w:r>
          </w:p>
        </w:tc>
        <w:tc>
          <w:tcPr>
            <w:tcW w:w="0" w:type="auto"/>
            <w:tcBorders>
              <w:top w:val="nil"/>
              <w:left w:val="nil"/>
              <w:bottom w:val="single" w:sz="4" w:space="0" w:color="auto"/>
              <w:right w:val="nil"/>
            </w:tcBorders>
            <w:shd w:val="clear" w:color="auto" w:fill="FABF8F" w:themeFill="accent6" w:themeFillTint="99"/>
            <w:noWrap/>
            <w:vAlign w:val="center"/>
            <w:hideMark/>
          </w:tcPr>
          <w:p w14:paraId="60E055F7" w14:textId="77777777" w:rsidR="004367EF" w:rsidRPr="00A16FC4" w:rsidRDefault="004367EF" w:rsidP="00A16FC4">
            <w:pPr>
              <w:pStyle w:val="cuadroCabe"/>
              <w:spacing w:line="240" w:lineRule="auto"/>
              <w:jc w:val="right"/>
              <w:rPr>
                <w:bCs/>
                <w:szCs w:val="18"/>
                <w:lang w:val="es-ES" w:eastAsia="es-ES"/>
              </w:rPr>
            </w:pPr>
            <w:r w:rsidRPr="00A16FC4">
              <w:rPr>
                <w:bCs/>
                <w:szCs w:val="18"/>
                <w:lang w:val="es-ES" w:eastAsia="es-ES"/>
              </w:rPr>
              <w:t>100</w:t>
            </w:r>
          </w:p>
        </w:tc>
      </w:tr>
    </w:tbl>
    <w:p w14:paraId="013327B3" w14:textId="77777777" w:rsidR="004367EF" w:rsidRPr="004367EF" w:rsidRDefault="004367EF" w:rsidP="004367EF">
      <w:pPr>
        <w:spacing w:after="0"/>
        <w:ind w:firstLine="20"/>
        <w:rPr>
          <w:rFonts w:ascii="Arial Narrow" w:hAnsi="Arial Narrow" w:cs="Calibri"/>
          <w:color w:val="000000"/>
          <w:sz w:val="18"/>
          <w:szCs w:val="18"/>
          <w:lang w:val="es-ES" w:eastAsia="es-ES"/>
        </w:rPr>
      </w:pPr>
    </w:p>
    <w:tbl>
      <w:tblPr>
        <w:tblW w:w="8957" w:type="dxa"/>
        <w:jc w:val="center"/>
        <w:tblCellMar>
          <w:left w:w="70" w:type="dxa"/>
          <w:right w:w="70" w:type="dxa"/>
        </w:tblCellMar>
        <w:tblLook w:val="04A0" w:firstRow="1" w:lastRow="0" w:firstColumn="1" w:lastColumn="0" w:noHBand="0" w:noVBand="1"/>
      </w:tblPr>
      <w:tblGrid>
        <w:gridCol w:w="2977"/>
        <w:gridCol w:w="967"/>
        <w:gridCol w:w="1050"/>
        <w:gridCol w:w="968"/>
        <w:gridCol w:w="1002"/>
        <w:gridCol w:w="974"/>
        <w:gridCol w:w="1013"/>
        <w:gridCol w:w="6"/>
      </w:tblGrid>
      <w:tr w:rsidR="004367EF" w:rsidRPr="008F7ECB" w14:paraId="50253D42" w14:textId="77777777" w:rsidTr="00565DBB">
        <w:trPr>
          <w:gridAfter w:val="1"/>
          <w:wAfter w:w="6" w:type="dxa"/>
          <w:trHeight w:val="227"/>
          <w:jc w:val="center"/>
        </w:trPr>
        <w:tc>
          <w:tcPr>
            <w:tcW w:w="2977" w:type="dxa"/>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2286BC12" w14:textId="77777777" w:rsidR="004367EF" w:rsidRPr="008F7ECB" w:rsidRDefault="004367EF" w:rsidP="00A16FC4">
            <w:pPr>
              <w:pStyle w:val="cuadroCabe"/>
              <w:spacing w:line="240" w:lineRule="auto"/>
              <w:rPr>
                <w:sz w:val="16"/>
                <w:szCs w:val="16"/>
                <w:lang w:val="es-ES" w:eastAsia="es-ES"/>
              </w:rPr>
            </w:pPr>
            <w:r w:rsidRPr="008F7ECB">
              <w:rPr>
                <w:sz w:val="16"/>
                <w:szCs w:val="16"/>
                <w:lang w:val="es-ES" w:eastAsia="es-ES"/>
              </w:rPr>
              <w:t>GASTOS</w:t>
            </w:r>
          </w:p>
        </w:tc>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14:paraId="25E9C14E" w14:textId="77777777" w:rsidR="004367EF" w:rsidRPr="008F7ECB" w:rsidRDefault="004367EF" w:rsidP="00A16FC4">
            <w:pPr>
              <w:pStyle w:val="cuadroCabe"/>
              <w:spacing w:line="240" w:lineRule="auto"/>
              <w:jc w:val="center"/>
              <w:rPr>
                <w:sz w:val="16"/>
                <w:szCs w:val="16"/>
                <w:lang w:val="es-ES" w:eastAsia="es-ES"/>
              </w:rPr>
            </w:pPr>
            <w:r w:rsidRPr="008F7ECB">
              <w:rPr>
                <w:sz w:val="16"/>
                <w:szCs w:val="16"/>
                <w:lang w:val="es-ES" w:eastAsia="es-ES"/>
              </w:rPr>
              <w:t>Navarra</w:t>
            </w:r>
          </w:p>
        </w:tc>
        <w:tc>
          <w:tcPr>
            <w:tcW w:w="0" w:type="auto"/>
            <w:gridSpan w:val="2"/>
            <w:tcBorders>
              <w:top w:val="single" w:sz="4" w:space="0" w:color="auto"/>
              <w:left w:val="nil"/>
              <w:bottom w:val="single" w:sz="4" w:space="0" w:color="auto"/>
              <w:right w:val="nil"/>
            </w:tcBorders>
            <w:shd w:val="clear" w:color="auto" w:fill="FABF8F" w:themeFill="accent6" w:themeFillTint="99"/>
            <w:noWrap/>
            <w:vAlign w:val="center"/>
            <w:hideMark/>
          </w:tcPr>
          <w:p w14:paraId="13A9863F" w14:textId="77777777" w:rsidR="004367EF" w:rsidRPr="008F7ECB" w:rsidRDefault="004367EF" w:rsidP="00A16FC4">
            <w:pPr>
              <w:pStyle w:val="cuadroCabe"/>
              <w:spacing w:line="240" w:lineRule="auto"/>
              <w:jc w:val="center"/>
              <w:rPr>
                <w:sz w:val="16"/>
                <w:szCs w:val="16"/>
                <w:lang w:val="es-ES" w:eastAsia="es-ES"/>
              </w:rPr>
            </w:pPr>
            <w:r w:rsidRPr="008F7ECB">
              <w:rPr>
                <w:sz w:val="16"/>
                <w:szCs w:val="16"/>
                <w:lang w:val="es-ES" w:eastAsia="es-ES"/>
              </w:rPr>
              <w:t>País Vasco</w:t>
            </w:r>
          </w:p>
        </w:tc>
        <w:tc>
          <w:tcPr>
            <w:tcW w:w="1987" w:type="dxa"/>
            <w:gridSpan w:val="2"/>
            <w:tcBorders>
              <w:top w:val="single" w:sz="4" w:space="0" w:color="auto"/>
              <w:left w:val="nil"/>
              <w:bottom w:val="single" w:sz="4" w:space="0" w:color="auto"/>
              <w:right w:val="nil"/>
            </w:tcBorders>
            <w:shd w:val="clear" w:color="auto" w:fill="FABF8F" w:themeFill="accent6" w:themeFillTint="99"/>
            <w:vAlign w:val="center"/>
            <w:hideMark/>
          </w:tcPr>
          <w:p w14:paraId="698FE3DB" w14:textId="77777777" w:rsidR="004367EF" w:rsidRPr="008F7ECB" w:rsidRDefault="004367EF" w:rsidP="00A16FC4">
            <w:pPr>
              <w:pStyle w:val="cuadroCabe"/>
              <w:spacing w:line="240" w:lineRule="auto"/>
              <w:jc w:val="center"/>
              <w:rPr>
                <w:sz w:val="16"/>
                <w:szCs w:val="16"/>
                <w:lang w:val="es-ES" w:eastAsia="es-ES"/>
              </w:rPr>
            </w:pPr>
            <w:r w:rsidRPr="008F7ECB">
              <w:rPr>
                <w:sz w:val="16"/>
                <w:szCs w:val="16"/>
                <w:lang w:val="es-ES" w:eastAsia="es-ES"/>
              </w:rPr>
              <w:t>Resto de Estado</w:t>
            </w:r>
          </w:p>
        </w:tc>
      </w:tr>
      <w:tr w:rsidR="004367EF" w:rsidRPr="008F7ECB" w14:paraId="32744E81" w14:textId="77777777" w:rsidTr="00565DBB">
        <w:trPr>
          <w:trHeight w:val="227"/>
          <w:jc w:val="center"/>
        </w:trPr>
        <w:tc>
          <w:tcPr>
            <w:tcW w:w="2977" w:type="dxa"/>
            <w:vMerge/>
            <w:tcBorders>
              <w:top w:val="single" w:sz="4" w:space="0" w:color="auto"/>
              <w:left w:val="nil"/>
              <w:bottom w:val="single" w:sz="4" w:space="0" w:color="000000"/>
              <w:right w:val="nil"/>
            </w:tcBorders>
            <w:shd w:val="clear" w:color="auto" w:fill="FBD4B4" w:themeFill="accent6" w:themeFillTint="66"/>
            <w:vAlign w:val="center"/>
            <w:hideMark/>
          </w:tcPr>
          <w:p w14:paraId="3FABF653" w14:textId="77777777" w:rsidR="004367EF" w:rsidRPr="008F7ECB" w:rsidRDefault="004367EF" w:rsidP="00A16FC4">
            <w:pPr>
              <w:pStyle w:val="cuadroCabe"/>
              <w:spacing w:line="240" w:lineRule="auto"/>
              <w:rPr>
                <w:sz w:val="16"/>
                <w:szCs w:val="16"/>
                <w:lang w:val="es-ES" w:eastAsia="es-ES"/>
              </w:rPr>
            </w:pPr>
          </w:p>
        </w:tc>
        <w:tc>
          <w:tcPr>
            <w:tcW w:w="0" w:type="auto"/>
            <w:tcBorders>
              <w:top w:val="nil"/>
              <w:left w:val="nil"/>
              <w:bottom w:val="single" w:sz="4" w:space="0" w:color="auto"/>
              <w:right w:val="nil"/>
            </w:tcBorders>
            <w:shd w:val="clear" w:color="auto" w:fill="FABF8F" w:themeFill="accent6" w:themeFillTint="99"/>
            <w:vAlign w:val="center"/>
            <w:hideMark/>
          </w:tcPr>
          <w:p w14:paraId="4315B6D4" w14:textId="77777777" w:rsidR="004367EF" w:rsidRPr="008F7ECB" w:rsidRDefault="004367EF" w:rsidP="00A16FC4">
            <w:pPr>
              <w:pStyle w:val="cuadroCabe"/>
              <w:spacing w:line="240" w:lineRule="auto"/>
              <w:jc w:val="right"/>
              <w:rPr>
                <w:sz w:val="16"/>
                <w:szCs w:val="16"/>
                <w:lang w:val="es-ES" w:eastAsia="es-ES"/>
              </w:rPr>
            </w:pPr>
            <w:r w:rsidRPr="008F7ECB">
              <w:rPr>
                <w:sz w:val="16"/>
                <w:szCs w:val="16"/>
                <w:lang w:val="es-ES" w:eastAsia="es-ES"/>
              </w:rPr>
              <w:t>Per cápita</w:t>
            </w:r>
          </w:p>
        </w:tc>
        <w:tc>
          <w:tcPr>
            <w:tcW w:w="0" w:type="auto"/>
            <w:tcBorders>
              <w:top w:val="nil"/>
              <w:left w:val="nil"/>
              <w:bottom w:val="single" w:sz="4" w:space="0" w:color="auto"/>
              <w:right w:val="nil"/>
            </w:tcBorders>
            <w:shd w:val="clear" w:color="auto" w:fill="FABF8F" w:themeFill="accent6" w:themeFillTint="99"/>
            <w:noWrap/>
            <w:vAlign w:val="center"/>
            <w:hideMark/>
          </w:tcPr>
          <w:p w14:paraId="3313B357" w14:textId="77777777" w:rsidR="004367EF" w:rsidRPr="008F7ECB" w:rsidRDefault="004367EF" w:rsidP="00A16FC4">
            <w:pPr>
              <w:pStyle w:val="cuadroCabe"/>
              <w:spacing w:line="240" w:lineRule="auto"/>
              <w:jc w:val="right"/>
              <w:rPr>
                <w:sz w:val="16"/>
                <w:szCs w:val="16"/>
                <w:lang w:val="es-ES" w:eastAsia="es-ES"/>
              </w:rPr>
            </w:pPr>
            <w:r w:rsidRPr="008F7ECB">
              <w:rPr>
                <w:sz w:val="16"/>
                <w:szCs w:val="16"/>
                <w:lang w:val="es-ES" w:eastAsia="es-ES"/>
              </w:rPr>
              <w:t>% del total</w:t>
            </w:r>
          </w:p>
        </w:tc>
        <w:tc>
          <w:tcPr>
            <w:tcW w:w="0" w:type="auto"/>
            <w:tcBorders>
              <w:top w:val="nil"/>
              <w:left w:val="nil"/>
              <w:bottom w:val="single" w:sz="4" w:space="0" w:color="auto"/>
              <w:right w:val="nil"/>
            </w:tcBorders>
            <w:shd w:val="clear" w:color="auto" w:fill="FABF8F" w:themeFill="accent6" w:themeFillTint="99"/>
            <w:noWrap/>
            <w:vAlign w:val="center"/>
            <w:hideMark/>
          </w:tcPr>
          <w:p w14:paraId="15D3DFA8" w14:textId="77777777" w:rsidR="004367EF" w:rsidRPr="008F7ECB" w:rsidRDefault="004367EF" w:rsidP="00A16FC4">
            <w:pPr>
              <w:pStyle w:val="cuadroCabe"/>
              <w:spacing w:line="240" w:lineRule="auto"/>
              <w:jc w:val="right"/>
              <w:rPr>
                <w:sz w:val="16"/>
                <w:szCs w:val="16"/>
                <w:lang w:val="es-ES" w:eastAsia="es-ES"/>
              </w:rPr>
            </w:pPr>
            <w:r w:rsidRPr="008F7ECB">
              <w:rPr>
                <w:sz w:val="16"/>
                <w:szCs w:val="16"/>
                <w:lang w:val="es-ES" w:eastAsia="es-ES"/>
              </w:rPr>
              <w:t>Per cápita</w:t>
            </w:r>
          </w:p>
        </w:tc>
        <w:tc>
          <w:tcPr>
            <w:tcW w:w="0" w:type="auto"/>
            <w:tcBorders>
              <w:top w:val="nil"/>
              <w:left w:val="nil"/>
              <w:bottom w:val="single" w:sz="4" w:space="0" w:color="auto"/>
              <w:right w:val="nil"/>
            </w:tcBorders>
            <w:shd w:val="clear" w:color="auto" w:fill="FABF8F" w:themeFill="accent6" w:themeFillTint="99"/>
            <w:noWrap/>
            <w:vAlign w:val="center"/>
            <w:hideMark/>
          </w:tcPr>
          <w:p w14:paraId="7C37FBB5" w14:textId="77777777" w:rsidR="004367EF" w:rsidRPr="008F7ECB" w:rsidRDefault="004367EF" w:rsidP="00A16FC4">
            <w:pPr>
              <w:pStyle w:val="cuadroCabe"/>
              <w:spacing w:line="240" w:lineRule="auto"/>
              <w:jc w:val="right"/>
              <w:rPr>
                <w:sz w:val="16"/>
                <w:szCs w:val="16"/>
                <w:lang w:val="es-ES" w:eastAsia="es-ES"/>
              </w:rPr>
            </w:pPr>
            <w:r w:rsidRPr="008F7ECB">
              <w:rPr>
                <w:sz w:val="16"/>
                <w:szCs w:val="16"/>
                <w:lang w:val="es-ES" w:eastAsia="es-ES"/>
              </w:rPr>
              <w:t>% del total</w:t>
            </w:r>
          </w:p>
        </w:tc>
        <w:tc>
          <w:tcPr>
            <w:tcW w:w="974" w:type="dxa"/>
            <w:tcBorders>
              <w:top w:val="nil"/>
              <w:left w:val="nil"/>
              <w:bottom w:val="single" w:sz="4" w:space="0" w:color="auto"/>
              <w:right w:val="nil"/>
            </w:tcBorders>
            <w:shd w:val="clear" w:color="auto" w:fill="FABF8F" w:themeFill="accent6" w:themeFillTint="99"/>
            <w:vAlign w:val="center"/>
            <w:hideMark/>
          </w:tcPr>
          <w:p w14:paraId="0AC03A21" w14:textId="77777777" w:rsidR="004367EF" w:rsidRPr="008F7ECB" w:rsidRDefault="004367EF" w:rsidP="00A16FC4">
            <w:pPr>
              <w:pStyle w:val="cuadroCabe"/>
              <w:spacing w:line="240" w:lineRule="auto"/>
              <w:jc w:val="right"/>
              <w:rPr>
                <w:sz w:val="16"/>
                <w:szCs w:val="16"/>
                <w:lang w:val="es-ES" w:eastAsia="es-ES"/>
              </w:rPr>
            </w:pPr>
            <w:r w:rsidRPr="008F7ECB">
              <w:rPr>
                <w:sz w:val="16"/>
                <w:szCs w:val="16"/>
                <w:lang w:val="es-ES" w:eastAsia="es-ES"/>
              </w:rPr>
              <w:t>Per cápita</w:t>
            </w:r>
          </w:p>
        </w:tc>
        <w:tc>
          <w:tcPr>
            <w:tcW w:w="1019" w:type="dxa"/>
            <w:gridSpan w:val="2"/>
            <w:tcBorders>
              <w:top w:val="nil"/>
              <w:left w:val="nil"/>
              <w:bottom w:val="single" w:sz="4" w:space="0" w:color="auto"/>
              <w:right w:val="nil"/>
            </w:tcBorders>
            <w:shd w:val="clear" w:color="auto" w:fill="FABF8F" w:themeFill="accent6" w:themeFillTint="99"/>
            <w:vAlign w:val="center"/>
            <w:hideMark/>
          </w:tcPr>
          <w:p w14:paraId="0B82C2B5" w14:textId="77777777" w:rsidR="004367EF" w:rsidRPr="008F7ECB" w:rsidRDefault="004367EF" w:rsidP="00A16FC4">
            <w:pPr>
              <w:pStyle w:val="cuadroCabe"/>
              <w:spacing w:line="240" w:lineRule="auto"/>
              <w:jc w:val="right"/>
              <w:rPr>
                <w:sz w:val="16"/>
                <w:szCs w:val="16"/>
                <w:lang w:val="es-ES" w:eastAsia="es-ES"/>
              </w:rPr>
            </w:pPr>
            <w:r w:rsidRPr="008F7ECB">
              <w:rPr>
                <w:sz w:val="16"/>
                <w:szCs w:val="16"/>
                <w:lang w:val="es-ES" w:eastAsia="es-ES"/>
              </w:rPr>
              <w:t>% del total</w:t>
            </w:r>
          </w:p>
        </w:tc>
      </w:tr>
      <w:tr w:rsidR="004367EF" w:rsidRPr="00C91975" w14:paraId="67076117"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32F47FE8" w14:textId="77777777" w:rsidR="004367EF" w:rsidRPr="00C91975" w:rsidRDefault="004367EF" w:rsidP="00A16FC4">
            <w:pPr>
              <w:spacing w:after="0"/>
              <w:ind w:firstLine="0"/>
              <w:rPr>
                <w:rFonts w:ascii="Arial Narrow" w:hAnsi="Arial Narrow"/>
                <w:sz w:val="18"/>
                <w:szCs w:val="18"/>
                <w:lang w:val="es-ES" w:eastAsia="es-ES"/>
              </w:rPr>
            </w:pPr>
            <w:r w:rsidRPr="00C91975">
              <w:rPr>
                <w:rFonts w:ascii="Arial Narrow" w:hAnsi="Arial Narrow"/>
                <w:sz w:val="18"/>
                <w:szCs w:val="18"/>
                <w:lang w:val="es-ES" w:eastAsia="es-ES"/>
              </w:rPr>
              <w:t>Gastos de personal</w:t>
            </w:r>
          </w:p>
        </w:tc>
        <w:tc>
          <w:tcPr>
            <w:tcW w:w="0" w:type="auto"/>
            <w:tcBorders>
              <w:top w:val="nil"/>
              <w:left w:val="nil"/>
              <w:bottom w:val="single" w:sz="4" w:space="0" w:color="auto"/>
              <w:right w:val="nil"/>
            </w:tcBorders>
            <w:shd w:val="clear" w:color="auto" w:fill="auto"/>
            <w:noWrap/>
            <w:vAlign w:val="center"/>
            <w:hideMark/>
          </w:tcPr>
          <w:p w14:paraId="68DBC756"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396</w:t>
            </w:r>
          </w:p>
        </w:tc>
        <w:tc>
          <w:tcPr>
            <w:tcW w:w="0" w:type="auto"/>
            <w:tcBorders>
              <w:top w:val="nil"/>
              <w:left w:val="nil"/>
              <w:bottom w:val="single" w:sz="4" w:space="0" w:color="auto"/>
              <w:right w:val="nil"/>
            </w:tcBorders>
            <w:shd w:val="clear" w:color="auto" w:fill="auto"/>
            <w:noWrap/>
            <w:vAlign w:val="center"/>
            <w:hideMark/>
          </w:tcPr>
          <w:p w14:paraId="527B2933" w14:textId="77777777" w:rsidR="004367EF" w:rsidRPr="00C91975" w:rsidRDefault="004367EF" w:rsidP="00A16FC4">
            <w:pPr>
              <w:spacing w:after="0"/>
              <w:ind w:firstLine="79"/>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 xml:space="preserve">            37,7 </w:t>
            </w:r>
          </w:p>
        </w:tc>
        <w:tc>
          <w:tcPr>
            <w:tcW w:w="0" w:type="auto"/>
            <w:tcBorders>
              <w:top w:val="nil"/>
              <w:left w:val="nil"/>
              <w:bottom w:val="single" w:sz="4" w:space="0" w:color="auto"/>
              <w:right w:val="nil"/>
            </w:tcBorders>
            <w:shd w:val="clear" w:color="auto" w:fill="auto"/>
            <w:noWrap/>
            <w:vAlign w:val="center"/>
            <w:hideMark/>
          </w:tcPr>
          <w:p w14:paraId="59E86623"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453</w:t>
            </w:r>
          </w:p>
        </w:tc>
        <w:tc>
          <w:tcPr>
            <w:tcW w:w="0" w:type="auto"/>
            <w:tcBorders>
              <w:top w:val="nil"/>
              <w:left w:val="nil"/>
              <w:bottom w:val="single" w:sz="4" w:space="0" w:color="auto"/>
              <w:right w:val="nil"/>
            </w:tcBorders>
            <w:shd w:val="clear" w:color="auto" w:fill="auto"/>
            <w:noWrap/>
            <w:vAlign w:val="center"/>
            <w:hideMark/>
          </w:tcPr>
          <w:p w14:paraId="43A33A09" w14:textId="77777777" w:rsidR="004367EF" w:rsidRPr="00C91975" w:rsidRDefault="004367EF" w:rsidP="00A16FC4">
            <w:pPr>
              <w:spacing w:after="0"/>
              <w:ind w:firstLine="13"/>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 xml:space="preserve">         34,5 </w:t>
            </w:r>
          </w:p>
        </w:tc>
        <w:tc>
          <w:tcPr>
            <w:tcW w:w="974" w:type="dxa"/>
            <w:tcBorders>
              <w:top w:val="nil"/>
              <w:left w:val="nil"/>
              <w:bottom w:val="single" w:sz="4" w:space="0" w:color="auto"/>
              <w:right w:val="nil"/>
            </w:tcBorders>
            <w:shd w:val="clear" w:color="auto" w:fill="auto"/>
            <w:noWrap/>
            <w:vAlign w:val="center"/>
            <w:hideMark/>
          </w:tcPr>
          <w:p w14:paraId="67F645A2" w14:textId="77777777" w:rsidR="004367EF" w:rsidRPr="00C91975" w:rsidRDefault="004367EF" w:rsidP="00A16FC4">
            <w:pPr>
              <w:spacing w:after="0"/>
              <w:ind w:hanging="5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406</w:t>
            </w:r>
          </w:p>
        </w:tc>
        <w:tc>
          <w:tcPr>
            <w:tcW w:w="1019" w:type="dxa"/>
            <w:gridSpan w:val="2"/>
            <w:tcBorders>
              <w:top w:val="nil"/>
              <w:left w:val="nil"/>
              <w:bottom w:val="single" w:sz="4" w:space="0" w:color="auto"/>
              <w:right w:val="nil"/>
            </w:tcBorders>
            <w:shd w:val="clear" w:color="auto" w:fill="auto"/>
            <w:noWrap/>
            <w:vAlign w:val="center"/>
            <w:hideMark/>
          </w:tcPr>
          <w:p w14:paraId="6DDA33F0" w14:textId="77777777" w:rsidR="004367EF" w:rsidRPr="00C91975" w:rsidRDefault="004367EF" w:rsidP="00A16FC4">
            <w:pPr>
              <w:spacing w:after="0"/>
              <w:ind w:firstLine="76"/>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 xml:space="preserve">          40,0 </w:t>
            </w:r>
          </w:p>
        </w:tc>
      </w:tr>
      <w:tr w:rsidR="004367EF" w:rsidRPr="00C91975" w14:paraId="656E8D88"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2124A692" w14:textId="77777777" w:rsidR="004367EF" w:rsidRPr="00C91975" w:rsidRDefault="004367EF" w:rsidP="00A16FC4">
            <w:pPr>
              <w:spacing w:after="0"/>
              <w:ind w:firstLine="0"/>
              <w:rPr>
                <w:rFonts w:ascii="Arial Narrow" w:hAnsi="Arial Narrow"/>
                <w:sz w:val="18"/>
                <w:szCs w:val="18"/>
                <w:lang w:val="es-ES" w:eastAsia="es-ES"/>
              </w:rPr>
            </w:pPr>
            <w:r w:rsidRPr="00C91975">
              <w:rPr>
                <w:rFonts w:ascii="Arial Narrow" w:hAnsi="Arial Narrow"/>
                <w:sz w:val="18"/>
                <w:szCs w:val="18"/>
                <w:lang w:val="es-ES" w:eastAsia="es-ES"/>
              </w:rPr>
              <w:t>Gastos en bienes corrientes y servicios</w:t>
            </w:r>
          </w:p>
        </w:tc>
        <w:tc>
          <w:tcPr>
            <w:tcW w:w="0" w:type="auto"/>
            <w:tcBorders>
              <w:top w:val="nil"/>
              <w:left w:val="nil"/>
              <w:bottom w:val="single" w:sz="4" w:space="0" w:color="auto"/>
              <w:right w:val="nil"/>
            </w:tcBorders>
            <w:shd w:val="clear" w:color="auto" w:fill="auto"/>
            <w:noWrap/>
            <w:vAlign w:val="center"/>
            <w:hideMark/>
          </w:tcPr>
          <w:p w14:paraId="1616E225"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303</w:t>
            </w:r>
          </w:p>
        </w:tc>
        <w:tc>
          <w:tcPr>
            <w:tcW w:w="0" w:type="auto"/>
            <w:tcBorders>
              <w:top w:val="nil"/>
              <w:left w:val="nil"/>
              <w:bottom w:val="single" w:sz="4" w:space="0" w:color="auto"/>
              <w:right w:val="nil"/>
            </w:tcBorders>
            <w:shd w:val="clear" w:color="auto" w:fill="auto"/>
            <w:noWrap/>
            <w:vAlign w:val="center"/>
            <w:hideMark/>
          </w:tcPr>
          <w:p w14:paraId="06EE5447" w14:textId="77777777" w:rsidR="004367EF" w:rsidRPr="00C91975" w:rsidRDefault="004367EF" w:rsidP="00A16FC4">
            <w:pPr>
              <w:spacing w:after="0"/>
              <w:ind w:firstLine="79"/>
              <w:jc w:val="right"/>
              <w:rPr>
                <w:rFonts w:ascii="Arial Narrow" w:hAnsi="Arial Narrow"/>
                <w:sz w:val="18"/>
                <w:szCs w:val="18"/>
                <w:lang w:val="es-ES" w:eastAsia="es-ES"/>
              </w:rPr>
            </w:pPr>
            <w:r w:rsidRPr="00C91975">
              <w:rPr>
                <w:rFonts w:ascii="Arial Narrow" w:hAnsi="Arial Narrow"/>
                <w:sz w:val="18"/>
                <w:szCs w:val="18"/>
                <w:lang w:val="es-ES" w:eastAsia="es-ES"/>
              </w:rPr>
              <w:t xml:space="preserve">            28,8 </w:t>
            </w:r>
          </w:p>
        </w:tc>
        <w:tc>
          <w:tcPr>
            <w:tcW w:w="0" w:type="auto"/>
            <w:tcBorders>
              <w:top w:val="nil"/>
              <w:left w:val="nil"/>
              <w:bottom w:val="single" w:sz="4" w:space="0" w:color="auto"/>
              <w:right w:val="nil"/>
            </w:tcBorders>
            <w:shd w:val="clear" w:color="auto" w:fill="auto"/>
            <w:noWrap/>
            <w:vAlign w:val="center"/>
            <w:hideMark/>
          </w:tcPr>
          <w:p w14:paraId="0023C911"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485</w:t>
            </w:r>
          </w:p>
        </w:tc>
        <w:tc>
          <w:tcPr>
            <w:tcW w:w="0" w:type="auto"/>
            <w:tcBorders>
              <w:top w:val="nil"/>
              <w:left w:val="nil"/>
              <w:bottom w:val="single" w:sz="4" w:space="0" w:color="auto"/>
              <w:right w:val="nil"/>
            </w:tcBorders>
            <w:shd w:val="clear" w:color="auto" w:fill="auto"/>
            <w:noWrap/>
            <w:vAlign w:val="center"/>
            <w:hideMark/>
          </w:tcPr>
          <w:p w14:paraId="77E53729" w14:textId="77777777" w:rsidR="004367EF" w:rsidRPr="00C91975" w:rsidRDefault="004367EF" w:rsidP="00A16FC4">
            <w:pPr>
              <w:spacing w:after="0"/>
              <w:ind w:firstLine="13"/>
              <w:jc w:val="right"/>
              <w:rPr>
                <w:rFonts w:ascii="Arial Narrow" w:hAnsi="Arial Narrow"/>
                <w:sz w:val="18"/>
                <w:szCs w:val="18"/>
                <w:lang w:val="es-ES" w:eastAsia="es-ES"/>
              </w:rPr>
            </w:pPr>
            <w:r w:rsidRPr="00C91975">
              <w:rPr>
                <w:rFonts w:ascii="Arial Narrow" w:hAnsi="Arial Narrow"/>
                <w:sz w:val="18"/>
                <w:szCs w:val="18"/>
                <w:lang w:val="es-ES" w:eastAsia="es-ES"/>
              </w:rPr>
              <w:t xml:space="preserve">         37,0 </w:t>
            </w:r>
          </w:p>
        </w:tc>
        <w:tc>
          <w:tcPr>
            <w:tcW w:w="974" w:type="dxa"/>
            <w:tcBorders>
              <w:top w:val="nil"/>
              <w:left w:val="nil"/>
              <w:bottom w:val="single" w:sz="4" w:space="0" w:color="auto"/>
              <w:right w:val="nil"/>
            </w:tcBorders>
            <w:shd w:val="clear" w:color="auto" w:fill="auto"/>
            <w:noWrap/>
            <w:vAlign w:val="center"/>
            <w:hideMark/>
          </w:tcPr>
          <w:p w14:paraId="2F82239F" w14:textId="77777777" w:rsidR="004367EF" w:rsidRPr="00C91975" w:rsidRDefault="004367EF" w:rsidP="00A16FC4">
            <w:pPr>
              <w:spacing w:after="0"/>
              <w:ind w:hanging="5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352</w:t>
            </w:r>
          </w:p>
        </w:tc>
        <w:tc>
          <w:tcPr>
            <w:tcW w:w="1019" w:type="dxa"/>
            <w:gridSpan w:val="2"/>
            <w:tcBorders>
              <w:top w:val="nil"/>
              <w:left w:val="nil"/>
              <w:bottom w:val="single" w:sz="4" w:space="0" w:color="auto"/>
              <w:right w:val="nil"/>
            </w:tcBorders>
            <w:shd w:val="clear" w:color="auto" w:fill="auto"/>
            <w:noWrap/>
            <w:vAlign w:val="center"/>
            <w:hideMark/>
          </w:tcPr>
          <w:p w14:paraId="2E9D5910" w14:textId="77777777" w:rsidR="004367EF" w:rsidRPr="00C91975" w:rsidRDefault="004367EF" w:rsidP="00A16FC4">
            <w:pPr>
              <w:spacing w:after="0"/>
              <w:ind w:firstLine="76"/>
              <w:jc w:val="right"/>
              <w:rPr>
                <w:rFonts w:ascii="Arial Narrow" w:hAnsi="Arial Narrow"/>
                <w:sz w:val="18"/>
                <w:szCs w:val="18"/>
                <w:lang w:val="es-ES" w:eastAsia="es-ES"/>
              </w:rPr>
            </w:pPr>
            <w:r w:rsidRPr="00C91975">
              <w:rPr>
                <w:rFonts w:ascii="Arial Narrow" w:hAnsi="Arial Narrow"/>
                <w:sz w:val="18"/>
                <w:szCs w:val="18"/>
                <w:lang w:val="es-ES" w:eastAsia="es-ES"/>
              </w:rPr>
              <w:t xml:space="preserve">          34,7 </w:t>
            </w:r>
          </w:p>
        </w:tc>
      </w:tr>
      <w:tr w:rsidR="004367EF" w:rsidRPr="00C91975" w14:paraId="6298E2A8"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5D3888A0" w14:textId="77777777" w:rsidR="004367EF" w:rsidRPr="00C91975" w:rsidRDefault="004367EF" w:rsidP="00A16FC4">
            <w:pPr>
              <w:spacing w:after="0"/>
              <w:ind w:firstLine="0"/>
              <w:rPr>
                <w:rFonts w:ascii="Arial Narrow" w:hAnsi="Arial Narrow"/>
                <w:sz w:val="18"/>
                <w:szCs w:val="18"/>
                <w:lang w:val="es-ES" w:eastAsia="es-ES"/>
              </w:rPr>
            </w:pPr>
            <w:r w:rsidRPr="00C91975">
              <w:rPr>
                <w:rFonts w:ascii="Arial Narrow" w:hAnsi="Arial Narrow"/>
                <w:sz w:val="18"/>
                <w:szCs w:val="18"/>
                <w:lang w:val="es-ES" w:eastAsia="es-ES"/>
              </w:rPr>
              <w:t>Gastos financieros</w:t>
            </w:r>
          </w:p>
        </w:tc>
        <w:tc>
          <w:tcPr>
            <w:tcW w:w="0" w:type="auto"/>
            <w:tcBorders>
              <w:top w:val="nil"/>
              <w:left w:val="nil"/>
              <w:bottom w:val="single" w:sz="4" w:space="0" w:color="auto"/>
              <w:right w:val="nil"/>
            </w:tcBorders>
            <w:shd w:val="clear" w:color="auto" w:fill="auto"/>
            <w:noWrap/>
            <w:vAlign w:val="center"/>
            <w:hideMark/>
          </w:tcPr>
          <w:p w14:paraId="5CDE4361"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3</w:t>
            </w:r>
          </w:p>
        </w:tc>
        <w:tc>
          <w:tcPr>
            <w:tcW w:w="0" w:type="auto"/>
            <w:tcBorders>
              <w:top w:val="nil"/>
              <w:left w:val="nil"/>
              <w:bottom w:val="single" w:sz="4" w:space="0" w:color="auto"/>
              <w:right w:val="nil"/>
            </w:tcBorders>
            <w:shd w:val="clear" w:color="auto" w:fill="auto"/>
            <w:noWrap/>
            <w:vAlign w:val="center"/>
            <w:hideMark/>
          </w:tcPr>
          <w:p w14:paraId="55CBD799" w14:textId="77777777" w:rsidR="004367EF" w:rsidRPr="00C91975" w:rsidRDefault="004367EF" w:rsidP="00A16FC4">
            <w:pPr>
              <w:spacing w:after="0"/>
              <w:ind w:firstLine="79"/>
              <w:jc w:val="right"/>
              <w:rPr>
                <w:rFonts w:ascii="Arial Narrow" w:hAnsi="Arial Narrow"/>
                <w:sz w:val="18"/>
                <w:szCs w:val="18"/>
                <w:lang w:val="es-ES" w:eastAsia="es-ES"/>
              </w:rPr>
            </w:pPr>
            <w:r w:rsidRPr="00C91975">
              <w:rPr>
                <w:rFonts w:ascii="Arial Narrow" w:hAnsi="Arial Narrow"/>
                <w:sz w:val="18"/>
                <w:szCs w:val="18"/>
                <w:lang w:val="es-ES" w:eastAsia="es-ES"/>
              </w:rPr>
              <w:t xml:space="preserve">              0,3 </w:t>
            </w:r>
          </w:p>
        </w:tc>
        <w:tc>
          <w:tcPr>
            <w:tcW w:w="0" w:type="auto"/>
            <w:tcBorders>
              <w:top w:val="nil"/>
              <w:left w:val="nil"/>
              <w:bottom w:val="single" w:sz="4" w:space="0" w:color="auto"/>
              <w:right w:val="nil"/>
            </w:tcBorders>
            <w:shd w:val="clear" w:color="auto" w:fill="auto"/>
            <w:noWrap/>
            <w:vAlign w:val="center"/>
            <w:hideMark/>
          </w:tcPr>
          <w:p w14:paraId="081AEFFD"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1</w:t>
            </w:r>
          </w:p>
        </w:tc>
        <w:tc>
          <w:tcPr>
            <w:tcW w:w="0" w:type="auto"/>
            <w:tcBorders>
              <w:top w:val="nil"/>
              <w:left w:val="nil"/>
              <w:bottom w:val="single" w:sz="4" w:space="0" w:color="auto"/>
              <w:right w:val="nil"/>
            </w:tcBorders>
            <w:shd w:val="clear" w:color="auto" w:fill="auto"/>
            <w:noWrap/>
            <w:vAlign w:val="center"/>
            <w:hideMark/>
          </w:tcPr>
          <w:p w14:paraId="0C756380" w14:textId="77777777" w:rsidR="004367EF" w:rsidRPr="00C91975" w:rsidRDefault="004367EF" w:rsidP="00A16FC4">
            <w:pPr>
              <w:spacing w:after="0"/>
              <w:ind w:firstLine="13"/>
              <w:jc w:val="right"/>
              <w:rPr>
                <w:rFonts w:ascii="Arial Narrow" w:hAnsi="Arial Narrow"/>
                <w:sz w:val="18"/>
                <w:szCs w:val="18"/>
                <w:lang w:val="es-ES" w:eastAsia="es-ES"/>
              </w:rPr>
            </w:pPr>
            <w:r w:rsidRPr="00C91975">
              <w:rPr>
                <w:rFonts w:ascii="Arial Narrow" w:hAnsi="Arial Narrow"/>
                <w:sz w:val="18"/>
                <w:szCs w:val="18"/>
                <w:lang w:val="es-ES" w:eastAsia="es-ES"/>
              </w:rPr>
              <w:t xml:space="preserve">           0,1 </w:t>
            </w:r>
          </w:p>
        </w:tc>
        <w:tc>
          <w:tcPr>
            <w:tcW w:w="974" w:type="dxa"/>
            <w:tcBorders>
              <w:top w:val="nil"/>
              <w:left w:val="nil"/>
              <w:bottom w:val="single" w:sz="4" w:space="0" w:color="auto"/>
              <w:right w:val="nil"/>
            </w:tcBorders>
            <w:shd w:val="clear" w:color="auto" w:fill="auto"/>
            <w:noWrap/>
            <w:vAlign w:val="center"/>
            <w:hideMark/>
          </w:tcPr>
          <w:p w14:paraId="0E76EDE2" w14:textId="77777777" w:rsidR="004367EF" w:rsidRPr="00C91975" w:rsidRDefault="004367EF" w:rsidP="00A16FC4">
            <w:pPr>
              <w:spacing w:after="0"/>
              <w:ind w:hanging="5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6</w:t>
            </w:r>
          </w:p>
        </w:tc>
        <w:tc>
          <w:tcPr>
            <w:tcW w:w="1019" w:type="dxa"/>
            <w:gridSpan w:val="2"/>
            <w:tcBorders>
              <w:top w:val="nil"/>
              <w:left w:val="nil"/>
              <w:bottom w:val="single" w:sz="4" w:space="0" w:color="auto"/>
              <w:right w:val="nil"/>
            </w:tcBorders>
            <w:shd w:val="clear" w:color="auto" w:fill="auto"/>
            <w:noWrap/>
            <w:vAlign w:val="center"/>
            <w:hideMark/>
          </w:tcPr>
          <w:p w14:paraId="0390BC6A" w14:textId="77777777" w:rsidR="004367EF" w:rsidRPr="00C91975" w:rsidRDefault="004367EF" w:rsidP="00A16FC4">
            <w:pPr>
              <w:spacing w:after="0"/>
              <w:ind w:firstLine="76"/>
              <w:jc w:val="right"/>
              <w:rPr>
                <w:rFonts w:ascii="Arial Narrow" w:hAnsi="Arial Narrow"/>
                <w:sz w:val="18"/>
                <w:szCs w:val="18"/>
                <w:lang w:val="es-ES" w:eastAsia="es-ES"/>
              </w:rPr>
            </w:pPr>
            <w:r w:rsidRPr="00C91975">
              <w:rPr>
                <w:rFonts w:ascii="Arial Narrow" w:hAnsi="Arial Narrow"/>
                <w:sz w:val="18"/>
                <w:szCs w:val="18"/>
                <w:lang w:val="es-ES" w:eastAsia="es-ES"/>
              </w:rPr>
              <w:t xml:space="preserve">            0,6 </w:t>
            </w:r>
          </w:p>
        </w:tc>
      </w:tr>
      <w:tr w:rsidR="004367EF" w:rsidRPr="00C91975" w14:paraId="5EBD9816"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1E3C310F" w14:textId="77777777" w:rsidR="004367EF" w:rsidRPr="00C91975" w:rsidRDefault="004367EF" w:rsidP="00A16FC4">
            <w:pPr>
              <w:spacing w:after="0"/>
              <w:ind w:firstLine="0"/>
              <w:rPr>
                <w:rFonts w:ascii="Arial Narrow" w:hAnsi="Arial Narrow"/>
                <w:sz w:val="18"/>
                <w:szCs w:val="18"/>
                <w:lang w:val="es-ES" w:eastAsia="es-ES"/>
              </w:rPr>
            </w:pPr>
            <w:r w:rsidRPr="00C91975">
              <w:rPr>
                <w:rFonts w:ascii="Arial Narrow" w:hAnsi="Arial Narrow"/>
                <w:sz w:val="18"/>
                <w:szCs w:val="18"/>
                <w:lang w:val="es-ES" w:eastAsia="es-ES"/>
              </w:rPr>
              <w:t>Transferencias corrientes</w:t>
            </w:r>
          </w:p>
        </w:tc>
        <w:tc>
          <w:tcPr>
            <w:tcW w:w="0" w:type="auto"/>
            <w:tcBorders>
              <w:top w:val="nil"/>
              <w:left w:val="nil"/>
              <w:bottom w:val="single" w:sz="4" w:space="0" w:color="auto"/>
              <w:right w:val="nil"/>
            </w:tcBorders>
            <w:shd w:val="clear" w:color="auto" w:fill="auto"/>
            <w:noWrap/>
            <w:vAlign w:val="center"/>
            <w:hideMark/>
          </w:tcPr>
          <w:p w14:paraId="0632C0C1"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98</w:t>
            </w:r>
          </w:p>
        </w:tc>
        <w:tc>
          <w:tcPr>
            <w:tcW w:w="0" w:type="auto"/>
            <w:tcBorders>
              <w:top w:val="nil"/>
              <w:left w:val="nil"/>
              <w:bottom w:val="single" w:sz="4" w:space="0" w:color="auto"/>
              <w:right w:val="nil"/>
            </w:tcBorders>
            <w:shd w:val="clear" w:color="auto" w:fill="auto"/>
            <w:noWrap/>
            <w:vAlign w:val="center"/>
            <w:hideMark/>
          </w:tcPr>
          <w:p w14:paraId="64195758" w14:textId="77777777" w:rsidR="004367EF" w:rsidRPr="00C91975" w:rsidRDefault="004367EF" w:rsidP="00A16FC4">
            <w:pPr>
              <w:spacing w:after="0"/>
              <w:ind w:firstLine="79"/>
              <w:jc w:val="right"/>
              <w:rPr>
                <w:rFonts w:ascii="Arial Narrow" w:hAnsi="Arial Narrow"/>
                <w:sz w:val="18"/>
                <w:szCs w:val="18"/>
                <w:lang w:val="es-ES" w:eastAsia="es-ES"/>
              </w:rPr>
            </w:pPr>
            <w:r w:rsidRPr="00C91975">
              <w:rPr>
                <w:rFonts w:ascii="Arial Narrow" w:hAnsi="Arial Narrow"/>
                <w:sz w:val="18"/>
                <w:szCs w:val="18"/>
                <w:lang w:val="es-ES" w:eastAsia="es-ES"/>
              </w:rPr>
              <w:t xml:space="preserve">              9,3 </w:t>
            </w:r>
          </w:p>
        </w:tc>
        <w:tc>
          <w:tcPr>
            <w:tcW w:w="0" w:type="auto"/>
            <w:tcBorders>
              <w:top w:val="nil"/>
              <w:left w:val="nil"/>
              <w:bottom w:val="single" w:sz="4" w:space="0" w:color="auto"/>
              <w:right w:val="nil"/>
            </w:tcBorders>
            <w:shd w:val="clear" w:color="auto" w:fill="auto"/>
            <w:noWrap/>
            <w:vAlign w:val="center"/>
            <w:hideMark/>
          </w:tcPr>
          <w:p w14:paraId="3B38C3C1"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164</w:t>
            </w:r>
          </w:p>
        </w:tc>
        <w:tc>
          <w:tcPr>
            <w:tcW w:w="0" w:type="auto"/>
            <w:tcBorders>
              <w:top w:val="nil"/>
              <w:left w:val="nil"/>
              <w:bottom w:val="single" w:sz="4" w:space="0" w:color="auto"/>
              <w:right w:val="nil"/>
            </w:tcBorders>
            <w:shd w:val="clear" w:color="auto" w:fill="auto"/>
            <w:noWrap/>
            <w:vAlign w:val="center"/>
            <w:hideMark/>
          </w:tcPr>
          <w:p w14:paraId="0BBA9577" w14:textId="77777777" w:rsidR="004367EF" w:rsidRPr="00C91975" w:rsidRDefault="004367EF" w:rsidP="00A16FC4">
            <w:pPr>
              <w:spacing w:after="0"/>
              <w:ind w:firstLine="13"/>
              <w:jc w:val="right"/>
              <w:rPr>
                <w:rFonts w:ascii="Arial Narrow" w:hAnsi="Arial Narrow"/>
                <w:sz w:val="18"/>
                <w:szCs w:val="18"/>
                <w:lang w:val="es-ES" w:eastAsia="es-ES"/>
              </w:rPr>
            </w:pPr>
            <w:r w:rsidRPr="00C91975">
              <w:rPr>
                <w:rFonts w:ascii="Arial Narrow" w:hAnsi="Arial Narrow"/>
                <w:sz w:val="18"/>
                <w:szCs w:val="18"/>
                <w:lang w:val="es-ES" w:eastAsia="es-ES"/>
              </w:rPr>
              <w:t xml:space="preserve">         12,5 </w:t>
            </w:r>
          </w:p>
        </w:tc>
        <w:tc>
          <w:tcPr>
            <w:tcW w:w="974" w:type="dxa"/>
            <w:tcBorders>
              <w:top w:val="nil"/>
              <w:left w:val="nil"/>
              <w:bottom w:val="single" w:sz="4" w:space="0" w:color="auto"/>
              <w:right w:val="nil"/>
            </w:tcBorders>
            <w:shd w:val="clear" w:color="auto" w:fill="auto"/>
            <w:noWrap/>
            <w:vAlign w:val="center"/>
            <w:hideMark/>
          </w:tcPr>
          <w:p w14:paraId="10049B40" w14:textId="77777777" w:rsidR="004367EF" w:rsidRPr="00C91975" w:rsidRDefault="004367EF" w:rsidP="00A16FC4">
            <w:pPr>
              <w:spacing w:after="0"/>
              <w:ind w:hanging="5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66</w:t>
            </w:r>
          </w:p>
        </w:tc>
        <w:tc>
          <w:tcPr>
            <w:tcW w:w="1019" w:type="dxa"/>
            <w:gridSpan w:val="2"/>
            <w:tcBorders>
              <w:top w:val="nil"/>
              <w:left w:val="nil"/>
              <w:bottom w:val="single" w:sz="4" w:space="0" w:color="auto"/>
              <w:right w:val="nil"/>
            </w:tcBorders>
            <w:shd w:val="clear" w:color="auto" w:fill="auto"/>
            <w:noWrap/>
            <w:vAlign w:val="center"/>
            <w:hideMark/>
          </w:tcPr>
          <w:p w14:paraId="1BC48F63" w14:textId="77777777" w:rsidR="004367EF" w:rsidRPr="00C91975" w:rsidRDefault="004367EF" w:rsidP="00A16FC4">
            <w:pPr>
              <w:spacing w:after="0"/>
              <w:ind w:firstLine="76"/>
              <w:jc w:val="right"/>
              <w:rPr>
                <w:rFonts w:ascii="Arial Narrow" w:hAnsi="Arial Narrow"/>
                <w:sz w:val="18"/>
                <w:szCs w:val="18"/>
                <w:lang w:val="es-ES" w:eastAsia="es-ES"/>
              </w:rPr>
            </w:pPr>
            <w:r w:rsidRPr="00C91975">
              <w:rPr>
                <w:rFonts w:ascii="Arial Narrow" w:hAnsi="Arial Narrow"/>
                <w:sz w:val="18"/>
                <w:szCs w:val="18"/>
                <w:lang w:val="es-ES" w:eastAsia="es-ES"/>
              </w:rPr>
              <w:t xml:space="preserve">            6,5 </w:t>
            </w:r>
          </w:p>
        </w:tc>
      </w:tr>
      <w:tr w:rsidR="004367EF" w:rsidRPr="00C91975" w14:paraId="74659AF6" w14:textId="77777777" w:rsidTr="00565DBB">
        <w:trPr>
          <w:trHeight w:val="227"/>
          <w:jc w:val="center"/>
        </w:trPr>
        <w:tc>
          <w:tcPr>
            <w:tcW w:w="2977" w:type="dxa"/>
            <w:tcBorders>
              <w:top w:val="nil"/>
              <w:left w:val="nil"/>
              <w:bottom w:val="single" w:sz="4" w:space="0" w:color="auto"/>
              <w:right w:val="nil"/>
            </w:tcBorders>
            <w:shd w:val="clear" w:color="000000" w:fill="D9D9D9"/>
            <w:noWrap/>
            <w:vAlign w:val="center"/>
            <w:hideMark/>
          </w:tcPr>
          <w:p w14:paraId="2A807D01" w14:textId="017963C0" w:rsidR="004367EF" w:rsidRPr="00C91975" w:rsidRDefault="008E4AB0" w:rsidP="00A16FC4">
            <w:pPr>
              <w:spacing w:after="0"/>
              <w:ind w:firstLine="0"/>
              <w:rPr>
                <w:rFonts w:ascii="Arial Narrow" w:hAnsi="Arial Narrow"/>
                <w:b/>
                <w:bCs/>
                <w:i/>
                <w:iCs/>
                <w:sz w:val="18"/>
                <w:szCs w:val="18"/>
                <w:lang w:val="es-ES" w:eastAsia="es-ES"/>
              </w:rPr>
            </w:pPr>
            <w:r>
              <w:rPr>
                <w:rFonts w:ascii="Arial Narrow" w:hAnsi="Arial Narrow"/>
                <w:b/>
                <w:bCs/>
                <w:i/>
                <w:iCs/>
                <w:sz w:val="18"/>
                <w:szCs w:val="18"/>
                <w:lang w:val="es-ES" w:eastAsia="es-ES"/>
              </w:rPr>
              <w:t>Operaciones corrientes</w:t>
            </w:r>
          </w:p>
        </w:tc>
        <w:tc>
          <w:tcPr>
            <w:tcW w:w="0" w:type="auto"/>
            <w:tcBorders>
              <w:top w:val="nil"/>
              <w:left w:val="nil"/>
              <w:bottom w:val="single" w:sz="4" w:space="0" w:color="auto"/>
              <w:right w:val="nil"/>
            </w:tcBorders>
            <w:shd w:val="clear" w:color="000000" w:fill="D9D9D9"/>
            <w:noWrap/>
            <w:vAlign w:val="center"/>
            <w:hideMark/>
          </w:tcPr>
          <w:p w14:paraId="1E485041" w14:textId="77777777" w:rsidR="004367EF" w:rsidRPr="00C91975" w:rsidRDefault="004367EF" w:rsidP="00A16FC4">
            <w:pPr>
              <w:spacing w:after="0"/>
              <w:ind w:firstLine="0"/>
              <w:jc w:val="right"/>
              <w:rPr>
                <w:rFonts w:ascii="Arial Narrow" w:hAnsi="Arial Narrow"/>
                <w:b/>
                <w:bCs/>
                <w:i/>
                <w:iCs/>
                <w:color w:val="000000"/>
                <w:sz w:val="18"/>
                <w:szCs w:val="18"/>
                <w:lang w:val="es-ES" w:eastAsia="es-ES"/>
              </w:rPr>
            </w:pPr>
            <w:r w:rsidRPr="00C91975">
              <w:rPr>
                <w:rFonts w:ascii="Arial Narrow" w:hAnsi="Arial Narrow"/>
                <w:b/>
                <w:bCs/>
                <w:i/>
                <w:iCs/>
                <w:color w:val="000000"/>
                <w:sz w:val="18"/>
                <w:szCs w:val="18"/>
                <w:lang w:val="es-ES" w:eastAsia="es-ES"/>
              </w:rPr>
              <w:t>799</w:t>
            </w:r>
          </w:p>
        </w:tc>
        <w:tc>
          <w:tcPr>
            <w:tcW w:w="0" w:type="auto"/>
            <w:tcBorders>
              <w:top w:val="nil"/>
              <w:left w:val="nil"/>
              <w:bottom w:val="single" w:sz="4" w:space="0" w:color="auto"/>
              <w:right w:val="nil"/>
            </w:tcBorders>
            <w:shd w:val="clear" w:color="000000" w:fill="D9D9D9"/>
            <w:noWrap/>
            <w:vAlign w:val="center"/>
            <w:hideMark/>
          </w:tcPr>
          <w:p w14:paraId="573B8CA0" w14:textId="77777777" w:rsidR="004367EF" w:rsidRPr="00C91975" w:rsidRDefault="004367EF" w:rsidP="00A16FC4">
            <w:pPr>
              <w:spacing w:after="0"/>
              <w:ind w:firstLine="79"/>
              <w:jc w:val="right"/>
              <w:rPr>
                <w:rFonts w:ascii="Arial Narrow" w:hAnsi="Arial Narrow"/>
                <w:b/>
                <w:bCs/>
                <w:i/>
                <w:iCs/>
                <w:sz w:val="18"/>
                <w:szCs w:val="18"/>
                <w:lang w:val="es-ES" w:eastAsia="es-ES"/>
              </w:rPr>
            </w:pPr>
            <w:r w:rsidRPr="00C91975">
              <w:rPr>
                <w:rFonts w:ascii="Arial Narrow" w:hAnsi="Arial Narrow"/>
                <w:b/>
                <w:bCs/>
                <w:i/>
                <w:iCs/>
                <w:sz w:val="18"/>
                <w:szCs w:val="18"/>
                <w:lang w:val="es-ES" w:eastAsia="es-ES"/>
              </w:rPr>
              <w:t xml:space="preserve">          76,0 </w:t>
            </w:r>
          </w:p>
        </w:tc>
        <w:tc>
          <w:tcPr>
            <w:tcW w:w="0" w:type="auto"/>
            <w:tcBorders>
              <w:top w:val="nil"/>
              <w:left w:val="nil"/>
              <w:bottom w:val="single" w:sz="4" w:space="0" w:color="auto"/>
              <w:right w:val="nil"/>
            </w:tcBorders>
            <w:shd w:val="clear" w:color="000000" w:fill="D9D9D9"/>
            <w:noWrap/>
            <w:vAlign w:val="center"/>
            <w:hideMark/>
          </w:tcPr>
          <w:p w14:paraId="228ECD1D" w14:textId="77777777" w:rsidR="004367EF" w:rsidRPr="00C91975" w:rsidRDefault="004367EF" w:rsidP="00A16FC4">
            <w:pPr>
              <w:spacing w:after="0"/>
              <w:ind w:firstLine="0"/>
              <w:jc w:val="right"/>
              <w:rPr>
                <w:rFonts w:ascii="Arial Narrow" w:hAnsi="Arial Narrow"/>
                <w:b/>
                <w:bCs/>
                <w:i/>
                <w:iCs/>
                <w:color w:val="000000"/>
                <w:sz w:val="18"/>
                <w:szCs w:val="18"/>
                <w:lang w:val="es-ES" w:eastAsia="es-ES"/>
              </w:rPr>
            </w:pPr>
            <w:r w:rsidRPr="00C91975">
              <w:rPr>
                <w:rFonts w:ascii="Arial Narrow" w:hAnsi="Arial Narrow"/>
                <w:b/>
                <w:bCs/>
                <w:i/>
                <w:iCs/>
                <w:color w:val="000000"/>
                <w:sz w:val="18"/>
                <w:szCs w:val="18"/>
                <w:lang w:val="es-ES" w:eastAsia="es-ES"/>
              </w:rPr>
              <w:t>1.103</w:t>
            </w:r>
          </w:p>
        </w:tc>
        <w:tc>
          <w:tcPr>
            <w:tcW w:w="0" w:type="auto"/>
            <w:tcBorders>
              <w:top w:val="nil"/>
              <w:left w:val="nil"/>
              <w:bottom w:val="single" w:sz="4" w:space="0" w:color="auto"/>
              <w:right w:val="nil"/>
            </w:tcBorders>
            <w:shd w:val="clear" w:color="000000" w:fill="D9D9D9"/>
            <w:noWrap/>
            <w:vAlign w:val="center"/>
            <w:hideMark/>
          </w:tcPr>
          <w:p w14:paraId="5B5F9618" w14:textId="77777777" w:rsidR="004367EF" w:rsidRPr="00C91975" w:rsidRDefault="004367EF" w:rsidP="00A16FC4">
            <w:pPr>
              <w:spacing w:after="0"/>
              <w:ind w:firstLine="13"/>
              <w:jc w:val="right"/>
              <w:rPr>
                <w:rFonts w:ascii="Arial Narrow" w:hAnsi="Arial Narrow"/>
                <w:b/>
                <w:bCs/>
                <w:i/>
                <w:iCs/>
                <w:sz w:val="18"/>
                <w:szCs w:val="18"/>
                <w:lang w:val="es-ES" w:eastAsia="es-ES"/>
              </w:rPr>
            </w:pPr>
            <w:r w:rsidRPr="00C91975">
              <w:rPr>
                <w:rFonts w:ascii="Arial Narrow" w:hAnsi="Arial Narrow"/>
                <w:b/>
                <w:bCs/>
                <w:i/>
                <w:iCs/>
                <w:sz w:val="18"/>
                <w:szCs w:val="18"/>
                <w:lang w:val="es-ES" w:eastAsia="es-ES"/>
              </w:rPr>
              <w:t xml:space="preserve">       84,1 </w:t>
            </w:r>
          </w:p>
        </w:tc>
        <w:tc>
          <w:tcPr>
            <w:tcW w:w="974" w:type="dxa"/>
            <w:tcBorders>
              <w:top w:val="nil"/>
              <w:left w:val="nil"/>
              <w:bottom w:val="single" w:sz="4" w:space="0" w:color="auto"/>
              <w:right w:val="nil"/>
            </w:tcBorders>
            <w:shd w:val="clear" w:color="000000" w:fill="D9D9D9"/>
            <w:noWrap/>
            <w:vAlign w:val="center"/>
            <w:hideMark/>
          </w:tcPr>
          <w:p w14:paraId="7D0DF846" w14:textId="77777777" w:rsidR="004367EF" w:rsidRPr="00C91975" w:rsidRDefault="004367EF" w:rsidP="00A16FC4">
            <w:pPr>
              <w:spacing w:after="0"/>
              <w:ind w:hanging="50"/>
              <w:jc w:val="right"/>
              <w:rPr>
                <w:rFonts w:ascii="Arial Narrow" w:hAnsi="Arial Narrow"/>
                <w:b/>
                <w:bCs/>
                <w:i/>
                <w:iCs/>
                <w:color w:val="000000"/>
                <w:sz w:val="18"/>
                <w:szCs w:val="18"/>
                <w:lang w:val="es-ES" w:eastAsia="es-ES"/>
              </w:rPr>
            </w:pPr>
            <w:r w:rsidRPr="00C91975">
              <w:rPr>
                <w:rFonts w:ascii="Arial Narrow" w:hAnsi="Arial Narrow"/>
                <w:b/>
                <w:bCs/>
                <w:i/>
                <w:iCs/>
                <w:color w:val="000000"/>
                <w:sz w:val="18"/>
                <w:szCs w:val="18"/>
                <w:lang w:val="es-ES" w:eastAsia="es-ES"/>
              </w:rPr>
              <w:t>830</w:t>
            </w:r>
          </w:p>
        </w:tc>
        <w:tc>
          <w:tcPr>
            <w:tcW w:w="1019" w:type="dxa"/>
            <w:gridSpan w:val="2"/>
            <w:tcBorders>
              <w:top w:val="nil"/>
              <w:left w:val="nil"/>
              <w:bottom w:val="single" w:sz="4" w:space="0" w:color="auto"/>
              <w:right w:val="nil"/>
            </w:tcBorders>
            <w:shd w:val="clear" w:color="000000" w:fill="D9D9D9"/>
            <w:noWrap/>
            <w:vAlign w:val="center"/>
            <w:hideMark/>
          </w:tcPr>
          <w:p w14:paraId="1BFA824E" w14:textId="77777777" w:rsidR="004367EF" w:rsidRPr="00C91975" w:rsidRDefault="004367EF" w:rsidP="00A16FC4">
            <w:pPr>
              <w:spacing w:after="0"/>
              <w:ind w:firstLine="76"/>
              <w:jc w:val="right"/>
              <w:rPr>
                <w:rFonts w:ascii="Arial Narrow" w:hAnsi="Arial Narrow"/>
                <w:b/>
                <w:bCs/>
                <w:i/>
                <w:iCs/>
                <w:sz w:val="18"/>
                <w:szCs w:val="18"/>
                <w:lang w:val="es-ES" w:eastAsia="es-ES"/>
              </w:rPr>
            </w:pPr>
            <w:r w:rsidRPr="00C91975">
              <w:rPr>
                <w:rFonts w:ascii="Arial Narrow" w:hAnsi="Arial Narrow"/>
                <w:b/>
                <w:bCs/>
                <w:i/>
                <w:iCs/>
                <w:sz w:val="18"/>
                <w:szCs w:val="18"/>
                <w:lang w:val="es-ES" w:eastAsia="es-ES"/>
              </w:rPr>
              <w:t xml:space="preserve">        81,8 </w:t>
            </w:r>
          </w:p>
        </w:tc>
      </w:tr>
      <w:tr w:rsidR="004367EF" w:rsidRPr="00C91975" w14:paraId="1706C1D5"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78F6CB25" w14:textId="77777777" w:rsidR="004367EF" w:rsidRPr="00C91975" w:rsidRDefault="004367EF" w:rsidP="00A16FC4">
            <w:pPr>
              <w:spacing w:after="0"/>
              <w:ind w:firstLine="0"/>
              <w:rPr>
                <w:rFonts w:ascii="Arial Narrow" w:hAnsi="Arial Narrow"/>
                <w:sz w:val="18"/>
                <w:szCs w:val="18"/>
                <w:lang w:val="es-ES" w:eastAsia="es-ES"/>
              </w:rPr>
            </w:pPr>
            <w:r w:rsidRPr="00C91975">
              <w:rPr>
                <w:rFonts w:ascii="Arial Narrow" w:hAnsi="Arial Narrow"/>
                <w:sz w:val="18"/>
                <w:szCs w:val="18"/>
                <w:lang w:val="es-ES" w:eastAsia="es-ES"/>
              </w:rPr>
              <w:t>Inversiones reales</w:t>
            </w:r>
          </w:p>
        </w:tc>
        <w:tc>
          <w:tcPr>
            <w:tcW w:w="0" w:type="auto"/>
            <w:tcBorders>
              <w:top w:val="nil"/>
              <w:left w:val="nil"/>
              <w:bottom w:val="single" w:sz="4" w:space="0" w:color="auto"/>
              <w:right w:val="nil"/>
            </w:tcBorders>
            <w:shd w:val="clear" w:color="auto" w:fill="auto"/>
            <w:noWrap/>
            <w:vAlign w:val="center"/>
            <w:hideMark/>
          </w:tcPr>
          <w:p w14:paraId="2EDC4D58"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197</w:t>
            </w:r>
          </w:p>
        </w:tc>
        <w:tc>
          <w:tcPr>
            <w:tcW w:w="0" w:type="auto"/>
            <w:tcBorders>
              <w:top w:val="nil"/>
              <w:left w:val="nil"/>
              <w:bottom w:val="single" w:sz="4" w:space="0" w:color="auto"/>
              <w:right w:val="nil"/>
            </w:tcBorders>
            <w:shd w:val="clear" w:color="auto" w:fill="auto"/>
            <w:noWrap/>
            <w:vAlign w:val="center"/>
            <w:hideMark/>
          </w:tcPr>
          <w:p w14:paraId="548FE908" w14:textId="77777777" w:rsidR="004367EF" w:rsidRPr="00C91975" w:rsidRDefault="004367EF" w:rsidP="00A16FC4">
            <w:pPr>
              <w:spacing w:after="0"/>
              <w:ind w:firstLine="79"/>
              <w:jc w:val="right"/>
              <w:rPr>
                <w:rFonts w:ascii="Arial Narrow" w:hAnsi="Arial Narrow"/>
                <w:sz w:val="18"/>
                <w:szCs w:val="18"/>
                <w:lang w:val="es-ES" w:eastAsia="es-ES"/>
              </w:rPr>
            </w:pPr>
            <w:r w:rsidRPr="00C91975">
              <w:rPr>
                <w:rFonts w:ascii="Arial Narrow" w:hAnsi="Arial Narrow"/>
                <w:sz w:val="18"/>
                <w:szCs w:val="18"/>
                <w:lang w:val="es-ES" w:eastAsia="es-ES"/>
              </w:rPr>
              <w:t xml:space="preserve">            18,8 </w:t>
            </w:r>
          </w:p>
        </w:tc>
        <w:tc>
          <w:tcPr>
            <w:tcW w:w="0" w:type="auto"/>
            <w:tcBorders>
              <w:top w:val="nil"/>
              <w:left w:val="nil"/>
              <w:bottom w:val="single" w:sz="4" w:space="0" w:color="auto"/>
              <w:right w:val="nil"/>
            </w:tcBorders>
            <w:shd w:val="clear" w:color="auto" w:fill="auto"/>
            <w:noWrap/>
            <w:vAlign w:val="center"/>
            <w:hideMark/>
          </w:tcPr>
          <w:p w14:paraId="2FEBBD5C"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167</w:t>
            </w:r>
          </w:p>
        </w:tc>
        <w:tc>
          <w:tcPr>
            <w:tcW w:w="0" w:type="auto"/>
            <w:tcBorders>
              <w:top w:val="nil"/>
              <w:left w:val="nil"/>
              <w:bottom w:val="single" w:sz="4" w:space="0" w:color="auto"/>
              <w:right w:val="nil"/>
            </w:tcBorders>
            <w:shd w:val="clear" w:color="auto" w:fill="auto"/>
            <w:noWrap/>
            <w:vAlign w:val="center"/>
            <w:hideMark/>
          </w:tcPr>
          <w:p w14:paraId="01CC4A04" w14:textId="77777777" w:rsidR="004367EF" w:rsidRPr="00C91975" w:rsidRDefault="004367EF" w:rsidP="00A16FC4">
            <w:pPr>
              <w:spacing w:after="0"/>
              <w:ind w:firstLine="13"/>
              <w:jc w:val="right"/>
              <w:rPr>
                <w:rFonts w:ascii="Arial Narrow" w:hAnsi="Arial Narrow"/>
                <w:sz w:val="18"/>
                <w:szCs w:val="18"/>
                <w:lang w:val="es-ES" w:eastAsia="es-ES"/>
              </w:rPr>
            </w:pPr>
            <w:r w:rsidRPr="00C91975">
              <w:rPr>
                <w:rFonts w:ascii="Arial Narrow" w:hAnsi="Arial Narrow"/>
                <w:sz w:val="18"/>
                <w:szCs w:val="18"/>
                <w:lang w:val="es-ES" w:eastAsia="es-ES"/>
              </w:rPr>
              <w:t xml:space="preserve">         12,7 </w:t>
            </w:r>
          </w:p>
        </w:tc>
        <w:tc>
          <w:tcPr>
            <w:tcW w:w="974" w:type="dxa"/>
            <w:tcBorders>
              <w:top w:val="nil"/>
              <w:left w:val="nil"/>
              <w:bottom w:val="single" w:sz="4" w:space="0" w:color="auto"/>
              <w:right w:val="nil"/>
            </w:tcBorders>
            <w:shd w:val="clear" w:color="auto" w:fill="auto"/>
            <w:noWrap/>
            <w:vAlign w:val="center"/>
            <w:hideMark/>
          </w:tcPr>
          <w:p w14:paraId="15403BE5" w14:textId="77777777" w:rsidR="004367EF" w:rsidRPr="00C91975" w:rsidRDefault="004367EF" w:rsidP="00A16FC4">
            <w:pPr>
              <w:spacing w:after="0"/>
              <w:ind w:hanging="5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141</w:t>
            </w:r>
          </w:p>
        </w:tc>
        <w:tc>
          <w:tcPr>
            <w:tcW w:w="1019" w:type="dxa"/>
            <w:gridSpan w:val="2"/>
            <w:tcBorders>
              <w:top w:val="nil"/>
              <w:left w:val="nil"/>
              <w:bottom w:val="single" w:sz="4" w:space="0" w:color="auto"/>
              <w:right w:val="nil"/>
            </w:tcBorders>
            <w:shd w:val="clear" w:color="auto" w:fill="auto"/>
            <w:noWrap/>
            <w:vAlign w:val="center"/>
            <w:hideMark/>
          </w:tcPr>
          <w:p w14:paraId="5C467BC3" w14:textId="77777777" w:rsidR="004367EF" w:rsidRPr="00C91975" w:rsidRDefault="004367EF" w:rsidP="00A16FC4">
            <w:pPr>
              <w:spacing w:after="0"/>
              <w:ind w:firstLine="76"/>
              <w:jc w:val="right"/>
              <w:rPr>
                <w:rFonts w:ascii="Arial Narrow" w:hAnsi="Arial Narrow"/>
                <w:sz w:val="18"/>
                <w:szCs w:val="18"/>
                <w:lang w:val="es-ES" w:eastAsia="es-ES"/>
              </w:rPr>
            </w:pPr>
            <w:r w:rsidRPr="00C91975">
              <w:rPr>
                <w:rFonts w:ascii="Arial Narrow" w:hAnsi="Arial Narrow"/>
                <w:sz w:val="18"/>
                <w:szCs w:val="18"/>
                <w:lang w:val="es-ES" w:eastAsia="es-ES"/>
              </w:rPr>
              <w:t xml:space="preserve">          14,0 </w:t>
            </w:r>
          </w:p>
        </w:tc>
      </w:tr>
      <w:tr w:rsidR="004367EF" w:rsidRPr="00C91975" w14:paraId="7D53715A"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7946C19F" w14:textId="77777777" w:rsidR="004367EF" w:rsidRPr="00C91975" w:rsidRDefault="004367EF" w:rsidP="00A16FC4">
            <w:pPr>
              <w:spacing w:after="0"/>
              <w:ind w:firstLine="0"/>
              <w:rPr>
                <w:rFonts w:ascii="Arial Narrow" w:hAnsi="Arial Narrow"/>
                <w:sz w:val="18"/>
                <w:szCs w:val="18"/>
                <w:lang w:val="es-ES" w:eastAsia="es-ES"/>
              </w:rPr>
            </w:pPr>
            <w:r w:rsidRPr="00C91975">
              <w:rPr>
                <w:rFonts w:ascii="Arial Narrow" w:hAnsi="Arial Narrow"/>
                <w:sz w:val="18"/>
                <w:szCs w:val="18"/>
                <w:lang w:val="es-ES" w:eastAsia="es-ES"/>
              </w:rPr>
              <w:t>Transferencias de capital</w:t>
            </w:r>
          </w:p>
        </w:tc>
        <w:tc>
          <w:tcPr>
            <w:tcW w:w="0" w:type="auto"/>
            <w:tcBorders>
              <w:top w:val="nil"/>
              <w:left w:val="nil"/>
              <w:bottom w:val="single" w:sz="4" w:space="0" w:color="auto"/>
              <w:right w:val="nil"/>
            </w:tcBorders>
            <w:shd w:val="clear" w:color="auto" w:fill="auto"/>
            <w:noWrap/>
            <w:vAlign w:val="center"/>
            <w:hideMark/>
          </w:tcPr>
          <w:p w14:paraId="2A7EE846"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11</w:t>
            </w:r>
          </w:p>
        </w:tc>
        <w:tc>
          <w:tcPr>
            <w:tcW w:w="0" w:type="auto"/>
            <w:tcBorders>
              <w:top w:val="nil"/>
              <w:left w:val="nil"/>
              <w:bottom w:val="single" w:sz="4" w:space="0" w:color="auto"/>
              <w:right w:val="nil"/>
            </w:tcBorders>
            <w:shd w:val="clear" w:color="auto" w:fill="auto"/>
            <w:noWrap/>
            <w:vAlign w:val="center"/>
            <w:hideMark/>
          </w:tcPr>
          <w:p w14:paraId="61A1947A" w14:textId="77777777" w:rsidR="004367EF" w:rsidRPr="00C91975" w:rsidRDefault="004367EF" w:rsidP="00A16FC4">
            <w:pPr>
              <w:spacing w:after="0"/>
              <w:ind w:firstLine="79"/>
              <w:jc w:val="right"/>
              <w:rPr>
                <w:rFonts w:ascii="Arial Narrow" w:hAnsi="Arial Narrow"/>
                <w:sz w:val="18"/>
                <w:szCs w:val="18"/>
                <w:lang w:val="es-ES" w:eastAsia="es-ES"/>
              </w:rPr>
            </w:pPr>
            <w:r w:rsidRPr="00C91975">
              <w:rPr>
                <w:rFonts w:ascii="Arial Narrow" w:hAnsi="Arial Narrow"/>
                <w:sz w:val="18"/>
                <w:szCs w:val="18"/>
                <w:lang w:val="es-ES" w:eastAsia="es-ES"/>
              </w:rPr>
              <w:t xml:space="preserve">              1,1 </w:t>
            </w:r>
          </w:p>
        </w:tc>
        <w:tc>
          <w:tcPr>
            <w:tcW w:w="0" w:type="auto"/>
            <w:tcBorders>
              <w:top w:val="nil"/>
              <w:left w:val="nil"/>
              <w:bottom w:val="single" w:sz="4" w:space="0" w:color="auto"/>
              <w:right w:val="nil"/>
            </w:tcBorders>
            <w:shd w:val="clear" w:color="auto" w:fill="auto"/>
            <w:noWrap/>
            <w:vAlign w:val="center"/>
            <w:hideMark/>
          </w:tcPr>
          <w:p w14:paraId="0EC9FE5D"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11</w:t>
            </w:r>
          </w:p>
        </w:tc>
        <w:tc>
          <w:tcPr>
            <w:tcW w:w="0" w:type="auto"/>
            <w:tcBorders>
              <w:top w:val="nil"/>
              <w:left w:val="nil"/>
              <w:bottom w:val="single" w:sz="4" w:space="0" w:color="auto"/>
              <w:right w:val="nil"/>
            </w:tcBorders>
            <w:shd w:val="clear" w:color="auto" w:fill="auto"/>
            <w:noWrap/>
            <w:vAlign w:val="center"/>
            <w:hideMark/>
          </w:tcPr>
          <w:p w14:paraId="762FFACB" w14:textId="77777777" w:rsidR="004367EF" w:rsidRPr="00C91975" w:rsidRDefault="004367EF" w:rsidP="00A16FC4">
            <w:pPr>
              <w:spacing w:after="0"/>
              <w:ind w:firstLine="13"/>
              <w:jc w:val="right"/>
              <w:rPr>
                <w:rFonts w:ascii="Arial Narrow" w:hAnsi="Arial Narrow"/>
                <w:sz w:val="18"/>
                <w:szCs w:val="18"/>
                <w:lang w:val="es-ES" w:eastAsia="es-ES"/>
              </w:rPr>
            </w:pPr>
            <w:r w:rsidRPr="00C91975">
              <w:rPr>
                <w:rFonts w:ascii="Arial Narrow" w:hAnsi="Arial Narrow"/>
                <w:sz w:val="18"/>
                <w:szCs w:val="18"/>
                <w:lang w:val="es-ES" w:eastAsia="es-ES"/>
              </w:rPr>
              <w:t xml:space="preserve">           0,8 </w:t>
            </w:r>
          </w:p>
        </w:tc>
        <w:tc>
          <w:tcPr>
            <w:tcW w:w="974" w:type="dxa"/>
            <w:tcBorders>
              <w:top w:val="nil"/>
              <w:left w:val="nil"/>
              <w:bottom w:val="single" w:sz="4" w:space="0" w:color="auto"/>
              <w:right w:val="nil"/>
            </w:tcBorders>
            <w:shd w:val="clear" w:color="auto" w:fill="auto"/>
            <w:noWrap/>
            <w:vAlign w:val="center"/>
            <w:hideMark/>
          </w:tcPr>
          <w:p w14:paraId="29B522C0" w14:textId="77777777" w:rsidR="004367EF" w:rsidRPr="00C91975" w:rsidRDefault="004367EF" w:rsidP="00A16FC4">
            <w:pPr>
              <w:spacing w:after="0"/>
              <w:ind w:hanging="5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4</w:t>
            </w:r>
          </w:p>
        </w:tc>
        <w:tc>
          <w:tcPr>
            <w:tcW w:w="1019" w:type="dxa"/>
            <w:gridSpan w:val="2"/>
            <w:tcBorders>
              <w:top w:val="nil"/>
              <w:left w:val="nil"/>
              <w:bottom w:val="single" w:sz="4" w:space="0" w:color="auto"/>
              <w:right w:val="nil"/>
            </w:tcBorders>
            <w:shd w:val="clear" w:color="auto" w:fill="auto"/>
            <w:noWrap/>
            <w:vAlign w:val="center"/>
            <w:hideMark/>
          </w:tcPr>
          <w:p w14:paraId="2502F3E5" w14:textId="77777777" w:rsidR="004367EF" w:rsidRPr="00C91975" w:rsidRDefault="004367EF" w:rsidP="00A16FC4">
            <w:pPr>
              <w:spacing w:after="0"/>
              <w:ind w:firstLine="76"/>
              <w:jc w:val="right"/>
              <w:rPr>
                <w:rFonts w:ascii="Arial Narrow" w:hAnsi="Arial Narrow"/>
                <w:sz w:val="18"/>
                <w:szCs w:val="18"/>
                <w:lang w:val="es-ES" w:eastAsia="es-ES"/>
              </w:rPr>
            </w:pPr>
            <w:r w:rsidRPr="00C91975">
              <w:rPr>
                <w:rFonts w:ascii="Arial Narrow" w:hAnsi="Arial Narrow"/>
                <w:sz w:val="18"/>
                <w:szCs w:val="18"/>
                <w:lang w:val="es-ES" w:eastAsia="es-ES"/>
              </w:rPr>
              <w:t xml:space="preserve">            0,4 </w:t>
            </w:r>
          </w:p>
        </w:tc>
      </w:tr>
      <w:tr w:rsidR="004367EF" w:rsidRPr="00C91975" w14:paraId="6454E76D" w14:textId="77777777" w:rsidTr="00565DBB">
        <w:trPr>
          <w:trHeight w:val="227"/>
          <w:jc w:val="center"/>
        </w:trPr>
        <w:tc>
          <w:tcPr>
            <w:tcW w:w="2977" w:type="dxa"/>
            <w:tcBorders>
              <w:top w:val="nil"/>
              <w:left w:val="nil"/>
              <w:bottom w:val="single" w:sz="4" w:space="0" w:color="auto"/>
              <w:right w:val="nil"/>
            </w:tcBorders>
            <w:shd w:val="clear" w:color="000000" w:fill="D9D9D9"/>
            <w:noWrap/>
            <w:vAlign w:val="center"/>
            <w:hideMark/>
          </w:tcPr>
          <w:p w14:paraId="05308FBF" w14:textId="380111F7" w:rsidR="004367EF" w:rsidRPr="00C91975" w:rsidRDefault="008E4AB0" w:rsidP="00A16FC4">
            <w:pPr>
              <w:spacing w:after="0"/>
              <w:ind w:firstLine="0"/>
              <w:rPr>
                <w:rFonts w:ascii="Arial Narrow" w:hAnsi="Arial Narrow"/>
                <w:b/>
                <w:bCs/>
                <w:i/>
                <w:iCs/>
                <w:sz w:val="18"/>
                <w:szCs w:val="18"/>
                <w:lang w:val="es-ES" w:eastAsia="es-ES"/>
              </w:rPr>
            </w:pPr>
            <w:r>
              <w:rPr>
                <w:rFonts w:ascii="Arial Narrow" w:hAnsi="Arial Narrow"/>
                <w:b/>
                <w:bCs/>
                <w:i/>
                <w:iCs/>
                <w:sz w:val="18"/>
                <w:szCs w:val="18"/>
                <w:lang w:val="es-ES" w:eastAsia="es-ES"/>
              </w:rPr>
              <w:t>Operaciones de capital</w:t>
            </w:r>
          </w:p>
        </w:tc>
        <w:tc>
          <w:tcPr>
            <w:tcW w:w="0" w:type="auto"/>
            <w:tcBorders>
              <w:top w:val="nil"/>
              <w:left w:val="nil"/>
              <w:bottom w:val="single" w:sz="4" w:space="0" w:color="auto"/>
              <w:right w:val="nil"/>
            </w:tcBorders>
            <w:shd w:val="clear" w:color="000000" w:fill="D9D9D9"/>
            <w:noWrap/>
            <w:vAlign w:val="center"/>
            <w:hideMark/>
          </w:tcPr>
          <w:p w14:paraId="33074437" w14:textId="77777777" w:rsidR="004367EF" w:rsidRPr="00C91975" w:rsidRDefault="004367EF" w:rsidP="00A16FC4">
            <w:pPr>
              <w:spacing w:after="0"/>
              <w:ind w:firstLine="0"/>
              <w:jc w:val="right"/>
              <w:rPr>
                <w:rFonts w:ascii="Arial Narrow" w:hAnsi="Arial Narrow"/>
                <w:b/>
                <w:bCs/>
                <w:i/>
                <w:iCs/>
                <w:color w:val="000000"/>
                <w:sz w:val="18"/>
                <w:szCs w:val="18"/>
                <w:lang w:val="es-ES" w:eastAsia="es-ES"/>
              </w:rPr>
            </w:pPr>
            <w:r w:rsidRPr="00C91975">
              <w:rPr>
                <w:rFonts w:ascii="Arial Narrow" w:hAnsi="Arial Narrow"/>
                <w:b/>
                <w:bCs/>
                <w:i/>
                <w:iCs/>
                <w:color w:val="000000"/>
                <w:sz w:val="18"/>
                <w:szCs w:val="18"/>
                <w:lang w:val="es-ES" w:eastAsia="es-ES"/>
              </w:rPr>
              <w:t>209</w:t>
            </w:r>
          </w:p>
        </w:tc>
        <w:tc>
          <w:tcPr>
            <w:tcW w:w="0" w:type="auto"/>
            <w:tcBorders>
              <w:top w:val="nil"/>
              <w:left w:val="nil"/>
              <w:bottom w:val="single" w:sz="4" w:space="0" w:color="auto"/>
              <w:right w:val="nil"/>
            </w:tcBorders>
            <w:shd w:val="clear" w:color="000000" w:fill="D9D9D9"/>
            <w:noWrap/>
            <w:vAlign w:val="center"/>
            <w:hideMark/>
          </w:tcPr>
          <w:p w14:paraId="38D0C3CE" w14:textId="77777777" w:rsidR="004367EF" w:rsidRPr="00C91975" w:rsidRDefault="004367EF" w:rsidP="00A16FC4">
            <w:pPr>
              <w:spacing w:after="0"/>
              <w:ind w:firstLine="79"/>
              <w:jc w:val="right"/>
              <w:rPr>
                <w:rFonts w:ascii="Arial Narrow" w:hAnsi="Arial Narrow"/>
                <w:b/>
                <w:bCs/>
                <w:i/>
                <w:iCs/>
                <w:sz w:val="18"/>
                <w:szCs w:val="18"/>
                <w:lang w:val="es-ES" w:eastAsia="es-ES"/>
              </w:rPr>
            </w:pPr>
            <w:r w:rsidRPr="00C91975">
              <w:rPr>
                <w:rFonts w:ascii="Arial Narrow" w:hAnsi="Arial Narrow"/>
                <w:b/>
                <w:bCs/>
                <w:i/>
                <w:iCs/>
                <w:sz w:val="18"/>
                <w:szCs w:val="18"/>
                <w:lang w:val="es-ES" w:eastAsia="es-ES"/>
              </w:rPr>
              <w:t xml:space="preserve">          19,9 </w:t>
            </w:r>
          </w:p>
        </w:tc>
        <w:tc>
          <w:tcPr>
            <w:tcW w:w="0" w:type="auto"/>
            <w:tcBorders>
              <w:top w:val="nil"/>
              <w:left w:val="nil"/>
              <w:bottom w:val="single" w:sz="4" w:space="0" w:color="auto"/>
              <w:right w:val="nil"/>
            </w:tcBorders>
            <w:shd w:val="clear" w:color="000000" w:fill="D9D9D9"/>
            <w:noWrap/>
            <w:vAlign w:val="center"/>
            <w:hideMark/>
          </w:tcPr>
          <w:p w14:paraId="3BF476CD" w14:textId="77777777" w:rsidR="004367EF" w:rsidRPr="00C91975" w:rsidRDefault="004367EF" w:rsidP="00A16FC4">
            <w:pPr>
              <w:spacing w:after="0"/>
              <w:ind w:firstLine="0"/>
              <w:jc w:val="right"/>
              <w:rPr>
                <w:rFonts w:ascii="Arial Narrow" w:hAnsi="Arial Narrow"/>
                <w:b/>
                <w:bCs/>
                <w:i/>
                <w:iCs/>
                <w:color w:val="000000"/>
                <w:sz w:val="18"/>
                <w:szCs w:val="18"/>
                <w:lang w:val="es-ES" w:eastAsia="es-ES"/>
              </w:rPr>
            </w:pPr>
            <w:r w:rsidRPr="00C91975">
              <w:rPr>
                <w:rFonts w:ascii="Arial Narrow" w:hAnsi="Arial Narrow"/>
                <w:b/>
                <w:bCs/>
                <w:i/>
                <w:iCs/>
                <w:color w:val="000000"/>
                <w:sz w:val="18"/>
                <w:szCs w:val="18"/>
                <w:lang w:val="es-ES" w:eastAsia="es-ES"/>
              </w:rPr>
              <w:t>178</w:t>
            </w:r>
          </w:p>
        </w:tc>
        <w:tc>
          <w:tcPr>
            <w:tcW w:w="0" w:type="auto"/>
            <w:tcBorders>
              <w:top w:val="nil"/>
              <w:left w:val="nil"/>
              <w:bottom w:val="single" w:sz="4" w:space="0" w:color="auto"/>
              <w:right w:val="nil"/>
            </w:tcBorders>
            <w:shd w:val="clear" w:color="000000" w:fill="D9D9D9"/>
            <w:noWrap/>
            <w:vAlign w:val="center"/>
            <w:hideMark/>
          </w:tcPr>
          <w:p w14:paraId="2C7E5C75" w14:textId="77777777" w:rsidR="004367EF" w:rsidRPr="00C91975" w:rsidRDefault="004367EF" w:rsidP="00A16FC4">
            <w:pPr>
              <w:spacing w:after="0"/>
              <w:ind w:firstLine="13"/>
              <w:jc w:val="right"/>
              <w:rPr>
                <w:rFonts w:ascii="Arial Narrow" w:hAnsi="Arial Narrow"/>
                <w:b/>
                <w:bCs/>
                <w:i/>
                <w:iCs/>
                <w:sz w:val="18"/>
                <w:szCs w:val="18"/>
                <w:lang w:val="es-ES" w:eastAsia="es-ES"/>
              </w:rPr>
            </w:pPr>
            <w:r w:rsidRPr="00C91975">
              <w:rPr>
                <w:rFonts w:ascii="Arial Narrow" w:hAnsi="Arial Narrow"/>
                <w:b/>
                <w:bCs/>
                <w:i/>
                <w:iCs/>
                <w:sz w:val="18"/>
                <w:szCs w:val="18"/>
                <w:lang w:val="es-ES" w:eastAsia="es-ES"/>
              </w:rPr>
              <w:t xml:space="preserve">       13,6 </w:t>
            </w:r>
          </w:p>
        </w:tc>
        <w:tc>
          <w:tcPr>
            <w:tcW w:w="974" w:type="dxa"/>
            <w:tcBorders>
              <w:top w:val="nil"/>
              <w:left w:val="nil"/>
              <w:bottom w:val="single" w:sz="4" w:space="0" w:color="auto"/>
              <w:right w:val="nil"/>
            </w:tcBorders>
            <w:shd w:val="clear" w:color="000000" w:fill="D9D9D9"/>
            <w:noWrap/>
            <w:vAlign w:val="center"/>
            <w:hideMark/>
          </w:tcPr>
          <w:p w14:paraId="06ADC102" w14:textId="77777777" w:rsidR="004367EF" w:rsidRPr="00C91975" w:rsidRDefault="004367EF" w:rsidP="00A16FC4">
            <w:pPr>
              <w:spacing w:after="0"/>
              <w:ind w:hanging="50"/>
              <w:jc w:val="right"/>
              <w:rPr>
                <w:rFonts w:ascii="Arial Narrow" w:hAnsi="Arial Narrow"/>
                <w:b/>
                <w:bCs/>
                <w:i/>
                <w:iCs/>
                <w:color w:val="000000"/>
                <w:sz w:val="18"/>
                <w:szCs w:val="18"/>
                <w:lang w:val="es-ES" w:eastAsia="es-ES"/>
              </w:rPr>
            </w:pPr>
            <w:r w:rsidRPr="00C91975">
              <w:rPr>
                <w:rFonts w:ascii="Arial Narrow" w:hAnsi="Arial Narrow"/>
                <w:b/>
                <w:bCs/>
                <w:i/>
                <w:iCs/>
                <w:color w:val="000000"/>
                <w:sz w:val="18"/>
                <w:szCs w:val="18"/>
                <w:lang w:val="es-ES" w:eastAsia="es-ES"/>
              </w:rPr>
              <w:t>145</w:t>
            </w:r>
          </w:p>
        </w:tc>
        <w:tc>
          <w:tcPr>
            <w:tcW w:w="1019" w:type="dxa"/>
            <w:gridSpan w:val="2"/>
            <w:tcBorders>
              <w:top w:val="nil"/>
              <w:left w:val="nil"/>
              <w:bottom w:val="single" w:sz="4" w:space="0" w:color="auto"/>
              <w:right w:val="nil"/>
            </w:tcBorders>
            <w:shd w:val="clear" w:color="000000" w:fill="D9D9D9"/>
            <w:noWrap/>
            <w:vAlign w:val="center"/>
            <w:hideMark/>
          </w:tcPr>
          <w:p w14:paraId="52D22EA9" w14:textId="77777777" w:rsidR="004367EF" w:rsidRPr="00C91975" w:rsidRDefault="004367EF" w:rsidP="00A16FC4">
            <w:pPr>
              <w:spacing w:after="0"/>
              <w:ind w:firstLine="76"/>
              <w:jc w:val="right"/>
              <w:rPr>
                <w:rFonts w:ascii="Arial Narrow" w:hAnsi="Arial Narrow"/>
                <w:b/>
                <w:bCs/>
                <w:i/>
                <w:iCs/>
                <w:sz w:val="18"/>
                <w:szCs w:val="18"/>
                <w:lang w:val="es-ES" w:eastAsia="es-ES"/>
              </w:rPr>
            </w:pPr>
            <w:r w:rsidRPr="00C91975">
              <w:rPr>
                <w:rFonts w:ascii="Arial Narrow" w:hAnsi="Arial Narrow"/>
                <w:b/>
                <w:bCs/>
                <w:i/>
                <w:iCs/>
                <w:sz w:val="18"/>
                <w:szCs w:val="18"/>
                <w:lang w:val="es-ES" w:eastAsia="es-ES"/>
              </w:rPr>
              <w:t xml:space="preserve">        14,3 </w:t>
            </w:r>
          </w:p>
        </w:tc>
      </w:tr>
      <w:tr w:rsidR="004367EF" w:rsidRPr="00C91975" w14:paraId="42A2E20A"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283F3F3A" w14:textId="77777777" w:rsidR="004367EF" w:rsidRPr="00C91975" w:rsidRDefault="004367EF" w:rsidP="00A16FC4">
            <w:pPr>
              <w:spacing w:after="0"/>
              <w:ind w:firstLine="0"/>
              <w:rPr>
                <w:rFonts w:ascii="Arial Narrow" w:hAnsi="Arial Narrow"/>
                <w:sz w:val="18"/>
                <w:szCs w:val="18"/>
                <w:lang w:val="es-ES" w:eastAsia="es-ES"/>
              </w:rPr>
            </w:pPr>
            <w:r w:rsidRPr="00C91975">
              <w:rPr>
                <w:rFonts w:ascii="Arial Narrow" w:hAnsi="Arial Narrow"/>
                <w:sz w:val="18"/>
                <w:szCs w:val="18"/>
                <w:lang w:val="es-ES" w:eastAsia="es-ES"/>
              </w:rPr>
              <w:t>Activos financieros</w:t>
            </w:r>
          </w:p>
        </w:tc>
        <w:tc>
          <w:tcPr>
            <w:tcW w:w="0" w:type="auto"/>
            <w:tcBorders>
              <w:top w:val="nil"/>
              <w:left w:val="nil"/>
              <w:bottom w:val="single" w:sz="4" w:space="0" w:color="auto"/>
              <w:right w:val="nil"/>
            </w:tcBorders>
            <w:shd w:val="clear" w:color="auto" w:fill="auto"/>
            <w:noWrap/>
            <w:vAlign w:val="center"/>
            <w:hideMark/>
          </w:tcPr>
          <w:p w14:paraId="1D696CDD"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4</w:t>
            </w:r>
          </w:p>
        </w:tc>
        <w:tc>
          <w:tcPr>
            <w:tcW w:w="0" w:type="auto"/>
            <w:tcBorders>
              <w:top w:val="nil"/>
              <w:left w:val="nil"/>
              <w:bottom w:val="single" w:sz="4" w:space="0" w:color="auto"/>
              <w:right w:val="nil"/>
            </w:tcBorders>
            <w:shd w:val="clear" w:color="auto" w:fill="auto"/>
            <w:noWrap/>
            <w:vAlign w:val="center"/>
            <w:hideMark/>
          </w:tcPr>
          <w:p w14:paraId="70821720" w14:textId="77777777" w:rsidR="004367EF" w:rsidRPr="00C91975" w:rsidRDefault="004367EF" w:rsidP="00A16FC4">
            <w:pPr>
              <w:spacing w:after="0"/>
              <w:ind w:firstLine="79"/>
              <w:jc w:val="right"/>
              <w:rPr>
                <w:rFonts w:ascii="Arial Narrow" w:hAnsi="Arial Narrow"/>
                <w:sz w:val="18"/>
                <w:szCs w:val="18"/>
                <w:lang w:val="es-ES" w:eastAsia="es-ES"/>
              </w:rPr>
            </w:pPr>
            <w:r w:rsidRPr="00C91975">
              <w:rPr>
                <w:rFonts w:ascii="Arial Narrow" w:hAnsi="Arial Narrow"/>
                <w:sz w:val="18"/>
                <w:szCs w:val="18"/>
                <w:lang w:val="es-ES" w:eastAsia="es-ES"/>
              </w:rPr>
              <w:t xml:space="preserve">              0,4 </w:t>
            </w:r>
          </w:p>
        </w:tc>
        <w:tc>
          <w:tcPr>
            <w:tcW w:w="0" w:type="auto"/>
            <w:tcBorders>
              <w:top w:val="nil"/>
              <w:left w:val="nil"/>
              <w:bottom w:val="single" w:sz="4" w:space="0" w:color="auto"/>
              <w:right w:val="nil"/>
            </w:tcBorders>
            <w:shd w:val="clear" w:color="auto" w:fill="auto"/>
            <w:noWrap/>
            <w:vAlign w:val="center"/>
            <w:hideMark/>
          </w:tcPr>
          <w:p w14:paraId="49BE1358"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1</w:t>
            </w:r>
          </w:p>
        </w:tc>
        <w:tc>
          <w:tcPr>
            <w:tcW w:w="0" w:type="auto"/>
            <w:tcBorders>
              <w:top w:val="nil"/>
              <w:left w:val="nil"/>
              <w:bottom w:val="single" w:sz="4" w:space="0" w:color="auto"/>
              <w:right w:val="nil"/>
            </w:tcBorders>
            <w:shd w:val="clear" w:color="auto" w:fill="auto"/>
            <w:noWrap/>
            <w:vAlign w:val="center"/>
            <w:hideMark/>
          </w:tcPr>
          <w:p w14:paraId="1BF90664" w14:textId="77777777" w:rsidR="004367EF" w:rsidRPr="00C91975" w:rsidRDefault="004367EF" w:rsidP="00A16FC4">
            <w:pPr>
              <w:spacing w:after="0"/>
              <w:ind w:firstLine="13"/>
              <w:jc w:val="right"/>
              <w:rPr>
                <w:rFonts w:ascii="Arial Narrow" w:hAnsi="Arial Narrow"/>
                <w:sz w:val="18"/>
                <w:szCs w:val="18"/>
                <w:lang w:val="es-ES" w:eastAsia="es-ES"/>
              </w:rPr>
            </w:pPr>
            <w:r w:rsidRPr="00C91975">
              <w:rPr>
                <w:rFonts w:ascii="Arial Narrow" w:hAnsi="Arial Narrow"/>
                <w:sz w:val="18"/>
                <w:szCs w:val="18"/>
                <w:lang w:val="es-ES" w:eastAsia="es-ES"/>
              </w:rPr>
              <w:t xml:space="preserve">           0,1 </w:t>
            </w:r>
          </w:p>
        </w:tc>
        <w:tc>
          <w:tcPr>
            <w:tcW w:w="974" w:type="dxa"/>
            <w:tcBorders>
              <w:top w:val="nil"/>
              <w:left w:val="nil"/>
              <w:bottom w:val="single" w:sz="4" w:space="0" w:color="auto"/>
              <w:right w:val="nil"/>
            </w:tcBorders>
            <w:shd w:val="clear" w:color="auto" w:fill="auto"/>
            <w:noWrap/>
            <w:vAlign w:val="center"/>
            <w:hideMark/>
          </w:tcPr>
          <w:p w14:paraId="3B76E1A0" w14:textId="77777777" w:rsidR="004367EF" w:rsidRPr="00C91975" w:rsidRDefault="004367EF" w:rsidP="00A16FC4">
            <w:pPr>
              <w:spacing w:after="0"/>
              <w:ind w:hanging="5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1</w:t>
            </w:r>
          </w:p>
        </w:tc>
        <w:tc>
          <w:tcPr>
            <w:tcW w:w="1019" w:type="dxa"/>
            <w:gridSpan w:val="2"/>
            <w:tcBorders>
              <w:top w:val="nil"/>
              <w:left w:val="nil"/>
              <w:bottom w:val="single" w:sz="4" w:space="0" w:color="auto"/>
              <w:right w:val="nil"/>
            </w:tcBorders>
            <w:shd w:val="clear" w:color="auto" w:fill="auto"/>
            <w:noWrap/>
            <w:vAlign w:val="center"/>
            <w:hideMark/>
          </w:tcPr>
          <w:p w14:paraId="5ABA92E9" w14:textId="77777777" w:rsidR="004367EF" w:rsidRPr="00C91975" w:rsidRDefault="004367EF" w:rsidP="00A16FC4">
            <w:pPr>
              <w:spacing w:after="0"/>
              <w:ind w:firstLine="76"/>
              <w:jc w:val="right"/>
              <w:rPr>
                <w:rFonts w:ascii="Arial Narrow" w:hAnsi="Arial Narrow"/>
                <w:sz w:val="18"/>
                <w:szCs w:val="18"/>
                <w:lang w:val="es-ES" w:eastAsia="es-ES"/>
              </w:rPr>
            </w:pPr>
            <w:r w:rsidRPr="00C91975">
              <w:rPr>
                <w:rFonts w:ascii="Arial Narrow" w:hAnsi="Arial Narrow"/>
                <w:sz w:val="18"/>
                <w:szCs w:val="18"/>
                <w:lang w:val="es-ES" w:eastAsia="es-ES"/>
              </w:rPr>
              <w:t xml:space="preserve">            0,2 </w:t>
            </w:r>
          </w:p>
        </w:tc>
      </w:tr>
      <w:tr w:rsidR="004367EF" w:rsidRPr="00C91975" w14:paraId="578C7958"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7DC67AF6" w14:textId="77777777" w:rsidR="004367EF" w:rsidRPr="00C91975" w:rsidRDefault="004367EF" w:rsidP="00A16FC4">
            <w:pPr>
              <w:spacing w:after="0"/>
              <w:ind w:firstLine="0"/>
              <w:rPr>
                <w:rFonts w:ascii="Arial Narrow" w:hAnsi="Arial Narrow"/>
                <w:sz w:val="18"/>
                <w:szCs w:val="18"/>
                <w:lang w:val="es-ES" w:eastAsia="es-ES"/>
              </w:rPr>
            </w:pPr>
            <w:r w:rsidRPr="00C91975">
              <w:rPr>
                <w:rFonts w:ascii="Arial Narrow" w:hAnsi="Arial Narrow"/>
                <w:sz w:val="18"/>
                <w:szCs w:val="18"/>
                <w:lang w:val="es-ES" w:eastAsia="es-ES"/>
              </w:rPr>
              <w:t>Pasivos financieros</w:t>
            </w:r>
          </w:p>
        </w:tc>
        <w:tc>
          <w:tcPr>
            <w:tcW w:w="0" w:type="auto"/>
            <w:tcBorders>
              <w:top w:val="nil"/>
              <w:left w:val="nil"/>
              <w:bottom w:val="single" w:sz="4" w:space="0" w:color="auto"/>
              <w:right w:val="nil"/>
            </w:tcBorders>
            <w:shd w:val="clear" w:color="auto" w:fill="auto"/>
            <w:noWrap/>
            <w:vAlign w:val="center"/>
            <w:hideMark/>
          </w:tcPr>
          <w:p w14:paraId="42682DB2"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40</w:t>
            </w:r>
          </w:p>
        </w:tc>
        <w:tc>
          <w:tcPr>
            <w:tcW w:w="0" w:type="auto"/>
            <w:tcBorders>
              <w:top w:val="nil"/>
              <w:left w:val="nil"/>
              <w:bottom w:val="single" w:sz="4" w:space="0" w:color="auto"/>
              <w:right w:val="nil"/>
            </w:tcBorders>
            <w:shd w:val="clear" w:color="auto" w:fill="auto"/>
            <w:noWrap/>
            <w:vAlign w:val="center"/>
            <w:hideMark/>
          </w:tcPr>
          <w:p w14:paraId="31ADE918" w14:textId="77777777" w:rsidR="004367EF" w:rsidRPr="00C91975" w:rsidRDefault="004367EF" w:rsidP="00A16FC4">
            <w:pPr>
              <w:spacing w:after="0"/>
              <w:ind w:firstLine="79"/>
              <w:jc w:val="right"/>
              <w:rPr>
                <w:rFonts w:ascii="Arial Narrow" w:hAnsi="Arial Narrow"/>
                <w:sz w:val="18"/>
                <w:szCs w:val="18"/>
                <w:lang w:val="es-ES" w:eastAsia="es-ES"/>
              </w:rPr>
            </w:pPr>
            <w:r w:rsidRPr="00C91975">
              <w:rPr>
                <w:rFonts w:ascii="Arial Narrow" w:hAnsi="Arial Narrow"/>
                <w:sz w:val="18"/>
                <w:szCs w:val="18"/>
                <w:lang w:val="es-ES" w:eastAsia="es-ES"/>
              </w:rPr>
              <w:t xml:space="preserve">              3,8 </w:t>
            </w:r>
          </w:p>
        </w:tc>
        <w:tc>
          <w:tcPr>
            <w:tcW w:w="0" w:type="auto"/>
            <w:tcBorders>
              <w:top w:val="nil"/>
              <w:left w:val="nil"/>
              <w:bottom w:val="single" w:sz="4" w:space="0" w:color="auto"/>
              <w:right w:val="nil"/>
            </w:tcBorders>
            <w:shd w:val="clear" w:color="auto" w:fill="auto"/>
            <w:noWrap/>
            <w:vAlign w:val="center"/>
            <w:hideMark/>
          </w:tcPr>
          <w:p w14:paraId="77D418FA" w14:textId="77777777" w:rsidR="004367EF" w:rsidRPr="00C91975" w:rsidRDefault="004367EF" w:rsidP="00A16FC4">
            <w:pPr>
              <w:spacing w:after="0"/>
              <w:ind w:firstLine="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29</w:t>
            </w:r>
          </w:p>
        </w:tc>
        <w:tc>
          <w:tcPr>
            <w:tcW w:w="0" w:type="auto"/>
            <w:tcBorders>
              <w:top w:val="nil"/>
              <w:left w:val="nil"/>
              <w:bottom w:val="single" w:sz="4" w:space="0" w:color="auto"/>
              <w:right w:val="nil"/>
            </w:tcBorders>
            <w:shd w:val="clear" w:color="auto" w:fill="auto"/>
            <w:noWrap/>
            <w:vAlign w:val="center"/>
            <w:hideMark/>
          </w:tcPr>
          <w:p w14:paraId="1ECF382B" w14:textId="77777777" w:rsidR="004367EF" w:rsidRPr="00C91975" w:rsidRDefault="004367EF" w:rsidP="00A16FC4">
            <w:pPr>
              <w:spacing w:after="0"/>
              <w:ind w:firstLine="13"/>
              <w:jc w:val="right"/>
              <w:rPr>
                <w:rFonts w:ascii="Arial Narrow" w:hAnsi="Arial Narrow"/>
                <w:sz w:val="18"/>
                <w:szCs w:val="18"/>
                <w:lang w:val="es-ES" w:eastAsia="es-ES"/>
              </w:rPr>
            </w:pPr>
            <w:r w:rsidRPr="00C91975">
              <w:rPr>
                <w:rFonts w:ascii="Arial Narrow" w:hAnsi="Arial Narrow"/>
                <w:sz w:val="18"/>
                <w:szCs w:val="18"/>
                <w:lang w:val="es-ES" w:eastAsia="es-ES"/>
              </w:rPr>
              <w:t xml:space="preserve">           2,2 </w:t>
            </w:r>
          </w:p>
        </w:tc>
        <w:tc>
          <w:tcPr>
            <w:tcW w:w="974" w:type="dxa"/>
            <w:tcBorders>
              <w:top w:val="nil"/>
              <w:left w:val="nil"/>
              <w:bottom w:val="single" w:sz="4" w:space="0" w:color="auto"/>
              <w:right w:val="nil"/>
            </w:tcBorders>
            <w:shd w:val="clear" w:color="auto" w:fill="auto"/>
            <w:noWrap/>
            <w:vAlign w:val="center"/>
            <w:hideMark/>
          </w:tcPr>
          <w:p w14:paraId="0EAA7B27" w14:textId="77777777" w:rsidR="004367EF" w:rsidRPr="00C91975" w:rsidRDefault="004367EF" w:rsidP="00A16FC4">
            <w:pPr>
              <w:spacing w:after="0"/>
              <w:ind w:hanging="50"/>
              <w:jc w:val="right"/>
              <w:rPr>
                <w:rFonts w:ascii="Arial Narrow" w:hAnsi="Arial Narrow"/>
                <w:color w:val="000000"/>
                <w:sz w:val="18"/>
                <w:szCs w:val="18"/>
                <w:lang w:val="es-ES" w:eastAsia="es-ES"/>
              </w:rPr>
            </w:pPr>
            <w:r w:rsidRPr="00C91975">
              <w:rPr>
                <w:rFonts w:ascii="Arial Narrow" w:hAnsi="Arial Narrow"/>
                <w:color w:val="000000"/>
                <w:sz w:val="18"/>
                <w:szCs w:val="18"/>
                <w:lang w:val="es-ES" w:eastAsia="es-ES"/>
              </w:rPr>
              <w:t>38</w:t>
            </w:r>
          </w:p>
        </w:tc>
        <w:tc>
          <w:tcPr>
            <w:tcW w:w="1019" w:type="dxa"/>
            <w:gridSpan w:val="2"/>
            <w:tcBorders>
              <w:top w:val="nil"/>
              <w:left w:val="nil"/>
              <w:bottom w:val="single" w:sz="4" w:space="0" w:color="auto"/>
              <w:right w:val="nil"/>
            </w:tcBorders>
            <w:shd w:val="clear" w:color="auto" w:fill="auto"/>
            <w:noWrap/>
            <w:vAlign w:val="center"/>
            <w:hideMark/>
          </w:tcPr>
          <w:p w14:paraId="3D433D1E" w14:textId="77777777" w:rsidR="004367EF" w:rsidRPr="00C91975" w:rsidRDefault="004367EF" w:rsidP="00A16FC4">
            <w:pPr>
              <w:spacing w:after="0"/>
              <w:ind w:firstLine="76"/>
              <w:jc w:val="right"/>
              <w:rPr>
                <w:rFonts w:ascii="Arial Narrow" w:hAnsi="Arial Narrow"/>
                <w:sz w:val="18"/>
                <w:szCs w:val="18"/>
                <w:lang w:val="es-ES" w:eastAsia="es-ES"/>
              </w:rPr>
            </w:pPr>
            <w:r w:rsidRPr="00C91975">
              <w:rPr>
                <w:rFonts w:ascii="Arial Narrow" w:hAnsi="Arial Narrow"/>
                <w:sz w:val="18"/>
                <w:szCs w:val="18"/>
                <w:lang w:val="es-ES" w:eastAsia="es-ES"/>
              </w:rPr>
              <w:t xml:space="preserve">            3,7 </w:t>
            </w:r>
          </w:p>
        </w:tc>
      </w:tr>
      <w:tr w:rsidR="004367EF" w:rsidRPr="00C91975" w14:paraId="5FF04AEE" w14:textId="77777777" w:rsidTr="00565DBB">
        <w:trPr>
          <w:trHeight w:val="227"/>
          <w:jc w:val="center"/>
        </w:trPr>
        <w:tc>
          <w:tcPr>
            <w:tcW w:w="2977" w:type="dxa"/>
            <w:tcBorders>
              <w:top w:val="nil"/>
              <w:left w:val="nil"/>
              <w:bottom w:val="single" w:sz="4" w:space="0" w:color="auto"/>
              <w:right w:val="nil"/>
            </w:tcBorders>
            <w:shd w:val="clear" w:color="000000" w:fill="D9D9D9"/>
            <w:noWrap/>
            <w:vAlign w:val="center"/>
            <w:hideMark/>
          </w:tcPr>
          <w:p w14:paraId="43180FD1" w14:textId="4F05E948" w:rsidR="004367EF" w:rsidRPr="00C91975" w:rsidRDefault="008E4AB0" w:rsidP="00A16FC4">
            <w:pPr>
              <w:spacing w:after="0"/>
              <w:ind w:firstLine="0"/>
              <w:rPr>
                <w:rFonts w:ascii="Arial Narrow" w:hAnsi="Arial Narrow"/>
                <w:b/>
                <w:bCs/>
                <w:i/>
                <w:iCs/>
                <w:sz w:val="18"/>
                <w:szCs w:val="18"/>
                <w:lang w:val="es-ES" w:eastAsia="es-ES"/>
              </w:rPr>
            </w:pPr>
            <w:r>
              <w:rPr>
                <w:rFonts w:ascii="Arial Narrow" w:hAnsi="Arial Narrow"/>
                <w:b/>
                <w:bCs/>
                <w:i/>
                <w:iCs/>
                <w:sz w:val="18"/>
                <w:szCs w:val="18"/>
                <w:lang w:val="es-ES" w:eastAsia="es-ES"/>
              </w:rPr>
              <w:t>Operaciones financieras</w:t>
            </w:r>
          </w:p>
        </w:tc>
        <w:tc>
          <w:tcPr>
            <w:tcW w:w="0" w:type="auto"/>
            <w:tcBorders>
              <w:top w:val="nil"/>
              <w:left w:val="nil"/>
              <w:bottom w:val="single" w:sz="4" w:space="0" w:color="auto"/>
              <w:right w:val="nil"/>
            </w:tcBorders>
            <w:shd w:val="clear" w:color="000000" w:fill="D9D9D9"/>
            <w:noWrap/>
            <w:vAlign w:val="center"/>
            <w:hideMark/>
          </w:tcPr>
          <w:p w14:paraId="0D239F84" w14:textId="77777777" w:rsidR="004367EF" w:rsidRPr="00C91975" w:rsidRDefault="004367EF" w:rsidP="00A16FC4">
            <w:pPr>
              <w:spacing w:after="0"/>
              <w:ind w:firstLine="0"/>
              <w:jc w:val="right"/>
              <w:rPr>
                <w:rFonts w:ascii="Arial Narrow" w:hAnsi="Arial Narrow"/>
                <w:b/>
                <w:bCs/>
                <w:i/>
                <w:iCs/>
                <w:color w:val="000000"/>
                <w:sz w:val="18"/>
                <w:szCs w:val="18"/>
                <w:lang w:val="es-ES" w:eastAsia="es-ES"/>
              </w:rPr>
            </w:pPr>
            <w:r w:rsidRPr="00C91975">
              <w:rPr>
                <w:rFonts w:ascii="Arial Narrow" w:hAnsi="Arial Narrow"/>
                <w:b/>
                <w:bCs/>
                <w:i/>
                <w:iCs/>
                <w:color w:val="000000"/>
                <w:sz w:val="18"/>
                <w:szCs w:val="18"/>
                <w:lang w:val="es-ES" w:eastAsia="es-ES"/>
              </w:rPr>
              <w:t>44</w:t>
            </w:r>
          </w:p>
        </w:tc>
        <w:tc>
          <w:tcPr>
            <w:tcW w:w="0" w:type="auto"/>
            <w:tcBorders>
              <w:top w:val="nil"/>
              <w:left w:val="nil"/>
              <w:bottom w:val="single" w:sz="4" w:space="0" w:color="auto"/>
              <w:right w:val="nil"/>
            </w:tcBorders>
            <w:shd w:val="clear" w:color="000000" w:fill="D9D9D9"/>
            <w:noWrap/>
            <w:vAlign w:val="center"/>
            <w:hideMark/>
          </w:tcPr>
          <w:p w14:paraId="2AAB5595" w14:textId="77777777" w:rsidR="004367EF" w:rsidRPr="00C91975" w:rsidRDefault="004367EF" w:rsidP="00A16FC4">
            <w:pPr>
              <w:spacing w:after="0"/>
              <w:ind w:firstLine="79"/>
              <w:jc w:val="right"/>
              <w:rPr>
                <w:rFonts w:ascii="Arial Narrow" w:hAnsi="Arial Narrow"/>
                <w:b/>
                <w:bCs/>
                <w:i/>
                <w:iCs/>
                <w:sz w:val="18"/>
                <w:szCs w:val="18"/>
                <w:lang w:val="es-ES" w:eastAsia="es-ES"/>
              </w:rPr>
            </w:pPr>
            <w:r w:rsidRPr="00C91975">
              <w:rPr>
                <w:rFonts w:ascii="Arial Narrow" w:hAnsi="Arial Narrow"/>
                <w:b/>
                <w:bCs/>
                <w:i/>
                <w:iCs/>
                <w:sz w:val="18"/>
                <w:szCs w:val="18"/>
                <w:lang w:val="es-ES" w:eastAsia="es-ES"/>
              </w:rPr>
              <w:t xml:space="preserve">             4,2 </w:t>
            </w:r>
          </w:p>
        </w:tc>
        <w:tc>
          <w:tcPr>
            <w:tcW w:w="0" w:type="auto"/>
            <w:tcBorders>
              <w:top w:val="nil"/>
              <w:left w:val="nil"/>
              <w:bottom w:val="single" w:sz="4" w:space="0" w:color="auto"/>
              <w:right w:val="nil"/>
            </w:tcBorders>
            <w:shd w:val="clear" w:color="000000" w:fill="D9D9D9"/>
            <w:noWrap/>
            <w:vAlign w:val="center"/>
            <w:hideMark/>
          </w:tcPr>
          <w:p w14:paraId="09FF0BAD" w14:textId="77777777" w:rsidR="004367EF" w:rsidRPr="00C91975" w:rsidRDefault="004367EF" w:rsidP="00A16FC4">
            <w:pPr>
              <w:spacing w:after="0"/>
              <w:ind w:firstLine="0"/>
              <w:jc w:val="right"/>
              <w:rPr>
                <w:rFonts w:ascii="Arial Narrow" w:hAnsi="Arial Narrow"/>
                <w:b/>
                <w:bCs/>
                <w:i/>
                <w:iCs/>
                <w:color w:val="000000"/>
                <w:sz w:val="18"/>
                <w:szCs w:val="18"/>
                <w:lang w:val="es-ES" w:eastAsia="es-ES"/>
              </w:rPr>
            </w:pPr>
            <w:r w:rsidRPr="00C91975">
              <w:rPr>
                <w:rFonts w:ascii="Arial Narrow" w:hAnsi="Arial Narrow"/>
                <w:b/>
                <w:bCs/>
                <w:i/>
                <w:iCs/>
                <w:color w:val="000000"/>
                <w:sz w:val="18"/>
                <w:szCs w:val="18"/>
                <w:lang w:val="es-ES" w:eastAsia="es-ES"/>
              </w:rPr>
              <w:t>31</w:t>
            </w:r>
          </w:p>
        </w:tc>
        <w:tc>
          <w:tcPr>
            <w:tcW w:w="0" w:type="auto"/>
            <w:tcBorders>
              <w:top w:val="nil"/>
              <w:left w:val="nil"/>
              <w:bottom w:val="single" w:sz="4" w:space="0" w:color="auto"/>
              <w:right w:val="nil"/>
            </w:tcBorders>
            <w:shd w:val="clear" w:color="000000" w:fill="D9D9D9"/>
            <w:noWrap/>
            <w:vAlign w:val="center"/>
            <w:hideMark/>
          </w:tcPr>
          <w:p w14:paraId="186F9775" w14:textId="77777777" w:rsidR="004367EF" w:rsidRPr="00C91975" w:rsidRDefault="004367EF" w:rsidP="00A16FC4">
            <w:pPr>
              <w:spacing w:after="0"/>
              <w:ind w:firstLine="13"/>
              <w:jc w:val="right"/>
              <w:rPr>
                <w:rFonts w:ascii="Arial Narrow" w:hAnsi="Arial Narrow"/>
                <w:b/>
                <w:bCs/>
                <w:i/>
                <w:iCs/>
                <w:sz w:val="18"/>
                <w:szCs w:val="18"/>
                <w:lang w:val="es-ES" w:eastAsia="es-ES"/>
              </w:rPr>
            </w:pPr>
            <w:r w:rsidRPr="00C91975">
              <w:rPr>
                <w:rFonts w:ascii="Arial Narrow" w:hAnsi="Arial Narrow"/>
                <w:b/>
                <w:bCs/>
                <w:i/>
                <w:iCs/>
                <w:sz w:val="18"/>
                <w:szCs w:val="18"/>
                <w:lang w:val="es-ES" w:eastAsia="es-ES"/>
              </w:rPr>
              <w:t xml:space="preserve">         2,3 </w:t>
            </w:r>
          </w:p>
        </w:tc>
        <w:tc>
          <w:tcPr>
            <w:tcW w:w="974" w:type="dxa"/>
            <w:tcBorders>
              <w:top w:val="nil"/>
              <w:left w:val="nil"/>
              <w:bottom w:val="single" w:sz="4" w:space="0" w:color="auto"/>
              <w:right w:val="nil"/>
            </w:tcBorders>
            <w:shd w:val="clear" w:color="000000" w:fill="D9D9D9"/>
            <w:noWrap/>
            <w:vAlign w:val="center"/>
            <w:hideMark/>
          </w:tcPr>
          <w:p w14:paraId="0C123268" w14:textId="77777777" w:rsidR="004367EF" w:rsidRPr="00C91975" w:rsidRDefault="004367EF" w:rsidP="00A16FC4">
            <w:pPr>
              <w:spacing w:after="0"/>
              <w:ind w:hanging="50"/>
              <w:jc w:val="right"/>
              <w:rPr>
                <w:rFonts w:ascii="Arial Narrow" w:hAnsi="Arial Narrow"/>
                <w:b/>
                <w:bCs/>
                <w:i/>
                <w:iCs/>
                <w:color w:val="000000"/>
                <w:sz w:val="18"/>
                <w:szCs w:val="18"/>
                <w:lang w:val="es-ES" w:eastAsia="es-ES"/>
              </w:rPr>
            </w:pPr>
            <w:r w:rsidRPr="00C91975">
              <w:rPr>
                <w:rFonts w:ascii="Arial Narrow" w:hAnsi="Arial Narrow"/>
                <w:b/>
                <w:bCs/>
                <w:i/>
                <w:iCs/>
                <w:color w:val="000000"/>
                <w:sz w:val="18"/>
                <w:szCs w:val="18"/>
                <w:lang w:val="es-ES" w:eastAsia="es-ES"/>
              </w:rPr>
              <w:t>39</w:t>
            </w:r>
          </w:p>
        </w:tc>
        <w:tc>
          <w:tcPr>
            <w:tcW w:w="1019" w:type="dxa"/>
            <w:gridSpan w:val="2"/>
            <w:tcBorders>
              <w:top w:val="nil"/>
              <w:left w:val="nil"/>
              <w:bottom w:val="single" w:sz="4" w:space="0" w:color="auto"/>
              <w:right w:val="nil"/>
            </w:tcBorders>
            <w:shd w:val="clear" w:color="000000" w:fill="D9D9D9"/>
            <w:noWrap/>
            <w:vAlign w:val="center"/>
            <w:hideMark/>
          </w:tcPr>
          <w:p w14:paraId="31247D86" w14:textId="77777777" w:rsidR="004367EF" w:rsidRPr="00C91975" w:rsidRDefault="004367EF" w:rsidP="00A16FC4">
            <w:pPr>
              <w:spacing w:after="0"/>
              <w:ind w:firstLine="76"/>
              <w:jc w:val="right"/>
              <w:rPr>
                <w:rFonts w:ascii="Arial Narrow" w:hAnsi="Arial Narrow"/>
                <w:b/>
                <w:bCs/>
                <w:i/>
                <w:iCs/>
                <w:sz w:val="18"/>
                <w:szCs w:val="18"/>
                <w:lang w:val="es-ES" w:eastAsia="es-ES"/>
              </w:rPr>
            </w:pPr>
            <w:r w:rsidRPr="00C91975">
              <w:rPr>
                <w:rFonts w:ascii="Arial Narrow" w:hAnsi="Arial Narrow"/>
                <w:b/>
                <w:bCs/>
                <w:i/>
                <w:iCs/>
                <w:sz w:val="18"/>
                <w:szCs w:val="18"/>
                <w:lang w:val="es-ES" w:eastAsia="es-ES"/>
              </w:rPr>
              <w:t xml:space="preserve">          3,9 </w:t>
            </w:r>
          </w:p>
        </w:tc>
      </w:tr>
      <w:tr w:rsidR="004367EF" w:rsidRPr="00EE13C5" w14:paraId="75DFECC2" w14:textId="77777777" w:rsidTr="00565DBB">
        <w:trPr>
          <w:trHeight w:val="227"/>
          <w:jc w:val="center"/>
        </w:trPr>
        <w:tc>
          <w:tcPr>
            <w:tcW w:w="2977" w:type="dxa"/>
            <w:tcBorders>
              <w:top w:val="nil"/>
              <w:left w:val="nil"/>
              <w:bottom w:val="single" w:sz="4" w:space="0" w:color="auto"/>
              <w:right w:val="nil"/>
            </w:tcBorders>
            <w:shd w:val="clear" w:color="auto" w:fill="FABF8F" w:themeFill="accent6" w:themeFillTint="99"/>
            <w:noWrap/>
            <w:vAlign w:val="center"/>
            <w:hideMark/>
          </w:tcPr>
          <w:p w14:paraId="207770B8" w14:textId="385B95B6" w:rsidR="004367EF" w:rsidRPr="00EE13C5" w:rsidRDefault="004367EF" w:rsidP="00A16FC4">
            <w:pPr>
              <w:spacing w:after="0"/>
              <w:ind w:firstLine="0"/>
              <w:rPr>
                <w:rFonts w:ascii="Arial" w:hAnsi="Arial" w:cs="Arial"/>
                <w:sz w:val="18"/>
                <w:szCs w:val="18"/>
                <w:lang w:val="es-ES" w:eastAsia="es-ES"/>
              </w:rPr>
            </w:pPr>
            <w:r w:rsidRPr="00EE13C5">
              <w:rPr>
                <w:rFonts w:ascii="Arial" w:hAnsi="Arial" w:cs="Arial"/>
                <w:sz w:val="18"/>
                <w:szCs w:val="18"/>
                <w:lang w:val="es-ES" w:eastAsia="es-ES"/>
              </w:rPr>
              <w:t>T</w:t>
            </w:r>
            <w:r w:rsidR="00EE13C5">
              <w:rPr>
                <w:rFonts w:ascii="Arial" w:hAnsi="Arial" w:cs="Arial"/>
                <w:sz w:val="18"/>
                <w:szCs w:val="18"/>
                <w:lang w:val="es-ES" w:eastAsia="es-ES"/>
              </w:rPr>
              <w:t>otales</w:t>
            </w:r>
          </w:p>
        </w:tc>
        <w:tc>
          <w:tcPr>
            <w:tcW w:w="0" w:type="auto"/>
            <w:tcBorders>
              <w:top w:val="nil"/>
              <w:left w:val="nil"/>
              <w:bottom w:val="single" w:sz="4" w:space="0" w:color="auto"/>
              <w:right w:val="nil"/>
            </w:tcBorders>
            <w:shd w:val="clear" w:color="auto" w:fill="FABF8F" w:themeFill="accent6" w:themeFillTint="99"/>
            <w:noWrap/>
            <w:vAlign w:val="center"/>
            <w:hideMark/>
          </w:tcPr>
          <w:p w14:paraId="212BF7AC" w14:textId="77777777" w:rsidR="004367EF" w:rsidRPr="00EE13C5" w:rsidRDefault="004367EF" w:rsidP="00A16FC4">
            <w:pPr>
              <w:spacing w:after="0"/>
              <w:ind w:firstLine="0"/>
              <w:jc w:val="right"/>
              <w:rPr>
                <w:rFonts w:ascii="Arial" w:hAnsi="Arial" w:cs="Arial"/>
                <w:bCs/>
                <w:sz w:val="18"/>
                <w:szCs w:val="18"/>
                <w:lang w:val="es-ES" w:eastAsia="es-ES"/>
              </w:rPr>
            </w:pPr>
            <w:r w:rsidRPr="00EE13C5">
              <w:rPr>
                <w:rFonts w:ascii="Arial" w:hAnsi="Arial" w:cs="Arial"/>
                <w:bCs/>
                <w:sz w:val="18"/>
                <w:szCs w:val="18"/>
                <w:lang w:val="es-ES" w:eastAsia="es-ES"/>
              </w:rPr>
              <w:t>1.051</w:t>
            </w:r>
          </w:p>
        </w:tc>
        <w:tc>
          <w:tcPr>
            <w:tcW w:w="0" w:type="auto"/>
            <w:tcBorders>
              <w:top w:val="nil"/>
              <w:left w:val="nil"/>
              <w:bottom w:val="single" w:sz="4" w:space="0" w:color="auto"/>
              <w:right w:val="nil"/>
            </w:tcBorders>
            <w:shd w:val="clear" w:color="auto" w:fill="FABF8F" w:themeFill="accent6" w:themeFillTint="99"/>
            <w:noWrap/>
            <w:vAlign w:val="center"/>
            <w:hideMark/>
          </w:tcPr>
          <w:p w14:paraId="2EC93722" w14:textId="77777777" w:rsidR="004367EF" w:rsidRPr="00EE13C5" w:rsidRDefault="004367EF" w:rsidP="00A16FC4">
            <w:pPr>
              <w:spacing w:after="0"/>
              <w:ind w:firstLine="79"/>
              <w:jc w:val="right"/>
              <w:rPr>
                <w:rFonts w:ascii="Arial" w:hAnsi="Arial" w:cs="Arial"/>
                <w:bCs/>
                <w:sz w:val="18"/>
                <w:szCs w:val="18"/>
                <w:lang w:val="es-ES" w:eastAsia="es-ES"/>
              </w:rPr>
            </w:pPr>
            <w:r w:rsidRPr="00EE13C5">
              <w:rPr>
                <w:rFonts w:ascii="Arial" w:hAnsi="Arial" w:cs="Arial"/>
                <w:bCs/>
                <w:sz w:val="18"/>
                <w:szCs w:val="18"/>
                <w:lang w:val="es-ES" w:eastAsia="es-ES"/>
              </w:rPr>
              <w:t>100</w:t>
            </w:r>
          </w:p>
        </w:tc>
        <w:tc>
          <w:tcPr>
            <w:tcW w:w="0" w:type="auto"/>
            <w:tcBorders>
              <w:top w:val="nil"/>
              <w:left w:val="nil"/>
              <w:bottom w:val="single" w:sz="4" w:space="0" w:color="auto"/>
              <w:right w:val="nil"/>
            </w:tcBorders>
            <w:shd w:val="clear" w:color="auto" w:fill="FABF8F" w:themeFill="accent6" w:themeFillTint="99"/>
            <w:noWrap/>
            <w:vAlign w:val="center"/>
            <w:hideMark/>
          </w:tcPr>
          <w:p w14:paraId="7854EF49" w14:textId="77777777" w:rsidR="004367EF" w:rsidRPr="00EE13C5" w:rsidRDefault="004367EF" w:rsidP="00A16FC4">
            <w:pPr>
              <w:spacing w:after="0"/>
              <w:ind w:firstLine="0"/>
              <w:jc w:val="right"/>
              <w:rPr>
                <w:rFonts w:ascii="Arial" w:hAnsi="Arial" w:cs="Arial"/>
                <w:bCs/>
                <w:sz w:val="18"/>
                <w:szCs w:val="18"/>
                <w:lang w:val="es-ES" w:eastAsia="es-ES"/>
              </w:rPr>
            </w:pPr>
            <w:r w:rsidRPr="00EE13C5">
              <w:rPr>
                <w:rFonts w:ascii="Arial" w:hAnsi="Arial" w:cs="Arial"/>
                <w:bCs/>
                <w:sz w:val="18"/>
                <w:szCs w:val="18"/>
                <w:lang w:val="es-ES" w:eastAsia="es-ES"/>
              </w:rPr>
              <w:t>1.311</w:t>
            </w:r>
          </w:p>
        </w:tc>
        <w:tc>
          <w:tcPr>
            <w:tcW w:w="0" w:type="auto"/>
            <w:tcBorders>
              <w:top w:val="nil"/>
              <w:left w:val="nil"/>
              <w:bottom w:val="single" w:sz="4" w:space="0" w:color="auto"/>
              <w:right w:val="nil"/>
            </w:tcBorders>
            <w:shd w:val="clear" w:color="auto" w:fill="FABF8F" w:themeFill="accent6" w:themeFillTint="99"/>
            <w:noWrap/>
            <w:vAlign w:val="center"/>
            <w:hideMark/>
          </w:tcPr>
          <w:p w14:paraId="6D6CBED9" w14:textId="77777777" w:rsidR="004367EF" w:rsidRPr="00EE13C5" w:rsidRDefault="004367EF" w:rsidP="00A16FC4">
            <w:pPr>
              <w:spacing w:after="0"/>
              <w:ind w:firstLine="13"/>
              <w:jc w:val="right"/>
              <w:rPr>
                <w:rFonts w:ascii="Arial" w:hAnsi="Arial" w:cs="Arial"/>
                <w:bCs/>
                <w:sz w:val="18"/>
                <w:szCs w:val="18"/>
                <w:lang w:val="es-ES" w:eastAsia="es-ES"/>
              </w:rPr>
            </w:pPr>
            <w:r w:rsidRPr="00EE13C5">
              <w:rPr>
                <w:rFonts w:ascii="Arial" w:hAnsi="Arial" w:cs="Arial"/>
                <w:bCs/>
                <w:sz w:val="18"/>
                <w:szCs w:val="18"/>
                <w:lang w:val="es-ES" w:eastAsia="es-ES"/>
              </w:rPr>
              <w:t>100</w:t>
            </w:r>
          </w:p>
        </w:tc>
        <w:tc>
          <w:tcPr>
            <w:tcW w:w="974" w:type="dxa"/>
            <w:tcBorders>
              <w:top w:val="nil"/>
              <w:left w:val="nil"/>
              <w:bottom w:val="single" w:sz="4" w:space="0" w:color="auto"/>
              <w:right w:val="nil"/>
            </w:tcBorders>
            <w:shd w:val="clear" w:color="auto" w:fill="FABF8F" w:themeFill="accent6" w:themeFillTint="99"/>
            <w:noWrap/>
            <w:vAlign w:val="center"/>
            <w:hideMark/>
          </w:tcPr>
          <w:p w14:paraId="7FE28A6E" w14:textId="77777777" w:rsidR="004367EF" w:rsidRPr="00EE13C5" w:rsidRDefault="004367EF" w:rsidP="00A16FC4">
            <w:pPr>
              <w:spacing w:after="0"/>
              <w:ind w:hanging="50"/>
              <w:jc w:val="right"/>
              <w:rPr>
                <w:rFonts w:ascii="Arial" w:hAnsi="Arial" w:cs="Arial"/>
                <w:bCs/>
                <w:sz w:val="18"/>
                <w:szCs w:val="18"/>
                <w:lang w:val="es-ES" w:eastAsia="es-ES"/>
              </w:rPr>
            </w:pPr>
            <w:r w:rsidRPr="00EE13C5">
              <w:rPr>
                <w:rFonts w:ascii="Arial" w:hAnsi="Arial" w:cs="Arial"/>
                <w:bCs/>
                <w:sz w:val="18"/>
                <w:szCs w:val="18"/>
                <w:lang w:val="es-ES" w:eastAsia="es-ES"/>
              </w:rPr>
              <w:t>1.014</w:t>
            </w:r>
          </w:p>
        </w:tc>
        <w:tc>
          <w:tcPr>
            <w:tcW w:w="1019" w:type="dxa"/>
            <w:gridSpan w:val="2"/>
            <w:tcBorders>
              <w:top w:val="nil"/>
              <w:left w:val="nil"/>
              <w:bottom w:val="single" w:sz="4" w:space="0" w:color="auto"/>
              <w:right w:val="nil"/>
            </w:tcBorders>
            <w:shd w:val="clear" w:color="auto" w:fill="FABF8F" w:themeFill="accent6" w:themeFillTint="99"/>
            <w:noWrap/>
            <w:vAlign w:val="center"/>
            <w:hideMark/>
          </w:tcPr>
          <w:p w14:paraId="30E5AB0D" w14:textId="77777777" w:rsidR="004367EF" w:rsidRPr="00EE13C5" w:rsidRDefault="004367EF" w:rsidP="00A16FC4">
            <w:pPr>
              <w:spacing w:after="0"/>
              <w:ind w:firstLine="76"/>
              <w:jc w:val="right"/>
              <w:rPr>
                <w:rFonts w:ascii="Arial" w:hAnsi="Arial" w:cs="Arial"/>
                <w:bCs/>
                <w:sz w:val="18"/>
                <w:szCs w:val="18"/>
                <w:lang w:val="es-ES" w:eastAsia="es-ES"/>
              </w:rPr>
            </w:pPr>
            <w:r w:rsidRPr="00EE13C5">
              <w:rPr>
                <w:rFonts w:ascii="Arial" w:hAnsi="Arial" w:cs="Arial"/>
                <w:bCs/>
                <w:sz w:val="18"/>
                <w:szCs w:val="18"/>
                <w:lang w:val="es-ES" w:eastAsia="es-ES"/>
              </w:rPr>
              <w:t>100</w:t>
            </w:r>
          </w:p>
        </w:tc>
      </w:tr>
    </w:tbl>
    <w:p w14:paraId="2A8AC2EB" w14:textId="77777777" w:rsidR="004367EF" w:rsidRDefault="004367EF" w:rsidP="00EE13C5">
      <w:pPr>
        <w:spacing w:after="0"/>
        <w:ind w:firstLine="284"/>
        <w:rPr>
          <w:rStyle w:val="textoCar"/>
          <w:szCs w:val="26"/>
        </w:rPr>
      </w:pPr>
    </w:p>
    <w:p w14:paraId="28646F57" w14:textId="77777777" w:rsidR="004367EF" w:rsidRDefault="004367EF" w:rsidP="004367EF">
      <w:pPr>
        <w:ind w:firstLine="284"/>
        <w:rPr>
          <w:rStyle w:val="textoCar"/>
          <w:szCs w:val="26"/>
        </w:rPr>
      </w:pPr>
      <w:r>
        <w:rPr>
          <w:rStyle w:val="textoCar"/>
          <w:szCs w:val="26"/>
        </w:rPr>
        <w:t>En la liquidación de ingresos, destaca que tanto en Navarra como en el resto del Estado los ingresos corrientes suponen aproximadamente el 90 por ciento del total, frente al 96 por ciento del País Vasco.</w:t>
      </w:r>
    </w:p>
    <w:p w14:paraId="30101866" w14:textId="656877CA" w:rsidR="00D35117" w:rsidRDefault="004C5885" w:rsidP="004367EF">
      <w:pPr>
        <w:ind w:firstLine="284"/>
        <w:rPr>
          <w:rStyle w:val="textoCar"/>
          <w:szCs w:val="26"/>
        </w:rPr>
      </w:pPr>
      <w:r>
        <w:rPr>
          <w:rStyle w:val="textoCar"/>
          <w:szCs w:val="26"/>
        </w:rPr>
        <w:t>L</w:t>
      </w:r>
      <w:r w:rsidR="004367EF">
        <w:rPr>
          <w:rStyle w:val="textoCar"/>
          <w:szCs w:val="26"/>
        </w:rPr>
        <w:t xml:space="preserve">a diferencia más importante entre </w:t>
      </w:r>
      <w:r w:rsidR="00E10ADA">
        <w:rPr>
          <w:rStyle w:val="textoCar"/>
          <w:szCs w:val="26"/>
        </w:rPr>
        <w:t xml:space="preserve">los ayuntamientos de </w:t>
      </w:r>
      <w:r w:rsidR="004367EF">
        <w:rPr>
          <w:rStyle w:val="textoCar"/>
          <w:szCs w:val="26"/>
        </w:rPr>
        <w:t>Navarra y el País Vasco se encuentra en l</w:t>
      </w:r>
      <w:r w:rsidR="006F5F14">
        <w:rPr>
          <w:rStyle w:val="textoCar"/>
          <w:szCs w:val="26"/>
        </w:rPr>
        <w:t>os ingresos por</w:t>
      </w:r>
      <w:r w:rsidR="004367EF">
        <w:rPr>
          <w:rStyle w:val="textoCar"/>
          <w:szCs w:val="26"/>
        </w:rPr>
        <w:t xml:space="preserve"> transferencias corrientes, que en Navarra suman 282 euros por habitante menos que en el País Vasco. </w:t>
      </w:r>
      <w:r w:rsidR="00D35117">
        <w:rPr>
          <w:rStyle w:val="textoCar"/>
          <w:szCs w:val="26"/>
        </w:rPr>
        <w:t xml:space="preserve">También es significativa la diferencia de ingresos por tasas, precios públicos y otros ingresos, que en Navarra ascienden a 55 euros por habitante menos que en el País Vasco. </w:t>
      </w:r>
    </w:p>
    <w:p w14:paraId="7484D8F1" w14:textId="77777777" w:rsidR="004367EF" w:rsidRDefault="004367EF" w:rsidP="004367EF">
      <w:pPr>
        <w:ind w:firstLine="284"/>
        <w:rPr>
          <w:rStyle w:val="textoCar"/>
          <w:szCs w:val="26"/>
        </w:rPr>
      </w:pPr>
      <w:r>
        <w:rPr>
          <w:rStyle w:val="textoCar"/>
          <w:szCs w:val="26"/>
        </w:rPr>
        <w:lastRenderedPageBreak/>
        <w:t xml:space="preserve">En cambio, en la comparación </w:t>
      </w:r>
      <w:r w:rsidR="00D35117">
        <w:rPr>
          <w:rStyle w:val="textoCar"/>
          <w:szCs w:val="26"/>
        </w:rPr>
        <w:t xml:space="preserve">de ingresos corrientes </w:t>
      </w:r>
      <w:r>
        <w:rPr>
          <w:rStyle w:val="textoCar"/>
          <w:szCs w:val="26"/>
        </w:rPr>
        <w:t xml:space="preserve">con el resto del Estado, la principal diferencia afecta a los impuestos directos, que en Navarra se sitúan </w:t>
      </w:r>
      <w:r w:rsidR="004C5885">
        <w:rPr>
          <w:rStyle w:val="textoCar"/>
          <w:szCs w:val="26"/>
        </w:rPr>
        <w:t>en</w:t>
      </w:r>
      <w:r>
        <w:rPr>
          <w:rStyle w:val="textoCar"/>
          <w:szCs w:val="26"/>
        </w:rPr>
        <w:t xml:space="preserve"> 107 euros por habitante menos que en el resto del Estado.</w:t>
      </w:r>
    </w:p>
    <w:p w14:paraId="2783983A" w14:textId="35B4F2F8" w:rsidR="004367EF" w:rsidRDefault="004C5885" w:rsidP="004367EF">
      <w:pPr>
        <w:ind w:firstLine="284"/>
        <w:rPr>
          <w:rStyle w:val="textoCar"/>
          <w:szCs w:val="26"/>
        </w:rPr>
      </w:pPr>
      <w:r>
        <w:rPr>
          <w:rStyle w:val="textoCar"/>
          <w:szCs w:val="26"/>
        </w:rPr>
        <w:t>Por</w:t>
      </w:r>
      <w:r w:rsidR="004367EF">
        <w:rPr>
          <w:rStyle w:val="textoCar"/>
          <w:szCs w:val="26"/>
        </w:rPr>
        <w:t xml:space="preserve"> transferencias de capital, los </w:t>
      </w:r>
      <w:r w:rsidR="00974F8A">
        <w:rPr>
          <w:rStyle w:val="textoCar"/>
          <w:szCs w:val="26"/>
        </w:rPr>
        <w:t>ayuntamient</w:t>
      </w:r>
      <w:r w:rsidR="004367EF">
        <w:rPr>
          <w:rStyle w:val="textoCar"/>
          <w:szCs w:val="26"/>
        </w:rPr>
        <w:t xml:space="preserve">os navarros reciben </w:t>
      </w:r>
      <w:r>
        <w:rPr>
          <w:rStyle w:val="textoCar"/>
          <w:szCs w:val="26"/>
        </w:rPr>
        <w:t>65 eur</w:t>
      </w:r>
      <w:r w:rsidR="003C17BD">
        <w:rPr>
          <w:rStyle w:val="textoCar"/>
          <w:szCs w:val="26"/>
        </w:rPr>
        <w:t>os</w:t>
      </w:r>
      <w:r>
        <w:rPr>
          <w:rStyle w:val="textoCar"/>
          <w:szCs w:val="26"/>
        </w:rPr>
        <w:t xml:space="preserve"> más que los del País Vasco y 23 más que los del resto del Estado.</w:t>
      </w:r>
    </w:p>
    <w:p w14:paraId="7E73BA84" w14:textId="377EF87E" w:rsidR="004C5885" w:rsidRDefault="004367EF" w:rsidP="004367EF">
      <w:pPr>
        <w:ind w:firstLine="284"/>
        <w:rPr>
          <w:rStyle w:val="textoCar"/>
          <w:szCs w:val="26"/>
        </w:rPr>
      </w:pPr>
      <w:r>
        <w:rPr>
          <w:rStyle w:val="textoCar"/>
          <w:szCs w:val="26"/>
        </w:rPr>
        <w:t>Las imp</w:t>
      </w:r>
      <w:r w:rsidR="00974F8A">
        <w:rPr>
          <w:rStyle w:val="textoCar"/>
          <w:szCs w:val="26"/>
        </w:rPr>
        <w:t>ortantes diferencias entre los ayuntamient</w:t>
      </w:r>
      <w:r>
        <w:rPr>
          <w:rStyle w:val="textoCar"/>
          <w:szCs w:val="26"/>
        </w:rPr>
        <w:t xml:space="preserve">os navarros y los del País Vasco en ingresos </w:t>
      </w:r>
      <w:r w:rsidR="004C5885">
        <w:rPr>
          <w:rStyle w:val="textoCar"/>
          <w:szCs w:val="26"/>
        </w:rPr>
        <w:t>en cuanto a las transferencias recibidas</w:t>
      </w:r>
      <w:r>
        <w:rPr>
          <w:rStyle w:val="textoCar"/>
          <w:szCs w:val="26"/>
        </w:rPr>
        <w:t xml:space="preserve"> se explican, en buena medida, porque en Navarra una parte relevante de las mismas tienen carácter finalista vinculado a la realización de </w:t>
      </w:r>
      <w:r w:rsidRPr="00D35117">
        <w:rPr>
          <w:rStyle w:val="textoCar"/>
          <w:szCs w:val="26"/>
        </w:rPr>
        <w:t xml:space="preserve">inversiones, mientras que en el País Vasco el importe sustancial de las transferencias tiene carácter no finalista y, por tanto, se consideran transferencias corrientes. En todo caso, el total de transferencias corrientes y de capital en Navarra </w:t>
      </w:r>
      <w:r w:rsidR="004C5885">
        <w:rPr>
          <w:rStyle w:val="textoCar"/>
          <w:szCs w:val="26"/>
        </w:rPr>
        <w:t>es 217 eur</w:t>
      </w:r>
      <w:r w:rsidR="003C17BD">
        <w:rPr>
          <w:rStyle w:val="textoCar"/>
          <w:szCs w:val="26"/>
        </w:rPr>
        <w:t>os</w:t>
      </w:r>
      <w:r w:rsidR="004C5885">
        <w:rPr>
          <w:rStyle w:val="textoCar"/>
          <w:szCs w:val="26"/>
        </w:rPr>
        <w:t xml:space="preserve"> inferior al del País Vasco, lo que explica casi íntegramente la diferencia entre los totales de ingresos.</w:t>
      </w:r>
    </w:p>
    <w:p w14:paraId="38C744CD" w14:textId="191E313D" w:rsidR="004C5885" w:rsidRDefault="004367EF" w:rsidP="004367EF">
      <w:pPr>
        <w:ind w:firstLine="284"/>
        <w:rPr>
          <w:rStyle w:val="textoCar"/>
          <w:szCs w:val="26"/>
        </w:rPr>
      </w:pPr>
      <w:r>
        <w:rPr>
          <w:rStyle w:val="textoCar"/>
          <w:szCs w:val="26"/>
        </w:rPr>
        <w:t xml:space="preserve">Por su parte, los gastos corrientes de los </w:t>
      </w:r>
      <w:r w:rsidR="00974F8A">
        <w:rPr>
          <w:rStyle w:val="textoCar"/>
          <w:szCs w:val="26"/>
        </w:rPr>
        <w:t>ayuntamient</w:t>
      </w:r>
      <w:r>
        <w:rPr>
          <w:rStyle w:val="textoCar"/>
          <w:szCs w:val="26"/>
        </w:rPr>
        <w:t xml:space="preserve">os navarros </w:t>
      </w:r>
      <w:r w:rsidR="004C5885">
        <w:rPr>
          <w:rStyle w:val="textoCar"/>
          <w:szCs w:val="26"/>
        </w:rPr>
        <w:t>son inferiores a los registrados en el País Vasco y en el resto del Estado,</w:t>
      </w:r>
      <w:r>
        <w:rPr>
          <w:rStyle w:val="textoCar"/>
          <w:szCs w:val="26"/>
        </w:rPr>
        <w:t xml:space="preserve"> </w:t>
      </w:r>
      <w:r w:rsidR="004C5885">
        <w:rPr>
          <w:rStyle w:val="textoCar"/>
          <w:szCs w:val="26"/>
        </w:rPr>
        <w:t>en 304 y 31 euros</w:t>
      </w:r>
      <w:r>
        <w:rPr>
          <w:rStyle w:val="textoCar"/>
          <w:szCs w:val="26"/>
        </w:rPr>
        <w:t>, respectivamente. E</w:t>
      </w:r>
      <w:r w:rsidR="004C5885">
        <w:rPr>
          <w:rStyle w:val="textoCar"/>
          <w:szCs w:val="26"/>
        </w:rPr>
        <w:t>n cambio, en los gastos de capital sucede lo contrario: los 209 euros por habitante de Navarra superan en 31 y 64 eur</w:t>
      </w:r>
      <w:r w:rsidR="003C17BD">
        <w:rPr>
          <w:rStyle w:val="textoCar"/>
          <w:szCs w:val="26"/>
        </w:rPr>
        <w:t>os</w:t>
      </w:r>
      <w:r w:rsidR="004C5885">
        <w:rPr>
          <w:rStyle w:val="textoCar"/>
          <w:szCs w:val="26"/>
        </w:rPr>
        <w:t xml:space="preserve"> a los correspondientes al País Vasco y al resto del Estado.</w:t>
      </w:r>
    </w:p>
    <w:p w14:paraId="4FA74736" w14:textId="77777777" w:rsidR="004367EF" w:rsidRDefault="004367EF" w:rsidP="00EE13C5">
      <w:pPr>
        <w:spacing w:after="240"/>
        <w:ind w:firstLine="284"/>
        <w:rPr>
          <w:color w:val="000000" w:themeColor="text1"/>
          <w:spacing w:val="6"/>
          <w:sz w:val="26"/>
          <w:szCs w:val="24"/>
        </w:rPr>
      </w:pPr>
      <w:r>
        <w:rPr>
          <w:color w:val="000000" w:themeColor="text1"/>
          <w:spacing w:val="6"/>
          <w:sz w:val="26"/>
          <w:szCs w:val="24"/>
        </w:rPr>
        <w:t>A continuación, mostramos una serie de indicadores para los tres territorios:</w:t>
      </w:r>
    </w:p>
    <w:tbl>
      <w:tblPr>
        <w:tblW w:w="8622" w:type="dxa"/>
        <w:jc w:val="center"/>
        <w:tblCellMar>
          <w:left w:w="70" w:type="dxa"/>
          <w:right w:w="70" w:type="dxa"/>
        </w:tblCellMar>
        <w:tblLook w:val="04A0" w:firstRow="1" w:lastRow="0" w:firstColumn="1" w:lastColumn="0" w:noHBand="0" w:noVBand="1"/>
      </w:tblPr>
      <w:tblGrid>
        <w:gridCol w:w="3969"/>
        <w:gridCol w:w="932"/>
        <w:gridCol w:w="671"/>
        <w:gridCol w:w="831"/>
        <w:gridCol w:w="1110"/>
        <w:gridCol w:w="1109"/>
      </w:tblGrid>
      <w:tr w:rsidR="004367EF" w:rsidRPr="00EE13C5" w14:paraId="730E5241" w14:textId="77777777" w:rsidTr="005C70E8">
        <w:trPr>
          <w:trHeight w:val="227"/>
          <w:jc w:val="center"/>
        </w:trPr>
        <w:tc>
          <w:tcPr>
            <w:tcW w:w="3969" w:type="dxa"/>
            <w:tcBorders>
              <w:top w:val="single" w:sz="4" w:space="0" w:color="auto"/>
              <w:left w:val="nil"/>
              <w:bottom w:val="single" w:sz="4" w:space="0" w:color="auto"/>
              <w:right w:val="nil"/>
            </w:tcBorders>
            <w:shd w:val="clear" w:color="auto" w:fill="FABF8F" w:themeFill="accent6" w:themeFillTint="99"/>
            <w:vAlign w:val="center"/>
            <w:hideMark/>
          </w:tcPr>
          <w:p w14:paraId="1010C861" w14:textId="77777777" w:rsidR="004367EF" w:rsidRPr="00EE13C5" w:rsidRDefault="004367EF" w:rsidP="00EE13C5">
            <w:pPr>
              <w:pStyle w:val="cuadroCabe"/>
              <w:spacing w:line="240" w:lineRule="auto"/>
              <w:jc w:val="left"/>
              <w:rPr>
                <w:sz w:val="16"/>
                <w:szCs w:val="16"/>
                <w:lang w:val="es-ES" w:eastAsia="es-ES"/>
              </w:rPr>
            </w:pPr>
            <w:r w:rsidRPr="00EE13C5">
              <w:rPr>
                <w:sz w:val="16"/>
                <w:szCs w:val="16"/>
                <w:lang w:val="es-ES" w:eastAsia="es-ES"/>
              </w:rPr>
              <w:t>Indicador</w:t>
            </w:r>
          </w:p>
        </w:tc>
        <w:tc>
          <w:tcPr>
            <w:tcW w:w="932" w:type="dxa"/>
            <w:tcBorders>
              <w:top w:val="single" w:sz="4" w:space="0" w:color="auto"/>
              <w:left w:val="nil"/>
              <w:bottom w:val="single" w:sz="4" w:space="0" w:color="auto"/>
              <w:right w:val="nil"/>
            </w:tcBorders>
            <w:shd w:val="clear" w:color="auto" w:fill="FABF8F" w:themeFill="accent6" w:themeFillTint="99"/>
            <w:vAlign w:val="center"/>
            <w:hideMark/>
          </w:tcPr>
          <w:p w14:paraId="6EE3DD98" w14:textId="77777777" w:rsidR="004367EF" w:rsidRPr="00EE13C5" w:rsidRDefault="004367EF" w:rsidP="00EE13C5">
            <w:pPr>
              <w:pStyle w:val="cuadroCabe"/>
              <w:spacing w:line="240" w:lineRule="auto"/>
              <w:jc w:val="right"/>
              <w:rPr>
                <w:sz w:val="16"/>
                <w:szCs w:val="16"/>
                <w:lang w:val="es-ES" w:eastAsia="es-ES"/>
              </w:rPr>
            </w:pPr>
            <w:r w:rsidRPr="00EE13C5">
              <w:rPr>
                <w:sz w:val="16"/>
                <w:szCs w:val="16"/>
                <w:lang w:val="es-ES" w:eastAsia="es-ES"/>
              </w:rPr>
              <w:t>Navarra</w:t>
            </w:r>
          </w:p>
        </w:tc>
        <w:tc>
          <w:tcPr>
            <w:tcW w:w="671" w:type="dxa"/>
            <w:tcBorders>
              <w:top w:val="single" w:sz="4" w:space="0" w:color="auto"/>
              <w:left w:val="nil"/>
              <w:bottom w:val="single" w:sz="4" w:space="0" w:color="auto"/>
              <w:right w:val="nil"/>
            </w:tcBorders>
            <w:shd w:val="clear" w:color="auto" w:fill="FABF8F" w:themeFill="accent6" w:themeFillTint="99"/>
            <w:vAlign w:val="center"/>
            <w:hideMark/>
          </w:tcPr>
          <w:p w14:paraId="36B8FE70" w14:textId="77777777" w:rsidR="004367EF" w:rsidRPr="00EE13C5" w:rsidRDefault="004367EF" w:rsidP="00EE13C5">
            <w:pPr>
              <w:pStyle w:val="cuadroCabe"/>
              <w:spacing w:line="240" w:lineRule="auto"/>
              <w:jc w:val="right"/>
              <w:rPr>
                <w:sz w:val="16"/>
                <w:szCs w:val="16"/>
                <w:lang w:val="es-ES" w:eastAsia="es-ES"/>
              </w:rPr>
            </w:pPr>
            <w:r w:rsidRPr="00EE13C5">
              <w:rPr>
                <w:sz w:val="16"/>
                <w:szCs w:val="16"/>
                <w:lang w:val="es-ES" w:eastAsia="es-ES"/>
              </w:rPr>
              <w:t>País Vasco</w:t>
            </w:r>
          </w:p>
        </w:tc>
        <w:tc>
          <w:tcPr>
            <w:tcW w:w="831" w:type="dxa"/>
            <w:tcBorders>
              <w:top w:val="single" w:sz="4" w:space="0" w:color="auto"/>
              <w:left w:val="nil"/>
              <w:bottom w:val="single" w:sz="4" w:space="0" w:color="auto"/>
              <w:right w:val="nil"/>
            </w:tcBorders>
            <w:shd w:val="clear" w:color="auto" w:fill="FABF8F" w:themeFill="accent6" w:themeFillTint="99"/>
            <w:vAlign w:val="center"/>
            <w:hideMark/>
          </w:tcPr>
          <w:p w14:paraId="7205F004" w14:textId="79838575" w:rsidR="004367EF" w:rsidRPr="00EE13C5" w:rsidRDefault="004367EF" w:rsidP="00EE13C5">
            <w:pPr>
              <w:pStyle w:val="cuadroCabe"/>
              <w:spacing w:line="240" w:lineRule="auto"/>
              <w:jc w:val="right"/>
              <w:rPr>
                <w:sz w:val="16"/>
                <w:szCs w:val="16"/>
                <w:lang w:val="es-ES" w:eastAsia="es-ES"/>
              </w:rPr>
            </w:pPr>
            <w:r w:rsidRPr="00EE13C5">
              <w:rPr>
                <w:sz w:val="16"/>
                <w:szCs w:val="16"/>
                <w:lang w:val="es-ES" w:eastAsia="es-ES"/>
              </w:rPr>
              <w:t>Resto Estado</w:t>
            </w:r>
          </w:p>
        </w:tc>
        <w:tc>
          <w:tcPr>
            <w:tcW w:w="1110" w:type="dxa"/>
            <w:tcBorders>
              <w:top w:val="single" w:sz="4" w:space="0" w:color="auto"/>
              <w:left w:val="nil"/>
              <w:bottom w:val="single" w:sz="4" w:space="0" w:color="auto"/>
              <w:right w:val="nil"/>
            </w:tcBorders>
            <w:shd w:val="clear" w:color="auto" w:fill="FABF8F" w:themeFill="accent6" w:themeFillTint="99"/>
            <w:vAlign w:val="center"/>
            <w:hideMark/>
          </w:tcPr>
          <w:p w14:paraId="68D5C7C8" w14:textId="414B4EFA" w:rsidR="004367EF" w:rsidRPr="00EE13C5" w:rsidRDefault="004367EF" w:rsidP="00EE13C5">
            <w:pPr>
              <w:pStyle w:val="cuadroCabe"/>
              <w:spacing w:line="240" w:lineRule="auto"/>
              <w:jc w:val="right"/>
              <w:rPr>
                <w:sz w:val="16"/>
                <w:szCs w:val="16"/>
                <w:lang w:val="es-ES" w:eastAsia="es-ES"/>
              </w:rPr>
            </w:pPr>
            <w:proofErr w:type="spellStart"/>
            <w:r w:rsidRPr="00EE13C5">
              <w:rPr>
                <w:sz w:val="16"/>
                <w:szCs w:val="16"/>
                <w:lang w:val="es-ES" w:eastAsia="es-ES"/>
              </w:rPr>
              <w:t>Dif</w:t>
            </w:r>
            <w:proofErr w:type="spellEnd"/>
            <w:r w:rsidRPr="00EE13C5">
              <w:rPr>
                <w:sz w:val="16"/>
                <w:szCs w:val="16"/>
                <w:lang w:val="es-ES" w:eastAsia="es-ES"/>
              </w:rPr>
              <w:t>. Navarra</w:t>
            </w:r>
            <w:r w:rsidR="00EE13C5">
              <w:rPr>
                <w:sz w:val="16"/>
                <w:szCs w:val="16"/>
                <w:lang w:val="es-ES" w:eastAsia="es-ES"/>
              </w:rPr>
              <w:t xml:space="preserve"> </w:t>
            </w:r>
            <w:r w:rsidR="00974F8A" w:rsidRPr="00EE13C5">
              <w:rPr>
                <w:sz w:val="16"/>
                <w:szCs w:val="16"/>
                <w:lang w:val="es-ES" w:eastAsia="es-ES"/>
              </w:rPr>
              <w:t xml:space="preserve">vs. </w:t>
            </w:r>
            <w:r w:rsidR="008E4AB0" w:rsidRPr="00EE13C5">
              <w:rPr>
                <w:sz w:val="16"/>
                <w:szCs w:val="16"/>
                <w:lang w:val="es-ES" w:eastAsia="es-ES"/>
              </w:rPr>
              <w:t>País</w:t>
            </w:r>
            <w:r w:rsidRPr="00EE13C5">
              <w:rPr>
                <w:sz w:val="16"/>
                <w:szCs w:val="16"/>
                <w:lang w:val="es-ES" w:eastAsia="es-ES"/>
              </w:rPr>
              <w:t xml:space="preserve"> Vasco</w:t>
            </w:r>
          </w:p>
        </w:tc>
        <w:tc>
          <w:tcPr>
            <w:tcW w:w="1109" w:type="dxa"/>
            <w:tcBorders>
              <w:top w:val="single" w:sz="4" w:space="0" w:color="auto"/>
              <w:left w:val="nil"/>
              <w:bottom w:val="single" w:sz="4" w:space="0" w:color="auto"/>
              <w:right w:val="nil"/>
            </w:tcBorders>
            <w:shd w:val="clear" w:color="auto" w:fill="FABF8F" w:themeFill="accent6" w:themeFillTint="99"/>
            <w:vAlign w:val="center"/>
            <w:hideMark/>
          </w:tcPr>
          <w:p w14:paraId="6C5E2715" w14:textId="113EB43C" w:rsidR="004367EF" w:rsidRPr="00EE13C5" w:rsidRDefault="004367EF" w:rsidP="00EE13C5">
            <w:pPr>
              <w:pStyle w:val="cuadroCabe"/>
              <w:spacing w:line="240" w:lineRule="auto"/>
              <w:jc w:val="right"/>
              <w:rPr>
                <w:sz w:val="16"/>
                <w:szCs w:val="16"/>
                <w:lang w:val="es-ES" w:eastAsia="es-ES"/>
              </w:rPr>
            </w:pPr>
            <w:proofErr w:type="spellStart"/>
            <w:r w:rsidRPr="00EE13C5">
              <w:rPr>
                <w:sz w:val="16"/>
                <w:szCs w:val="16"/>
                <w:lang w:val="es-ES" w:eastAsia="es-ES"/>
              </w:rPr>
              <w:t>Dif</w:t>
            </w:r>
            <w:proofErr w:type="spellEnd"/>
            <w:r w:rsidRPr="00EE13C5">
              <w:rPr>
                <w:sz w:val="16"/>
                <w:szCs w:val="16"/>
                <w:lang w:val="es-ES" w:eastAsia="es-ES"/>
              </w:rPr>
              <w:t>. Navarra</w:t>
            </w:r>
            <w:r w:rsidR="00974F8A" w:rsidRPr="00EE13C5">
              <w:rPr>
                <w:sz w:val="16"/>
                <w:szCs w:val="16"/>
                <w:lang w:val="es-ES" w:eastAsia="es-ES"/>
              </w:rPr>
              <w:t xml:space="preserve"> vs. </w:t>
            </w:r>
            <w:r w:rsidRPr="00EE13C5">
              <w:rPr>
                <w:sz w:val="16"/>
                <w:szCs w:val="16"/>
                <w:lang w:val="es-ES" w:eastAsia="es-ES"/>
              </w:rPr>
              <w:t xml:space="preserve">resto </w:t>
            </w:r>
            <w:r w:rsidR="00974F8A" w:rsidRPr="00EE13C5">
              <w:rPr>
                <w:sz w:val="16"/>
                <w:szCs w:val="16"/>
                <w:lang w:val="es-ES" w:eastAsia="es-ES"/>
              </w:rPr>
              <w:t xml:space="preserve">del </w:t>
            </w:r>
            <w:r w:rsidRPr="00EE13C5">
              <w:rPr>
                <w:sz w:val="16"/>
                <w:szCs w:val="16"/>
                <w:lang w:val="es-ES" w:eastAsia="es-ES"/>
              </w:rPr>
              <w:t>Estado</w:t>
            </w:r>
          </w:p>
        </w:tc>
      </w:tr>
      <w:tr w:rsidR="004367EF" w:rsidRPr="00EA23FB" w14:paraId="7B8E8C85" w14:textId="77777777" w:rsidTr="00EE13C5">
        <w:trPr>
          <w:trHeight w:val="227"/>
          <w:jc w:val="center"/>
        </w:trPr>
        <w:tc>
          <w:tcPr>
            <w:tcW w:w="3969" w:type="dxa"/>
            <w:tcBorders>
              <w:top w:val="nil"/>
              <w:left w:val="nil"/>
              <w:bottom w:val="single" w:sz="4" w:space="0" w:color="auto"/>
              <w:right w:val="nil"/>
            </w:tcBorders>
            <w:shd w:val="clear" w:color="auto" w:fill="auto"/>
            <w:vAlign w:val="center"/>
            <w:hideMark/>
          </w:tcPr>
          <w:p w14:paraId="07766ABF" w14:textId="77777777" w:rsidR="004367EF" w:rsidRPr="008E43F9" w:rsidRDefault="004367EF" w:rsidP="00EE13C5">
            <w:pPr>
              <w:pStyle w:val="cuatexto"/>
              <w:spacing w:line="240" w:lineRule="auto"/>
              <w:jc w:val="left"/>
              <w:rPr>
                <w:lang w:val="es-ES" w:eastAsia="es-ES"/>
              </w:rPr>
            </w:pPr>
            <w:r w:rsidRPr="008E43F9">
              <w:rPr>
                <w:lang w:val="es-ES" w:eastAsia="es-ES"/>
              </w:rPr>
              <w:t>Ingresos corrientes (por habitante)</w:t>
            </w:r>
          </w:p>
        </w:tc>
        <w:tc>
          <w:tcPr>
            <w:tcW w:w="932" w:type="dxa"/>
            <w:tcBorders>
              <w:top w:val="nil"/>
              <w:left w:val="nil"/>
              <w:bottom w:val="single" w:sz="4" w:space="0" w:color="auto"/>
              <w:right w:val="nil"/>
            </w:tcBorders>
            <w:shd w:val="clear" w:color="auto" w:fill="auto"/>
            <w:vAlign w:val="center"/>
            <w:hideMark/>
          </w:tcPr>
          <w:p w14:paraId="64E9E0D9" w14:textId="77777777" w:rsidR="004367EF" w:rsidRPr="008E43F9" w:rsidRDefault="004367EF" w:rsidP="00EE13C5">
            <w:pPr>
              <w:pStyle w:val="cuatexto"/>
              <w:spacing w:line="240" w:lineRule="auto"/>
              <w:jc w:val="right"/>
              <w:rPr>
                <w:lang w:val="es-ES" w:eastAsia="es-ES"/>
              </w:rPr>
            </w:pPr>
            <w:r w:rsidRPr="008E43F9">
              <w:rPr>
                <w:lang w:val="es-ES" w:eastAsia="es-ES"/>
              </w:rPr>
              <w:t>1.002</w:t>
            </w:r>
          </w:p>
        </w:tc>
        <w:tc>
          <w:tcPr>
            <w:tcW w:w="671" w:type="dxa"/>
            <w:tcBorders>
              <w:top w:val="nil"/>
              <w:left w:val="nil"/>
              <w:bottom w:val="single" w:sz="4" w:space="0" w:color="auto"/>
              <w:right w:val="nil"/>
            </w:tcBorders>
            <w:shd w:val="clear" w:color="auto" w:fill="auto"/>
            <w:vAlign w:val="center"/>
            <w:hideMark/>
          </w:tcPr>
          <w:p w14:paraId="7B63DF43" w14:textId="77777777" w:rsidR="004367EF" w:rsidRPr="008E43F9" w:rsidRDefault="004367EF" w:rsidP="00EE13C5">
            <w:pPr>
              <w:pStyle w:val="cuatexto"/>
              <w:spacing w:line="240" w:lineRule="auto"/>
              <w:jc w:val="right"/>
              <w:rPr>
                <w:lang w:val="es-ES" w:eastAsia="es-ES"/>
              </w:rPr>
            </w:pPr>
            <w:r w:rsidRPr="008E43F9">
              <w:rPr>
                <w:lang w:val="es-ES" w:eastAsia="es-ES"/>
              </w:rPr>
              <w:t>1.291</w:t>
            </w:r>
          </w:p>
        </w:tc>
        <w:tc>
          <w:tcPr>
            <w:tcW w:w="831" w:type="dxa"/>
            <w:tcBorders>
              <w:top w:val="nil"/>
              <w:left w:val="nil"/>
              <w:bottom w:val="single" w:sz="4" w:space="0" w:color="auto"/>
              <w:right w:val="nil"/>
            </w:tcBorders>
            <w:shd w:val="clear" w:color="auto" w:fill="auto"/>
            <w:vAlign w:val="center"/>
            <w:hideMark/>
          </w:tcPr>
          <w:p w14:paraId="417905E6" w14:textId="77777777" w:rsidR="004367EF" w:rsidRPr="008E43F9" w:rsidRDefault="004367EF" w:rsidP="00EE13C5">
            <w:pPr>
              <w:pStyle w:val="cuatexto"/>
              <w:spacing w:line="240" w:lineRule="auto"/>
              <w:jc w:val="right"/>
              <w:rPr>
                <w:lang w:val="es-ES" w:eastAsia="es-ES"/>
              </w:rPr>
            </w:pPr>
            <w:r w:rsidRPr="008E43F9">
              <w:rPr>
                <w:lang w:val="es-ES" w:eastAsia="es-ES"/>
              </w:rPr>
              <w:t>1.007</w:t>
            </w:r>
          </w:p>
        </w:tc>
        <w:tc>
          <w:tcPr>
            <w:tcW w:w="1110" w:type="dxa"/>
            <w:tcBorders>
              <w:top w:val="nil"/>
              <w:left w:val="nil"/>
              <w:bottom w:val="single" w:sz="4" w:space="0" w:color="auto"/>
              <w:right w:val="nil"/>
            </w:tcBorders>
            <w:shd w:val="clear" w:color="auto" w:fill="auto"/>
            <w:vAlign w:val="center"/>
            <w:hideMark/>
          </w:tcPr>
          <w:p w14:paraId="5AE42C6F"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-289 </w:t>
            </w:r>
          </w:p>
        </w:tc>
        <w:tc>
          <w:tcPr>
            <w:tcW w:w="1109" w:type="dxa"/>
            <w:tcBorders>
              <w:top w:val="nil"/>
              <w:left w:val="nil"/>
              <w:bottom w:val="single" w:sz="4" w:space="0" w:color="auto"/>
              <w:right w:val="nil"/>
            </w:tcBorders>
            <w:shd w:val="clear" w:color="auto" w:fill="auto"/>
            <w:vAlign w:val="center"/>
            <w:hideMark/>
          </w:tcPr>
          <w:p w14:paraId="7E897D08"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-5 </w:t>
            </w:r>
          </w:p>
        </w:tc>
      </w:tr>
      <w:tr w:rsidR="004367EF" w:rsidRPr="00EA23FB" w14:paraId="4F8E22C2"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26B1CAD2" w14:textId="77777777" w:rsidR="004367EF" w:rsidRPr="008E43F9" w:rsidRDefault="004367EF" w:rsidP="00EE13C5">
            <w:pPr>
              <w:pStyle w:val="cuatexto"/>
              <w:spacing w:line="240" w:lineRule="auto"/>
              <w:jc w:val="left"/>
              <w:rPr>
                <w:lang w:val="es-ES" w:eastAsia="es-ES"/>
              </w:rPr>
            </w:pPr>
            <w:r w:rsidRPr="008E43F9">
              <w:rPr>
                <w:lang w:val="es-ES" w:eastAsia="es-ES"/>
              </w:rPr>
              <w:t>Gastos de funcionamiento (por habitante)</w:t>
            </w:r>
          </w:p>
        </w:tc>
        <w:tc>
          <w:tcPr>
            <w:tcW w:w="932" w:type="dxa"/>
            <w:tcBorders>
              <w:top w:val="single" w:sz="4" w:space="0" w:color="auto"/>
              <w:left w:val="nil"/>
              <w:bottom w:val="single" w:sz="4" w:space="0" w:color="auto"/>
              <w:right w:val="nil"/>
            </w:tcBorders>
            <w:shd w:val="clear" w:color="auto" w:fill="auto"/>
            <w:vAlign w:val="center"/>
            <w:hideMark/>
          </w:tcPr>
          <w:p w14:paraId="0DBEA18D" w14:textId="77777777" w:rsidR="004367EF" w:rsidRPr="008E43F9" w:rsidRDefault="004367EF" w:rsidP="00EE13C5">
            <w:pPr>
              <w:pStyle w:val="cuatexto"/>
              <w:spacing w:line="240" w:lineRule="auto"/>
              <w:jc w:val="right"/>
              <w:rPr>
                <w:lang w:val="es-ES" w:eastAsia="es-ES"/>
              </w:rPr>
            </w:pPr>
            <w:r w:rsidRPr="008E43F9">
              <w:rPr>
                <w:lang w:val="es-ES" w:eastAsia="es-ES"/>
              </w:rPr>
              <w:t>796</w:t>
            </w:r>
          </w:p>
        </w:tc>
        <w:tc>
          <w:tcPr>
            <w:tcW w:w="671" w:type="dxa"/>
            <w:tcBorders>
              <w:top w:val="single" w:sz="4" w:space="0" w:color="auto"/>
              <w:left w:val="nil"/>
              <w:bottom w:val="single" w:sz="4" w:space="0" w:color="auto"/>
              <w:right w:val="nil"/>
            </w:tcBorders>
            <w:shd w:val="clear" w:color="auto" w:fill="auto"/>
            <w:vAlign w:val="center"/>
            <w:hideMark/>
          </w:tcPr>
          <w:p w14:paraId="654847BB" w14:textId="77777777" w:rsidR="004367EF" w:rsidRPr="008E43F9" w:rsidRDefault="004367EF" w:rsidP="00EE13C5">
            <w:pPr>
              <w:pStyle w:val="cuatexto"/>
              <w:spacing w:line="240" w:lineRule="auto"/>
              <w:jc w:val="right"/>
              <w:rPr>
                <w:lang w:val="es-ES" w:eastAsia="es-ES"/>
              </w:rPr>
            </w:pPr>
            <w:r w:rsidRPr="008E43F9">
              <w:rPr>
                <w:lang w:val="es-ES" w:eastAsia="es-ES"/>
              </w:rPr>
              <w:t>1.101</w:t>
            </w:r>
          </w:p>
        </w:tc>
        <w:tc>
          <w:tcPr>
            <w:tcW w:w="831" w:type="dxa"/>
            <w:tcBorders>
              <w:top w:val="single" w:sz="4" w:space="0" w:color="auto"/>
              <w:left w:val="nil"/>
              <w:bottom w:val="single" w:sz="4" w:space="0" w:color="auto"/>
              <w:right w:val="nil"/>
            </w:tcBorders>
            <w:shd w:val="clear" w:color="auto" w:fill="auto"/>
            <w:vAlign w:val="center"/>
            <w:hideMark/>
          </w:tcPr>
          <w:p w14:paraId="20F4C2E7" w14:textId="77777777" w:rsidR="004367EF" w:rsidRPr="008E43F9" w:rsidRDefault="004367EF" w:rsidP="00EE13C5">
            <w:pPr>
              <w:pStyle w:val="cuatexto"/>
              <w:spacing w:line="240" w:lineRule="auto"/>
              <w:jc w:val="right"/>
              <w:rPr>
                <w:lang w:val="es-ES" w:eastAsia="es-ES"/>
              </w:rPr>
            </w:pPr>
            <w:r w:rsidRPr="008E43F9">
              <w:rPr>
                <w:lang w:val="es-ES" w:eastAsia="es-ES"/>
              </w:rPr>
              <w:t>824</w:t>
            </w:r>
          </w:p>
        </w:tc>
        <w:tc>
          <w:tcPr>
            <w:tcW w:w="1110" w:type="dxa"/>
            <w:tcBorders>
              <w:top w:val="single" w:sz="4" w:space="0" w:color="auto"/>
              <w:left w:val="nil"/>
              <w:bottom w:val="single" w:sz="4" w:space="0" w:color="auto"/>
              <w:right w:val="nil"/>
            </w:tcBorders>
            <w:shd w:val="clear" w:color="auto" w:fill="auto"/>
            <w:vAlign w:val="center"/>
            <w:hideMark/>
          </w:tcPr>
          <w:p w14:paraId="68E5D5F5"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-305 </w:t>
            </w:r>
          </w:p>
        </w:tc>
        <w:tc>
          <w:tcPr>
            <w:tcW w:w="1109" w:type="dxa"/>
            <w:tcBorders>
              <w:top w:val="single" w:sz="4" w:space="0" w:color="auto"/>
              <w:left w:val="nil"/>
              <w:bottom w:val="single" w:sz="4" w:space="0" w:color="auto"/>
              <w:right w:val="nil"/>
            </w:tcBorders>
            <w:shd w:val="clear" w:color="auto" w:fill="auto"/>
            <w:vAlign w:val="center"/>
            <w:hideMark/>
          </w:tcPr>
          <w:p w14:paraId="544E0121"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-28 </w:t>
            </w:r>
          </w:p>
        </w:tc>
      </w:tr>
      <w:tr w:rsidR="004367EF" w:rsidRPr="00EA23FB" w14:paraId="4ECFF61E"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1AD8492A" w14:textId="77777777" w:rsidR="004367EF" w:rsidRPr="008E43F9" w:rsidRDefault="004367EF" w:rsidP="00EE13C5">
            <w:pPr>
              <w:pStyle w:val="cuatexto"/>
              <w:spacing w:line="240" w:lineRule="auto"/>
              <w:jc w:val="left"/>
              <w:rPr>
                <w:lang w:val="es-ES" w:eastAsia="es-ES"/>
              </w:rPr>
            </w:pPr>
            <w:proofErr w:type="gramStart"/>
            <w:r w:rsidRPr="008E43F9">
              <w:rPr>
                <w:lang w:val="es-ES" w:eastAsia="es-ES"/>
              </w:rPr>
              <w:t>Carga financiero</w:t>
            </w:r>
            <w:proofErr w:type="gramEnd"/>
            <w:r w:rsidRPr="008E43F9">
              <w:rPr>
                <w:lang w:val="es-ES" w:eastAsia="es-ES"/>
              </w:rPr>
              <w:t xml:space="preserve"> (por habitante)</w:t>
            </w:r>
          </w:p>
        </w:tc>
        <w:tc>
          <w:tcPr>
            <w:tcW w:w="932" w:type="dxa"/>
            <w:tcBorders>
              <w:top w:val="single" w:sz="4" w:space="0" w:color="auto"/>
              <w:left w:val="nil"/>
              <w:bottom w:val="single" w:sz="4" w:space="0" w:color="auto"/>
              <w:right w:val="nil"/>
            </w:tcBorders>
            <w:shd w:val="clear" w:color="auto" w:fill="auto"/>
            <w:vAlign w:val="center"/>
            <w:hideMark/>
          </w:tcPr>
          <w:p w14:paraId="767B9E2E" w14:textId="77777777" w:rsidR="004367EF" w:rsidRPr="008E43F9" w:rsidRDefault="004367EF" w:rsidP="00EE13C5">
            <w:pPr>
              <w:pStyle w:val="cuatexto"/>
              <w:spacing w:line="240" w:lineRule="auto"/>
              <w:jc w:val="right"/>
              <w:rPr>
                <w:lang w:val="es-ES" w:eastAsia="es-ES"/>
              </w:rPr>
            </w:pPr>
            <w:r w:rsidRPr="008E43F9">
              <w:rPr>
                <w:lang w:val="es-ES" w:eastAsia="es-ES"/>
              </w:rPr>
              <w:t>43</w:t>
            </w:r>
          </w:p>
        </w:tc>
        <w:tc>
          <w:tcPr>
            <w:tcW w:w="671" w:type="dxa"/>
            <w:tcBorders>
              <w:top w:val="single" w:sz="4" w:space="0" w:color="auto"/>
              <w:left w:val="nil"/>
              <w:bottom w:val="single" w:sz="4" w:space="0" w:color="auto"/>
              <w:right w:val="nil"/>
            </w:tcBorders>
            <w:shd w:val="clear" w:color="auto" w:fill="auto"/>
            <w:vAlign w:val="center"/>
            <w:hideMark/>
          </w:tcPr>
          <w:p w14:paraId="7F704750" w14:textId="77777777" w:rsidR="004367EF" w:rsidRPr="008E43F9" w:rsidRDefault="004367EF" w:rsidP="00EE13C5">
            <w:pPr>
              <w:pStyle w:val="cuatexto"/>
              <w:spacing w:line="240" w:lineRule="auto"/>
              <w:jc w:val="right"/>
              <w:rPr>
                <w:lang w:val="es-ES" w:eastAsia="es-ES"/>
              </w:rPr>
            </w:pPr>
            <w:r w:rsidRPr="008E43F9">
              <w:rPr>
                <w:lang w:val="es-ES" w:eastAsia="es-ES"/>
              </w:rPr>
              <w:t>31</w:t>
            </w:r>
          </w:p>
        </w:tc>
        <w:tc>
          <w:tcPr>
            <w:tcW w:w="831" w:type="dxa"/>
            <w:tcBorders>
              <w:top w:val="single" w:sz="4" w:space="0" w:color="auto"/>
              <w:left w:val="nil"/>
              <w:bottom w:val="single" w:sz="4" w:space="0" w:color="auto"/>
              <w:right w:val="nil"/>
            </w:tcBorders>
            <w:shd w:val="clear" w:color="auto" w:fill="auto"/>
            <w:vAlign w:val="center"/>
            <w:hideMark/>
          </w:tcPr>
          <w:p w14:paraId="116CCAF7" w14:textId="77777777" w:rsidR="004367EF" w:rsidRPr="008E43F9" w:rsidRDefault="004367EF" w:rsidP="00EE13C5">
            <w:pPr>
              <w:pStyle w:val="cuatexto"/>
              <w:spacing w:line="240" w:lineRule="auto"/>
              <w:jc w:val="right"/>
              <w:rPr>
                <w:lang w:val="es-ES" w:eastAsia="es-ES"/>
              </w:rPr>
            </w:pPr>
            <w:r w:rsidRPr="008E43F9">
              <w:rPr>
                <w:lang w:val="es-ES" w:eastAsia="es-ES"/>
              </w:rPr>
              <w:t>44</w:t>
            </w:r>
          </w:p>
        </w:tc>
        <w:tc>
          <w:tcPr>
            <w:tcW w:w="1110" w:type="dxa"/>
            <w:tcBorders>
              <w:top w:val="single" w:sz="4" w:space="0" w:color="auto"/>
              <w:left w:val="nil"/>
              <w:bottom w:val="single" w:sz="4" w:space="0" w:color="auto"/>
              <w:right w:val="nil"/>
            </w:tcBorders>
            <w:shd w:val="clear" w:color="auto" w:fill="auto"/>
            <w:vAlign w:val="center"/>
            <w:hideMark/>
          </w:tcPr>
          <w:p w14:paraId="15B325CC"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12 </w:t>
            </w:r>
          </w:p>
        </w:tc>
        <w:tc>
          <w:tcPr>
            <w:tcW w:w="1109" w:type="dxa"/>
            <w:tcBorders>
              <w:top w:val="single" w:sz="4" w:space="0" w:color="auto"/>
              <w:left w:val="nil"/>
              <w:bottom w:val="single" w:sz="4" w:space="0" w:color="auto"/>
              <w:right w:val="nil"/>
            </w:tcBorders>
            <w:shd w:val="clear" w:color="auto" w:fill="auto"/>
            <w:vAlign w:val="center"/>
            <w:hideMark/>
          </w:tcPr>
          <w:p w14:paraId="14BDC234"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-1 </w:t>
            </w:r>
          </w:p>
        </w:tc>
      </w:tr>
      <w:tr w:rsidR="004367EF" w:rsidRPr="00EA23FB" w14:paraId="7666EBD4"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1B21C3B4" w14:textId="77777777" w:rsidR="004367EF" w:rsidRPr="008E43F9" w:rsidRDefault="004367EF" w:rsidP="00EE13C5">
            <w:pPr>
              <w:pStyle w:val="cuatexto"/>
              <w:spacing w:line="240" w:lineRule="auto"/>
              <w:jc w:val="left"/>
              <w:rPr>
                <w:lang w:val="es-ES" w:eastAsia="es-ES"/>
              </w:rPr>
            </w:pPr>
            <w:r w:rsidRPr="008E43F9">
              <w:rPr>
                <w:lang w:val="es-ES" w:eastAsia="es-ES"/>
              </w:rPr>
              <w:t>Ahorro bruto (por habitante)</w:t>
            </w:r>
          </w:p>
        </w:tc>
        <w:tc>
          <w:tcPr>
            <w:tcW w:w="932" w:type="dxa"/>
            <w:tcBorders>
              <w:top w:val="single" w:sz="4" w:space="0" w:color="auto"/>
              <w:left w:val="nil"/>
              <w:bottom w:val="single" w:sz="4" w:space="0" w:color="auto"/>
              <w:right w:val="nil"/>
            </w:tcBorders>
            <w:shd w:val="clear" w:color="auto" w:fill="auto"/>
            <w:vAlign w:val="center"/>
            <w:hideMark/>
          </w:tcPr>
          <w:p w14:paraId="795D8BF5" w14:textId="77777777" w:rsidR="004367EF" w:rsidRPr="008E43F9" w:rsidRDefault="004367EF" w:rsidP="00EE13C5">
            <w:pPr>
              <w:pStyle w:val="cuatexto"/>
              <w:spacing w:line="240" w:lineRule="auto"/>
              <w:jc w:val="right"/>
              <w:rPr>
                <w:lang w:val="es-ES" w:eastAsia="es-ES"/>
              </w:rPr>
            </w:pPr>
            <w:r w:rsidRPr="008E43F9">
              <w:rPr>
                <w:lang w:val="es-ES" w:eastAsia="es-ES"/>
              </w:rPr>
              <w:t>206</w:t>
            </w:r>
          </w:p>
        </w:tc>
        <w:tc>
          <w:tcPr>
            <w:tcW w:w="671" w:type="dxa"/>
            <w:tcBorders>
              <w:top w:val="single" w:sz="4" w:space="0" w:color="auto"/>
              <w:left w:val="nil"/>
              <w:bottom w:val="single" w:sz="4" w:space="0" w:color="auto"/>
              <w:right w:val="nil"/>
            </w:tcBorders>
            <w:shd w:val="clear" w:color="auto" w:fill="auto"/>
            <w:vAlign w:val="center"/>
            <w:hideMark/>
          </w:tcPr>
          <w:p w14:paraId="14CF1F5B" w14:textId="77777777" w:rsidR="004367EF" w:rsidRPr="008E43F9" w:rsidRDefault="004367EF" w:rsidP="00EE13C5">
            <w:pPr>
              <w:pStyle w:val="cuatexto"/>
              <w:spacing w:line="240" w:lineRule="auto"/>
              <w:jc w:val="right"/>
              <w:rPr>
                <w:lang w:val="es-ES" w:eastAsia="es-ES"/>
              </w:rPr>
            </w:pPr>
            <w:r w:rsidRPr="008E43F9">
              <w:rPr>
                <w:lang w:val="es-ES" w:eastAsia="es-ES"/>
              </w:rPr>
              <w:t>190</w:t>
            </w:r>
          </w:p>
        </w:tc>
        <w:tc>
          <w:tcPr>
            <w:tcW w:w="831" w:type="dxa"/>
            <w:tcBorders>
              <w:top w:val="single" w:sz="4" w:space="0" w:color="auto"/>
              <w:left w:val="nil"/>
              <w:bottom w:val="single" w:sz="4" w:space="0" w:color="auto"/>
              <w:right w:val="nil"/>
            </w:tcBorders>
            <w:shd w:val="clear" w:color="auto" w:fill="auto"/>
            <w:vAlign w:val="center"/>
            <w:hideMark/>
          </w:tcPr>
          <w:p w14:paraId="68F2A885" w14:textId="77777777" w:rsidR="004367EF" w:rsidRPr="008E43F9" w:rsidRDefault="004367EF" w:rsidP="00EE13C5">
            <w:pPr>
              <w:pStyle w:val="cuatexto"/>
              <w:spacing w:line="240" w:lineRule="auto"/>
              <w:jc w:val="right"/>
              <w:rPr>
                <w:lang w:val="es-ES" w:eastAsia="es-ES"/>
              </w:rPr>
            </w:pPr>
            <w:r w:rsidRPr="008E43F9">
              <w:rPr>
                <w:lang w:val="es-ES" w:eastAsia="es-ES"/>
              </w:rPr>
              <w:t>184</w:t>
            </w:r>
          </w:p>
        </w:tc>
        <w:tc>
          <w:tcPr>
            <w:tcW w:w="1110" w:type="dxa"/>
            <w:tcBorders>
              <w:top w:val="single" w:sz="4" w:space="0" w:color="auto"/>
              <w:left w:val="nil"/>
              <w:bottom w:val="single" w:sz="4" w:space="0" w:color="auto"/>
              <w:right w:val="nil"/>
            </w:tcBorders>
            <w:shd w:val="clear" w:color="auto" w:fill="auto"/>
            <w:vAlign w:val="center"/>
            <w:hideMark/>
          </w:tcPr>
          <w:p w14:paraId="4037D494"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16 </w:t>
            </w:r>
          </w:p>
        </w:tc>
        <w:tc>
          <w:tcPr>
            <w:tcW w:w="1109" w:type="dxa"/>
            <w:tcBorders>
              <w:top w:val="single" w:sz="4" w:space="0" w:color="auto"/>
              <w:left w:val="nil"/>
              <w:bottom w:val="single" w:sz="4" w:space="0" w:color="auto"/>
              <w:right w:val="nil"/>
            </w:tcBorders>
            <w:shd w:val="clear" w:color="auto" w:fill="auto"/>
            <w:vAlign w:val="center"/>
            <w:hideMark/>
          </w:tcPr>
          <w:p w14:paraId="38E2F893"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23 </w:t>
            </w:r>
          </w:p>
        </w:tc>
      </w:tr>
      <w:tr w:rsidR="004367EF" w:rsidRPr="00EA23FB" w14:paraId="30BD1B2A"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65720858" w14:textId="77777777" w:rsidR="004367EF" w:rsidRPr="008E43F9" w:rsidRDefault="004367EF" w:rsidP="00EE13C5">
            <w:pPr>
              <w:pStyle w:val="cuatexto"/>
              <w:spacing w:line="240" w:lineRule="auto"/>
              <w:jc w:val="left"/>
              <w:rPr>
                <w:lang w:val="es-ES" w:eastAsia="es-ES"/>
              </w:rPr>
            </w:pPr>
            <w:r w:rsidRPr="008E43F9">
              <w:rPr>
                <w:lang w:val="es-ES" w:eastAsia="es-ES"/>
              </w:rPr>
              <w:t>Ahorro neto (por habitante)</w:t>
            </w:r>
          </w:p>
        </w:tc>
        <w:tc>
          <w:tcPr>
            <w:tcW w:w="932" w:type="dxa"/>
            <w:tcBorders>
              <w:top w:val="single" w:sz="4" w:space="0" w:color="auto"/>
              <w:left w:val="nil"/>
              <w:bottom w:val="single" w:sz="4" w:space="0" w:color="auto"/>
              <w:right w:val="nil"/>
            </w:tcBorders>
            <w:shd w:val="clear" w:color="auto" w:fill="auto"/>
            <w:vAlign w:val="center"/>
            <w:hideMark/>
          </w:tcPr>
          <w:p w14:paraId="62B6FA33" w14:textId="77777777" w:rsidR="004367EF" w:rsidRPr="008E43F9" w:rsidRDefault="004367EF" w:rsidP="00EE13C5">
            <w:pPr>
              <w:pStyle w:val="cuatexto"/>
              <w:spacing w:line="240" w:lineRule="auto"/>
              <w:jc w:val="right"/>
              <w:rPr>
                <w:lang w:val="es-ES" w:eastAsia="es-ES"/>
              </w:rPr>
            </w:pPr>
            <w:r w:rsidRPr="008E43F9">
              <w:rPr>
                <w:lang w:val="es-ES" w:eastAsia="es-ES"/>
              </w:rPr>
              <w:t>164</w:t>
            </w:r>
          </w:p>
        </w:tc>
        <w:tc>
          <w:tcPr>
            <w:tcW w:w="671" w:type="dxa"/>
            <w:tcBorders>
              <w:top w:val="single" w:sz="4" w:space="0" w:color="auto"/>
              <w:left w:val="nil"/>
              <w:bottom w:val="single" w:sz="4" w:space="0" w:color="auto"/>
              <w:right w:val="nil"/>
            </w:tcBorders>
            <w:shd w:val="clear" w:color="auto" w:fill="auto"/>
            <w:vAlign w:val="center"/>
            <w:hideMark/>
          </w:tcPr>
          <w:p w14:paraId="20A95564" w14:textId="77777777" w:rsidR="004367EF" w:rsidRPr="008E43F9" w:rsidRDefault="004367EF" w:rsidP="00EE13C5">
            <w:pPr>
              <w:pStyle w:val="cuatexto"/>
              <w:spacing w:line="240" w:lineRule="auto"/>
              <w:jc w:val="right"/>
              <w:rPr>
                <w:lang w:val="es-ES" w:eastAsia="es-ES"/>
              </w:rPr>
            </w:pPr>
            <w:r w:rsidRPr="008E43F9">
              <w:rPr>
                <w:lang w:val="es-ES" w:eastAsia="es-ES"/>
              </w:rPr>
              <w:t>159</w:t>
            </w:r>
          </w:p>
        </w:tc>
        <w:tc>
          <w:tcPr>
            <w:tcW w:w="831" w:type="dxa"/>
            <w:tcBorders>
              <w:top w:val="single" w:sz="4" w:space="0" w:color="auto"/>
              <w:left w:val="nil"/>
              <w:bottom w:val="single" w:sz="4" w:space="0" w:color="auto"/>
              <w:right w:val="nil"/>
            </w:tcBorders>
            <w:shd w:val="clear" w:color="auto" w:fill="auto"/>
            <w:vAlign w:val="center"/>
            <w:hideMark/>
          </w:tcPr>
          <w:p w14:paraId="1B3D8F28" w14:textId="77777777" w:rsidR="004367EF" w:rsidRPr="008E43F9" w:rsidRDefault="004367EF" w:rsidP="00EE13C5">
            <w:pPr>
              <w:pStyle w:val="cuatexto"/>
              <w:spacing w:line="240" w:lineRule="auto"/>
              <w:jc w:val="right"/>
              <w:rPr>
                <w:lang w:val="es-ES" w:eastAsia="es-ES"/>
              </w:rPr>
            </w:pPr>
            <w:r w:rsidRPr="008E43F9">
              <w:rPr>
                <w:lang w:val="es-ES" w:eastAsia="es-ES"/>
              </w:rPr>
              <w:t>140</w:t>
            </w:r>
          </w:p>
        </w:tc>
        <w:tc>
          <w:tcPr>
            <w:tcW w:w="1110" w:type="dxa"/>
            <w:tcBorders>
              <w:top w:val="single" w:sz="4" w:space="0" w:color="auto"/>
              <w:left w:val="nil"/>
              <w:bottom w:val="single" w:sz="4" w:space="0" w:color="auto"/>
              <w:right w:val="nil"/>
            </w:tcBorders>
            <w:shd w:val="clear" w:color="auto" w:fill="auto"/>
            <w:vAlign w:val="center"/>
            <w:hideMark/>
          </w:tcPr>
          <w:p w14:paraId="23A9C35B"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4 </w:t>
            </w:r>
          </w:p>
        </w:tc>
        <w:tc>
          <w:tcPr>
            <w:tcW w:w="1109" w:type="dxa"/>
            <w:tcBorders>
              <w:top w:val="single" w:sz="4" w:space="0" w:color="auto"/>
              <w:left w:val="nil"/>
              <w:bottom w:val="single" w:sz="4" w:space="0" w:color="auto"/>
              <w:right w:val="nil"/>
            </w:tcBorders>
            <w:shd w:val="clear" w:color="auto" w:fill="auto"/>
            <w:vAlign w:val="center"/>
            <w:hideMark/>
          </w:tcPr>
          <w:p w14:paraId="42B83B06"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24 </w:t>
            </w:r>
          </w:p>
        </w:tc>
      </w:tr>
      <w:tr w:rsidR="004367EF" w:rsidRPr="00EA23FB" w14:paraId="573D9331"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61C7E6C2" w14:textId="77777777" w:rsidR="004367EF" w:rsidRPr="008E43F9" w:rsidRDefault="004367EF" w:rsidP="00EE13C5">
            <w:pPr>
              <w:pStyle w:val="cuatexto"/>
              <w:spacing w:line="240" w:lineRule="auto"/>
              <w:jc w:val="left"/>
              <w:rPr>
                <w:lang w:val="es-ES" w:eastAsia="es-ES"/>
              </w:rPr>
            </w:pPr>
            <w:r w:rsidRPr="008E43F9">
              <w:rPr>
                <w:lang w:val="es-ES" w:eastAsia="es-ES"/>
              </w:rPr>
              <w:t>Deuda viva (por habitante)</w:t>
            </w:r>
          </w:p>
        </w:tc>
        <w:tc>
          <w:tcPr>
            <w:tcW w:w="932" w:type="dxa"/>
            <w:tcBorders>
              <w:top w:val="single" w:sz="4" w:space="0" w:color="auto"/>
              <w:left w:val="nil"/>
              <w:bottom w:val="single" w:sz="4" w:space="0" w:color="auto"/>
              <w:right w:val="nil"/>
            </w:tcBorders>
            <w:shd w:val="clear" w:color="auto" w:fill="auto"/>
            <w:vAlign w:val="center"/>
            <w:hideMark/>
          </w:tcPr>
          <w:p w14:paraId="4CEC8BC6" w14:textId="77777777" w:rsidR="004367EF" w:rsidRPr="008E43F9" w:rsidRDefault="004367EF" w:rsidP="00EE13C5">
            <w:pPr>
              <w:pStyle w:val="cuatexto"/>
              <w:spacing w:line="240" w:lineRule="auto"/>
              <w:jc w:val="right"/>
              <w:rPr>
                <w:lang w:val="es-ES" w:eastAsia="es-ES"/>
              </w:rPr>
            </w:pPr>
            <w:r w:rsidRPr="008E43F9">
              <w:rPr>
                <w:lang w:val="es-ES" w:eastAsia="es-ES"/>
              </w:rPr>
              <w:t>163</w:t>
            </w:r>
          </w:p>
        </w:tc>
        <w:tc>
          <w:tcPr>
            <w:tcW w:w="671" w:type="dxa"/>
            <w:tcBorders>
              <w:top w:val="single" w:sz="4" w:space="0" w:color="auto"/>
              <w:left w:val="nil"/>
              <w:bottom w:val="single" w:sz="4" w:space="0" w:color="auto"/>
              <w:right w:val="nil"/>
            </w:tcBorders>
            <w:shd w:val="clear" w:color="auto" w:fill="auto"/>
            <w:vAlign w:val="center"/>
            <w:hideMark/>
          </w:tcPr>
          <w:p w14:paraId="29BB08F7" w14:textId="77777777" w:rsidR="004367EF" w:rsidRPr="008E43F9" w:rsidRDefault="004367EF" w:rsidP="00EE13C5">
            <w:pPr>
              <w:pStyle w:val="cuatexto"/>
              <w:spacing w:line="240" w:lineRule="auto"/>
              <w:jc w:val="right"/>
              <w:rPr>
                <w:lang w:val="es-ES" w:eastAsia="es-ES"/>
              </w:rPr>
            </w:pPr>
            <w:r w:rsidRPr="008E43F9">
              <w:rPr>
                <w:lang w:val="es-ES" w:eastAsia="es-ES"/>
              </w:rPr>
              <w:t>114</w:t>
            </w:r>
          </w:p>
        </w:tc>
        <w:tc>
          <w:tcPr>
            <w:tcW w:w="831" w:type="dxa"/>
            <w:tcBorders>
              <w:top w:val="single" w:sz="4" w:space="0" w:color="auto"/>
              <w:left w:val="nil"/>
              <w:bottom w:val="single" w:sz="4" w:space="0" w:color="auto"/>
              <w:right w:val="nil"/>
            </w:tcBorders>
            <w:shd w:val="clear" w:color="auto" w:fill="auto"/>
            <w:vAlign w:val="center"/>
            <w:hideMark/>
          </w:tcPr>
          <w:p w14:paraId="0753C400" w14:textId="77777777" w:rsidR="004367EF" w:rsidRPr="008E43F9" w:rsidRDefault="004367EF" w:rsidP="00EE13C5">
            <w:pPr>
              <w:pStyle w:val="cuatexto"/>
              <w:spacing w:line="240" w:lineRule="auto"/>
              <w:jc w:val="right"/>
              <w:rPr>
                <w:lang w:val="es-ES" w:eastAsia="es-ES"/>
              </w:rPr>
            </w:pPr>
            <w:r w:rsidRPr="008E43F9">
              <w:rPr>
                <w:lang w:val="es-ES" w:eastAsia="es-ES"/>
              </w:rPr>
              <w:t>244</w:t>
            </w:r>
          </w:p>
        </w:tc>
        <w:tc>
          <w:tcPr>
            <w:tcW w:w="1110" w:type="dxa"/>
            <w:tcBorders>
              <w:top w:val="single" w:sz="4" w:space="0" w:color="auto"/>
              <w:left w:val="nil"/>
              <w:bottom w:val="single" w:sz="4" w:space="0" w:color="auto"/>
              <w:right w:val="nil"/>
            </w:tcBorders>
            <w:shd w:val="clear" w:color="auto" w:fill="auto"/>
            <w:vAlign w:val="center"/>
            <w:hideMark/>
          </w:tcPr>
          <w:p w14:paraId="3392E66E"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49 </w:t>
            </w:r>
          </w:p>
        </w:tc>
        <w:tc>
          <w:tcPr>
            <w:tcW w:w="1109" w:type="dxa"/>
            <w:tcBorders>
              <w:top w:val="single" w:sz="4" w:space="0" w:color="auto"/>
              <w:left w:val="nil"/>
              <w:bottom w:val="single" w:sz="4" w:space="0" w:color="auto"/>
              <w:right w:val="nil"/>
            </w:tcBorders>
            <w:shd w:val="clear" w:color="auto" w:fill="auto"/>
            <w:vAlign w:val="center"/>
            <w:hideMark/>
          </w:tcPr>
          <w:p w14:paraId="259EC6CE"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-81 </w:t>
            </w:r>
          </w:p>
        </w:tc>
      </w:tr>
      <w:tr w:rsidR="004367EF" w:rsidRPr="00EA23FB" w14:paraId="5EA373F5"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7044AE24" w14:textId="70C99CAB" w:rsidR="004367EF" w:rsidRPr="008E43F9" w:rsidRDefault="004367EF" w:rsidP="008E518B">
            <w:pPr>
              <w:pStyle w:val="cuatexto"/>
              <w:spacing w:line="240" w:lineRule="auto"/>
              <w:jc w:val="left"/>
              <w:rPr>
                <w:lang w:val="es-ES" w:eastAsia="es-ES"/>
              </w:rPr>
            </w:pPr>
            <w:r w:rsidRPr="008E43F9">
              <w:rPr>
                <w:lang w:val="es-ES" w:eastAsia="es-ES"/>
              </w:rPr>
              <w:t>Nivel endeudamiento (% Deuda viva/</w:t>
            </w:r>
            <w:proofErr w:type="spellStart"/>
            <w:r w:rsidRPr="008E43F9">
              <w:rPr>
                <w:lang w:val="es-ES" w:eastAsia="es-ES"/>
              </w:rPr>
              <w:t>Ing.Co</w:t>
            </w:r>
            <w:r w:rsidR="008E518B">
              <w:rPr>
                <w:lang w:val="es-ES" w:eastAsia="es-ES"/>
              </w:rPr>
              <w:t>rr</w:t>
            </w:r>
            <w:proofErr w:type="spellEnd"/>
            <w:r w:rsidR="008E518B">
              <w:rPr>
                <w:lang w:val="es-ES" w:eastAsia="es-ES"/>
              </w:rPr>
              <w:t>,</w:t>
            </w:r>
            <w:r w:rsidRPr="008E43F9">
              <w:rPr>
                <w:lang w:val="es-ES" w:eastAsia="es-ES"/>
              </w:rPr>
              <w:t>)</w:t>
            </w:r>
          </w:p>
        </w:tc>
        <w:tc>
          <w:tcPr>
            <w:tcW w:w="932" w:type="dxa"/>
            <w:tcBorders>
              <w:top w:val="single" w:sz="4" w:space="0" w:color="auto"/>
              <w:left w:val="nil"/>
              <w:bottom w:val="single" w:sz="4" w:space="0" w:color="auto"/>
              <w:right w:val="nil"/>
            </w:tcBorders>
            <w:shd w:val="clear" w:color="auto" w:fill="auto"/>
            <w:vAlign w:val="center"/>
            <w:hideMark/>
          </w:tcPr>
          <w:p w14:paraId="15D99823" w14:textId="77777777" w:rsidR="004367EF" w:rsidRPr="008E43F9" w:rsidRDefault="004367EF" w:rsidP="00EE13C5">
            <w:pPr>
              <w:pStyle w:val="cuatexto"/>
              <w:spacing w:line="240" w:lineRule="auto"/>
              <w:jc w:val="right"/>
              <w:rPr>
                <w:lang w:val="es-ES" w:eastAsia="es-ES"/>
              </w:rPr>
            </w:pPr>
            <w:r w:rsidRPr="008E43F9">
              <w:rPr>
                <w:lang w:val="es-ES" w:eastAsia="es-ES"/>
              </w:rPr>
              <w:t>16</w:t>
            </w:r>
          </w:p>
        </w:tc>
        <w:tc>
          <w:tcPr>
            <w:tcW w:w="671" w:type="dxa"/>
            <w:tcBorders>
              <w:top w:val="single" w:sz="4" w:space="0" w:color="auto"/>
              <w:left w:val="nil"/>
              <w:bottom w:val="single" w:sz="4" w:space="0" w:color="auto"/>
              <w:right w:val="nil"/>
            </w:tcBorders>
            <w:shd w:val="clear" w:color="auto" w:fill="auto"/>
            <w:vAlign w:val="center"/>
            <w:hideMark/>
          </w:tcPr>
          <w:p w14:paraId="57AE3055" w14:textId="77777777" w:rsidR="004367EF" w:rsidRPr="008E43F9" w:rsidRDefault="004367EF" w:rsidP="00EE13C5">
            <w:pPr>
              <w:pStyle w:val="cuatexto"/>
              <w:spacing w:line="240" w:lineRule="auto"/>
              <w:jc w:val="right"/>
              <w:rPr>
                <w:lang w:val="es-ES" w:eastAsia="es-ES"/>
              </w:rPr>
            </w:pPr>
            <w:r w:rsidRPr="008E43F9">
              <w:rPr>
                <w:lang w:val="es-ES" w:eastAsia="es-ES"/>
              </w:rPr>
              <w:t>9</w:t>
            </w:r>
          </w:p>
        </w:tc>
        <w:tc>
          <w:tcPr>
            <w:tcW w:w="831" w:type="dxa"/>
            <w:tcBorders>
              <w:top w:val="single" w:sz="4" w:space="0" w:color="auto"/>
              <w:left w:val="nil"/>
              <w:bottom w:val="single" w:sz="4" w:space="0" w:color="auto"/>
              <w:right w:val="nil"/>
            </w:tcBorders>
            <w:shd w:val="clear" w:color="auto" w:fill="auto"/>
            <w:vAlign w:val="center"/>
            <w:hideMark/>
          </w:tcPr>
          <w:p w14:paraId="508120DE" w14:textId="77777777" w:rsidR="004367EF" w:rsidRPr="008E43F9" w:rsidRDefault="004367EF" w:rsidP="00EE13C5">
            <w:pPr>
              <w:pStyle w:val="cuatexto"/>
              <w:spacing w:line="240" w:lineRule="auto"/>
              <w:jc w:val="right"/>
              <w:rPr>
                <w:lang w:val="es-ES" w:eastAsia="es-ES"/>
              </w:rPr>
            </w:pPr>
            <w:r w:rsidRPr="008E43F9">
              <w:rPr>
                <w:lang w:val="es-ES" w:eastAsia="es-ES"/>
              </w:rPr>
              <w:t>24</w:t>
            </w:r>
          </w:p>
        </w:tc>
        <w:tc>
          <w:tcPr>
            <w:tcW w:w="1110" w:type="dxa"/>
            <w:tcBorders>
              <w:top w:val="single" w:sz="4" w:space="0" w:color="auto"/>
              <w:left w:val="nil"/>
              <w:bottom w:val="single" w:sz="4" w:space="0" w:color="auto"/>
              <w:right w:val="nil"/>
            </w:tcBorders>
            <w:shd w:val="clear" w:color="auto" w:fill="auto"/>
            <w:vAlign w:val="center"/>
            <w:hideMark/>
          </w:tcPr>
          <w:p w14:paraId="04D6C563"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7 </w:t>
            </w:r>
          </w:p>
        </w:tc>
        <w:tc>
          <w:tcPr>
            <w:tcW w:w="1109" w:type="dxa"/>
            <w:tcBorders>
              <w:top w:val="single" w:sz="4" w:space="0" w:color="auto"/>
              <w:left w:val="nil"/>
              <w:bottom w:val="single" w:sz="4" w:space="0" w:color="auto"/>
              <w:right w:val="nil"/>
            </w:tcBorders>
            <w:shd w:val="clear" w:color="auto" w:fill="auto"/>
            <w:vAlign w:val="center"/>
            <w:hideMark/>
          </w:tcPr>
          <w:p w14:paraId="3E5F072F"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-8 </w:t>
            </w:r>
          </w:p>
        </w:tc>
      </w:tr>
      <w:tr w:rsidR="004367EF" w:rsidRPr="00EA23FB" w14:paraId="51300B73"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3FA46EB2" w14:textId="5D2C44CE" w:rsidR="004367EF" w:rsidRPr="008E43F9" w:rsidRDefault="004367EF" w:rsidP="008E518B">
            <w:pPr>
              <w:pStyle w:val="cuatexto"/>
              <w:spacing w:line="240" w:lineRule="auto"/>
              <w:jc w:val="left"/>
              <w:rPr>
                <w:lang w:val="es-ES" w:eastAsia="es-ES"/>
              </w:rPr>
            </w:pPr>
            <w:r w:rsidRPr="008E43F9">
              <w:rPr>
                <w:lang w:val="es-ES" w:eastAsia="es-ES"/>
              </w:rPr>
              <w:t xml:space="preserve">Índice </w:t>
            </w:r>
            <w:r w:rsidR="008E518B">
              <w:rPr>
                <w:lang w:val="es-ES" w:eastAsia="es-ES"/>
              </w:rPr>
              <w:t>d</w:t>
            </w:r>
            <w:r w:rsidRPr="008E43F9">
              <w:rPr>
                <w:lang w:val="es-ES" w:eastAsia="es-ES"/>
              </w:rPr>
              <w:t xml:space="preserve">e carga financiera (cap. 3 y 9 entre </w:t>
            </w:r>
            <w:proofErr w:type="spellStart"/>
            <w:r w:rsidRPr="008E43F9">
              <w:rPr>
                <w:lang w:val="es-ES" w:eastAsia="es-ES"/>
              </w:rPr>
              <w:t>ingr</w:t>
            </w:r>
            <w:proofErr w:type="spellEnd"/>
            <w:r w:rsidRPr="008E43F9">
              <w:rPr>
                <w:lang w:val="es-ES" w:eastAsia="es-ES"/>
              </w:rPr>
              <w:t>. Corrientes)</w:t>
            </w:r>
          </w:p>
        </w:tc>
        <w:tc>
          <w:tcPr>
            <w:tcW w:w="932" w:type="dxa"/>
            <w:tcBorders>
              <w:top w:val="single" w:sz="4" w:space="0" w:color="auto"/>
              <w:left w:val="nil"/>
              <w:bottom w:val="single" w:sz="4" w:space="0" w:color="auto"/>
              <w:right w:val="nil"/>
            </w:tcBorders>
            <w:shd w:val="clear" w:color="auto" w:fill="auto"/>
            <w:vAlign w:val="center"/>
            <w:hideMark/>
          </w:tcPr>
          <w:p w14:paraId="223783B3" w14:textId="77777777" w:rsidR="004367EF" w:rsidRPr="008E43F9" w:rsidRDefault="004367EF" w:rsidP="00EE13C5">
            <w:pPr>
              <w:pStyle w:val="cuatexto"/>
              <w:spacing w:line="240" w:lineRule="auto"/>
              <w:jc w:val="right"/>
              <w:rPr>
                <w:lang w:val="es-ES" w:eastAsia="es-ES"/>
              </w:rPr>
            </w:pPr>
            <w:r w:rsidRPr="008E43F9">
              <w:rPr>
                <w:lang w:val="es-ES" w:eastAsia="es-ES"/>
              </w:rPr>
              <w:t>4</w:t>
            </w:r>
          </w:p>
        </w:tc>
        <w:tc>
          <w:tcPr>
            <w:tcW w:w="671" w:type="dxa"/>
            <w:tcBorders>
              <w:top w:val="single" w:sz="4" w:space="0" w:color="auto"/>
              <w:left w:val="nil"/>
              <w:bottom w:val="single" w:sz="4" w:space="0" w:color="auto"/>
              <w:right w:val="nil"/>
            </w:tcBorders>
            <w:shd w:val="clear" w:color="auto" w:fill="auto"/>
            <w:vAlign w:val="center"/>
            <w:hideMark/>
          </w:tcPr>
          <w:p w14:paraId="46C4261F" w14:textId="77777777" w:rsidR="004367EF" w:rsidRPr="008E43F9" w:rsidRDefault="004367EF" w:rsidP="00EE13C5">
            <w:pPr>
              <w:pStyle w:val="cuatexto"/>
              <w:spacing w:line="240" w:lineRule="auto"/>
              <w:jc w:val="right"/>
              <w:rPr>
                <w:lang w:val="es-ES" w:eastAsia="es-ES"/>
              </w:rPr>
            </w:pPr>
            <w:r w:rsidRPr="008E43F9">
              <w:rPr>
                <w:lang w:val="es-ES" w:eastAsia="es-ES"/>
              </w:rPr>
              <w:t>2</w:t>
            </w:r>
          </w:p>
        </w:tc>
        <w:tc>
          <w:tcPr>
            <w:tcW w:w="831" w:type="dxa"/>
            <w:tcBorders>
              <w:top w:val="single" w:sz="4" w:space="0" w:color="auto"/>
              <w:left w:val="nil"/>
              <w:bottom w:val="single" w:sz="4" w:space="0" w:color="auto"/>
              <w:right w:val="nil"/>
            </w:tcBorders>
            <w:shd w:val="clear" w:color="auto" w:fill="auto"/>
            <w:vAlign w:val="center"/>
            <w:hideMark/>
          </w:tcPr>
          <w:p w14:paraId="6DF740A9" w14:textId="77777777" w:rsidR="004367EF" w:rsidRPr="008E43F9" w:rsidRDefault="004367EF" w:rsidP="00EE13C5">
            <w:pPr>
              <w:pStyle w:val="cuatexto"/>
              <w:spacing w:line="240" w:lineRule="auto"/>
              <w:jc w:val="right"/>
              <w:rPr>
                <w:lang w:val="es-ES" w:eastAsia="es-ES"/>
              </w:rPr>
            </w:pPr>
            <w:r w:rsidRPr="008E43F9">
              <w:rPr>
                <w:lang w:val="es-ES" w:eastAsia="es-ES"/>
              </w:rPr>
              <w:t>4</w:t>
            </w:r>
          </w:p>
        </w:tc>
        <w:tc>
          <w:tcPr>
            <w:tcW w:w="1110" w:type="dxa"/>
            <w:tcBorders>
              <w:top w:val="single" w:sz="4" w:space="0" w:color="auto"/>
              <w:left w:val="nil"/>
              <w:bottom w:val="single" w:sz="4" w:space="0" w:color="auto"/>
              <w:right w:val="nil"/>
            </w:tcBorders>
            <w:shd w:val="clear" w:color="auto" w:fill="auto"/>
            <w:vAlign w:val="center"/>
            <w:hideMark/>
          </w:tcPr>
          <w:p w14:paraId="41788596"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2 </w:t>
            </w:r>
          </w:p>
        </w:tc>
        <w:tc>
          <w:tcPr>
            <w:tcW w:w="1109" w:type="dxa"/>
            <w:tcBorders>
              <w:top w:val="single" w:sz="4" w:space="0" w:color="auto"/>
              <w:left w:val="nil"/>
              <w:bottom w:val="single" w:sz="4" w:space="0" w:color="auto"/>
              <w:right w:val="nil"/>
            </w:tcBorders>
            <w:shd w:val="clear" w:color="auto" w:fill="auto"/>
            <w:vAlign w:val="center"/>
            <w:hideMark/>
          </w:tcPr>
          <w:p w14:paraId="47A99E70" w14:textId="0B602241" w:rsidR="004367EF" w:rsidRPr="008E43F9" w:rsidRDefault="004367EF" w:rsidP="00EE13C5">
            <w:pPr>
              <w:pStyle w:val="cuatexto"/>
              <w:spacing w:line="240" w:lineRule="auto"/>
              <w:jc w:val="right"/>
              <w:rPr>
                <w:lang w:val="es-ES" w:eastAsia="es-ES"/>
              </w:rPr>
            </w:pPr>
            <w:r w:rsidRPr="008E43F9">
              <w:rPr>
                <w:lang w:val="es-ES" w:eastAsia="es-ES"/>
              </w:rPr>
              <w:t xml:space="preserve">0 </w:t>
            </w:r>
          </w:p>
        </w:tc>
      </w:tr>
      <w:tr w:rsidR="004367EF" w:rsidRPr="00EA23FB" w14:paraId="2765E17C"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3B340FAC" w14:textId="77777777" w:rsidR="004367EF" w:rsidRPr="008E43F9" w:rsidRDefault="004367EF" w:rsidP="00EE13C5">
            <w:pPr>
              <w:pStyle w:val="cuatexto"/>
              <w:spacing w:line="240" w:lineRule="auto"/>
              <w:jc w:val="left"/>
              <w:rPr>
                <w:lang w:val="es-ES" w:eastAsia="es-ES"/>
              </w:rPr>
            </w:pPr>
            <w:r w:rsidRPr="008E43F9">
              <w:rPr>
                <w:lang w:val="es-ES" w:eastAsia="es-ES"/>
              </w:rPr>
              <w:t>Porcentaje de ahorro bruto sobre ingresos corrientes (</w:t>
            </w:r>
            <w:proofErr w:type="spellStart"/>
            <w:r w:rsidRPr="008E43F9">
              <w:rPr>
                <w:lang w:val="es-ES" w:eastAsia="es-ES"/>
              </w:rPr>
              <w:t>ing</w:t>
            </w:r>
            <w:proofErr w:type="spellEnd"/>
            <w:r w:rsidRPr="008E43F9">
              <w:rPr>
                <w:lang w:val="es-ES" w:eastAsia="es-ES"/>
              </w:rPr>
              <w:t xml:space="preserve"> </w:t>
            </w:r>
            <w:proofErr w:type="spellStart"/>
            <w:r w:rsidRPr="008E43F9">
              <w:rPr>
                <w:lang w:val="es-ES" w:eastAsia="es-ES"/>
              </w:rPr>
              <w:t>ctes</w:t>
            </w:r>
            <w:proofErr w:type="spellEnd"/>
            <w:r w:rsidRPr="008E43F9">
              <w:rPr>
                <w:lang w:val="es-ES" w:eastAsia="es-ES"/>
              </w:rPr>
              <w:t xml:space="preserve"> - gastos </w:t>
            </w:r>
            <w:proofErr w:type="spellStart"/>
            <w:r w:rsidRPr="008E43F9">
              <w:rPr>
                <w:lang w:val="es-ES" w:eastAsia="es-ES"/>
              </w:rPr>
              <w:t>func</w:t>
            </w:r>
            <w:proofErr w:type="spellEnd"/>
            <w:r w:rsidRPr="008E43F9">
              <w:rPr>
                <w:lang w:val="es-ES" w:eastAsia="es-ES"/>
              </w:rPr>
              <w:t xml:space="preserve">. / </w:t>
            </w:r>
            <w:proofErr w:type="spellStart"/>
            <w:r w:rsidRPr="008E43F9">
              <w:rPr>
                <w:lang w:val="es-ES" w:eastAsia="es-ES"/>
              </w:rPr>
              <w:t>ingr</w:t>
            </w:r>
            <w:proofErr w:type="spellEnd"/>
            <w:r w:rsidRPr="008E43F9">
              <w:rPr>
                <w:lang w:val="es-ES" w:eastAsia="es-ES"/>
              </w:rPr>
              <w:t xml:space="preserve"> corrientes)</w:t>
            </w:r>
          </w:p>
        </w:tc>
        <w:tc>
          <w:tcPr>
            <w:tcW w:w="932" w:type="dxa"/>
            <w:tcBorders>
              <w:top w:val="single" w:sz="4" w:space="0" w:color="auto"/>
              <w:left w:val="nil"/>
              <w:bottom w:val="single" w:sz="4" w:space="0" w:color="auto"/>
              <w:right w:val="nil"/>
            </w:tcBorders>
            <w:shd w:val="clear" w:color="auto" w:fill="auto"/>
            <w:vAlign w:val="center"/>
            <w:hideMark/>
          </w:tcPr>
          <w:p w14:paraId="574A0B9B" w14:textId="77777777" w:rsidR="004367EF" w:rsidRPr="008E43F9" w:rsidRDefault="004367EF" w:rsidP="00EE13C5">
            <w:pPr>
              <w:pStyle w:val="cuatexto"/>
              <w:spacing w:line="240" w:lineRule="auto"/>
              <w:jc w:val="right"/>
              <w:rPr>
                <w:lang w:val="es-ES" w:eastAsia="es-ES"/>
              </w:rPr>
            </w:pPr>
            <w:r w:rsidRPr="008E43F9">
              <w:rPr>
                <w:lang w:val="es-ES" w:eastAsia="es-ES"/>
              </w:rPr>
              <w:t>21</w:t>
            </w:r>
          </w:p>
        </w:tc>
        <w:tc>
          <w:tcPr>
            <w:tcW w:w="671" w:type="dxa"/>
            <w:tcBorders>
              <w:top w:val="single" w:sz="4" w:space="0" w:color="auto"/>
              <w:left w:val="nil"/>
              <w:bottom w:val="single" w:sz="4" w:space="0" w:color="auto"/>
              <w:right w:val="nil"/>
            </w:tcBorders>
            <w:shd w:val="clear" w:color="auto" w:fill="auto"/>
            <w:vAlign w:val="center"/>
            <w:hideMark/>
          </w:tcPr>
          <w:p w14:paraId="4EAC1625" w14:textId="77777777" w:rsidR="004367EF" w:rsidRPr="008E43F9" w:rsidRDefault="004367EF" w:rsidP="00EE13C5">
            <w:pPr>
              <w:pStyle w:val="cuatexto"/>
              <w:spacing w:line="240" w:lineRule="auto"/>
              <w:jc w:val="right"/>
              <w:rPr>
                <w:lang w:val="es-ES" w:eastAsia="es-ES"/>
              </w:rPr>
            </w:pPr>
            <w:r w:rsidRPr="008E43F9">
              <w:rPr>
                <w:lang w:val="es-ES" w:eastAsia="es-ES"/>
              </w:rPr>
              <w:t>15</w:t>
            </w:r>
          </w:p>
        </w:tc>
        <w:tc>
          <w:tcPr>
            <w:tcW w:w="831" w:type="dxa"/>
            <w:tcBorders>
              <w:top w:val="single" w:sz="4" w:space="0" w:color="auto"/>
              <w:left w:val="nil"/>
              <w:bottom w:val="single" w:sz="4" w:space="0" w:color="auto"/>
              <w:right w:val="nil"/>
            </w:tcBorders>
            <w:shd w:val="clear" w:color="auto" w:fill="auto"/>
            <w:vAlign w:val="center"/>
            <w:hideMark/>
          </w:tcPr>
          <w:p w14:paraId="3ADA654E" w14:textId="77777777" w:rsidR="004367EF" w:rsidRPr="008E43F9" w:rsidRDefault="004367EF" w:rsidP="00EE13C5">
            <w:pPr>
              <w:pStyle w:val="cuatexto"/>
              <w:spacing w:line="240" w:lineRule="auto"/>
              <w:jc w:val="right"/>
              <w:rPr>
                <w:lang w:val="es-ES" w:eastAsia="es-ES"/>
              </w:rPr>
            </w:pPr>
            <w:r w:rsidRPr="008E43F9">
              <w:rPr>
                <w:lang w:val="es-ES" w:eastAsia="es-ES"/>
              </w:rPr>
              <w:t>18</w:t>
            </w:r>
          </w:p>
        </w:tc>
        <w:tc>
          <w:tcPr>
            <w:tcW w:w="1110" w:type="dxa"/>
            <w:tcBorders>
              <w:top w:val="single" w:sz="4" w:space="0" w:color="auto"/>
              <w:left w:val="nil"/>
              <w:bottom w:val="single" w:sz="4" w:space="0" w:color="auto"/>
              <w:right w:val="nil"/>
            </w:tcBorders>
            <w:shd w:val="clear" w:color="auto" w:fill="auto"/>
            <w:vAlign w:val="center"/>
            <w:hideMark/>
          </w:tcPr>
          <w:p w14:paraId="676D2F56"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6 </w:t>
            </w:r>
          </w:p>
        </w:tc>
        <w:tc>
          <w:tcPr>
            <w:tcW w:w="1109" w:type="dxa"/>
            <w:tcBorders>
              <w:top w:val="single" w:sz="4" w:space="0" w:color="auto"/>
              <w:left w:val="nil"/>
              <w:bottom w:val="single" w:sz="4" w:space="0" w:color="auto"/>
              <w:right w:val="nil"/>
            </w:tcBorders>
            <w:shd w:val="clear" w:color="auto" w:fill="auto"/>
            <w:vAlign w:val="center"/>
            <w:hideMark/>
          </w:tcPr>
          <w:p w14:paraId="62BDD374"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2 </w:t>
            </w:r>
          </w:p>
        </w:tc>
      </w:tr>
      <w:tr w:rsidR="004367EF" w:rsidRPr="00EA23FB" w14:paraId="599DBE89"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0A880B72" w14:textId="77777777" w:rsidR="004367EF" w:rsidRPr="008E43F9" w:rsidRDefault="004367EF" w:rsidP="00EE13C5">
            <w:pPr>
              <w:pStyle w:val="cuatexto"/>
              <w:spacing w:line="240" w:lineRule="auto"/>
              <w:jc w:val="left"/>
              <w:rPr>
                <w:lang w:val="es-ES" w:eastAsia="es-ES"/>
              </w:rPr>
            </w:pPr>
            <w:r w:rsidRPr="008E43F9">
              <w:rPr>
                <w:lang w:val="es-ES" w:eastAsia="es-ES"/>
              </w:rPr>
              <w:t>Transferencias recibidas (por habitante)</w:t>
            </w:r>
          </w:p>
        </w:tc>
        <w:tc>
          <w:tcPr>
            <w:tcW w:w="932" w:type="dxa"/>
            <w:tcBorders>
              <w:top w:val="single" w:sz="4" w:space="0" w:color="auto"/>
              <w:left w:val="nil"/>
              <w:bottom w:val="single" w:sz="4" w:space="0" w:color="auto"/>
              <w:right w:val="nil"/>
            </w:tcBorders>
            <w:shd w:val="clear" w:color="auto" w:fill="auto"/>
            <w:vAlign w:val="center"/>
            <w:hideMark/>
          </w:tcPr>
          <w:p w14:paraId="202BCD23" w14:textId="77777777" w:rsidR="004367EF" w:rsidRPr="008E43F9" w:rsidRDefault="004367EF" w:rsidP="00EE13C5">
            <w:pPr>
              <w:pStyle w:val="cuatexto"/>
              <w:spacing w:line="240" w:lineRule="auto"/>
              <w:jc w:val="right"/>
              <w:rPr>
                <w:lang w:val="es-ES" w:eastAsia="es-ES"/>
              </w:rPr>
            </w:pPr>
            <w:r w:rsidRPr="008E43F9">
              <w:rPr>
                <w:lang w:val="es-ES" w:eastAsia="es-ES"/>
              </w:rPr>
              <w:t>548</w:t>
            </w:r>
          </w:p>
        </w:tc>
        <w:tc>
          <w:tcPr>
            <w:tcW w:w="671" w:type="dxa"/>
            <w:tcBorders>
              <w:top w:val="single" w:sz="4" w:space="0" w:color="auto"/>
              <w:left w:val="nil"/>
              <w:bottom w:val="single" w:sz="4" w:space="0" w:color="auto"/>
              <w:right w:val="nil"/>
            </w:tcBorders>
            <w:shd w:val="clear" w:color="auto" w:fill="auto"/>
            <w:vAlign w:val="center"/>
            <w:hideMark/>
          </w:tcPr>
          <w:p w14:paraId="4B697E72" w14:textId="77777777" w:rsidR="004367EF" w:rsidRPr="008E43F9" w:rsidRDefault="004367EF" w:rsidP="00EE13C5">
            <w:pPr>
              <w:pStyle w:val="cuatexto"/>
              <w:spacing w:line="240" w:lineRule="auto"/>
              <w:jc w:val="right"/>
              <w:rPr>
                <w:lang w:val="es-ES" w:eastAsia="es-ES"/>
              </w:rPr>
            </w:pPr>
            <w:r w:rsidRPr="008E43F9">
              <w:rPr>
                <w:lang w:val="es-ES" w:eastAsia="es-ES"/>
              </w:rPr>
              <w:t>765</w:t>
            </w:r>
          </w:p>
        </w:tc>
        <w:tc>
          <w:tcPr>
            <w:tcW w:w="831" w:type="dxa"/>
            <w:tcBorders>
              <w:top w:val="single" w:sz="4" w:space="0" w:color="auto"/>
              <w:left w:val="nil"/>
              <w:bottom w:val="single" w:sz="4" w:space="0" w:color="auto"/>
              <w:right w:val="nil"/>
            </w:tcBorders>
            <w:shd w:val="clear" w:color="auto" w:fill="auto"/>
            <w:vAlign w:val="center"/>
            <w:hideMark/>
          </w:tcPr>
          <w:p w14:paraId="2924C73D" w14:textId="77777777" w:rsidR="004367EF" w:rsidRPr="008E43F9" w:rsidRDefault="004367EF" w:rsidP="00EE13C5">
            <w:pPr>
              <w:pStyle w:val="cuatexto"/>
              <w:spacing w:line="240" w:lineRule="auto"/>
              <w:jc w:val="right"/>
              <w:rPr>
                <w:lang w:val="es-ES" w:eastAsia="es-ES"/>
              </w:rPr>
            </w:pPr>
            <w:r w:rsidRPr="008E43F9">
              <w:rPr>
                <w:lang w:val="es-ES" w:eastAsia="es-ES"/>
              </w:rPr>
              <w:t>451</w:t>
            </w:r>
          </w:p>
        </w:tc>
        <w:tc>
          <w:tcPr>
            <w:tcW w:w="1110" w:type="dxa"/>
            <w:tcBorders>
              <w:top w:val="single" w:sz="4" w:space="0" w:color="auto"/>
              <w:left w:val="nil"/>
              <w:bottom w:val="single" w:sz="4" w:space="0" w:color="auto"/>
              <w:right w:val="nil"/>
            </w:tcBorders>
            <w:shd w:val="clear" w:color="auto" w:fill="auto"/>
            <w:vAlign w:val="center"/>
            <w:hideMark/>
          </w:tcPr>
          <w:p w14:paraId="02FC3140"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-217 </w:t>
            </w:r>
          </w:p>
        </w:tc>
        <w:tc>
          <w:tcPr>
            <w:tcW w:w="1109" w:type="dxa"/>
            <w:tcBorders>
              <w:top w:val="single" w:sz="4" w:space="0" w:color="auto"/>
              <w:left w:val="nil"/>
              <w:bottom w:val="single" w:sz="4" w:space="0" w:color="auto"/>
              <w:right w:val="nil"/>
            </w:tcBorders>
            <w:shd w:val="clear" w:color="auto" w:fill="auto"/>
            <w:vAlign w:val="center"/>
            <w:hideMark/>
          </w:tcPr>
          <w:p w14:paraId="1FFA1FAC"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97 </w:t>
            </w:r>
          </w:p>
        </w:tc>
      </w:tr>
      <w:tr w:rsidR="004367EF" w:rsidRPr="00EA23FB" w14:paraId="045C3678"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13A36F54" w14:textId="77777777" w:rsidR="004367EF" w:rsidRPr="008E43F9" w:rsidRDefault="004367EF" w:rsidP="00EE13C5">
            <w:pPr>
              <w:pStyle w:val="cuatexto"/>
              <w:spacing w:line="240" w:lineRule="auto"/>
              <w:jc w:val="left"/>
              <w:rPr>
                <w:lang w:val="es-ES" w:eastAsia="es-ES"/>
              </w:rPr>
            </w:pPr>
            <w:r w:rsidRPr="008E43F9">
              <w:rPr>
                <w:lang w:val="es-ES" w:eastAsia="es-ES"/>
              </w:rPr>
              <w:t xml:space="preserve">Porcentaje de gastos corrientes financiados con </w:t>
            </w:r>
            <w:proofErr w:type="spellStart"/>
            <w:proofErr w:type="gramStart"/>
            <w:r w:rsidRPr="008E43F9">
              <w:rPr>
                <w:lang w:val="es-ES" w:eastAsia="es-ES"/>
              </w:rPr>
              <w:t>transf.corrientes</w:t>
            </w:r>
            <w:proofErr w:type="spellEnd"/>
            <w:proofErr w:type="gramEnd"/>
          </w:p>
        </w:tc>
        <w:tc>
          <w:tcPr>
            <w:tcW w:w="932" w:type="dxa"/>
            <w:tcBorders>
              <w:top w:val="single" w:sz="4" w:space="0" w:color="auto"/>
              <w:left w:val="nil"/>
              <w:bottom w:val="single" w:sz="4" w:space="0" w:color="auto"/>
              <w:right w:val="nil"/>
            </w:tcBorders>
            <w:shd w:val="clear" w:color="auto" w:fill="auto"/>
            <w:vAlign w:val="center"/>
            <w:hideMark/>
          </w:tcPr>
          <w:p w14:paraId="7FF2B005" w14:textId="77777777" w:rsidR="004367EF" w:rsidRPr="008E43F9" w:rsidRDefault="004367EF" w:rsidP="00EE13C5">
            <w:pPr>
              <w:pStyle w:val="cuatexto"/>
              <w:spacing w:line="240" w:lineRule="auto"/>
              <w:jc w:val="right"/>
              <w:rPr>
                <w:lang w:val="es-ES" w:eastAsia="es-ES"/>
              </w:rPr>
            </w:pPr>
            <w:r w:rsidRPr="008E43F9">
              <w:rPr>
                <w:lang w:val="es-ES" w:eastAsia="es-ES"/>
              </w:rPr>
              <w:t>57</w:t>
            </w:r>
          </w:p>
        </w:tc>
        <w:tc>
          <w:tcPr>
            <w:tcW w:w="671" w:type="dxa"/>
            <w:tcBorders>
              <w:top w:val="single" w:sz="4" w:space="0" w:color="auto"/>
              <w:left w:val="nil"/>
              <w:bottom w:val="single" w:sz="4" w:space="0" w:color="auto"/>
              <w:right w:val="nil"/>
            </w:tcBorders>
            <w:shd w:val="clear" w:color="auto" w:fill="auto"/>
            <w:vAlign w:val="center"/>
            <w:hideMark/>
          </w:tcPr>
          <w:p w14:paraId="1C57AD19" w14:textId="77777777" w:rsidR="004367EF" w:rsidRPr="008E43F9" w:rsidRDefault="004367EF" w:rsidP="00EE13C5">
            <w:pPr>
              <w:pStyle w:val="cuatexto"/>
              <w:spacing w:line="240" w:lineRule="auto"/>
              <w:jc w:val="right"/>
              <w:rPr>
                <w:lang w:val="es-ES" w:eastAsia="es-ES"/>
              </w:rPr>
            </w:pPr>
            <w:r w:rsidRPr="008E43F9">
              <w:rPr>
                <w:lang w:val="es-ES" w:eastAsia="es-ES"/>
              </w:rPr>
              <w:t>67</w:t>
            </w:r>
          </w:p>
        </w:tc>
        <w:tc>
          <w:tcPr>
            <w:tcW w:w="831" w:type="dxa"/>
            <w:tcBorders>
              <w:top w:val="single" w:sz="4" w:space="0" w:color="auto"/>
              <w:left w:val="nil"/>
              <w:bottom w:val="single" w:sz="4" w:space="0" w:color="auto"/>
              <w:right w:val="nil"/>
            </w:tcBorders>
            <w:shd w:val="clear" w:color="auto" w:fill="auto"/>
            <w:vAlign w:val="center"/>
            <w:hideMark/>
          </w:tcPr>
          <w:p w14:paraId="6A986688" w14:textId="77777777" w:rsidR="004367EF" w:rsidRPr="008E43F9" w:rsidRDefault="004367EF" w:rsidP="00EE13C5">
            <w:pPr>
              <w:pStyle w:val="cuatexto"/>
              <w:spacing w:line="240" w:lineRule="auto"/>
              <w:jc w:val="right"/>
              <w:rPr>
                <w:lang w:val="es-ES" w:eastAsia="es-ES"/>
              </w:rPr>
            </w:pPr>
            <w:r w:rsidRPr="008E43F9">
              <w:rPr>
                <w:lang w:val="es-ES" w:eastAsia="es-ES"/>
              </w:rPr>
              <w:t>46</w:t>
            </w:r>
          </w:p>
        </w:tc>
        <w:tc>
          <w:tcPr>
            <w:tcW w:w="1110" w:type="dxa"/>
            <w:tcBorders>
              <w:top w:val="single" w:sz="4" w:space="0" w:color="auto"/>
              <w:left w:val="nil"/>
              <w:bottom w:val="single" w:sz="4" w:space="0" w:color="auto"/>
              <w:right w:val="nil"/>
            </w:tcBorders>
            <w:shd w:val="clear" w:color="auto" w:fill="auto"/>
            <w:vAlign w:val="center"/>
            <w:hideMark/>
          </w:tcPr>
          <w:p w14:paraId="73A25010"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-10 </w:t>
            </w:r>
          </w:p>
        </w:tc>
        <w:tc>
          <w:tcPr>
            <w:tcW w:w="1109" w:type="dxa"/>
            <w:tcBorders>
              <w:top w:val="single" w:sz="4" w:space="0" w:color="auto"/>
              <w:left w:val="nil"/>
              <w:bottom w:val="single" w:sz="4" w:space="0" w:color="auto"/>
              <w:right w:val="nil"/>
            </w:tcBorders>
            <w:shd w:val="clear" w:color="auto" w:fill="auto"/>
            <w:vAlign w:val="center"/>
            <w:hideMark/>
          </w:tcPr>
          <w:p w14:paraId="34E65BCA"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11 </w:t>
            </w:r>
          </w:p>
        </w:tc>
      </w:tr>
      <w:tr w:rsidR="004367EF" w:rsidRPr="00EA23FB" w14:paraId="25FFDCA0" w14:textId="77777777" w:rsidTr="00EE13C5">
        <w:trPr>
          <w:trHeight w:val="227"/>
          <w:jc w:val="center"/>
        </w:trPr>
        <w:tc>
          <w:tcPr>
            <w:tcW w:w="3969" w:type="dxa"/>
            <w:tcBorders>
              <w:top w:val="nil"/>
              <w:left w:val="nil"/>
              <w:bottom w:val="single" w:sz="4" w:space="0" w:color="auto"/>
              <w:right w:val="nil"/>
            </w:tcBorders>
            <w:shd w:val="clear" w:color="auto" w:fill="auto"/>
            <w:vAlign w:val="center"/>
            <w:hideMark/>
          </w:tcPr>
          <w:p w14:paraId="60A24427" w14:textId="77777777" w:rsidR="004367EF" w:rsidRPr="008E43F9" w:rsidRDefault="004367EF" w:rsidP="00EE13C5">
            <w:pPr>
              <w:pStyle w:val="cuatexto"/>
              <w:spacing w:line="240" w:lineRule="auto"/>
              <w:jc w:val="left"/>
              <w:rPr>
                <w:lang w:val="es-ES" w:eastAsia="es-ES"/>
              </w:rPr>
            </w:pPr>
            <w:r w:rsidRPr="008E43F9">
              <w:rPr>
                <w:lang w:val="es-ES" w:eastAsia="es-ES"/>
              </w:rPr>
              <w:t>Porcentaje de inversiones no financiadas con transferencias de capital</w:t>
            </w:r>
          </w:p>
        </w:tc>
        <w:tc>
          <w:tcPr>
            <w:tcW w:w="932" w:type="dxa"/>
            <w:tcBorders>
              <w:top w:val="nil"/>
              <w:left w:val="nil"/>
              <w:bottom w:val="single" w:sz="4" w:space="0" w:color="auto"/>
              <w:right w:val="nil"/>
            </w:tcBorders>
            <w:shd w:val="clear" w:color="auto" w:fill="auto"/>
            <w:vAlign w:val="center"/>
            <w:hideMark/>
          </w:tcPr>
          <w:p w14:paraId="4C1D6C9A" w14:textId="77777777" w:rsidR="004367EF" w:rsidRPr="008E43F9" w:rsidRDefault="004367EF" w:rsidP="00EE13C5">
            <w:pPr>
              <w:pStyle w:val="cuatexto"/>
              <w:spacing w:line="240" w:lineRule="auto"/>
              <w:jc w:val="right"/>
              <w:rPr>
                <w:lang w:val="es-ES" w:eastAsia="es-ES"/>
              </w:rPr>
            </w:pPr>
            <w:r w:rsidRPr="008E43F9">
              <w:rPr>
                <w:lang w:val="es-ES" w:eastAsia="es-ES"/>
              </w:rPr>
              <w:t>51</w:t>
            </w:r>
          </w:p>
        </w:tc>
        <w:tc>
          <w:tcPr>
            <w:tcW w:w="671" w:type="dxa"/>
            <w:tcBorders>
              <w:top w:val="nil"/>
              <w:left w:val="nil"/>
              <w:bottom w:val="single" w:sz="4" w:space="0" w:color="auto"/>
              <w:right w:val="nil"/>
            </w:tcBorders>
            <w:shd w:val="clear" w:color="auto" w:fill="auto"/>
            <w:vAlign w:val="center"/>
            <w:hideMark/>
          </w:tcPr>
          <w:p w14:paraId="1FDC2105" w14:textId="77777777" w:rsidR="004367EF" w:rsidRPr="008E43F9" w:rsidRDefault="004367EF" w:rsidP="00EE13C5">
            <w:pPr>
              <w:pStyle w:val="cuatexto"/>
              <w:spacing w:line="240" w:lineRule="auto"/>
              <w:jc w:val="right"/>
              <w:rPr>
                <w:lang w:val="es-ES" w:eastAsia="es-ES"/>
              </w:rPr>
            </w:pPr>
            <w:r w:rsidRPr="008E43F9">
              <w:rPr>
                <w:lang w:val="es-ES" w:eastAsia="es-ES"/>
              </w:rPr>
              <w:t>81</w:t>
            </w:r>
          </w:p>
        </w:tc>
        <w:tc>
          <w:tcPr>
            <w:tcW w:w="831" w:type="dxa"/>
            <w:tcBorders>
              <w:top w:val="nil"/>
              <w:left w:val="nil"/>
              <w:bottom w:val="single" w:sz="4" w:space="0" w:color="auto"/>
              <w:right w:val="nil"/>
            </w:tcBorders>
            <w:shd w:val="clear" w:color="auto" w:fill="auto"/>
            <w:vAlign w:val="center"/>
            <w:hideMark/>
          </w:tcPr>
          <w:p w14:paraId="5AEB84D2" w14:textId="77777777" w:rsidR="004367EF" w:rsidRPr="008E43F9" w:rsidRDefault="004367EF" w:rsidP="00EE13C5">
            <w:pPr>
              <w:pStyle w:val="cuatexto"/>
              <w:spacing w:line="240" w:lineRule="auto"/>
              <w:jc w:val="right"/>
              <w:rPr>
                <w:lang w:val="es-ES" w:eastAsia="es-ES"/>
              </w:rPr>
            </w:pPr>
            <w:r w:rsidRPr="008E43F9">
              <w:rPr>
                <w:lang w:val="es-ES" w:eastAsia="es-ES"/>
              </w:rPr>
              <w:t>48</w:t>
            </w:r>
          </w:p>
        </w:tc>
        <w:tc>
          <w:tcPr>
            <w:tcW w:w="1110" w:type="dxa"/>
            <w:tcBorders>
              <w:top w:val="nil"/>
              <w:left w:val="nil"/>
              <w:bottom w:val="single" w:sz="4" w:space="0" w:color="auto"/>
              <w:right w:val="nil"/>
            </w:tcBorders>
            <w:shd w:val="clear" w:color="auto" w:fill="auto"/>
            <w:vAlign w:val="center"/>
            <w:hideMark/>
          </w:tcPr>
          <w:p w14:paraId="18535B7C"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-30 </w:t>
            </w:r>
          </w:p>
        </w:tc>
        <w:tc>
          <w:tcPr>
            <w:tcW w:w="1109" w:type="dxa"/>
            <w:tcBorders>
              <w:top w:val="nil"/>
              <w:left w:val="nil"/>
              <w:bottom w:val="single" w:sz="4" w:space="0" w:color="auto"/>
              <w:right w:val="nil"/>
            </w:tcBorders>
            <w:shd w:val="clear" w:color="auto" w:fill="auto"/>
            <w:vAlign w:val="center"/>
            <w:hideMark/>
          </w:tcPr>
          <w:p w14:paraId="50E96CCD" w14:textId="77777777" w:rsidR="004367EF" w:rsidRPr="008E43F9" w:rsidRDefault="004367EF" w:rsidP="00EE13C5">
            <w:pPr>
              <w:pStyle w:val="cuatexto"/>
              <w:spacing w:line="240" w:lineRule="auto"/>
              <w:jc w:val="right"/>
              <w:rPr>
                <w:lang w:val="es-ES" w:eastAsia="es-ES"/>
              </w:rPr>
            </w:pPr>
            <w:r w:rsidRPr="008E43F9">
              <w:rPr>
                <w:lang w:val="es-ES" w:eastAsia="es-ES"/>
              </w:rPr>
              <w:t xml:space="preserve">3 </w:t>
            </w:r>
          </w:p>
        </w:tc>
      </w:tr>
    </w:tbl>
    <w:p w14:paraId="4B379ACD" w14:textId="43EB286D" w:rsidR="00D35117" w:rsidRDefault="004C5885" w:rsidP="00DD06D1">
      <w:pPr>
        <w:spacing w:before="240" w:after="120"/>
        <w:ind w:firstLine="284"/>
        <w:rPr>
          <w:rStyle w:val="textoCar"/>
          <w:szCs w:val="26"/>
        </w:rPr>
      </w:pPr>
      <w:r>
        <w:rPr>
          <w:rStyle w:val="textoCar"/>
          <w:szCs w:val="26"/>
        </w:rPr>
        <w:t>L</w:t>
      </w:r>
      <w:r w:rsidR="00D35117">
        <w:rPr>
          <w:rStyle w:val="textoCar"/>
          <w:szCs w:val="26"/>
        </w:rPr>
        <w:t>os gastos de funcionamiento en Navarra se situaron en 796 euros por habitante</w:t>
      </w:r>
      <w:r w:rsidR="00671006">
        <w:rPr>
          <w:rStyle w:val="textoCar"/>
          <w:szCs w:val="26"/>
        </w:rPr>
        <w:t>,</w:t>
      </w:r>
      <w:r>
        <w:rPr>
          <w:rStyle w:val="textoCar"/>
          <w:szCs w:val="26"/>
        </w:rPr>
        <w:t xml:space="preserve"> importe que se sitúa algo por debajo del registrado en e</w:t>
      </w:r>
      <w:r w:rsidR="00D35117">
        <w:rPr>
          <w:rStyle w:val="textoCar"/>
          <w:szCs w:val="26"/>
        </w:rPr>
        <w:t xml:space="preserve">l resto del Estado (824 euros) y </w:t>
      </w:r>
      <w:r>
        <w:rPr>
          <w:rStyle w:val="textoCar"/>
          <w:szCs w:val="26"/>
        </w:rPr>
        <w:t xml:space="preserve">muy por debajo del </w:t>
      </w:r>
      <w:r w:rsidR="00D35117">
        <w:rPr>
          <w:rStyle w:val="textoCar"/>
          <w:szCs w:val="26"/>
        </w:rPr>
        <w:t xml:space="preserve">País Vasco (1.101 euros). </w:t>
      </w:r>
    </w:p>
    <w:p w14:paraId="2F3A99E4" w14:textId="4B59BEDA" w:rsidR="004367EF" w:rsidRDefault="004C5885" w:rsidP="008E518B">
      <w:pPr>
        <w:spacing w:after="120"/>
        <w:ind w:firstLine="284"/>
        <w:rPr>
          <w:rStyle w:val="textoCar"/>
          <w:szCs w:val="26"/>
        </w:rPr>
      </w:pPr>
      <w:r>
        <w:rPr>
          <w:rStyle w:val="textoCar"/>
          <w:szCs w:val="26"/>
        </w:rPr>
        <w:t>L</w:t>
      </w:r>
      <w:r w:rsidR="00D35117">
        <w:rPr>
          <w:rStyle w:val="textoCar"/>
          <w:szCs w:val="26"/>
        </w:rPr>
        <w:t xml:space="preserve">os </w:t>
      </w:r>
      <w:r w:rsidR="00974F8A">
        <w:rPr>
          <w:rStyle w:val="textoCar"/>
          <w:szCs w:val="26"/>
        </w:rPr>
        <w:t>ayuntamient</w:t>
      </w:r>
      <w:r w:rsidR="00D35117">
        <w:rPr>
          <w:rStyle w:val="textoCar"/>
          <w:szCs w:val="26"/>
        </w:rPr>
        <w:t xml:space="preserve">os navarros presentan las mayores cifras de ahorro bruto y neto en este ejercicio, tanto en términos absolutos como en relación con los ingresos corrientes. </w:t>
      </w:r>
    </w:p>
    <w:p w14:paraId="762E9D7C" w14:textId="77777777" w:rsidR="00345C6C" w:rsidRDefault="00D35117" w:rsidP="008E518B">
      <w:pPr>
        <w:spacing w:after="120"/>
        <w:ind w:firstLine="284"/>
        <w:rPr>
          <w:rStyle w:val="textoCar"/>
          <w:szCs w:val="26"/>
        </w:rPr>
      </w:pPr>
      <w:r>
        <w:rPr>
          <w:rStyle w:val="textoCar"/>
          <w:szCs w:val="26"/>
        </w:rPr>
        <w:lastRenderedPageBreak/>
        <w:t>En la siguiente tabla se presenta la variación interanual de cada uno de estos indicadores:</w:t>
      </w:r>
    </w:p>
    <w:tbl>
      <w:tblPr>
        <w:tblW w:w="5000" w:type="pct"/>
        <w:tblCellMar>
          <w:left w:w="70" w:type="dxa"/>
          <w:right w:w="70" w:type="dxa"/>
        </w:tblCellMar>
        <w:tblLook w:val="04A0" w:firstRow="1" w:lastRow="0" w:firstColumn="1" w:lastColumn="0" w:noHBand="0" w:noVBand="1"/>
      </w:tblPr>
      <w:tblGrid>
        <w:gridCol w:w="5103"/>
        <w:gridCol w:w="1103"/>
        <w:gridCol w:w="1133"/>
        <w:gridCol w:w="1450"/>
      </w:tblGrid>
      <w:tr w:rsidR="00D35117" w:rsidRPr="00A16FC4" w14:paraId="2A67D349" w14:textId="77777777" w:rsidTr="00A16FC4">
        <w:trPr>
          <w:trHeight w:val="255"/>
        </w:trPr>
        <w:tc>
          <w:tcPr>
            <w:tcW w:w="5103" w:type="dxa"/>
            <w:tcBorders>
              <w:top w:val="single" w:sz="4" w:space="0" w:color="auto"/>
              <w:left w:val="nil"/>
              <w:bottom w:val="single" w:sz="4" w:space="0" w:color="auto"/>
              <w:right w:val="nil"/>
            </w:tcBorders>
            <w:shd w:val="clear" w:color="auto" w:fill="FABF8F" w:themeFill="accent6" w:themeFillTint="99"/>
            <w:noWrap/>
            <w:vAlign w:val="center"/>
            <w:hideMark/>
          </w:tcPr>
          <w:p w14:paraId="7D7A8BA2" w14:textId="21E074BE" w:rsidR="00D35117" w:rsidRPr="00A16FC4" w:rsidRDefault="00D35117" w:rsidP="00565DBB">
            <w:pPr>
              <w:pStyle w:val="cuadroCabe"/>
              <w:spacing w:line="240" w:lineRule="auto"/>
            </w:pPr>
            <w:r w:rsidRPr="00A16FC4">
              <w:t xml:space="preserve">Variación de los indicadores </w:t>
            </w:r>
            <w:r w:rsidR="008E4AB0" w:rsidRPr="00A16FC4">
              <w:t>2020/19</w:t>
            </w:r>
          </w:p>
        </w:tc>
        <w:tc>
          <w:tcPr>
            <w:tcW w:w="1250" w:type="dxa"/>
            <w:tcBorders>
              <w:top w:val="single" w:sz="4" w:space="0" w:color="auto"/>
              <w:left w:val="nil"/>
              <w:bottom w:val="single" w:sz="4" w:space="0" w:color="auto"/>
              <w:right w:val="nil"/>
            </w:tcBorders>
            <w:shd w:val="clear" w:color="auto" w:fill="FABF8F" w:themeFill="accent6" w:themeFillTint="99"/>
            <w:vAlign w:val="center"/>
          </w:tcPr>
          <w:p w14:paraId="614BAE3A" w14:textId="77777777" w:rsidR="00D35117" w:rsidRPr="00A16FC4" w:rsidRDefault="00D35117" w:rsidP="00565DBB">
            <w:pPr>
              <w:pStyle w:val="cuadroCabe"/>
              <w:spacing w:line="240" w:lineRule="auto"/>
              <w:jc w:val="right"/>
            </w:pPr>
            <w:r w:rsidRPr="00A16FC4">
              <w:t>Navarra</w:t>
            </w:r>
          </w:p>
        </w:tc>
        <w:tc>
          <w:tcPr>
            <w:tcW w:w="1133" w:type="dxa"/>
            <w:tcBorders>
              <w:top w:val="single" w:sz="4" w:space="0" w:color="auto"/>
              <w:left w:val="nil"/>
              <w:bottom w:val="single" w:sz="4" w:space="0" w:color="auto"/>
              <w:right w:val="nil"/>
            </w:tcBorders>
            <w:shd w:val="clear" w:color="auto" w:fill="FABF8F" w:themeFill="accent6" w:themeFillTint="99"/>
            <w:noWrap/>
            <w:vAlign w:val="center"/>
            <w:hideMark/>
          </w:tcPr>
          <w:p w14:paraId="2F67C1F6" w14:textId="77777777" w:rsidR="00D35117" w:rsidRPr="00A16FC4" w:rsidRDefault="00D35117" w:rsidP="00565DBB">
            <w:pPr>
              <w:pStyle w:val="cuadroCabe"/>
              <w:spacing w:line="240" w:lineRule="auto"/>
              <w:jc w:val="right"/>
            </w:pPr>
            <w:r w:rsidRPr="00A16FC4">
              <w:t>País Vasco</w:t>
            </w:r>
          </w:p>
        </w:tc>
        <w:tc>
          <w:tcPr>
            <w:tcW w:w="1450" w:type="dxa"/>
            <w:tcBorders>
              <w:top w:val="single" w:sz="4" w:space="0" w:color="auto"/>
              <w:left w:val="nil"/>
              <w:bottom w:val="single" w:sz="4" w:space="0" w:color="auto"/>
              <w:right w:val="nil"/>
            </w:tcBorders>
            <w:shd w:val="clear" w:color="auto" w:fill="FABF8F" w:themeFill="accent6" w:themeFillTint="99"/>
            <w:noWrap/>
            <w:vAlign w:val="center"/>
            <w:hideMark/>
          </w:tcPr>
          <w:p w14:paraId="3A88BA82" w14:textId="6A2D445C" w:rsidR="00D35117" w:rsidRPr="00A16FC4" w:rsidRDefault="00D35117" w:rsidP="00565DBB">
            <w:pPr>
              <w:pStyle w:val="cuadroCabe"/>
              <w:spacing w:line="240" w:lineRule="auto"/>
              <w:jc w:val="right"/>
            </w:pPr>
            <w:proofErr w:type="gramStart"/>
            <w:r w:rsidRPr="00A16FC4">
              <w:t xml:space="preserve">Resto </w:t>
            </w:r>
            <w:r w:rsidR="004C5885" w:rsidRPr="00A16FC4">
              <w:t xml:space="preserve"> </w:t>
            </w:r>
            <w:r w:rsidRPr="00A16FC4">
              <w:t>Estado</w:t>
            </w:r>
            <w:proofErr w:type="gramEnd"/>
          </w:p>
        </w:tc>
      </w:tr>
      <w:tr w:rsidR="00D35117" w:rsidRPr="00EE32F4" w14:paraId="109CC656" w14:textId="77777777" w:rsidTr="001C793D">
        <w:trPr>
          <w:trHeight w:val="227"/>
        </w:trPr>
        <w:tc>
          <w:tcPr>
            <w:tcW w:w="5103" w:type="dxa"/>
            <w:tcBorders>
              <w:top w:val="nil"/>
              <w:left w:val="nil"/>
              <w:bottom w:val="single" w:sz="4" w:space="0" w:color="auto"/>
              <w:right w:val="nil"/>
            </w:tcBorders>
            <w:shd w:val="clear" w:color="auto" w:fill="auto"/>
            <w:vAlign w:val="center"/>
            <w:hideMark/>
          </w:tcPr>
          <w:p w14:paraId="6C216AFD" w14:textId="2ACF076D" w:rsidR="00D35117" w:rsidRPr="00EE32F4" w:rsidRDefault="00D35117" w:rsidP="00565DBB">
            <w:pPr>
              <w:pStyle w:val="cuatexto"/>
              <w:spacing w:line="240" w:lineRule="auto"/>
              <w:rPr>
                <w:szCs w:val="20"/>
                <w:lang w:val="es-ES" w:eastAsia="es-ES"/>
              </w:rPr>
            </w:pPr>
            <w:r w:rsidRPr="00EE32F4">
              <w:rPr>
                <w:szCs w:val="20"/>
                <w:lang w:val="es-ES" w:eastAsia="es-ES"/>
              </w:rPr>
              <w:t xml:space="preserve">Ingresos corrientes (por </w:t>
            </w:r>
            <w:proofErr w:type="gramStart"/>
            <w:r w:rsidRPr="00EE32F4">
              <w:rPr>
                <w:szCs w:val="20"/>
                <w:lang w:val="es-ES" w:eastAsia="es-ES"/>
              </w:rPr>
              <w:t>habitante)</w:t>
            </w:r>
            <w:r w:rsidR="00D37BBA">
              <w:rPr>
                <w:szCs w:val="20"/>
                <w:lang w:val="es-ES" w:eastAsia="es-ES"/>
              </w:rPr>
              <w:t>*</w:t>
            </w:r>
            <w:proofErr w:type="gramEnd"/>
          </w:p>
        </w:tc>
        <w:tc>
          <w:tcPr>
            <w:tcW w:w="1250" w:type="dxa"/>
            <w:tcBorders>
              <w:top w:val="nil"/>
              <w:left w:val="nil"/>
              <w:bottom w:val="single" w:sz="4" w:space="0" w:color="auto"/>
              <w:right w:val="nil"/>
            </w:tcBorders>
            <w:vAlign w:val="center"/>
          </w:tcPr>
          <w:p w14:paraId="59125316" w14:textId="77777777" w:rsidR="00D35117" w:rsidRPr="00EE32F4" w:rsidRDefault="00D35117" w:rsidP="00565DBB">
            <w:pPr>
              <w:pStyle w:val="cuatexto"/>
              <w:spacing w:line="240" w:lineRule="auto"/>
              <w:jc w:val="right"/>
              <w:rPr>
                <w:szCs w:val="20"/>
                <w:lang w:val="es-ES" w:eastAsia="es-ES"/>
              </w:rPr>
            </w:pPr>
            <w:r w:rsidRPr="00EE32F4">
              <w:rPr>
                <w:szCs w:val="20"/>
              </w:rPr>
              <w:t>-30</w:t>
            </w:r>
          </w:p>
        </w:tc>
        <w:tc>
          <w:tcPr>
            <w:tcW w:w="1133" w:type="dxa"/>
            <w:tcBorders>
              <w:top w:val="nil"/>
              <w:left w:val="nil"/>
              <w:bottom w:val="single" w:sz="4" w:space="0" w:color="auto"/>
              <w:right w:val="nil"/>
            </w:tcBorders>
            <w:shd w:val="clear" w:color="auto" w:fill="auto"/>
            <w:noWrap/>
            <w:vAlign w:val="center"/>
            <w:hideMark/>
          </w:tcPr>
          <w:p w14:paraId="2F0A517A" w14:textId="77777777" w:rsidR="00D35117" w:rsidRPr="00EE32F4" w:rsidRDefault="00D35117" w:rsidP="00565DBB">
            <w:pPr>
              <w:pStyle w:val="cuatexto"/>
              <w:spacing w:line="240" w:lineRule="auto"/>
              <w:jc w:val="right"/>
              <w:rPr>
                <w:szCs w:val="20"/>
              </w:rPr>
            </w:pPr>
            <w:r w:rsidRPr="00EE32F4">
              <w:rPr>
                <w:szCs w:val="20"/>
              </w:rPr>
              <w:t>-107</w:t>
            </w:r>
          </w:p>
        </w:tc>
        <w:tc>
          <w:tcPr>
            <w:tcW w:w="1450" w:type="dxa"/>
            <w:tcBorders>
              <w:top w:val="nil"/>
              <w:left w:val="nil"/>
              <w:bottom w:val="single" w:sz="4" w:space="0" w:color="auto"/>
              <w:right w:val="nil"/>
            </w:tcBorders>
            <w:shd w:val="clear" w:color="auto" w:fill="auto"/>
            <w:noWrap/>
            <w:vAlign w:val="center"/>
            <w:hideMark/>
          </w:tcPr>
          <w:p w14:paraId="39E49109" w14:textId="1EA39EFE" w:rsidR="00D35117" w:rsidRPr="00EE32F4" w:rsidRDefault="00D35117" w:rsidP="00565DBB">
            <w:pPr>
              <w:pStyle w:val="cuatexto"/>
              <w:spacing w:line="240" w:lineRule="auto"/>
              <w:jc w:val="right"/>
              <w:rPr>
                <w:szCs w:val="20"/>
              </w:rPr>
            </w:pPr>
            <w:r w:rsidRPr="00EE32F4">
              <w:rPr>
                <w:szCs w:val="20"/>
              </w:rPr>
              <w:t>-2</w:t>
            </w:r>
            <w:r w:rsidR="004D0737" w:rsidRPr="00EE32F4">
              <w:rPr>
                <w:szCs w:val="20"/>
              </w:rPr>
              <w:t>4</w:t>
            </w:r>
          </w:p>
        </w:tc>
      </w:tr>
      <w:tr w:rsidR="00D35117" w:rsidRPr="00EE32F4" w14:paraId="18CA171D" w14:textId="77777777" w:rsidTr="001C793D">
        <w:trPr>
          <w:trHeight w:val="227"/>
        </w:trPr>
        <w:tc>
          <w:tcPr>
            <w:tcW w:w="5103" w:type="dxa"/>
            <w:tcBorders>
              <w:top w:val="nil"/>
              <w:left w:val="nil"/>
              <w:bottom w:val="single" w:sz="4" w:space="0" w:color="auto"/>
              <w:right w:val="nil"/>
            </w:tcBorders>
            <w:shd w:val="clear" w:color="auto" w:fill="auto"/>
            <w:vAlign w:val="center"/>
            <w:hideMark/>
          </w:tcPr>
          <w:p w14:paraId="69719054" w14:textId="7DD190FE" w:rsidR="00D35117" w:rsidRPr="00EE32F4" w:rsidRDefault="00D35117" w:rsidP="00565DBB">
            <w:pPr>
              <w:pStyle w:val="cuatexto"/>
              <w:spacing w:line="240" w:lineRule="auto"/>
              <w:rPr>
                <w:szCs w:val="20"/>
                <w:lang w:val="es-ES" w:eastAsia="es-ES"/>
              </w:rPr>
            </w:pPr>
            <w:r w:rsidRPr="00EE32F4">
              <w:rPr>
                <w:szCs w:val="20"/>
                <w:lang w:val="es-ES" w:eastAsia="es-ES"/>
              </w:rPr>
              <w:t>Gastos de funcionamiento</w:t>
            </w:r>
            <w:r w:rsidR="00D37BBA">
              <w:rPr>
                <w:szCs w:val="20"/>
                <w:lang w:val="es-ES" w:eastAsia="es-ES"/>
              </w:rPr>
              <w:t>*</w:t>
            </w:r>
          </w:p>
        </w:tc>
        <w:tc>
          <w:tcPr>
            <w:tcW w:w="1250" w:type="dxa"/>
            <w:tcBorders>
              <w:top w:val="nil"/>
              <w:left w:val="nil"/>
              <w:bottom w:val="single" w:sz="4" w:space="0" w:color="auto"/>
              <w:right w:val="nil"/>
            </w:tcBorders>
            <w:vAlign w:val="center"/>
          </w:tcPr>
          <w:p w14:paraId="44BAE478" w14:textId="5ECC6C9C" w:rsidR="00D35117" w:rsidRPr="00EE32F4" w:rsidRDefault="00D35117" w:rsidP="00565DBB">
            <w:pPr>
              <w:pStyle w:val="cuatexto"/>
              <w:spacing w:line="240" w:lineRule="auto"/>
              <w:jc w:val="right"/>
              <w:rPr>
                <w:szCs w:val="20"/>
              </w:rPr>
            </w:pPr>
            <w:r w:rsidRPr="00EE32F4">
              <w:rPr>
                <w:szCs w:val="20"/>
              </w:rPr>
              <w:t>-4</w:t>
            </w:r>
            <w:r w:rsidR="004D0737" w:rsidRPr="00EE32F4">
              <w:rPr>
                <w:szCs w:val="20"/>
              </w:rPr>
              <w:t>1</w:t>
            </w:r>
          </w:p>
        </w:tc>
        <w:tc>
          <w:tcPr>
            <w:tcW w:w="1133" w:type="dxa"/>
            <w:tcBorders>
              <w:top w:val="nil"/>
              <w:left w:val="nil"/>
              <w:bottom w:val="single" w:sz="4" w:space="0" w:color="auto"/>
              <w:right w:val="nil"/>
            </w:tcBorders>
            <w:shd w:val="clear" w:color="auto" w:fill="auto"/>
            <w:noWrap/>
            <w:vAlign w:val="center"/>
            <w:hideMark/>
          </w:tcPr>
          <w:p w14:paraId="50DBB665" w14:textId="4086208B" w:rsidR="00D35117" w:rsidRPr="00EE32F4" w:rsidRDefault="00D35117" w:rsidP="00565DBB">
            <w:pPr>
              <w:pStyle w:val="cuatexto"/>
              <w:spacing w:line="240" w:lineRule="auto"/>
              <w:jc w:val="right"/>
              <w:rPr>
                <w:szCs w:val="20"/>
              </w:rPr>
            </w:pPr>
            <w:r w:rsidRPr="00EE32F4">
              <w:rPr>
                <w:szCs w:val="20"/>
              </w:rPr>
              <w:t>-</w:t>
            </w:r>
            <w:r w:rsidR="004D0737" w:rsidRPr="00EE32F4">
              <w:rPr>
                <w:szCs w:val="20"/>
              </w:rPr>
              <w:t>29</w:t>
            </w:r>
          </w:p>
        </w:tc>
        <w:tc>
          <w:tcPr>
            <w:tcW w:w="1450" w:type="dxa"/>
            <w:tcBorders>
              <w:top w:val="nil"/>
              <w:left w:val="nil"/>
              <w:bottom w:val="single" w:sz="4" w:space="0" w:color="auto"/>
              <w:right w:val="nil"/>
            </w:tcBorders>
            <w:shd w:val="clear" w:color="auto" w:fill="auto"/>
            <w:noWrap/>
            <w:vAlign w:val="center"/>
            <w:hideMark/>
          </w:tcPr>
          <w:p w14:paraId="17F122A0" w14:textId="77777777" w:rsidR="00D35117" w:rsidRPr="00EE32F4" w:rsidRDefault="00D35117" w:rsidP="00565DBB">
            <w:pPr>
              <w:pStyle w:val="cuatexto"/>
              <w:spacing w:line="240" w:lineRule="auto"/>
              <w:jc w:val="right"/>
              <w:rPr>
                <w:szCs w:val="20"/>
              </w:rPr>
            </w:pPr>
            <w:r w:rsidRPr="00EE32F4">
              <w:rPr>
                <w:szCs w:val="20"/>
              </w:rPr>
              <w:t>-24</w:t>
            </w:r>
          </w:p>
        </w:tc>
      </w:tr>
      <w:tr w:rsidR="00D35117" w:rsidRPr="00EE32F4" w14:paraId="7D563034" w14:textId="77777777" w:rsidTr="001C793D">
        <w:trPr>
          <w:trHeight w:val="227"/>
        </w:trPr>
        <w:tc>
          <w:tcPr>
            <w:tcW w:w="5103" w:type="dxa"/>
            <w:tcBorders>
              <w:top w:val="nil"/>
              <w:left w:val="nil"/>
              <w:bottom w:val="single" w:sz="4" w:space="0" w:color="auto"/>
              <w:right w:val="nil"/>
            </w:tcBorders>
            <w:shd w:val="clear" w:color="auto" w:fill="auto"/>
            <w:vAlign w:val="center"/>
            <w:hideMark/>
          </w:tcPr>
          <w:p w14:paraId="1BE575D9" w14:textId="530DD339" w:rsidR="00D35117" w:rsidRPr="00EE32F4" w:rsidRDefault="00D35117" w:rsidP="00565DBB">
            <w:pPr>
              <w:pStyle w:val="cuatexto"/>
              <w:spacing w:line="240" w:lineRule="auto"/>
              <w:rPr>
                <w:szCs w:val="20"/>
                <w:lang w:val="es-ES" w:eastAsia="es-ES"/>
              </w:rPr>
            </w:pPr>
            <w:r w:rsidRPr="00EE32F4">
              <w:rPr>
                <w:szCs w:val="20"/>
                <w:lang w:val="es-ES" w:eastAsia="es-ES"/>
              </w:rPr>
              <w:t>Carga financiera</w:t>
            </w:r>
            <w:r w:rsidR="00D37BBA">
              <w:rPr>
                <w:szCs w:val="20"/>
                <w:lang w:val="es-ES" w:eastAsia="es-ES"/>
              </w:rPr>
              <w:t>*</w:t>
            </w:r>
          </w:p>
        </w:tc>
        <w:tc>
          <w:tcPr>
            <w:tcW w:w="1250" w:type="dxa"/>
            <w:tcBorders>
              <w:top w:val="nil"/>
              <w:left w:val="nil"/>
              <w:bottom w:val="single" w:sz="4" w:space="0" w:color="auto"/>
              <w:right w:val="nil"/>
            </w:tcBorders>
            <w:vAlign w:val="center"/>
          </w:tcPr>
          <w:p w14:paraId="4CE6D628" w14:textId="77777777" w:rsidR="00D35117" w:rsidRPr="00EE32F4" w:rsidRDefault="00D35117" w:rsidP="00565DBB">
            <w:pPr>
              <w:pStyle w:val="cuatexto"/>
              <w:spacing w:line="240" w:lineRule="auto"/>
              <w:jc w:val="right"/>
              <w:rPr>
                <w:szCs w:val="20"/>
              </w:rPr>
            </w:pPr>
            <w:r w:rsidRPr="00EE32F4">
              <w:rPr>
                <w:szCs w:val="20"/>
              </w:rPr>
              <w:t>2</w:t>
            </w:r>
          </w:p>
        </w:tc>
        <w:tc>
          <w:tcPr>
            <w:tcW w:w="1133" w:type="dxa"/>
            <w:tcBorders>
              <w:top w:val="nil"/>
              <w:left w:val="nil"/>
              <w:bottom w:val="single" w:sz="4" w:space="0" w:color="auto"/>
              <w:right w:val="nil"/>
            </w:tcBorders>
            <w:shd w:val="clear" w:color="auto" w:fill="auto"/>
            <w:noWrap/>
            <w:vAlign w:val="center"/>
            <w:hideMark/>
          </w:tcPr>
          <w:p w14:paraId="4EB28B94" w14:textId="77777777" w:rsidR="00D35117" w:rsidRPr="00EE32F4" w:rsidRDefault="00D35117" w:rsidP="00565DBB">
            <w:pPr>
              <w:pStyle w:val="cuatexto"/>
              <w:spacing w:line="240" w:lineRule="auto"/>
              <w:jc w:val="right"/>
              <w:rPr>
                <w:szCs w:val="20"/>
              </w:rPr>
            </w:pPr>
            <w:r w:rsidRPr="00EE32F4">
              <w:rPr>
                <w:szCs w:val="20"/>
              </w:rPr>
              <w:t>4</w:t>
            </w:r>
          </w:p>
        </w:tc>
        <w:tc>
          <w:tcPr>
            <w:tcW w:w="1450" w:type="dxa"/>
            <w:tcBorders>
              <w:top w:val="nil"/>
              <w:left w:val="nil"/>
              <w:bottom w:val="single" w:sz="4" w:space="0" w:color="auto"/>
              <w:right w:val="nil"/>
            </w:tcBorders>
            <w:shd w:val="clear" w:color="auto" w:fill="auto"/>
            <w:noWrap/>
            <w:vAlign w:val="center"/>
            <w:hideMark/>
          </w:tcPr>
          <w:p w14:paraId="32A19ECF" w14:textId="77777777" w:rsidR="00D35117" w:rsidRPr="00EE32F4" w:rsidRDefault="00D35117" w:rsidP="00565DBB">
            <w:pPr>
              <w:pStyle w:val="cuatexto"/>
              <w:spacing w:line="240" w:lineRule="auto"/>
              <w:jc w:val="right"/>
              <w:rPr>
                <w:szCs w:val="20"/>
              </w:rPr>
            </w:pPr>
            <w:r w:rsidRPr="00EE32F4">
              <w:rPr>
                <w:szCs w:val="20"/>
              </w:rPr>
              <w:t>-37</w:t>
            </w:r>
          </w:p>
        </w:tc>
      </w:tr>
      <w:tr w:rsidR="00D35117" w:rsidRPr="00EE32F4" w14:paraId="06F2F951"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6E844641" w14:textId="653266F6" w:rsidR="00D35117" w:rsidRPr="00EE32F4" w:rsidRDefault="00D35117" w:rsidP="00565DBB">
            <w:pPr>
              <w:pStyle w:val="cuatexto"/>
              <w:spacing w:line="240" w:lineRule="auto"/>
              <w:rPr>
                <w:szCs w:val="20"/>
                <w:lang w:val="es-ES" w:eastAsia="es-ES"/>
              </w:rPr>
            </w:pPr>
            <w:r w:rsidRPr="00EE32F4">
              <w:rPr>
                <w:szCs w:val="20"/>
                <w:lang w:val="es-ES" w:eastAsia="es-ES"/>
              </w:rPr>
              <w:t>Ahorro bruto</w:t>
            </w:r>
            <w:r w:rsidR="00D37BBA">
              <w:rPr>
                <w:szCs w:val="20"/>
                <w:lang w:val="es-ES" w:eastAsia="es-ES"/>
              </w:rPr>
              <w:t>*</w:t>
            </w:r>
          </w:p>
        </w:tc>
        <w:tc>
          <w:tcPr>
            <w:tcW w:w="1250" w:type="dxa"/>
            <w:tcBorders>
              <w:top w:val="nil"/>
              <w:left w:val="nil"/>
              <w:bottom w:val="single" w:sz="4" w:space="0" w:color="auto"/>
              <w:right w:val="nil"/>
            </w:tcBorders>
            <w:vAlign w:val="center"/>
          </w:tcPr>
          <w:p w14:paraId="6388261F" w14:textId="64BD231C" w:rsidR="00D35117" w:rsidRPr="00EE32F4" w:rsidRDefault="00D35117" w:rsidP="00565DBB">
            <w:pPr>
              <w:pStyle w:val="cuatexto"/>
              <w:spacing w:line="240" w:lineRule="auto"/>
              <w:jc w:val="right"/>
              <w:rPr>
                <w:szCs w:val="20"/>
              </w:rPr>
            </w:pPr>
            <w:r w:rsidRPr="00EE32F4">
              <w:rPr>
                <w:szCs w:val="20"/>
              </w:rPr>
              <w:t>1</w:t>
            </w:r>
            <w:r w:rsidR="004D0737" w:rsidRPr="00EE32F4">
              <w:rPr>
                <w:szCs w:val="20"/>
              </w:rPr>
              <w:t>2</w:t>
            </w:r>
          </w:p>
        </w:tc>
        <w:tc>
          <w:tcPr>
            <w:tcW w:w="1133" w:type="dxa"/>
            <w:tcBorders>
              <w:top w:val="nil"/>
              <w:left w:val="nil"/>
              <w:bottom w:val="single" w:sz="4" w:space="0" w:color="auto"/>
              <w:right w:val="nil"/>
            </w:tcBorders>
            <w:shd w:val="clear" w:color="auto" w:fill="auto"/>
            <w:noWrap/>
            <w:vAlign w:val="center"/>
            <w:hideMark/>
          </w:tcPr>
          <w:p w14:paraId="792B4C80" w14:textId="77777777" w:rsidR="00D35117" w:rsidRPr="00EE32F4" w:rsidRDefault="00D35117" w:rsidP="00565DBB">
            <w:pPr>
              <w:pStyle w:val="cuatexto"/>
              <w:spacing w:line="240" w:lineRule="auto"/>
              <w:jc w:val="right"/>
              <w:rPr>
                <w:szCs w:val="20"/>
              </w:rPr>
            </w:pPr>
            <w:r w:rsidRPr="00EE32F4">
              <w:rPr>
                <w:szCs w:val="20"/>
              </w:rPr>
              <w:t>-77</w:t>
            </w:r>
          </w:p>
        </w:tc>
        <w:tc>
          <w:tcPr>
            <w:tcW w:w="1450" w:type="dxa"/>
            <w:tcBorders>
              <w:top w:val="nil"/>
              <w:left w:val="nil"/>
              <w:bottom w:val="single" w:sz="4" w:space="0" w:color="auto"/>
              <w:right w:val="nil"/>
            </w:tcBorders>
            <w:shd w:val="clear" w:color="auto" w:fill="auto"/>
            <w:noWrap/>
            <w:vAlign w:val="center"/>
            <w:hideMark/>
          </w:tcPr>
          <w:p w14:paraId="0D22B128" w14:textId="77777777" w:rsidR="00D35117" w:rsidRPr="00EE32F4" w:rsidRDefault="00D35117" w:rsidP="00565DBB">
            <w:pPr>
              <w:pStyle w:val="cuatexto"/>
              <w:spacing w:line="240" w:lineRule="auto"/>
              <w:jc w:val="right"/>
              <w:rPr>
                <w:szCs w:val="20"/>
              </w:rPr>
            </w:pPr>
            <w:r w:rsidRPr="00EE32F4">
              <w:rPr>
                <w:szCs w:val="20"/>
              </w:rPr>
              <w:t>0</w:t>
            </w:r>
          </w:p>
        </w:tc>
      </w:tr>
      <w:tr w:rsidR="00D35117" w:rsidRPr="00EE32F4" w14:paraId="1697A4F8"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32534B3A" w14:textId="6034CFCC" w:rsidR="00D35117" w:rsidRPr="00EE32F4" w:rsidRDefault="00D35117" w:rsidP="00565DBB">
            <w:pPr>
              <w:pStyle w:val="cuatexto"/>
              <w:spacing w:line="240" w:lineRule="auto"/>
              <w:rPr>
                <w:szCs w:val="20"/>
                <w:lang w:val="es-ES" w:eastAsia="es-ES"/>
              </w:rPr>
            </w:pPr>
            <w:r w:rsidRPr="00EE32F4">
              <w:rPr>
                <w:szCs w:val="20"/>
                <w:lang w:val="es-ES" w:eastAsia="es-ES"/>
              </w:rPr>
              <w:t>Ahorro neto</w:t>
            </w:r>
            <w:r w:rsidR="00D37BBA">
              <w:rPr>
                <w:szCs w:val="20"/>
                <w:lang w:val="es-ES" w:eastAsia="es-ES"/>
              </w:rPr>
              <w:t>*</w:t>
            </w:r>
          </w:p>
        </w:tc>
        <w:tc>
          <w:tcPr>
            <w:tcW w:w="1250" w:type="dxa"/>
            <w:tcBorders>
              <w:top w:val="nil"/>
              <w:left w:val="nil"/>
              <w:bottom w:val="single" w:sz="4" w:space="0" w:color="auto"/>
              <w:right w:val="nil"/>
            </w:tcBorders>
            <w:vAlign w:val="center"/>
          </w:tcPr>
          <w:p w14:paraId="4079CFC1" w14:textId="77777777" w:rsidR="00D35117" w:rsidRPr="00EE32F4" w:rsidRDefault="00D35117" w:rsidP="00565DBB">
            <w:pPr>
              <w:pStyle w:val="cuatexto"/>
              <w:spacing w:line="240" w:lineRule="auto"/>
              <w:jc w:val="right"/>
              <w:rPr>
                <w:szCs w:val="20"/>
              </w:rPr>
            </w:pPr>
            <w:r w:rsidRPr="00EE32F4">
              <w:rPr>
                <w:szCs w:val="20"/>
              </w:rPr>
              <w:t>10</w:t>
            </w:r>
          </w:p>
        </w:tc>
        <w:tc>
          <w:tcPr>
            <w:tcW w:w="1133" w:type="dxa"/>
            <w:tcBorders>
              <w:top w:val="nil"/>
              <w:left w:val="nil"/>
              <w:bottom w:val="single" w:sz="4" w:space="0" w:color="auto"/>
              <w:right w:val="nil"/>
            </w:tcBorders>
            <w:shd w:val="clear" w:color="auto" w:fill="auto"/>
            <w:noWrap/>
            <w:vAlign w:val="center"/>
            <w:hideMark/>
          </w:tcPr>
          <w:p w14:paraId="1C23F73B" w14:textId="77777777" w:rsidR="00D35117" w:rsidRPr="00EE32F4" w:rsidRDefault="00D35117" w:rsidP="00565DBB">
            <w:pPr>
              <w:pStyle w:val="cuatexto"/>
              <w:spacing w:line="240" w:lineRule="auto"/>
              <w:jc w:val="right"/>
              <w:rPr>
                <w:szCs w:val="20"/>
              </w:rPr>
            </w:pPr>
            <w:r w:rsidRPr="00EE32F4">
              <w:rPr>
                <w:szCs w:val="20"/>
              </w:rPr>
              <w:t>-81</w:t>
            </w:r>
          </w:p>
        </w:tc>
        <w:tc>
          <w:tcPr>
            <w:tcW w:w="1450" w:type="dxa"/>
            <w:tcBorders>
              <w:top w:val="nil"/>
              <w:left w:val="nil"/>
              <w:bottom w:val="single" w:sz="4" w:space="0" w:color="auto"/>
              <w:right w:val="nil"/>
            </w:tcBorders>
            <w:shd w:val="clear" w:color="auto" w:fill="auto"/>
            <w:noWrap/>
            <w:vAlign w:val="center"/>
            <w:hideMark/>
          </w:tcPr>
          <w:p w14:paraId="2AD05D4A" w14:textId="77777777" w:rsidR="00D35117" w:rsidRPr="00EE32F4" w:rsidRDefault="00D35117" w:rsidP="00565DBB">
            <w:pPr>
              <w:pStyle w:val="cuatexto"/>
              <w:spacing w:line="240" w:lineRule="auto"/>
              <w:jc w:val="right"/>
              <w:rPr>
                <w:szCs w:val="20"/>
              </w:rPr>
            </w:pPr>
            <w:r w:rsidRPr="00EE32F4">
              <w:rPr>
                <w:szCs w:val="20"/>
              </w:rPr>
              <w:t>37</w:t>
            </w:r>
          </w:p>
        </w:tc>
      </w:tr>
      <w:tr w:rsidR="00D35117" w:rsidRPr="00EE32F4" w14:paraId="12513C24"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52A083B4" w14:textId="16B68D41" w:rsidR="00D35117" w:rsidRPr="00EE32F4" w:rsidRDefault="00D35117" w:rsidP="00565DBB">
            <w:pPr>
              <w:pStyle w:val="cuatexto"/>
              <w:spacing w:line="240" w:lineRule="auto"/>
              <w:rPr>
                <w:szCs w:val="20"/>
                <w:lang w:val="es-ES" w:eastAsia="es-ES"/>
              </w:rPr>
            </w:pPr>
            <w:r w:rsidRPr="00EE32F4">
              <w:rPr>
                <w:szCs w:val="20"/>
                <w:lang w:val="es-ES" w:eastAsia="es-ES"/>
              </w:rPr>
              <w:t>Deuda viva</w:t>
            </w:r>
            <w:r w:rsidR="00D37BBA">
              <w:rPr>
                <w:szCs w:val="20"/>
                <w:lang w:val="es-ES" w:eastAsia="es-ES"/>
              </w:rPr>
              <w:t>*</w:t>
            </w:r>
          </w:p>
        </w:tc>
        <w:tc>
          <w:tcPr>
            <w:tcW w:w="1250" w:type="dxa"/>
            <w:tcBorders>
              <w:top w:val="nil"/>
              <w:left w:val="nil"/>
              <w:bottom w:val="single" w:sz="4" w:space="0" w:color="auto"/>
              <w:right w:val="nil"/>
            </w:tcBorders>
            <w:vAlign w:val="center"/>
          </w:tcPr>
          <w:p w14:paraId="72E96069" w14:textId="77777777" w:rsidR="00D35117" w:rsidRPr="00EE32F4" w:rsidRDefault="00FB2CFA" w:rsidP="00565DBB">
            <w:pPr>
              <w:pStyle w:val="cuatexto"/>
              <w:spacing w:line="240" w:lineRule="auto"/>
              <w:jc w:val="right"/>
              <w:rPr>
                <w:szCs w:val="20"/>
              </w:rPr>
            </w:pPr>
            <w:r w:rsidRPr="00EE32F4">
              <w:rPr>
                <w:szCs w:val="20"/>
              </w:rPr>
              <w:t>-28</w:t>
            </w:r>
          </w:p>
        </w:tc>
        <w:tc>
          <w:tcPr>
            <w:tcW w:w="1133" w:type="dxa"/>
            <w:tcBorders>
              <w:top w:val="nil"/>
              <w:left w:val="nil"/>
              <w:bottom w:val="single" w:sz="4" w:space="0" w:color="auto"/>
              <w:right w:val="nil"/>
            </w:tcBorders>
            <w:shd w:val="clear" w:color="auto" w:fill="auto"/>
            <w:noWrap/>
            <w:vAlign w:val="center"/>
            <w:hideMark/>
          </w:tcPr>
          <w:p w14:paraId="7E249C0B" w14:textId="77777777" w:rsidR="00D35117" w:rsidRPr="00EE32F4" w:rsidRDefault="00D35117" w:rsidP="00565DBB">
            <w:pPr>
              <w:pStyle w:val="cuatexto"/>
              <w:spacing w:line="240" w:lineRule="auto"/>
              <w:jc w:val="right"/>
              <w:rPr>
                <w:szCs w:val="20"/>
              </w:rPr>
            </w:pPr>
            <w:r w:rsidRPr="00EE32F4">
              <w:rPr>
                <w:szCs w:val="20"/>
              </w:rPr>
              <w:t>-13</w:t>
            </w:r>
          </w:p>
        </w:tc>
        <w:tc>
          <w:tcPr>
            <w:tcW w:w="1450" w:type="dxa"/>
            <w:tcBorders>
              <w:top w:val="nil"/>
              <w:left w:val="nil"/>
              <w:bottom w:val="single" w:sz="4" w:space="0" w:color="auto"/>
              <w:right w:val="nil"/>
            </w:tcBorders>
            <w:shd w:val="clear" w:color="auto" w:fill="auto"/>
            <w:noWrap/>
            <w:vAlign w:val="center"/>
            <w:hideMark/>
          </w:tcPr>
          <w:p w14:paraId="5D835498" w14:textId="77777777" w:rsidR="00D35117" w:rsidRPr="00EE32F4" w:rsidRDefault="00D35117" w:rsidP="00565DBB">
            <w:pPr>
              <w:pStyle w:val="cuatexto"/>
              <w:spacing w:line="240" w:lineRule="auto"/>
              <w:jc w:val="right"/>
              <w:rPr>
                <w:szCs w:val="20"/>
              </w:rPr>
            </w:pPr>
            <w:r w:rsidRPr="00EE32F4">
              <w:rPr>
                <w:szCs w:val="20"/>
              </w:rPr>
              <w:t>-12</w:t>
            </w:r>
          </w:p>
        </w:tc>
      </w:tr>
      <w:tr w:rsidR="00D35117" w:rsidRPr="00EE32F4" w14:paraId="03ECC714"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517CDA4A" w14:textId="77777777" w:rsidR="00D35117" w:rsidRPr="00EE32F4" w:rsidRDefault="00D35117" w:rsidP="00565DBB">
            <w:pPr>
              <w:pStyle w:val="cuatexto"/>
              <w:spacing w:line="240" w:lineRule="auto"/>
              <w:rPr>
                <w:szCs w:val="20"/>
                <w:lang w:val="es-ES" w:eastAsia="es-ES"/>
              </w:rPr>
            </w:pPr>
            <w:r w:rsidRPr="00EE32F4">
              <w:rPr>
                <w:szCs w:val="20"/>
                <w:lang w:val="es-ES" w:eastAsia="es-ES"/>
              </w:rPr>
              <w:t>Nivel de endeudamiento (</w:t>
            </w:r>
            <w:proofErr w:type="gramStart"/>
            <w:r w:rsidRPr="00EE32F4">
              <w:rPr>
                <w:szCs w:val="20"/>
                <w:lang w:val="es-ES" w:eastAsia="es-ES"/>
              </w:rPr>
              <w:t>%  deuda</w:t>
            </w:r>
            <w:proofErr w:type="gramEnd"/>
            <w:r w:rsidRPr="00EE32F4">
              <w:rPr>
                <w:szCs w:val="20"/>
                <w:lang w:val="es-ES" w:eastAsia="es-ES"/>
              </w:rPr>
              <w:t xml:space="preserve"> viva/</w:t>
            </w:r>
            <w:proofErr w:type="spellStart"/>
            <w:r w:rsidRPr="00EE32F4">
              <w:rPr>
                <w:szCs w:val="20"/>
                <w:lang w:val="es-ES" w:eastAsia="es-ES"/>
              </w:rPr>
              <w:t>Ing.Corrientes</w:t>
            </w:r>
            <w:proofErr w:type="spellEnd"/>
            <w:r w:rsidRPr="00EE32F4">
              <w:rPr>
                <w:szCs w:val="20"/>
                <w:lang w:val="es-ES" w:eastAsia="es-ES"/>
              </w:rPr>
              <w:t>)</w:t>
            </w:r>
          </w:p>
        </w:tc>
        <w:tc>
          <w:tcPr>
            <w:tcW w:w="1250" w:type="dxa"/>
            <w:tcBorders>
              <w:top w:val="nil"/>
              <w:left w:val="nil"/>
              <w:bottom w:val="single" w:sz="4" w:space="0" w:color="auto"/>
              <w:right w:val="nil"/>
            </w:tcBorders>
            <w:vAlign w:val="center"/>
          </w:tcPr>
          <w:p w14:paraId="3DCF1EFA" w14:textId="77777777" w:rsidR="00D35117" w:rsidRPr="00EE32F4" w:rsidRDefault="00FB2CFA" w:rsidP="00565DBB">
            <w:pPr>
              <w:pStyle w:val="cuatexto"/>
              <w:spacing w:line="240" w:lineRule="auto"/>
              <w:jc w:val="right"/>
              <w:rPr>
                <w:szCs w:val="20"/>
              </w:rPr>
            </w:pPr>
            <w:r w:rsidRPr="00EE32F4">
              <w:rPr>
                <w:szCs w:val="20"/>
              </w:rPr>
              <w:t>-2</w:t>
            </w:r>
          </w:p>
        </w:tc>
        <w:tc>
          <w:tcPr>
            <w:tcW w:w="1133" w:type="dxa"/>
            <w:tcBorders>
              <w:top w:val="nil"/>
              <w:left w:val="nil"/>
              <w:bottom w:val="single" w:sz="4" w:space="0" w:color="auto"/>
              <w:right w:val="nil"/>
            </w:tcBorders>
            <w:shd w:val="clear" w:color="auto" w:fill="auto"/>
            <w:noWrap/>
            <w:vAlign w:val="center"/>
            <w:hideMark/>
          </w:tcPr>
          <w:p w14:paraId="4DE42B58" w14:textId="77777777" w:rsidR="00D35117" w:rsidRPr="00EE32F4" w:rsidRDefault="00D35117" w:rsidP="00565DBB">
            <w:pPr>
              <w:pStyle w:val="cuatexto"/>
              <w:spacing w:line="240" w:lineRule="auto"/>
              <w:jc w:val="right"/>
              <w:rPr>
                <w:szCs w:val="20"/>
              </w:rPr>
            </w:pPr>
            <w:r w:rsidRPr="00EE32F4">
              <w:rPr>
                <w:szCs w:val="20"/>
              </w:rPr>
              <w:t>0</w:t>
            </w:r>
          </w:p>
        </w:tc>
        <w:tc>
          <w:tcPr>
            <w:tcW w:w="1450" w:type="dxa"/>
            <w:tcBorders>
              <w:top w:val="nil"/>
              <w:left w:val="nil"/>
              <w:bottom w:val="single" w:sz="4" w:space="0" w:color="auto"/>
              <w:right w:val="nil"/>
            </w:tcBorders>
            <w:shd w:val="clear" w:color="auto" w:fill="auto"/>
            <w:noWrap/>
            <w:vAlign w:val="center"/>
            <w:hideMark/>
          </w:tcPr>
          <w:p w14:paraId="455FB698" w14:textId="77777777" w:rsidR="00D35117" w:rsidRPr="00EE32F4" w:rsidRDefault="00D35117" w:rsidP="00565DBB">
            <w:pPr>
              <w:pStyle w:val="cuatexto"/>
              <w:spacing w:line="240" w:lineRule="auto"/>
              <w:jc w:val="right"/>
              <w:rPr>
                <w:szCs w:val="20"/>
              </w:rPr>
            </w:pPr>
            <w:r w:rsidRPr="00EE32F4">
              <w:rPr>
                <w:szCs w:val="20"/>
              </w:rPr>
              <w:t>-1</w:t>
            </w:r>
          </w:p>
        </w:tc>
      </w:tr>
      <w:tr w:rsidR="00D35117" w:rsidRPr="00EE32F4" w14:paraId="49C7D108"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2D9E0649" w14:textId="77777777" w:rsidR="00D35117" w:rsidRPr="00EE32F4" w:rsidRDefault="00D35117" w:rsidP="00565DBB">
            <w:pPr>
              <w:pStyle w:val="cuatexto"/>
              <w:spacing w:line="240" w:lineRule="auto"/>
              <w:rPr>
                <w:szCs w:val="20"/>
                <w:lang w:val="es-ES" w:eastAsia="es-ES"/>
              </w:rPr>
            </w:pPr>
            <w:r w:rsidRPr="00EE32F4">
              <w:rPr>
                <w:szCs w:val="20"/>
                <w:lang w:val="es-ES" w:eastAsia="es-ES"/>
              </w:rPr>
              <w:t>Índice de carga financiera (cap. 3 y 9 /</w:t>
            </w:r>
            <w:proofErr w:type="spellStart"/>
            <w:r w:rsidRPr="00EE32F4">
              <w:rPr>
                <w:szCs w:val="20"/>
                <w:lang w:val="es-ES" w:eastAsia="es-ES"/>
              </w:rPr>
              <w:t>ingr</w:t>
            </w:r>
            <w:proofErr w:type="spellEnd"/>
            <w:r w:rsidRPr="00EE32F4">
              <w:rPr>
                <w:szCs w:val="20"/>
                <w:lang w:val="es-ES" w:eastAsia="es-ES"/>
              </w:rPr>
              <w:t>. Corrientes)</w:t>
            </w:r>
          </w:p>
        </w:tc>
        <w:tc>
          <w:tcPr>
            <w:tcW w:w="1250" w:type="dxa"/>
            <w:tcBorders>
              <w:top w:val="nil"/>
              <w:left w:val="nil"/>
              <w:bottom w:val="single" w:sz="4" w:space="0" w:color="auto"/>
              <w:right w:val="nil"/>
            </w:tcBorders>
            <w:vAlign w:val="center"/>
          </w:tcPr>
          <w:p w14:paraId="2263E4F4" w14:textId="77777777" w:rsidR="00D35117" w:rsidRPr="00EE32F4" w:rsidRDefault="00D35117" w:rsidP="00565DBB">
            <w:pPr>
              <w:pStyle w:val="cuatexto"/>
              <w:spacing w:line="240" w:lineRule="auto"/>
              <w:jc w:val="right"/>
              <w:rPr>
                <w:szCs w:val="20"/>
              </w:rPr>
            </w:pPr>
            <w:r w:rsidRPr="00EE32F4">
              <w:rPr>
                <w:szCs w:val="20"/>
              </w:rPr>
              <w:t>0</w:t>
            </w:r>
          </w:p>
        </w:tc>
        <w:tc>
          <w:tcPr>
            <w:tcW w:w="1133" w:type="dxa"/>
            <w:tcBorders>
              <w:top w:val="nil"/>
              <w:left w:val="nil"/>
              <w:bottom w:val="single" w:sz="4" w:space="0" w:color="auto"/>
              <w:right w:val="nil"/>
            </w:tcBorders>
            <w:shd w:val="clear" w:color="auto" w:fill="auto"/>
            <w:noWrap/>
            <w:vAlign w:val="center"/>
            <w:hideMark/>
          </w:tcPr>
          <w:p w14:paraId="6D533496" w14:textId="77777777" w:rsidR="00D35117" w:rsidRPr="00EE32F4" w:rsidRDefault="00D35117" w:rsidP="00565DBB">
            <w:pPr>
              <w:pStyle w:val="cuatexto"/>
              <w:spacing w:line="240" w:lineRule="auto"/>
              <w:jc w:val="right"/>
              <w:rPr>
                <w:szCs w:val="20"/>
              </w:rPr>
            </w:pPr>
            <w:r w:rsidRPr="00EE32F4">
              <w:rPr>
                <w:szCs w:val="20"/>
              </w:rPr>
              <w:t>0</w:t>
            </w:r>
          </w:p>
        </w:tc>
        <w:tc>
          <w:tcPr>
            <w:tcW w:w="1450" w:type="dxa"/>
            <w:tcBorders>
              <w:top w:val="nil"/>
              <w:left w:val="nil"/>
              <w:bottom w:val="single" w:sz="4" w:space="0" w:color="auto"/>
              <w:right w:val="nil"/>
            </w:tcBorders>
            <w:shd w:val="clear" w:color="auto" w:fill="auto"/>
            <w:noWrap/>
            <w:vAlign w:val="center"/>
            <w:hideMark/>
          </w:tcPr>
          <w:p w14:paraId="2C15576E" w14:textId="7A510292" w:rsidR="00D35117" w:rsidRPr="00EE32F4" w:rsidRDefault="00D35117" w:rsidP="00565DBB">
            <w:pPr>
              <w:pStyle w:val="cuatexto"/>
              <w:spacing w:line="240" w:lineRule="auto"/>
              <w:jc w:val="right"/>
              <w:rPr>
                <w:szCs w:val="20"/>
              </w:rPr>
            </w:pPr>
            <w:r w:rsidRPr="00EE32F4">
              <w:rPr>
                <w:szCs w:val="20"/>
              </w:rPr>
              <w:t>-</w:t>
            </w:r>
            <w:r w:rsidR="004D0737" w:rsidRPr="00EE32F4">
              <w:rPr>
                <w:szCs w:val="20"/>
              </w:rPr>
              <w:t>3</w:t>
            </w:r>
          </w:p>
        </w:tc>
      </w:tr>
      <w:tr w:rsidR="00D35117" w:rsidRPr="00EE32F4" w14:paraId="4F439E75"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11AAF0FB" w14:textId="77777777" w:rsidR="00D35117" w:rsidRPr="00EE32F4" w:rsidRDefault="00D35117" w:rsidP="00565DBB">
            <w:pPr>
              <w:pStyle w:val="cuatexto"/>
              <w:spacing w:line="240" w:lineRule="auto"/>
              <w:rPr>
                <w:szCs w:val="20"/>
                <w:lang w:val="es-ES" w:eastAsia="es-ES"/>
              </w:rPr>
            </w:pPr>
            <w:r w:rsidRPr="00EE32F4">
              <w:rPr>
                <w:szCs w:val="20"/>
                <w:lang w:val="es-ES" w:eastAsia="es-ES"/>
              </w:rPr>
              <w:t>Porcentaje de ahorro bruto sobre ingresos corrientes (</w:t>
            </w:r>
            <w:proofErr w:type="spellStart"/>
            <w:r w:rsidRPr="00EE32F4">
              <w:rPr>
                <w:szCs w:val="20"/>
                <w:lang w:val="es-ES" w:eastAsia="es-ES"/>
              </w:rPr>
              <w:t>ing</w:t>
            </w:r>
            <w:proofErr w:type="spellEnd"/>
            <w:r w:rsidRPr="00EE32F4">
              <w:rPr>
                <w:szCs w:val="20"/>
                <w:lang w:val="es-ES" w:eastAsia="es-ES"/>
              </w:rPr>
              <w:t xml:space="preserve"> </w:t>
            </w:r>
            <w:proofErr w:type="spellStart"/>
            <w:r w:rsidRPr="00EE32F4">
              <w:rPr>
                <w:szCs w:val="20"/>
                <w:lang w:val="es-ES" w:eastAsia="es-ES"/>
              </w:rPr>
              <w:t>ctes</w:t>
            </w:r>
            <w:proofErr w:type="spellEnd"/>
            <w:r w:rsidRPr="00EE32F4">
              <w:rPr>
                <w:szCs w:val="20"/>
                <w:lang w:val="es-ES" w:eastAsia="es-ES"/>
              </w:rPr>
              <w:t xml:space="preserve"> - gastos </w:t>
            </w:r>
            <w:proofErr w:type="spellStart"/>
            <w:r w:rsidRPr="00EE32F4">
              <w:rPr>
                <w:szCs w:val="20"/>
                <w:lang w:val="es-ES" w:eastAsia="es-ES"/>
              </w:rPr>
              <w:t>func</w:t>
            </w:r>
            <w:proofErr w:type="spellEnd"/>
            <w:r w:rsidRPr="00EE32F4">
              <w:rPr>
                <w:szCs w:val="20"/>
                <w:lang w:val="es-ES" w:eastAsia="es-ES"/>
              </w:rPr>
              <w:t xml:space="preserve">. / </w:t>
            </w:r>
            <w:proofErr w:type="spellStart"/>
            <w:r w:rsidRPr="00EE32F4">
              <w:rPr>
                <w:szCs w:val="20"/>
                <w:lang w:val="es-ES" w:eastAsia="es-ES"/>
              </w:rPr>
              <w:t>ingr</w:t>
            </w:r>
            <w:proofErr w:type="spellEnd"/>
            <w:r w:rsidRPr="00EE32F4">
              <w:rPr>
                <w:szCs w:val="20"/>
                <w:lang w:val="es-ES" w:eastAsia="es-ES"/>
              </w:rPr>
              <w:t xml:space="preserve"> corrientes)</w:t>
            </w:r>
          </w:p>
        </w:tc>
        <w:tc>
          <w:tcPr>
            <w:tcW w:w="1250" w:type="dxa"/>
            <w:tcBorders>
              <w:top w:val="nil"/>
              <w:left w:val="nil"/>
              <w:bottom w:val="single" w:sz="4" w:space="0" w:color="auto"/>
              <w:right w:val="nil"/>
            </w:tcBorders>
            <w:vAlign w:val="center"/>
          </w:tcPr>
          <w:p w14:paraId="65EB9530" w14:textId="77777777" w:rsidR="00D35117" w:rsidRPr="00EE32F4" w:rsidRDefault="00D35117" w:rsidP="00565DBB">
            <w:pPr>
              <w:pStyle w:val="cuatexto"/>
              <w:spacing w:line="240" w:lineRule="auto"/>
              <w:jc w:val="right"/>
              <w:rPr>
                <w:szCs w:val="20"/>
              </w:rPr>
            </w:pPr>
            <w:r w:rsidRPr="00EE32F4">
              <w:rPr>
                <w:szCs w:val="20"/>
              </w:rPr>
              <w:t>2</w:t>
            </w:r>
          </w:p>
        </w:tc>
        <w:tc>
          <w:tcPr>
            <w:tcW w:w="1133" w:type="dxa"/>
            <w:tcBorders>
              <w:top w:val="nil"/>
              <w:left w:val="nil"/>
              <w:bottom w:val="single" w:sz="4" w:space="0" w:color="auto"/>
              <w:right w:val="nil"/>
            </w:tcBorders>
            <w:shd w:val="clear" w:color="auto" w:fill="auto"/>
            <w:noWrap/>
            <w:vAlign w:val="center"/>
            <w:hideMark/>
          </w:tcPr>
          <w:p w14:paraId="19C741A2" w14:textId="77777777" w:rsidR="00D35117" w:rsidRPr="00EE32F4" w:rsidRDefault="00D35117" w:rsidP="00565DBB">
            <w:pPr>
              <w:pStyle w:val="cuatexto"/>
              <w:spacing w:line="240" w:lineRule="auto"/>
              <w:jc w:val="right"/>
              <w:rPr>
                <w:szCs w:val="20"/>
              </w:rPr>
            </w:pPr>
            <w:r w:rsidRPr="00EE32F4">
              <w:rPr>
                <w:szCs w:val="20"/>
              </w:rPr>
              <w:t>-4</w:t>
            </w:r>
          </w:p>
        </w:tc>
        <w:tc>
          <w:tcPr>
            <w:tcW w:w="1450" w:type="dxa"/>
            <w:tcBorders>
              <w:top w:val="nil"/>
              <w:left w:val="nil"/>
              <w:bottom w:val="single" w:sz="4" w:space="0" w:color="auto"/>
              <w:right w:val="nil"/>
            </w:tcBorders>
            <w:shd w:val="clear" w:color="auto" w:fill="auto"/>
            <w:noWrap/>
            <w:vAlign w:val="center"/>
            <w:hideMark/>
          </w:tcPr>
          <w:p w14:paraId="0C2DAC9C" w14:textId="77777777" w:rsidR="00D35117" w:rsidRPr="00EE32F4" w:rsidRDefault="00D35117" w:rsidP="00565DBB">
            <w:pPr>
              <w:pStyle w:val="cuatexto"/>
              <w:spacing w:line="240" w:lineRule="auto"/>
              <w:jc w:val="right"/>
              <w:rPr>
                <w:szCs w:val="20"/>
              </w:rPr>
            </w:pPr>
            <w:r w:rsidRPr="00EE32F4">
              <w:rPr>
                <w:szCs w:val="20"/>
              </w:rPr>
              <w:t>0</w:t>
            </w:r>
          </w:p>
        </w:tc>
      </w:tr>
      <w:tr w:rsidR="00D35117" w:rsidRPr="00EE32F4" w14:paraId="00E43B52"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7022DAC6" w14:textId="5FD78DDE" w:rsidR="00D35117" w:rsidRPr="00EE32F4" w:rsidRDefault="00D35117" w:rsidP="00565DBB">
            <w:pPr>
              <w:pStyle w:val="cuatexto"/>
              <w:spacing w:line="240" w:lineRule="auto"/>
              <w:rPr>
                <w:szCs w:val="20"/>
                <w:lang w:val="es-ES" w:eastAsia="es-ES"/>
              </w:rPr>
            </w:pPr>
            <w:r w:rsidRPr="00EE32F4">
              <w:rPr>
                <w:szCs w:val="20"/>
                <w:lang w:val="es-ES" w:eastAsia="es-ES"/>
              </w:rPr>
              <w:t>Transferencias recibidas</w:t>
            </w:r>
            <w:r w:rsidR="00D37BBA">
              <w:rPr>
                <w:szCs w:val="20"/>
                <w:lang w:val="es-ES" w:eastAsia="es-ES"/>
              </w:rPr>
              <w:t>*</w:t>
            </w:r>
          </w:p>
        </w:tc>
        <w:tc>
          <w:tcPr>
            <w:tcW w:w="1250" w:type="dxa"/>
            <w:tcBorders>
              <w:top w:val="nil"/>
              <w:left w:val="nil"/>
              <w:bottom w:val="single" w:sz="4" w:space="0" w:color="auto"/>
              <w:right w:val="nil"/>
            </w:tcBorders>
            <w:vAlign w:val="center"/>
          </w:tcPr>
          <w:p w14:paraId="042FC9D5" w14:textId="29CDF779" w:rsidR="00D35117" w:rsidRPr="00EE32F4" w:rsidRDefault="004D0737" w:rsidP="00565DBB">
            <w:pPr>
              <w:pStyle w:val="cuatexto"/>
              <w:spacing w:line="240" w:lineRule="auto"/>
              <w:jc w:val="right"/>
              <w:rPr>
                <w:szCs w:val="20"/>
              </w:rPr>
            </w:pPr>
            <w:r w:rsidRPr="00EE32F4">
              <w:rPr>
                <w:szCs w:val="20"/>
              </w:rPr>
              <w:t>6</w:t>
            </w:r>
          </w:p>
        </w:tc>
        <w:tc>
          <w:tcPr>
            <w:tcW w:w="1133" w:type="dxa"/>
            <w:tcBorders>
              <w:top w:val="nil"/>
              <w:left w:val="nil"/>
              <w:bottom w:val="single" w:sz="4" w:space="0" w:color="auto"/>
              <w:right w:val="nil"/>
            </w:tcBorders>
            <w:shd w:val="clear" w:color="auto" w:fill="auto"/>
            <w:noWrap/>
            <w:vAlign w:val="center"/>
            <w:hideMark/>
          </w:tcPr>
          <w:p w14:paraId="385E9312" w14:textId="77777777" w:rsidR="00D35117" w:rsidRPr="00EE32F4" w:rsidRDefault="00D35117" w:rsidP="00565DBB">
            <w:pPr>
              <w:pStyle w:val="cuatexto"/>
              <w:spacing w:line="240" w:lineRule="auto"/>
              <w:jc w:val="right"/>
              <w:rPr>
                <w:szCs w:val="20"/>
              </w:rPr>
            </w:pPr>
            <w:r w:rsidRPr="00EE32F4">
              <w:rPr>
                <w:szCs w:val="20"/>
              </w:rPr>
              <w:t>-78</w:t>
            </w:r>
          </w:p>
        </w:tc>
        <w:tc>
          <w:tcPr>
            <w:tcW w:w="1450" w:type="dxa"/>
            <w:tcBorders>
              <w:top w:val="nil"/>
              <w:left w:val="nil"/>
              <w:bottom w:val="single" w:sz="4" w:space="0" w:color="auto"/>
              <w:right w:val="nil"/>
            </w:tcBorders>
            <w:shd w:val="clear" w:color="auto" w:fill="auto"/>
            <w:noWrap/>
            <w:vAlign w:val="center"/>
            <w:hideMark/>
          </w:tcPr>
          <w:p w14:paraId="1F3CF734" w14:textId="77777777" w:rsidR="00D35117" w:rsidRPr="00EE32F4" w:rsidRDefault="00D35117" w:rsidP="00565DBB">
            <w:pPr>
              <w:pStyle w:val="cuatexto"/>
              <w:spacing w:line="240" w:lineRule="auto"/>
              <w:jc w:val="right"/>
              <w:rPr>
                <w:szCs w:val="20"/>
              </w:rPr>
            </w:pPr>
            <w:r w:rsidRPr="00EE32F4">
              <w:rPr>
                <w:szCs w:val="20"/>
              </w:rPr>
              <w:t>10</w:t>
            </w:r>
          </w:p>
        </w:tc>
      </w:tr>
      <w:tr w:rsidR="00D35117" w:rsidRPr="00EE32F4" w14:paraId="69222DDD"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4EC45975" w14:textId="77777777" w:rsidR="00D35117" w:rsidRPr="00EE32F4" w:rsidRDefault="00D35117" w:rsidP="00565DBB">
            <w:pPr>
              <w:pStyle w:val="cuatexto"/>
              <w:spacing w:line="240" w:lineRule="auto"/>
              <w:rPr>
                <w:szCs w:val="20"/>
                <w:lang w:val="es-ES" w:eastAsia="es-ES"/>
              </w:rPr>
            </w:pPr>
            <w:proofErr w:type="gramStart"/>
            <w:r w:rsidRPr="00EE32F4">
              <w:rPr>
                <w:szCs w:val="20"/>
                <w:lang w:val="es-ES" w:eastAsia="es-ES"/>
              </w:rPr>
              <w:t>%  de</w:t>
            </w:r>
            <w:proofErr w:type="gramEnd"/>
            <w:r w:rsidRPr="00EE32F4">
              <w:rPr>
                <w:szCs w:val="20"/>
                <w:lang w:val="es-ES" w:eastAsia="es-ES"/>
              </w:rPr>
              <w:t xml:space="preserve"> gastos corrientes financiados con </w:t>
            </w:r>
            <w:proofErr w:type="spellStart"/>
            <w:r w:rsidRPr="00EE32F4">
              <w:rPr>
                <w:szCs w:val="20"/>
                <w:lang w:val="es-ES" w:eastAsia="es-ES"/>
              </w:rPr>
              <w:t>transf.corrientes</w:t>
            </w:r>
            <w:proofErr w:type="spellEnd"/>
          </w:p>
        </w:tc>
        <w:tc>
          <w:tcPr>
            <w:tcW w:w="1250" w:type="dxa"/>
            <w:tcBorders>
              <w:top w:val="nil"/>
              <w:left w:val="nil"/>
              <w:bottom w:val="single" w:sz="4" w:space="0" w:color="auto"/>
              <w:right w:val="nil"/>
            </w:tcBorders>
            <w:vAlign w:val="center"/>
          </w:tcPr>
          <w:p w14:paraId="5DA8BED6" w14:textId="77777777" w:rsidR="00D35117" w:rsidRPr="00EE32F4" w:rsidRDefault="00D35117" w:rsidP="00565DBB">
            <w:pPr>
              <w:pStyle w:val="cuatexto"/>
              <w:spacing w:line="240" w:lineRule="auto"/>
              <w:jc w:val="right"/>
              <w:rPr>
                <w:szCs w:val="20"/>
              </w:rPr>
            </w:pPr>
            <w:r w:rsidRPr="00EE32F4">
              <w:rPr>
                <w:szCs w:val="20"/>
              </w:rPr>
              <w:t>7</w:t>
            </w:r>
          </w:p>
        </w:tc>
        <w:tc>
          <w:tcPr>
            <w:tcW w:w="1133" w:type="dxa"/>
            <w:tcBorders>
              <w:top w:val="nil"/>
              <w:left w:val="nil"/>
              <w:bottom w:val="single" w:sz="4" w:space="0" w:color="auto"/>
              <w:right w:val="nil"/>
            </w:tcBorders>
            <w:shd w:val="clear" w:color="auto" w:fill="auto"/>
            <w:noWrap/>
            <w:vAlign w:val="center"/>
            <w:hideMark/>
          </w:tcPr>
          <w:p w14:paraId="2DADFB2C" w14:textId="75FB8C21" w:rsidR="00D35117" w:rsidRPr="00EE32F4" w:rsidRDefault="00D35117" w:rsidP="00565DBB">
            <w:pPr>
              <w:pStyle w:val="cuatexto"/>
              <w:spacing w:line="240" w:lineRule="auto"/>
              <w:jc w:val="right"/>
              <w:rPr>
                <w:szCs w:val="20"/>
              </w:rPr>
            </w:pPr>
            <w:r w:rsidRPr="00EE32F4">
              <w:rPr>
                <w:szCs w:val="20"/>
              </w:rPr>
              <w:t>-</w:t>
            </w:r>
            <w:r w:rsidR="004D0737" w:rsidRPr="00EE32F4">
              <w:rPr>
                <w:szCs w:val="20"/>
              </w:rPr>
              <w:t>5</w:t>
            </w:r>
          </w:p>
        </w:tc>
        <w:tc>
          <w:tcPr>
            <w:tcW w:w="1450" w:type="dxa"/>
            <w:tcBorders>
              <w:top w:val="nil"/>
              <w:left w:val="nil"/>
              <w:bottom w:val="single" w:sz="4" w:space="0" w:color="auto"/>
              <w:right w:val="nil"/>
            </w:tcBorders>
            <w:shd w:val="clear" w:color="auto" w:fill="auto"/>
            <w:noWrap/>
            <w:vAlign w:val="center"/>
            <w:hideMark/>
          </w:tcPr>
          <w:p w14:paraId="0689A240" w14:textId="77704BEB" w:rsidR="00D35117" w:rsidRPr="00EE32F4" w:rsidRDefault="004D0737" w:rsidP="00565DBB">
            <w:pPr>
              <w:pStyle w:val="cuatexto"/>
              <w:spacing w:line="240" w:lineRule="auto"/>
              <w:jc w:val="right"/>
              <w:rPr>
                <w:szCs w:val="20"/>
              </w:rPr>
            </w:pPr>
            <w:r w:rsidRPr="00EE32F4">
              <w:rPr>
                <w:szCs w:val="20"/>
              </w:rPr>
              <w:t>3</w:t>
            </w:r>
          </w:p>
        </w:tc>
      </w:tr>
      <w:tr w:rsidR="00D35117" w:rsidRPr="00EE32F4" w14:paraId="76186FC8"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5F467576" w14:textId="77777777" w:rsidR="00D35117" w:rsidRPr="00EE32F4" w:rsidRDefault="00D35117" w:rsidP="00565DBB">
            <w:pPr>
              <w:pStyle w:val="cuatexto"/>
              <w:spacing w:line="240" w:lineRule="auto"/>
              <w:rPr>
                <w:szCs w:val="20"/>
                <w:lang w:val="es-ES" w:eastAsia="es-ES"/>
              </w:rPr>
            </w:pPr>
            <w:r w:rsidRPr="00EE32F4">
              <w:rPr>
                <w:szCs w:val="20"/>
                <w:lang w:val="es-ES" w:eastAsia="es-ES"/>
              </w:rPr>
              <w:t xml:space="preserve">% de inversiones no financiadas con </w:t>
            </w:r>
            <w:proofErr w:type="spellStart"/>
            <w:r w:rsidRPr="00EE32F4">
              <w:rPr>
                <w:szCs w:val="20"/>
                <w:lang w:val="es-ES" w:eastAsia="es-ES"/>
              </w:rPr>
              <w:t>transf</w:t>
            </w:r>
            <w:proofErr w:type="spellEnd"/>
            <w:r w:rsidRPr="00EE32F4">
              <w:rPr>
                <w:szCs w:val="20"/>
                <w:lang w:val="es-ES" w:eastAsia="es-ES"/>
              </w:rPr>
              <w:t>. de capital</w:t>
            </w:r>
          </w:p>
        </w:tc>
        <w:tc>
          <w:tcPr>
            <w:tcW w:w="1250" w:type="dxa"/>
            <w:tcBorders>
              <w:top w:val="nil"/>
              <w:left w:val="nil"/>
              <w:bottom w:val="single" w:sz="4" w:space="0" w:color="auto"/>
              <w:right w:val="nil"/>
            </w:tcBorders>
            <w:vAlign w:val="center"/>
          </w:tcPr>
          <w:p w14:paraId="2D152B93" w14:textId="77777777" w:rsidR="00D35117" w:rsidRPr="00EE32F4" w:rsidRDefault="00D35117" w:rsidP="00565DBB">
            <w:pPr>
              <w:pStyle w:val="cuatexto"/>
              <w:spacing w:line="240" w:lineRule="auto"/>
              <w:jc w:val="right"/>
              <w:rPr>
                <w:szCs w:val="20"/>
              </w:rPr>
            </w:pPr>
            <w:r w:rsidRPr="00EE32F4">
              <w:rPr>
                <w:szCs w:val="20"/>
              </w:rPr>
              <w:t>-6</w:t>
            </w:r>
          </w:p>
        </w:tc>
        <w:tc>
          <w:tcPr>
            <w:tcW w:w="1133" w:type="dxa"/>
            <w:tcBorders>
              <w:top w:val="nil"/>
              <w:left w:val="nil"/>
              <w:bottom w:val="single" w:sz="4" w:space="0" w:color="auto"/>
              <w:right w:val="nil"/>
            </w:tcBorders>
            <w:shd w:val="clear" w:color="auto" w:fill="auto"/>
            <w:noWrap/>
            <w:vAlign w:val="center"/>
            <w:hideMark/>
          </w:tcPr>
          <w:p w14:paraId="20357BF9" w14:textId="77777777" w:rsidR="00D35117" w:rsidRPr="00EE32F4" w:rsidRDefault="00D35117" w:rsidP="00565DBB">
            <w:pPr>
              <w:pStyle w:val="cuatexto"/>
              <w:spacing w:line="240" w:lineRule="auto"/>
              <w:jc w:val="right"/>
              <w:rPr>
                <w:szCs w:val="20"/>
              </w:rPr>
            </w:pPr>
            <w:r w:rsidRPr="00EE32F4">
              <w:rPr>
                <w:szCs w:val="20"/>
              </w:rPr>
              <w:t>-3</w:t>
            </w:r>
          </w:p>
        </w:tc>
        <w:tc>
          <w:tcPr>
            <w:tcW w:w="1450" w:type="dxa"/>
            <w:tcBorders>
              <w:top w:val="nil"/>
              <w:left w:val="nil"/>
              <w:bottom w:val="single" w:sz="4" w:space="0" w:color="auto"/>
              <w:right w:val="nil"/>
            </w:tcBorders>
            <w:shd w:val="clear" w:color="auto" w:fill="auto"/>
            <w:noWrap/>
            <w:vAlign w:val="center"/>
            <w:hideMark/>
          </w:tcPr>
          <w:p w14:paraId="3EE1C391" w14:textId="7C497DEC" w:rsidR="00D35117" w:rsidRPr="00EE32F4" w:rsidRDefault="00D35117" w:rsidP="00565DBB">
            <w:pPr>
              <w:pStyle w:val="cuatexto"/>
              <w:spacing w:line="240" w:lineRule="auto"/>
              <w:jc w:val="right"/>
              <w:rPr>
                <w:szCs w:val="20"/>
              </w:rPr>
            </w:pPr>
            <w:r w:rsidRPr="00EE32F4">
              <w:rPr>
                <w:szCs w:val="20"/>
              </w:rPr>
              <w:t>-</w:t>
            </w:r>
            <w:r w:rsidR="004D0737" w:rsidRPr="00EE32F4">
              <w:rPr>
                <w:szCs w:val="20"/>
              </w:rPr>
              <w:t>5</w:t>
            </w:r>
          </w:p>
        </w:tc>
      </w:tr>
    </w:tbl>
    <w:bookmarkEnd w:id="109"/>
    <w:p w14:paraId="11C26302" w14:textId="5F1C3624" w:rsidR="00D37BBA" w:rsidRPr="001C793D" w:rsidRDefault="00D37BBA" w:rsidP="00DD06D1">
      <w:pPr>
        <w:pStyle w:val="texto"/>
        <w:spacing w:before="60"/>
        <w:ind w:firstLine="0"/>
        <w:rPr>
          <w:rFonts w:ascii="Arial" w:hAnsi="Arial" w:cs="Arial"/>
          <w:color w:val="000000" w:themeColor="text1"/>
          <w:sz w:val="16"/>
          <w:szCs w:val="16"/>
        </w:rPr>
      </w:pPr>
      <w:r w:rsidRPr="001C793D">
        <w:rPr>
          <w:rFonts w:ascii="Arial" w:hAnsi="Arial" w:cs="Arial"/>
          <w:color w:val="000000" w:themeColor="text1"/>
          <w:sz w:val="16"/>
          <w:szCs w:val="16"/>
        </w:rPr>
        <w:t>(*) Euros por habitante</w:t>
      </w:r>
      <w:r w:rsidR="00A16FC4">
        <w:rPr>
          <w:rFonts w:ascii="Arial" w:hAnsi="Arial" w:cs="Arial"/>
          <w:color w:val="000000" w:themeColor="text1"/>
          <w:sz w:val="16"/>
          <w:szCs w:val="16"/>
        </w:rPr>
        <w:t>.</w:t>
      </w:r>
    </w:p>
    <w:p w14:paraId="22855141" w14:textId="3A4FB856" w:rsidR="00D35117" w:rsidRDefault="004C5885" w:rsidP="00EE13C5">
      <w:pPr>
        <w:pStyle w:val="texto"/>
        <w:spacing w:before="240"/>
        <w:rPr>
          <w:color w:val="000000" w:themeColor="text1"/>
        </w:rPr>
      </w:pPr>
      <w:r>
        <w:rPr>
          <w:color w:val="000000" w:themeColor="text1"/>
        </w:rPr>
        <w:t>En</w:t>
      </w:r>
      <w:r w:rsidR="00D35117">
        <w:rPr>
          <w:color w:val="000000" w:themeColor="text1"/>
        </w:rPr>
        <w:t xml:space="preserve"> los </w:t>
      </w:r>
      <w:r w:rsidR="00974F8A">
        <w:rPr>
          <w:color w:val="000000" w:themeColor="text1"/>
        </w:rPr>
        <w:t>ayuntamiento</w:t>
      </w:r>
      <w:r w:rsidR="00D35117">
        <w:rPr>
          <w:color w:val="000000" w:themeColor="text1"/>
        </w:rPr>
        <w:t>s navarros los ingresos corrientes se han reducido con respecto a 2019 en 30 eur</w:t>
      </w:r>
      <w:r w:rsidR="00671006">
        <w:rPr>
          <w:color w:val="000000" w:themeColor="text1"/>
        </w:rPr>
        <w:t>os</w:t>
      </w:r>
      <w:r w:rsidR="00D35117">
        <w:rPr>
          <w:color w:val="000000" w:themeColor="text1"/>
        </w:rPr>
        <w:t xml:space="preserve"> por habitante, que equivalen a un tres por ciento de la cifra del año anterior, evolución </w:t>
      </w:r>
      <w:r w:rsidR="008E43F9">
        <w:rPr>
          <w:color w:val="000000" w:themeColor="text1"/>
        </w:rPr>
        <w:t xml:space="preserve">que </w:t>
      </w:r>
      <w:r w:rsidR="00D35117">
        <w:rPr>
          <w:color w:val="000000" w:themeColor="text1"/>
        </w:rPr>
        <w:t>es bastante similar a la del resto del Estado. En cambio, en el País Vasco los ingresos corrientes caen 107 eur</w:t>
      </w:r>
      <w:r w:rsidR="00671006">
        <w:rPr>
          <w:color w:val="000000" w:themeColor="text1"/>
        </w:rPr>
        <w:t>os</w:t>
      </w:r>
      <w:r w:rsidR="00D35117">
        <w:rPr>
          <w:color w:val="000000" w:themeColor="text1"/>
        </w:rPr>
        <w:t xml:space="preserve"> por habitante, lo que equivale a un ocho por ciento. Esta diferencia se explica por el comportamiento de las transferencias corrientes debido </w:t>
      </w:r>
      <w:r w:rsidR="004C741A">
        <w:rPr>
          <w:color w:val="000000" w:themeColor="text1"/>
        </w:rPr>
        <w:t>a que</w:t>
      </w:r>
      <w:r w:rsidR="00B30E7B">
        <w:rPr>
          <w:color w:val="000000" w:themeColor="text1"/>
        </w:rPr>
        <w:t xml:space="preserve">, </w:t>
      </w:r>
      <w:r w:rsidR="004C741A">
        <w:rPr>
          <w:color w:val="000000" w:themeColor="text1"/>
        </w:rPr>
        <w:t xml:space="preserve">en el País Vasco, </w:t>
      </w:r>
      <w:r w:rsidR="00D35117">
        <w:rPr>
          <w:color w:val="000000" w:themeColor="text1"/>
        </w:rPr>
        <w:t xml:space="preserve">los fondos de transferencias corrientes se dotan en función de la recaudación </w:t>
      </w:r>
      <w:r w:rsidR="00643720">
        <w:rPr>
          <w:color w:val="000000" w:themeColor="text1"/>
        </w:rPr>
        <w:t>obtenida por los tributos concertados</w:t>
      </w:r>
      <w:r w:rsidR="004C741A">
        <w:rPr>
          <w:color w:val="000000" w:themeColor="text1"/>
        </w:rPr>
        <w:t xml:space="preserve"> y </w:t>
      </w:r>
      <w:r w:rsidR="00643720">
        <w:rPr>
          <w:color w:val="000000" w:themeColor="text1"/>
        </w:rPr>
        <w:t xml:space="preserve">en 2020 </w:t>
      </w:r>
      <w:r w:rsidR="004C741A">
        <w:rPr>
          <w:color w:val="000000" w:themeColor="text1"/>
        </w:rPr>
        <w:t xml:space="preserve">su dotación refleja ya </w:t>
      </w:r>
      <w:r w:rsidR="00643720">
        <w:rPr>
          <w:color w:val="000000" w:themeColor="text1"/>
        </w:rPr>
        <w:t>la disminuci</w:t>
      </w:r>
      <w:r w:rsidR="00803F9A">
        <w:rPr>
          <w:color w:val="000000" w:themeColor="text1"/>
        </w:rPr>
        <w:t xml:space="preserve">ón </w:t>
      </w:r>
      <w:r w:rsidR="004C741A">
        <w:rPr>
          <w:color w:val="000000" w:themeColor="text1"/>
        </w:rPr>
        <w:t>de dicha recaudación</w:t>
      </w:r>
      <w:r w:rsidR="00643720">
        <w:rPr>
          <w:color w:val="000000" w:themeColor="text1"/>
        </w:rPr>
        <w:t xml:space="preserve"> prevista para ese ejercicio.</w:t>
      </w:r>
      <w:r w:rsidR="00AE0E5C">
        <w:rPr>
          <w:color w:val="000000" w:themeColor="text1"/>
        </w:rPr>
        <w:t xml:space="preserve"> </w:t>
      </w:r>
    </w:p>
    <w:p w14:paraId="6F8AFF5B" w14:textId="1F15F492" w:rsidR="00345C6C" w:rsidRDefault="00D35117" w:rsidP="00EE13C5">
      <w:pPr>
        <w:pStyle w:val="texto"/>
        <w:rPr>
          <w:color w:val="000000" w:themeColor="text1"/>
        </w:rPr>
      </w:pPr>
      <w:r>
        <w:rPr>
          <w:color w:val="000000" w:themeColor="text1"/>
        </w:rPr>
        <w:t>Los gastos de funcionamiento en Navarra se han reducido en 4</w:t>
      </w:r>
      <w:r w:rsidR="00323118">
        <w:rPr>
          <w:color w:val="000000" w:themeColor="text1"/>
        </w:rPr>
        <w:t>1</w:t>
      </w:r>
      <w:r>
        <w:rPr>
          <w:color w:val="000000" w:themeColor="text1"/>
        </w:rPr>
        <w:t xml:space="preserve"> eur</w:t>
      </w:r>
      <w:r w:rsidR="00671006">
        <w:rPr>
          <w:color w:val="000000" w:themeColor="text1"/>
        </w:rPr>
        <w:t>os</w:t>
      </w:r>
      <w:r>
        <w:rPr>
          <w:color w:val="000000" w:themeColor="text1"/>
        </w:rPr>
        <w:t xml:space="preserve"> por habitante, equivalentes al </w:t>
      </w:r>
      <w:r w:rsidR="00323118">
        <w:rPr>
          <w:color w:val="000000" w:themeColor="text1"/>
        </w:rPr>
        <w:t>4,9</w:t>
      </w:r>
      <w:r>
        <w:rPr>
          <w:color w:val="000000" w:themeColor="text1"/>
        </w:rPr>
        <w:t xml:space="preserve"> por ciento, reducción significativamente superior a la registrada en el resto del Estado y en el País Vasco</w:t>
      </w:r>
      <w:r w:rsidR="00323118">
        <w:rPr>
          <w:color w:val="000000" w:themeColor="text1"/>
        </w:rPr>
        <w:t xml:space="preserve"> (2,8 y 2,6 por ciento, respectivamente)</w:t>
      </w:r>
      <w:r>
        <w:rPr>
          <w:color w:val="000000" w:themeColor="text1"/>
        </w:rPr>
        <w:t>.</w:t>
      </w:r>
    </w:p>
    <w:p w14:paraId="4273309B" w14:textId="26E8D6D3" w:rsidR="00D35117" w:rsidRDefault="00FB2CFA" w:rsidP="00EE13C5">
      <w:pPr>
        <w:pStyle w:val="texto"/>
        <w:rPr>
          <w:color w:val="000000" w:themeColor="text1"/>
        </w:rPr>
      </w:pPr>
      <w:r>
        <w:rPr>
          <w:color w:val="000000" w:themeColor="text1"/>
        </w:rPr>
        <w:t>Como consecuencia</w:t>
      </w:r>
      <w:r w:rsidR="00323118">
        <w:rPr>
          <w:color w:val="000000" w:themeColor="text1"/>
        </w:rPr>
        <w:t>,</w:t>
      </w:r>
      <w:r w:rsidR="00D35117">
        <w:rPr>
          <w:color w:val="000000" w:themeColor="text1"/>
        </w:rPr>
        <w:t xml:space="preserve"> en Navarra </w:t>
      </w:r>
      <w:r w:rsidR="004C5885">
        <w:rPr>
          <w:color w:val="000000" w:themeColor="text1"/>
        </w:rPr>
        <w:t>el ahorro bruto</w:t>
      </w:r>
      <w:r w:rsidR="00D35117">
        <w:rPr>
          <w:color w:val="000000" w:themeColor="text1"/>
        </w:rPr>
        <w:t xml:space="preserve"> se ha incrementado en 1</w:t>
      </w:r>
      <w:r w:rsidR="00323118">
        <w:rPr>
          <w:color w:val="000000" w:themeColor="text1"/>
        </w:rPr>
        <w:t>2</w:t>
      </w:r>
      <w:r w:rsidR="00D35117">
        <w:rPr>
          <w:color w:val="000000" w:themeColor="text1"/>
        </w:rPr>
        <w:t xml:space="preserve"> </w:t>
      </w:r>
      <w:r w:rsidR="004C5885">
        <w:rPr>
          <w:color w:val="000000" w:themeColor="text1"/>
        </w:rPr>
        <w:t>eur</w:t>
      </w:r>
      <w:r w:rsidR="00671006">
        <w:rPr>
          <w:color w:val="000000" w:themeColor="text1"/>
        </w:rPr>
        <w:t>os</w:t>
      </w:r>
      <w:r w:rsidR="00D35117">
        <w:rPr>
          <w:color w:val="000000" w:themeColor="text1"/>
        </w:rPr>
        <w:t xml:space="preserve"> por habitante,</w:t>
      </w:r>
      <w:r>
        <w:rPr>
          <w:color w:val="000000" w:themeColor="text1"/>
        </w:rPr>
        <w:t xml:space="preserve"> </w:t>
      </w:r>
      <w:r w:rsidR="004C5885">
        <w:rPr>
          <w:color w:val="000000" w:themeColor="text1"/>
        </w:rPr>
        <w:t xml:space="preserve">mientras que en el País Vasco </w:t>
      </w:r>
      <w:r w:rsidR="00974F8A">
        <w:rPr>
          <w:color w:val="000000" w:themeColor="text1"/>
        </w:rPr>
        <w:t>se ha reducido</w:t>
      </w:r>
      <w:r w:rsidR="004C5885">
        <w:rPr>
          <w:color w:val="000000" w:themeColor="text1"/>
        </w:rPr>
        <w:t xml:space="preserve"> en 77 eur</w:t>
      </w:r>
      <w:r w:rsidR="00671006">
        <w:rPr>
          <w:color w:val="000000" w:themeColor="text1"/>
        </w:rPr>
        <w:t>os</w:t>
      </w:r>
      <w:r w:rsidR="004C5885">
        <w:rPr>
          <w:color w:val="000000" w:themeColor="text1"/>
        </w:rPr>
        <w:t xml:space="preserve"> y en el resto del Estado se ha mantenido constante. </w:t>
      </w:r>
    </w:p>
    <w:p w14:paraId="3A4B0071" w14:textId="7923D27B" w:rsidR="007F48E9" w:rsidRDefault="007F48E9" w:rsidP="007F48E9">
      <w:pPr>
        <w:pStyle w:val="texto"/>
        <w:spacing w:after="180"/>
      </w:pPr>
      <w:r w:rsidRPr="00B876D9">
        <w:t>Informe que se emite a propuesta del auditor</w:t>
      </w:r>
      <w:r>
        <w:t xml:space="preserve"> José Javier García Logroño</w:t>
      </w:r>
      <w:r w:rsidRPr="00B876D9">
        <w:t>, responsable de la realización de este trabajo, una vez cumplimentados los trámites previstos por la normativa vigente.</w:t>
      </w:r>
    </w:p>
    <w:p w14:paraId="6E4EA4CD" w14:textId="528DEDB3" w:rsidR="007F48E9" w:rsidRDefault="007F48E9" w:rsidP="007F48E9">
      <w:pPr>
        <w:pStyle w:val="texto"/>
        <w:spacing w:after="180"/>
        <w:jc w:val="center"/>
      </w:pPr>
      <w:r>
        <w:t xml:space="preserve">Pamplona, </w:t>
      </w:r>
      <w:r w:rsidR="003000CA">
        <w:t>10</w:t>
      </w:r>
      <w:r>
        <w:t xml:space="preserve"> de enero de 2023</w:t>
      </w:r>
    </w:p>
    <w:p w14:paraId="33C88ABC" w14:textId="53C3F3F9" w:rsidR="00345C6C" w:rsidRPr="00B81E61" w:rsidRDefault="007F48E9" w:rsidP="007F48E9">
      <w:pPr>
        <w:pStyle w:val="texto"/>
        <w:spacing w:after="180"/>
        <w:jc w:val="center"/>
        <w:rPr>
          <w:rFonts w:ascii="Arial" w:hAnsi="Arial"/>
          <w:i/>
          <w:iCs/>
          <w:color w:val="000000" w:themeColor="text1"/>
          <w:spacing w:val="10"/>
          <w:kern w:val="28"/>
          <w:sz w:val="25"/>
          <w:szCs w:val="26"/>
        </w:rPr>
      </w:pPr>
      <w:r w:rsidRPr="007F48E9">
        <w:rPr>
          <w:i/>
          <w:sz w:val="24"/>
        </w:rPr>
        <w:t>(Firmado digitalmente por Ignacio Cabeza del Salvador, presidente de la Cámara de Comptos de Navarra)</w:t>
      </w:r>
      <w:r w:rsidR="00345C6C" w:rsidRPr="00B81E61">
        <w:rPr>
          <w:color w:val="000000" w:themeColor="text1"/>
        </w:rPr>
        <w:br w:type="page"/>
      </w:r>
    </w:p>
    <w:p w14:paraId="24BE46F5"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bookmarkStart w:id="110" w:name="_Toc529773890"/>
      <w:bookmarkStart w:id="111" w:name="_Toc24100150"/>
      <w:bookmarkStart w:id="112" w:name="_Toc52348328"/>
      <w:bookmarkStart w:id="113" w:name="_Toc88727723"/>
    </w:p>
    <w:p w14:paraId="32B4D9D4"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5F157607"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555DC67B"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099431A8"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1541ACC3"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138D6732"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32BC9F0A"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092E0D1D" w14:textId="77777777" w:rsidR="00E97ED9" w:rsidRPr="00095E01" w:rsidRDefault="00E97ED9" w:rsidP="00095E01">
      <w:pPr>
        <w:pStyle w:val="Ttulo1"/>
        <w:jc w:val="right"/>
        <w:rPr>
          <w:rFonts w:eastAsiaTheme="majorEastAsia"/>
          <w:sz w:val="48"/>
          <w:szCs w:val="48"/>
          <w:lang w:eastAsia="es-ES"/>
        </w:rPr>
      </w:pPr>
      <w:bookmarkStart w:id="114" w:name="_Toc47592748"/>
      <w:bookmarkStart w:id="115" w:name="_Toc47614735"/>
      <w:bookmarkStart w:id="116" w:name="_Toc109716820"/>
      <w:bookmarkStart w:id="117" w:name="_Toc114139164"/>
      <w:bookmarkStart w:id="118" w:name="_Toc123724215"/>
      <w:r w:rsidRPr="00095E01">
        <w:rPr>
          <w:rFonts w:eastAsiaTheme="majorEastAsia"/>
          <w:sz w:val="48"/>
          <w:szCs w:val="48"/>
          <w:lang w:eastAsia="es-ES"/>
        </w:rPr>
        <w:t>ANEXOS</w:t>
      </w:r>
      <w:bookmarkEnd w:id="114"/>
      <w:bookmarkEnd w:id="115"/>
      <w:bookmarkEnd w:id="116"/>
      <w:bookmarkEnd w:id="117"/>
      <w:bookmarkEnd w:id="118"/>
    </w:p>
    <w:p w14:paraId="242FCF04" w14:textId="77777777" w:rsidR="00E97ED9" w:rsidRDefault="00E97ED9">
      <w:pPr>
        <w:spacing w:after="0"/>
        <w:ind w:firstLine="0"/>
        <w:jc w:val="left"/>
        <w:rPr>
          <w:szCs w:val="25"/>
        </w:rPr>
      </w:pPr>
    </w:p>
    <w:p w14:paraId="3AF02CEE" w14:textId="77777777" w:rsidR="00E97ED9" w:rsidRDefault="00E97ED9">
      <w:pPr>
        <w:spacing w:after="0"/>
        <w:ind w:firstLine="0"/>
        <w:jc w:val="left"/>
        <w:rPr>
          <w:szCs w:val="25"/>
        </w:rPr>
      </w:pPr>
    </w:p>
    <w:p w14:paraId="6A79DC79" w14:textId="77777777" w:rsidR="00E97ED9" w:rsidRDefault="00E97ED9">
      <w:pPr>
        <w:spacing w:after="0"/>
        <w:ind w:firstLine="0"/>
        <w:jc w:val="left"/>
        <w:rPr>
          <w:szCs w:val="25"/>
        </w:rPr>
      </w:pPr>
    </w:p>
    <w:p w14:paraId="0771BDA2" w14:textId="77777777" w:rsidR="00E97ED9" w:rsidRDefault="00E97ED9">
      <w:pPr>
        <w:spacing w:after="0"/>
        <w:ind w:firstLine="0"/>
        <w:jc w:val="left"/>
        <w:rPr>
          <w:szCs w:val="25"/>
        </w:rPr>
      </w:pPr>
    </w:p>
    <w:p w14:paraId="0108062A" w14:textId="77777777" w:rsidR="00E97ED9" w:rsidRDefault="00E97ED9">
      <w:pPr>
        <w:spacing w:after="0"/>
        <w:ind w:firstLine="0"/>
        <w:jc w:val="left"/>
        <w:rPr>
          <w:szCs w:val="25"/>
        </w:rPr>
      </w:pPr>
    </w:p>
    <w:p w14:paraId="6B362AEF" w14:textId="77777777" w:rsidR="00E97ED9" w:rsidRDefault="00E97ED9">
      <w:pPr>
        <w:spacing w:after="0"/>
        <w:ind w:firstLine="0"/>
        <w:jc w:val="left"/>
        <w:rPr>
          <w:szCs w:val="25"/>
        </w:rPr>
      </w:pPr>
    </w:p>
    <w:p w14:paraId="0E73B204" w14:textId="77777777" w:rsidR="00E97ED9" w:rsidRDefault="00E97ED9">
      <w:pPr>
        <w:spacing w:after="0"/>
        <w:ind w:firstLine="0"/>
        <w:jc w:val="left"/>
        <w:rPr>
          <w:szCs w:val="25"/>
        </w:rPr>
      </w:pPr>
    </w:p>
    <w:p w14:paraId="26B6A3FF" w14:textId="77777777" w:rsidR="00E97ED9" w:rsidRDefault="00E97ED9">
      <w:pPr>
        <w:spacing w:after="0"/>
        <w:ind w:firstLine="0"/>
        <w:jc w:val="left"/>
        <w:rPr>
          <w:szCs w:val="25"/>
        </w:rPr>
      </w:pPr>
    </w:p>
    <w:p w14:paraId="584506D0" w14:textId="77777777" w:rsidR="00E97ED9" w:rsidRDefault="00E97ED9">
      <w:pPr>
        <w:spacing w:after="0"/>
        <w:ind w:firstLine="0"/>
        <w:jc w:val="left"/>
        <w:rPr>
          <w:szCs w:val="25"/>
        </w:rPr>
      </w:pPr>
    </w:p>
    <w:p w14:paraId="3C88BC46" w14:textId="77777777" w:rsidR="00E97ED9" w:rsidRDefault="00E97ED9">
      <w:pPr>
        <w:spacing w:after="0"/>
        <w:ind w:firstLine="0"/>
        <w:jc w:val="left"/>
        <w:rPr>
          <w:szCs w:val="25"/>
        </w:rPr>
      </w:pPr>
    </w:p>
    <w:p w14:paraId="537BA9DA" w14:textId="32D8A6EE" w:rsidR="00E97ED9" w:rsidRDefault="00E97ED9">
      <w:pPr>
        <w:spacing w:after="0"/>
        <w:ind w:firstLine="0"/>
        <w:jc w:val="left"/>
        <w:rPr>
          <w:rFonts w:ascii="Arial" w:hAnsi="Arial" w:cs="Arial"/>
          <w:b/>
          <w:bCs/>
          <w:kern w:val="32"/>
          <w:sz w:val="25"/>
          <w:szCs w:val="25"/>
        </w:rPr>
      </w:pPr>
      <w:r>
        <w:rPr>
          <w:szCs w:val="25"/>
        </w:rPr>
        <w:br w:type="page"/>
      </w:r>
    </w:p>
    <w:p w14:paraId="2F7F1628" w14:textId="60A9219F" w:rsidR="00345C6C" w:rsidRPr="004248BF" w:rsidRDefault="00345C6C" w:rsidP="00095E01">
      <w:pPr>
        <w:pStyle w:val="Ttulo1"/>
        <w:ind w:firstLine="0"/>
      </w:pPr>
      <w:bookmarkStart w:id="119" w:name="_Toc123724216"/>
      <w:r w:rsidRPr="004248BF">
        <w:lastRenderedPageBreak/>
        <w:t>Anexo 1. Normativa aplicable a las entidades locales</w:t>
      </w:r>
      <w:bookmarkEnd w:id="110"/>
      <w:bookmarkEnd w:id="111"/>
      <w:bookmarkEnd w:id="112"/>
      <w:bookmarkEnd w:id="113"/>
      <w:bookmarkEnd w:id="119"/>
    </w:p>
    <w:p w14:paraId="3981B76D" w14:textId="77777777" w:rsidR="00DA0F30" w:rsidRPr="00A16FC4" w:rsidRDefault="00DA0F30" w:rsidP="004248BF">
      <w:pPr>
        <w:pStyle w:val="Ttulo2"/>
        <w:rPr>
          <w:spacing w:val="-6"/>
          <w:szCs w:val="25"/>
        </w:rPr>
      </w:pPr>
      <w:bookmarkStart w:id="120" w:name="_Toc123724217"/>
      <w:r w:rsidRPr="00A16FC4">
        <w:rPr>
          <w:spacing w:val="-6"/>
          <w:szCs w:val="25"/>
        </w:rPr>
        <w:t xml:space="preserve">Principales normas </w:t>
      </w:r>
      <w:r w:rsidR="002F16EC" w:rsidRPr="00A16FC4">
        <w:rPr>
          <w:spacing w:val="-6"/>
          <w:szCs w:val="25"/>
        </w:rPr>
        <w:t xml:space="preserve">aprobadas en 2020 </w:t>
      </w:r>
      <w:r w:rsidRPr="00A16FC4">
        <w:rPr>
          <w:spacing w:val="-6"/>
          <w:szCs w:val="25"/>
        </w:rPr>
        <w:t>aplicables al sector público local de Navarra</w:t>
      </w:r>
      <w:bookmarkEnd w:id="120"/>
      <w:r w:rsidRPr="00A16FC4">
        <w:rPr>
          <w:spacing w:val="-6"/>
          <w:szCs w:val="25"/>
        </w:rPr>
        <w:t xml:space="preserve"> </w:t>
      </w:r>
    </w:p>
    <w:p w14:paraId="4066A198" w14:textId="5A51E395" w:rsidR="00302151" w:rsidRPr="00302151" w:rsidRDefault="00671006" w:rsidP="005C70E8">
      <w:pPr>
        <w:pStyle w:val="texto"/>
        <w:rPr>
          <w:b/>
        </w:rPr>
      </w:pPr>
      <w:r>
        <w:t xml:space="preserve">Además de las incluidas </w:t>
      </w:r>
      <w:r w:rsidR="00302151" w:rsidRPr="00302151">
        <w:t xml:space="preserve">en el apartado </w:t>
      </w:r>
      <w:r>
        <w:t>IV.3</w:t>
      </w:r>
      <w:r w:rsidR="00302151" w:rsidRPr="00302151">
        <w:t xml:space="preserve"> de este informe, otras normas relevantes aplicables al sector público local de Navarra son:</w:t>
      </w:r>
    </w:p>
    <w:p w14:paraId="3C522B9F" w14:textId="77777777" w:rsidR="00DA0F30" w:rsidRPr="00F944DD"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90665E">
        <w:rPr>
          <w:color w:val="000000" w:themeColor="text1"/>
          <w:szCs w:val="26"/>
        </w:rPr>
        <w:t>Real Decreto-ley 2/2020, de 21 de enero de 2020, por el que se aprueban</w:t>
      </w:r>
      <w:r w:rsidRPr="00AB588F">
        <w:rPr>
          <w:color w:val="000000" w:themeColor="text1"/>
          <w:szCs w:val="26"/>
        </w:rPr>
        <w:t xml:space="preserve"> medidas urgentes en materia de</w:t>
      </w:r>
      <w:r w:rsidRPr="00F944DD">
        <w:rPr>
          <w:color w:val="000000" w:themeColor="text1"/>
          <w:szCs w:val="26"/>
        </w:rPr>
        <w:t xml:space="preserve"> retribuciones en el ámbito del sector público.</w:t>
      </w:r>
    </w:p>
    <w:p w14:paraId="37603FB7" w14:textId="77777777" w:rsidR="002F16EC" w:rsidRPr="002F16EC" w:rsidRDefault="002F16EC" w:rsidP="002F16EC">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2F16EC">
        <w:rPr>
          <w:color w:val="000000" w:themeColor="text1"/>
          <w:szCs w:val="26"/>
        </w:rPr>
        <w:t xml:space="preserve">Real Decreto-ley 7/2020, de 12 marzo, por el que se adoptan medidas urgentes para responder el impacto económico del COVID-19. </w:t>
      </w:r>
    </w:p>
    <w:p w14:paraId="027917DE"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Real Decreto-ley 8/2020, de 17 de marzo, de medidas urgentes y extraordinarias para hacer frente al impacto económico y social del </w:t>
      </w:r>
      <w:proofErr w:type="spellStart"/>
      <w:r w:rsidRPr="00AF43A9">
        <w:rPr>
          <w:color w:val="000000" w:themeColor="text1"/>
          <w:szCs w:val="26"/>
        </w:rPr>
        <w:t>Covid-19</w:t>
      </w:r>
      <w:proofErr w:type="spellEnd"/>
    </w:p>
    <w:p w14:paraId="7A953E97"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Real Decreto-ley 11/2020, de 31 de marzo, por el que se adoptan medidas urgentes complementarias en el ámbito social y económico para hacer frente al </w:t>
      </w:r>
      <w:proofErr w:type="spellStart"/>
      <w:r w:rsidRPr="00AF43A9">
        <w:rPr>
          <w:color w:val="000000" w:themeColor="text1"/>
          <w:szCs w:val="26"/>
        </w:rPr>
        <w:t>Covid-19</w:t>
      </w:r>
      <w:proofErr w:type="spellEnd"/>
      <w:r w:rsidRPr="00AF43A9">
        <w:rPr>
          <w:color w:val="000000" w:themeColor="text1"/>
          <w:szCs w:val="26"/>
        </w:rPr>
        <w:t xml:space="preserve">. </w:t>
      </w:r>
      <w:r>
        <w:rPr>
          <w:color w:val="000000" w:themeColor="text1"/>
          <w:szCs w:val="26"/>
        </w:rPr>
        <w:t xml:space="preserve"> </w:t>
      </w:r>
    </w:p>
    <w:p w14:paraId="4A8F27BC"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Real Decreto-ley 23/2020, de 23 de junio, por el que se aprueban medidas en materia de energía y en otros ámbitos para la reactivación económica.</w:t>
      </w:r>
    </w:p>
    <w:p w14:paraId="70F43208"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Real Decreto-ley 27/2020, de 4 de agosto, de medidas financieras, de carácter extraordinario y urgente, aplicables a las entidades locales.</w:t>
      </w:r>
    </w:p>
    <w:p w14:paraId="63305BD5" w14:textId="77777777" w:rsidR="00DA0F30" w:rsidRPr="00F944DD"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 xml:space="preserve">Real Decreto-ley 29/2020, de 29 de septiembre, de medidas urgentes en materia de teletrabajo en las Administraciones Públicas y de recursos humanos en el Sistema Nacional de Salud para hacer frente a la crisis sanitaria ocasionada por la </w:t>
      </w:r>
      <w:proofErr w:type="spellStart"/>
      <w:r w:rsidRPr="00AB588F">
        <w:rPr>
          <w:color w:val="000000" w:themeColor="text1"/>
          <w:szCs w:val="26"/>
        </w:rPr>
        <w:t>Covid-19</w:t>
      </w:r>
      <w:proofErr w:type="spellEnd"/>
      <w:r w:rsidRPr="00AB588F">
        <w:rPr>
          <w:color w:val="000000" w:themeColor="text1"/>
          <w:szCs w:val="26"/>
        </w:rPr>
        <w:t>.</w:t>
      </w:r>
    </w:p>
    <w:p w14:paraId="513FEF31" w14:textId="77777777" w:rsidR="00DA0F30"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Real Decreto-ley 36/2020, de 30 de diciembre, por el que se aprueban medias urgentes para la modernización de la Administración Pública y para la ejecución del Plan de Recuperación, Transformación y Resiliencia.</w:t>
      </w:r>
    </w:p>
    <w:p w14:paraId="1CC80B76" w14:textId="38E31149" w:rsidR="00DA0F30" w:rsidRPr="00D316E6"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szCs w:val="26"/>
        </w:rPr>
      </w:pPr>
      <w:r w:rsidRPr="006F29F9">
        <w:rPr>
          <w:szCs w:val="26"/>
        </w:rPr>
        <w:t xml:space="preserve">Real </w:t>
      </w:r>
      <w:r w:rsidRPr="00D316E6">
        <w:rPr>
          <w:szCs w:val="26"/>
        </w:rPr>
        <w:t xml:space="preserve">Decreto 463/2020, de 14 de marzo, por el que se declara el estado de alarma para la gestión de la situación de crisis sanitaria ocasionada por el </w:t>
      </w:r>
      <w:proofErr w:type="spellStart"/>
      <w:r w:rsidRPr="00D316E6">
        <w:rPr>
          <w:szCs w:val="26"/>
        </w:rPr>
        <w:t>Covid</w:t>
      </w:r>
      <w:r w:rsidR="008E43F9">
        <w:rPr>
          <w:szCs w:val="26"/>
        </w:rPr>
        <w:t>-</w:t>
      </w:r>
      <w:r w:rsidRPr="00D316E6">
        <w:rPr>
          <w:szCs w:val="26"/>
        </w:rPr>
        <w:t>19</w:t>
      </w:r>
      <w:proofErr w:type="spellEnd"/>
      <w:r w:rsidRPr="00D316E6">
        <w:rPr>
          <w:szCs w:val="26"/>
        </w:rPr>
        <w:t>.</w:t>
      </w:r>
    </w:p>
    <w:p w14:paraId="416C6D7B"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5/2020, de 4 de marzo, de Presupuestos Generales de Navarra para el año 2020.</w:t>
      </w:r>
    </w:p>
    <w:p w14:paraId="77B0E9B0" w14:textId="09ACE511"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Ley Foral 6/2020, de 6 de abril, por la que se aprueban medidas urgentes para responder al impacto generado por la crisis sanitaria por el </w:t>
      </w:r>
      <w:proofErr w:type="spellStart"/>
      <w:r w:rsidRPr="00AF43A9">
        <w:rPr>
          <w:color w:val="000000" w:themeColor="text1"/>
          <w:szCs w:val="26"/>
        </w:rPr>
        <w:t>Covid-19</w:t>
      </w:r>
      <w:proofErr w:type="spellEnd"/>
      <w:r w:rsidR="008E43F9">
        <w:rPr>
          <w:color w:val="000000" w:themeColor="text1"/>
          <w:szCs w:val="26"/>
        </w:rPr>
        <w:t>.</w:t>
      </w:r>
    </w:p>
    <w:p w14:paraId="5901F541"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Ley Foral 7/2020, de 6 de abril, por la que se aprueban medidas urgentes para responder al impacto generado por la crisis sanitaria por el </w:t>
      </w:r>
      <w:proofErr w:type="spellStart"/>
      <w:r>
        <w:rPr>
          <w:color w:val="000000" w:themeColor="text1"/>
          <w:szCs w:val="26"/>
        </w:rPr>
        <w:t>Covid-19</w:t>
      </w:r>
      <w:proofErr w:type="spellEnd"/>
      <w:r>
        <w:rPr>
          <w:color w:val="000000" w:themeColor="text1"/>
          <w:szCs w:val="26"/>
        </w:rPr>
        <w:t xml:space="preserve">. </w:t>
      </w:r>
    </w:p>
    <w:p w14:paraId="3B2AA33E"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lastRenderedPageBreak/>
        <w:t>Ley Foral 8/2020, de 8 de abril, por la que se concede un suplemento de crédito para cubrir las necesidades derivadas de la adopción de medidas de carácter extraordinario y urgente por motivos de salud pública motivadas por el COVID-19.</w:t>
      </w:r>
    </w:p>
    <w:p w14:paraId="6DC55930"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10/2020, de 8 de abril, por la que se modifica la Ley Foral 5/2020, de 4 de marzo, de Presupuestos Generales de Navarra para el año 2020.</w:t>
      </w:r>
      <w:r>
        <w:rPr>
          <w:color w:val="000000" w:themeColor="text1"/>
          <w:szCs w:val="26"/>
        </w:rPr>
        <w:t xml:space="preserve"> </w:t>
      </w:r>
    </w:p>
    <w:p w14:paraId="46FB7435" w14:textId="03F8DA00" w:rsidR="00DA0F30" w:rsidRPr="00AF43A9" w:rsidRDefault="002D49BE"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Ley F</w:t>
      </w:r>
      <w:r w:rsidR="00DA0F30" w:rsidRPr="00AF43A9">
        <w:rPr>
          <w:color w:val="000000" w:themeColor="text1"/>
          <w:szCs w:val="26"/>
        </w:rPr>
        <w:t>oral 14/2020, de 1 de septiembre, por la que se aprueban medidas extraordinarias para hacer frente a la crisis sanitaria del coronavirus (</w:t>
      </w:r>
      <w:proofErr w:type="spellStart"/>
      <w:r w:rsidR="00DA0F30" w:rsidRPr="00AF43A9">
        <w:rPr>
          <w:color w:val="000000" w:themeColor="text1"/>
          <w:szCs w:val="26"/>
        </w:rPr>
        <w:t>covid19</w:t>
      </w:r>
      <w:proofErr w:type="spellEnd"/>
      <w:r w:rsidR="00DA0F30" w:rsidRPr="00AF43A9">
        <w:rPr>
          <w:color w:val="000000" w:themeColor="text1"/>
          <w:szCs w:val="26"/>
        </w:rPr>
        <w:t>), una vez superada la fase 3 del plan para la transición hacia una nueva normalidad.</w:t>
      </w:r>
    </w:p>
    <w:p w14:paraId="37A5F324" w14:textId="77777777" w:rsidR="00DA0F30" w:rsidRPr="00AB588F"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 xml:space="preserve">Ley Foral 17/2020, de 16 de diciembre, reguladora de actividades con incidencia ambiental. </w:t>
      </w:r>
    </w:p>
    <w:p w14:paraId="746D7667" w14:textId="77777777" w:rsidR="00DA0F30" w:rsidRPr="00AB588F"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18/2020, de 16 de diciembre, sobre medidas a favor del arraigo empresarial y contra la deslocalización empresarial.</w:t>
      </w:r>
    </w:p>
    <w:p w14:paraId="266454D1" w14:textId="77777777" w:rsidR="00DA0F30" w:rsidRPr="00AB588F"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19/2020, de 16 de diciembre, de modificación de la Ley Foral 7/2003, de 14 de febrero, de Turismo de Navarra.</w:t>
      </w:r>
    </w:p>
    <w:p w14:paraId="72169217" w14:textId="1F5893E0" w:rsidR="00DA0F30"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21/2020, de 29 de diciembre, de modificación de diversos impuestos y otras medidas tributarias y de modificación del Texto Refundido de la Ley Foral de Ordenación del Territorio y Urbanismo.</w:t>
      </w:r>
      <w:r>
        <w:rPr>
          <w:color w:val="000000" w:themeColor="text1"/>
          <w:szCs w:val="26"/>
        </w:rPr>
        <w:t xml:space="preserve"> </w:t>
      </w:r>
    </w:p>
    <w:p w14:paraId="242DC554" w14:textId="77096C74" w:rsidR="008E43F9" w:rsidRPr="00AB588F" w:rsidRDefault="008E43F9"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Ley Foral 22/2020, de 29 de diciembre, de modificación de la Ley Foral 2/1995, de Haciendas Locales de Navarra.</w:t>
      </w:r>
    </w:p>
    <w:p w14:paraId="66EF7716" w14:textId="71192A2D" w:rsidR="00DA0F30" w:rsidRPr="007C65D6" w:rsidRDefault="004D0737"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Decreto-ley F</w:t>
      </w:r>
      <w:r w:rsidR="00DA0F30" w:rsidRPr="00F944DD">
        <w:rPr>
          <w:color w:val="000000" w:themeColor="text1"/>
          <w:szCs w:val="26"/>
        </w:rPr>
        <w:t xml:space="preserve">oral 1/2020, de 18 de marzo, </w:t>
      </w:r>
      <w:r w:rsidR="008E43F9">
        <w:rPr>
          <w:color w:val="000000" w:themeColor="text1"/>
          <w:szCs w:val="26"/>
        </w:rPr>
        <w:t>por el que se aprueban</w:t>
      </w:r>
      <w:r w:rsidR="00DA0F30" w:rsidRPr="00F944DD">
        <w:rPr>
          <w:color w:val="000000" w:themeColor="text1"/>
          <w:szCs w:val="26"/>
        </w:rPr>
        <w:t xml:space="preserve"> medidas </w:t>
      </w:r>
      <w:r w:rsidR="008E43F9">
        <w:rPr>
          <w:color w:val="000000" w:themeColor="text1"/>
          <w:szCs w:val="26"/>
        </w:rPr>
        <w:t>urgentes para responder al impacto generado por la crisis sanitaria del coronavirus (COVID-19).</w:t>
      </w:r>
    </w:p>
    <w:p w14:paraId="0BB87537" w14:textId="11E906AD" w:rsidR="00DA0F30" w:rsidRPr="00E77055" w:rsidRDefault="004D0737"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Decreto-ley F</w:t>
      </w:r>
      <w:r w:rsidR="00DA0F30" w:rsidRPr="00E77055">
        <w:rPr>
          <w:color w:val="000000" w:themeColor="text1"/>
          <w:szCs w:val="26"/>
        </w:rPr>
        <w:t xml:space="preserve">oral 2/2020, de 25 marzo, por el que se </w:t>
      </w:r>
      <w:r w:rsidR="008E43F9">
        <w:rPr>
          <w:color w:val="000000" w:themeColor="text1"/>
          <w:szCs w:val="26"/>
        </w:rPr>
        <w:t>aprueban</w:t>
      </w:r>
      <w:r w:rsidR="00DA0F30" w:rsidRPr="00E77055">
        <w:rPr>
          <w:color w:val="000000" w:themeColor="text1"/>
          <w:szCs w:val="26"/>
        </w:rPr>
        <w:t xml:space="preserve"> m</w:t>
      </w:r>
      <w:r w:rsidR="008E43F9">
        <w:rPr>
          <w:color w:val="000000" w:themeColor="text1"/>
          <w:szCs w:val="26"/>
        </w:rPr>
        <w:t>edidas urgentes para responder a</w:t>
      </w:r>
      <w:r w:rsidR="00DA0F30" w:rsidRPr="00E77055">
        <w:rPr>
          <w:color w:val="000000" w:themeColor="text1"/>
          <w:szCs w:val="26"/>
        </w:rPr>
        <w:t xml:space="preserve">l </w:t>
      </w:r>
      <w:r w:rsidR="008E43F9">
        <w:rPr>
          <w:color w:val="000000" w:themeColor="text1"/>
          <w:szCs w:val="26"/>
        </w:rPr>
        <w:t>impacto generado por la crisis sanitaria del coronavirus (COVID-19).</w:t>
      </w:r>
    </w:p>
    <w:p w14:paraId="3E7579E0" w14:textId="0D7968B5"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Decreto-ley </w:t>
      </w:r>
      <w:r w:rsidR="004D0737">
        <w:rPr>
          <w:color w:val="000000" w:themeColor="text1"/>
          <w:szCs w:val="26"/>
        </w:rPr>
        <w:t>F</w:t>
      </w:r>
      <w:r w:rsidRPr="00AF43A9">
        <w:rPr>
          <w:color w:val="000000" w:themeColor="text1"/>
          <w:szCs w:val="26"/>
        </w:rPr>
        <w:t xml:space="preserve">oral 3/2020, de 15 de abril, </w:t>
      </w:r>
      <w:r w:rsidR="008E43F9">
        <w:rPr>
          <w:color w:val="000000" w:themeColor="text1"/>
          <w:szCs w:val="26"/>
        </w:rPr>
        <w:t>por el que se aprueban</w:t>
      </w:r>
      <w:r w:rsidR="008E43F9" w:rsidRPr="00F944DD">
        <w:rPr>
          <w:color w:val="000000" w:themeColor="text1"/>
          <w:szCs w:val="26"/>
        </w:rPr>
        <w:t xml:space="preserve"> medidas </w:t>
      </w:r>
      <w:r w:rsidR="008E43F9">
        <w:rPr>
          <w:color w:val="000000" w:themeColor="text1"/>
          <w:szCs w:val="26"/>
        </w:rPr>
        <w:t>urgentes para responder al impacto generado por la crisis sanitaria del coronavirus (COVID-19).</w:t>
      </w:r>
    </w:p>
    <w:p w14:paraId="3BD15760" w14:textId="5DC83214"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Decreto-ley Foral 4/2020, de 29 de abril, </w:t>
      </w:r>
      <w:r w:rsidR="008E43F9" w:rsidRPr="00E77055">
        <w:rPr>
          <w:color w:val="000000" w:themeColor="text1"/>
          <w:szCs w:val="26"/>
        </w:rPr>
        <w:t xml:space="preserve">por el que se </w:t>
      </w:r>
      <w:r w:rsidR="008E43F9">
        <w:rPr>
          <w:color w:val="000000" w:themeColor="text1"/>
          <w:szCs w:val="26"/>
        </w:rPr>
        <w:t>aprueban</w:t>
      </w:r>
      <w:r w:rsidR="008E43F9" w:rsidRPr="00E77055">
        <w:rPr>
          <w:color w:val="000000" w:themeColor="text1"/>
          <w:szCs w:val="26"/>
        </w:rPr>
        <w:t xml:space="preserve"> m</w:t>
      </w:r>
      <w:r w:rsidR="008E43F9">
        <w:rPr>
          <w:color w:val="000000" w:themeColor="text1"/>
          <w:szCs w:val="26"/>
        </w:rPr>
        <w:t>edidas urgentes para responder a</w:t>
      </w:r>
      <w:r w:rsidR="008E43F9" w:rsidRPr="00E77055">
        <w:rPr>
          <w:color w:val="000000" w:themeColor="text1"/>
          <w:szCs w:val="26"/>
        </w:rPr>
        <w:t xml:space="preserve">l </w:t>
      </w:r>
      <w:r w:rsidR="008E43F9">
        <w:rPr>
          <w:color w:val="000000" w:themeColor="text1"/>
          <w:szCs w:val="26"/>
        </w:rPr>
        <w:t>impacto generado por la crisis sanitaria del coronavirus (COVID-19).</w:t>
      </w:r>
    </w:p>
    <w:p w14:paraId="6911BEE9" w14:textId="096BE0CB" w:rsidR="00DA0F30" w:rsidRPr="00E77055"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E77055">
        <w:rPr>
          <w:color w:val="000000" w:themeColor="text1"/>
          <w:szCs w:val="26"/>
        </w:rPr>
        <w:t>Dec</w:t>
      </w:r>
      <w:r w:rsidR="004D0737">
        <w:rPr>
          <w:color w:val="000000" w:themeColor="text1"/>
          <w:szCs w:val="26"/>
        </w:rPr>
        <w:t>reto-ley F</w:t>
      </w:r>
      <w:r w:rsidRPr="00E77055">
        <w:rPr>
          <w:color w:val="000000" w:themeColor="text1"/>
          <w:szCs w:val="26"/>
        </w:rPr>
        <w:t xml:space="preserve">oral 5/2020, de 20 mayo, </w:t>
      </w:r>
      <w:r w:rsidR="008E43F9" w:rsidRPr="00E77055">
        <w:rPr>
          <w:color w:val="000000" w:themeColor="text1"/>
          <w:szCs w:val="26"/>
        </w:rPr>
        <w:t xml:space="preserve">por el que se </w:t>
      </w:r>
      <w:r w:rsidR="008E43F9">
        <w:rPr>
          <w:color w:val="000000" w:themeColor="text1"/>
          <w:szCs w:val="26"/>
        </w:rPr>
        <w:t>aprueban</w:t>
      </w:r>
      <w:r w:rsidR="008E43F9" w:rsidRPr="00E77055">
        <w:rPr>
          <w:color w:val="000000" w:themeColor="text1"/>
          <w:szCs w:val="26"/>
        </w:rPr>
        <w:t xml:space="preserve"> m</w:t>
      </w:r>
      <w:r w:rsidR="008E43F9">
        <w:rPr>
          <w:color w:val="000000" w:themeColor="text1"/>
          <w:szCs w:val="26"/>
        </w:rPr>
        <w:t>edidas urgentes para responder a</w:t>
      </w:r>
      <w:r w:rsidR="008E43F9" w:rsidRPr="00E77055">
        <w:rPr>
          <w:color w:val="000000" w:themeColor="text1"/>
          <w:szCs w:val="26"/>
        </w:rPr>
        <w:t xml:space="preserve">l </w:t>
      </w:r>
      <w:r w:rsidR="008E43F9">
        <w:rPr>
          <w:color w:val="000000" w:themeColor="text1"/>
          <w:szCs w:val="26"/>
        </w:rPr>
        <w:t>impacto generado por la crisis sanitaria del coronavirus (COVID-19).</w:t>
      </w:r>
    </w:p>
    <w:p w14:paraId="68D5E3F5" w14:textId="77777777" w:rsidR="00DA0F30" w:rsidRPr="007C65D6"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lastRenderedPageBreak/>
        <w:t xml:space="preserve">Decreto-ley Foral 10/2020, de 16 de septiembre, por el que se aprueban medidas en materia de personal al servicio de la </w:t>
      </w:r>
      <w:r w:rsidR="00B77FE7">
        <w:rPr>
          <w:color w:val="000000" w:themeColor="text1"/>
          <w:szCs w:val="26"/>
        </w:rPr>
        <w:t>ACFN</w:t>
      </w:r>
      <w:r w:rsidRPr="00AB588F">
        <w:rPr>
          <w:color w:val="000000" w:themeColor="text1"/>
          <w:szCs w:val="26"/>
        </w:rPr>
        <w:t xml:space="preserve"> y sus Organismos Autónomos</w:t>
      </w:r>
      <w:r w:rsidRPr="007C65D6">
        <w:rPr>
          <w:color w:val="000000" w:themeColor="text1"/>
          <w:szCs w:val="26"/>
        </w:rPr>
        <w:t>.</w:t>
      </w:r>
    </w:p>
    <w:p w14:paraId="70971CBF" w14:textId="3D5EEF4C"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Decreto </w:t>
      </w:r>
      <w:r w:rsidR="002D49BE">
        <w:rPr>
          <w:color w:val="000000" w:themeColor="text1"/>
          <w:szCs w:val="26"/>
        </w:rPr>
        <w:t>Foral</w:t>
      </w:r>
      <w:r w:rsidRPr="00AF43A9">
        <w:rPr>
          <w:color w:val="000000" w:themeColor="text1"/>
          <w:szCs w:val="26"/>
        </w:rPr>
        <w:t xml:space="preserve"> 48/2020, de 15 de julio, por el que se regulan los programas básicos y el sistema de financiación de los servicios sociales de base.</w:t>
      </w:r>
    </w:p>
    <w:p w14:paraId="7036B70E" w14:textId="3162C10B" w:rsidR="00DA0F30"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Orden </w:t>
      </w:r>
      <w:r w:rsidR="002D49BE">
        <w:rPr>
          <w:color w:val="000000" w:themeColor="text1"/>
          <w:szCs w:val="26"/>
        </w:rPr>
        <w:t>Foral</w:t>
      </w:r>
      <w:r w:rsidRPr="00AF43A9">
        <w:rPr>
          <w:color w:val="000000" w:themeColor="text1"/>
          <w:szCs w:val="26"/>
        </w:rPr>
        <w:t xml:space="preserve"> 233/2020, de 24 de julio, de la Consejera de Derechos Sociales por la que se establecen los criterios de asignación del Fondo Social Extraordinario regulado por el Real Decreto-ley 8/2020, de 17 de marzo, adjudicado al Proyecto “</w:t>
      </w:r>
      <w:proofErr w:type="spellStart"/>
      <w:r w:rsidRPr="00AF43A9">
        <w:rPr>
          <w:color w:val="000000" w:themeColor="text1"/>
          <w:szCs w:val="26"/>
        </w:rPr>
        <w:t>Covid-19</w:t>
      </w:r>
      <w:proofErr w:type="spellEnd"/>
      <w:r w:rsidRPr="00AF43A9">
        <w:rPr>
          <w:color w:val="000000" w:themeColor="text1"/>
          <w:szCs w:val="26"/>
        </w:rPr>
        <w:t xml:space="preserve"> Refuerzo de plantillas de los Servicios Sociales de Base de Navarra”. </w:t>
      </w:r>
    </w:p>
    <w:p w14:paraId="34948071" w14:textId="77777777" w:rsidR="00136925" w:rsidRPr="00AF43A9" w:rsidRDefault="00136925" w:rsidP="00136925">
      <w:pPr>
        <w:pStyle w:val="texto"/>
        <w:tabs>
          <w:tab w:val="clear" w:pos="2835"/>
          <w:tab w:val="clear" w:pos="3969"/>
          <w:tab w:val="clear" w:pos="5103"/>
          <w:tab w:val="clear" w:pos="6237"/>
          <w:tab w:val="clear" w:pos="7371"/>
          <w:tab w:val="left" w:pos="480"/>
          <w:tab w:val="num" w:pos="786"/>
          <w:tab w:val="num" w:pos="1948"/>
          <w:tab w:val="num" w:pos="5606"/>
        </w:tabs>
        <w:ind w:left="290" w:firstLine="0"/>
        <w:rPr>
          <w:color w:val="000000" w:themeColor="text1"/>
          <w:szCs w:val="26"/>
        </w:rPr>
      </w:pPr>
    </w:p>
    <w:p w14:paraId="36776B56" w14:textId="77777777" w:rsidR="00DA0F30" w:rsidRPr="00EF0883" w:rsidRDefault="00DA0F30" w:rsidP="004248BF">
      <w:pPr>
        <w:pStyle w:val="Ttulo2"/>
        <w:rPr>
          <w:szCs w:val="25"/>
        </w:rPr>
      </w:pPr>
      <w:bookmarkStart w:id="121" w:name="_Toc123724218"/>
      <w:r w:rsidRPr="00EF0883">
        <w:rPr>
          <w:szCs w:val="25"/>
        </w:rPr>
        <w:t>Principales normas aplicables al sector público local de Navarra en el ejercicio 2020</w:t>
      </w:r>
      <w:bookmarkEnd w:id="121"/>
    </w:p>
    <w:p w14:paraId="1E5D9FD4" w14:textId="77777777" w:rsidR="00345C6C" w:rsidRPr="00B81E61" w:rsidRDefault="00345C6C" w:rsidP="00136925">
      <w:pPr>
        <w:pStyle w:val="texto"/>
        <w:ind w:firstLine="0"/>
        <w:rPr>
          <w:b/>
          <w:color w:val="000000" w:themeColor="text1"/>
          <w:szCs w:val="26"/>
        </w:rPr>
      </w:pPr>
      <w:r w:rsidRPr="00B81E61">
        <w:rPr>
          <w:b/>
          <w:color w:val="000000" w:themeColor="text1"/>
          <w:szCs w:val="26"/>
        </w:rPr>
        <w:t xml:space="preserve">a) Administración y régimen local </w:t>
      </w:r>
    </w:p>
    <w:p w14:paraId="08C95CD7" w14:textId="1603E69B" w:rsidR="00E77055" w:rsidRDefault="00E77055"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Constitución Española</w:t>
      </w:r>
      <w:r w:rsidR="00671006">
        <w:rPr>
          <w:color w:val="000000" w:themeColor="text1"/>
          <w:szCs w:val="26"/>
        </w:rPr>
        <w:t>.</w:t>
      </w:r>
    </w:p>
    <w:p w14:paraId="2FFB48E6" w14:textId="77777777" w:rsidR="00E77055" w:rsidRDefault="00E77055"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Ley Orgánica 13/1982, de 10 de agosto, de Reintegración y Amejoramiento del Régimen Foral de Navarra.</w:t>
      </w:r>
    </w:p>
    <w:p w14:paraId="56285A26" w14:textId="77777777" w:rsidR="00AB588F" w:rsidRPr="00AF43A9" w:rsidRDefault="00AB588F"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7/1985, de 2 de abril, Reguladora de las Bases del Régimen Local.</w:t>
      </w:r>
    </w:p>
    <w:p w14:paraId="65173F4A"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19/2013, de 9 de diciembre, de Transparencia, acceso a la Información pública y buen gobierno.</w:t>
      </w:r>
    </w:p>
    <w:p w14:paraId="47E3F1C5"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39/2015, de 1 de octubre, del Procedimiento Administrativo Común de las Administraciones Públicas.</w:t>
      </w:r>
    </w:p>
    <w:p w14:paraId="0EBEDE06"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40/2015, de 1 de octubre, de Régimen Jurídico del Sector Público.</w:t>
      </w:r>
    </w:p>
    <w:p w14:paraId="4B583C49"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6/2018, de 3 de julio, de Presupuestos Generales del Estado para el año 2018 (presupuestos prorrogados por segundo ejercicio según criterios establecidos por el Consejo de Ministros el 27 de diciembre de 2019).</w:t>
      </w:r>
    </w:p>
    <w:p w14:paraId="130D8787" w14:textId="24427519" w:rsidR="00E77055"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Real Decreto-ley 6/2019, de 1 de marzo, de medidas urgentes para garantía de la igualdad de trato y de oportunidades entre mujeres y hombres en el empleo y la ocupación. </w:t>
      </w:r>
    </w:p>
    <w:p w14:paraId="44296A80" w14:textId="34EA221D" w:rsidR="00CD4CDB" w:rsidRPr="00AF43A9" w:rsidRDefault="00CD4CDB" w:rsidP="00CD4CDB">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Real Decreto-ley 8/2020, de 17 de marzo, de medidas urgentes y extraordinarias para hacer frente al impacto económico y social del </w:t>
      </w:r>
      <w:proofErr w:type="spellStart"/>
      <w:r w:rsidRPr="00AF43A9">
        <w:rPr>
          <w:color w:val="000000" w:themeColor="text1"/>
          <w:szCs w:val="26"/>
        </w:rPr>
        <w:t>Covid-19</w:t>
      </w:r>
      <w:proofErr w:type="spellEnd"/>
      <w:r w:rsidR="00657B5B">
        <w:rPr>
          <w:color w:val="000000" w:themeColor="text1"/>
          <w:szCs w:val="26"/>
        </w:rPr>
        <w:t>.</w:t>
      </w:r>
    </w:p>
    <w:p w14:paraId="0914F2B4" w14:textId="75160AB0" w:rsidR="00E77055" w:rsidRPr="008E43F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Real Decreto-ley 14/2019, de 31 de octubre, por el que se adoptan medidas urgentes por razones de </w:t>
      </w:r>
      <w:r w:rsidRPr="008E43F9">
        <w:rPr>
          <w:color w:val="000000" w:themeColor="text1"/>
          <w:szCs w:val="26"/>
        </w:rPr>
        <w:t>seguridad pública en materia de administración digital, contratación del sector público y telecomunicaciones</w:t>
      </w:r>
      <w:r w:rsidR="00671006" w:rsidRPr="008E43F9">
        <w:rPr>
          <w:color w:val="000000" w:themeColor="text1"/>
          <w:szCs w:val="26"/>
        </w:rPr>
        <w:t>.</w:t>
      </w:r>
    </w:p>
    <w:p w14:paraId="03AFA0C3" w14:textId="77777777" w:rsidR="00E35D6B" w:rsidRPr="00AF43A9" w:rsidRDefault="00E35D6B" w:rsidP="00E35D6B">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8E43F9">
        <w:rPr>
          <w:color w:val="000000" w:themeColor="text1"/>
          <w:szCs w:val="26"/>
        </w:rPr>
        <w:lastRenderedPageBreak/>
        <w:t>Real Decreto-ley 36/2020, de 30 de diciembre, por el que se aprueban medias urgentes para la modernización de la Administración Pública y para la ejecución del Plan de Recuperación, Transformación y Resiliencia</w:t>
      </w:r>
      <w:r w:rsidRPr="00AF43A9">
        <w:rPr>
          <w:color w:val="000000" w:themeColor="text1"/>
          <w:szCs w:val="26"/>
        </w:rPr>
        <w:t>.</w:t>
      </w:r>
    </w:p>
    <w:p w14:paraId="03B70341" w14:textId="77777777" w:rsidR="00AB588F" w:rsidRPr="00AF43A9" w:rsidRDefault="00AB588F"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6/1990, de 2 de julio, de la Administración Local de Navarra.</w:t>
      </w:r>
    </w:p>
    <w:p w14:paraId="25BE4909" w14:textId="1EBC6290" w:rsidR="00657B5B" w:rsidRDefault="00657B5B"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Ley Foral 8/2005, de 1 de julio, de protección civil y atención de emergencias de Navarra.</w:t>
      </w:r>
    </w:p>
    <w:p w14:paraId="1F0480C0" w14:textId="2C20CF33" w:rsidR="00AB588F" w:rsidRPr="00AF43A9" w:rsidRDefault="00AB588F"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18/2016, de 13 de diciembre, reguladora del Plan de Inversiones Locales 2017-2019.</w:t>
      </w:r>
    </w:p>
    <w:p w14:paraId="0ACBF8B4"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13/2017, de 16 de noviembre, de conciertos sociales en los ámbitos de Salud y Servicios Sociales.</w:t>
      </w:r>
    </w:p>
    <w:p w14:paraId="4E10D8A6"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5/2018, de 17 de mayo, de Transparencia, acceso a la información pública y buen gobierno.</w:t>
      </w:r>
    </w:p>
    <w:p w14:paraId="7754282D"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7/2018, de 17 de mayo, de creación de la Oficina de Buenas Prácticas y Anticorrupción de la Comunidad Foral de Navarra.</w:t>
      </w:r>
    </w:p>
    <w:p w14:paraId="72963850"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12/2018, de 14 de junio, de Accesibilidad Universal.</w:t>
      </w:r>
    </w:p>
    <w:p w14:paraId="07FB398C"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14/2018, de 18 de junio, de Residuos y su Fiscalidad.</w:t>
      </w:r>
    </w:p>
    <w:p w14:paraId="61728356" w14:textId="4E62A9E1" w:rsidR="00CD4CDB" w:rsidRDefault="00CD4CDB"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Ley Foral 4/2019, de 4 de febrero, de reforma de la Administración Local de Navarra</w:t>
      </w:r>
    </w:p>
    <w:p w14:paraId="4BDB534D" w14:textId="5E9050A4"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12/2019, de 22 de marzo, de Participación Democrática de Navarra.</w:t>
      </w:r>
    </w:p>
    <w:p w14:paraId="38178797"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17/2019, de 4 de abril, de Igualdad entre mujeres y hombres</w:t>
      </w:r>
    </w:p>
    <w:p w14:paraId="4D799C6E" w14:textId="61575C75" w:rsidR="00CD4CDB" w:rsidRDefault="00CD4CDB"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Ley Foral 20/2019, de 4 de abril, por la que se modifica la Ley Foral 6/1990, de 2 de julio, de la Administración Local de Navarra y la Ley Foral 4/2019, de 4 de febrero, de reforma de la Administración Local de Navarra.</w:t>
      </w:r>
    </w:p>
    <w:p w14:paraId="79B984CB" w14:textId="06C1A23C"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2/2020, de 23 de enero, por la que se prolonga la vigencia y se modifica la Ley Foral 18/2016, de 13 de diciembre, reguladora del Plan de Inversiones Locales 2017-2019.</w:t>
      </w:r>
    </w:p>
    <w:p w14:paraId="5D2850E3"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3/2020, de 27 de febrero, por la que se establece la cuantía y reparto del Fondo de participación de las Haciendas Locales en los tributos de Navarra por transferencias corrientes y otras ayudas para el año 2020.</w:t>
      </w:r>
    </w:p>
    <w:p w14:paraId="6EB3F917"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5/2020, de 4 de marzo, de Presupuestos Generales de Navarra para el año 2020.</w:t>
      </w:r>
    </w:p>
    <w:p w14:paraId="0967E563" w14:textId="0AA088A4" w:rsidR="00E35D6B" w:rsidRPr="00AF43A9" w:rsidRDefault="00E35D6B" w:rsidP="00E35D6B">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Ley Foral 6/2020, de 6 de abril, por la que se aprueban medidas urgentes para responder al impacto generado por la crisis sanitaria por el </w:t>
      </w:r>
      <w:proofErr w:type="spellStart"/>
      <w:r w:rsidRPr="00AF43A9">
        <w:rPr>
          <w:color w:val="000000" w:themeColor="text1"/>
          <w:szCs w:val="26"/>
        </w:rPr>
        <w:t>Covid-19</w:t>
      </w:r>
      <w:proofErr w:type="spellEnd"/>
      <w:r w:rsidR="00671006">
        <w:rPr>
          <w:color w:val="000000" w:themeColor="text1"/>
          <w:szCs w:val="26"/>
        </w:rPr>
        <w:t>.</w:t>
      </w:r>
    </w:p>
    <w:p w14:paraId="71D7CE85"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lastRenderedPageBreak/>
        <w:t>Ley Foral 10/2020, de 8 de abril, por la que se modifica la Ley Foral 5/2020, de 4 de marzo, de Presupuestos Generales de Navarra para el año 2020.</w:t>
      </w:r>
    </w:p>
    <w:p w14:paraId="0CD1FA24" w14:textId="21625620" w:rsidR="008E43F9" w:rsidRPr="00657B5B" w:rsidRDefault="008E43F9"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8E43F9">
        <w:rPr>
          <w:color w:val="000000" w:themeColor="text1"/>
          <w:szCs w:val="26"/>
        </w:rPr>
        <w:t xml:space="preserve">Decreto-ley Foral 1/2020, de 18 de marzo, </w:t>
      </w:r>
      <w:r w:rsidRPr="00E77055">
        <w:rPr>
          <w:color w:val="000000" w:themeColor="text1"/>
          <w:szCs w:val="26"/>
        </w:rPr>
        <w:t xml:space="preserve">por el que se </w:t>
      </w:r>
      <w:r>
        <w:rPr>
          <w:color w:val="000000" w:themeColor="text1"/>
          <w:szCs w:val="26"/>
        </w:rPr>
        <w:t>aprueban</w:t>
      </w:r>
      <w:r w:rsidRPr="00E77055">
        <w:rPr>
          <w:color w:val="000000" w:themeColor="text1"/>
          <w:szCs w:val="26"/>
        </w:rPr>
        <w:t xml:space="preserve"> m</w:t>
      </w:r>
      <w:r>
        <w:rPr>
          <w:color w:val="000000" w:themeColor="text1"/>
          <w:szCs w:val="26"/>
        </w:rPr>
        <w:t>edidas urgentes para responder a</w:t>
      </w:r>
      <w:r w:rsidRPr="00E77055">
        <w:rPr>
          <w:color w:val="000000" w:themeColor="text1"/>
          <w:szCs w:val="26"/>
        </w:rPr>
        <w:t xml:space="preserve">l </w:t>
      </w:r>
      <w:r>
        <w:rPr>
          <w:color w:val="000000" w:themeColor="text1"/>
          <w:szCs w:val="26"/>
        </w:rPr>
        <w:t>impacto generado por la crisis sanitaria del coronavirus (COVID-19).</w:t>
      </w:r>
    </w:p>
    <w:p w14:paraId="7F1AB00F" w14:textId="77777777" w:rsidR="00AB588F" w:rsidRPr="00AF43A9" w:rsidRDefault="00AB588F"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Orden Foral 84/2017, de la Consejera de Desarrollo Rural, Medio Ambiente y Administración Local, por la que se regula la forma de aplicación de la cláusula social prevista en el artículo 20 de la Ley Foral 18/2016, de 13 de diciembre, reguladora del Plan de Inversiones Locales 2017-2019.</w:t>
      </w:r>
    </w:p>
    <w:p w14:paraId="0418DDF8" w14:textId="77777777" w:rsidR="00345C6C" w:rsidRPr="00B81E61" w:rsidRDefault="00345C6C" w:rsidP="00AB588F">
      <w:pPr>
        <w:pStyle w:val="texto"/>
        <w:spacing w:before="240"/>
        <w:ind w:firstLine="0"/>
        <w:rPr>
          <w:b/>
          <w:color w:val="000000" w:themeColor="text1"/>
          <w:szCs w:val="26"/>
        </w:rPr>
      </w:pPr>
      <w:r w:rsidRPr="00B81E61">
        <w:rPr>
          <w:b/>
          <w:color w:val="000000" w:themeColor="text1"/>
          <w:szCs w:val="26"/>
        </w:rPr>
        <w:t xml:space="preserve">b) Régimen económico, presupuestario y contable </w:t>
      </w:r>
    </w:p>
    <w:p w14:paraId="4908267F"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Plan General de Contabilidad Pública adaptado a la Administración Local, aprobado por Orden Ministerial, de 17 de julio de 1990, del Ministerio de Economía y Hacienda. (</w:t>
      </w:r>
      <w:r w:rsidR="002F16EC">
        <w:rPr>
          <w:color w:val="000000" w:themeColor="text1"/>
          <w:szCs w:val="26"/>
        </w:rPr>
        <w:t>Véase r</w:t>
      </w:r>
      <w:r w:rsidRPr="00AB588F">
        <w:rPr>
          <w:color w:val="000000" w:themeColor="text1"/>
          <w:szCs w:val="26"/>
        </w:rPr>
        <w:t xml:space="preserve">egla 425 </w:t>
      </w:r>
      <w:r w:rsidR="002F16EC">
        <w:rPr>
          <w:color w:val="000000" w:themeColor="text1"/>
          <w:szCs w:val="26"/>
        </w:rPr>
        <w:t xml:space="preserve">DF 272/1998, </w:t>
      </w:r>
      <w:r w:rsidRPr="00AB588F">
        <w:rPr>
          <w:color w:val="000000" w:themeColor="text1"/>
          <w:szCs w:val="26"/>
        </w:rPr>
        <w:t>Instrucción general contabilidad).</w:t>
      </w:r>
    </w:p>
    <w:p w14:paraId="58B9A0D7" w14:textId="77777777" w:rsidR="00345C6C" w:rsidRPr="00B81E61" w:rsidRDefault="00345C6C" w:rsidP="00345C6C">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B81E61">
        <w:rPr>
          <w:color w:val="000000" w:themeColor="text1"/>
          <w:szCs w:val="26"/>
        </w:rPr>
        <w:t xml:space="preserve">Ley Foral 2/1995, de 10 de marzo, de Haciendas Locales de Navarra. </w:t>
      </w:r>
    </w:p>
    <w:p w14:paraId="645C359D" w14:textId="58C72C07"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7/1996, de 28 de mayo, de tarifas e instrucción del Impuesto sobre Actividades Económicas (IAE)</w:t>
      </w:r>
      <w:r w:rsidR="00CD4CDB">
        <w:rPr>
          <w:color w:val="000000" w:themeColor="text1"/>
          <w:szCs w:val="26"/>
        </w:rPr>
        <w:t>.</w:t>
      </w:r>
    </w:p>
    <w:p w14:paraId="4081BC40"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12/2006, de 21 de noviembre, del Registro de la Riqueza Territorial y de los Catastros de Navarra.</w:t>
      </w:r>
    </w:p>
    <w:p w14:paraId="4C1FB286" w14:textId="77777777" w:rsidR="00F944DD" w:rsidRPr="00AF43A9"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Ley Foral 7/2020, de 6 de abril, por la que se aprueban medidas urgentes para responder al impacto generado por la crisis sanitaria por el </w:t>
      </w:r>
      <w:proofErr w:type="spellStart"/>
      <w:r>
        <w:rPr>
          <w:color w:val="000000" w:themeColor="text1"/>
          <w:szCs w:val="26"/>
        </w:rPr>
        <w:t>Covid-19</w:t>
      </w:r>
      <w:proofErr w:type="spellEnd"/>
      <w:r>
        <w:rPr>
          <w:color w:val="000000" w:themeColor="text1"/>
          <w:szCs w:val="26"/>
        </w:rPr>
        <w:t xml:space="preserve">. </w:t>
      </w:r>
    </w:p>
    <w:p w14:paraId="77109F42" w14:textId="77777777"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Decreto Foral 270/1998, de 21 de septiembre, Decreto Foral 234/2015 de 23 de septiembre, Decreto Foral 272/1998 y Decreto Foral 273/1998, de 21 de septiembre, de presupuesto y gasto público, de estructura presupuestaria, de aprobación de la Instrucción General de Contabilidad General y de Contabilidad Simplificada para la Administración Local de Navarra, respectivamente.</w:t>
      </w:r>
    </w:p>
    <w:p w14:paraId="53BAAC59" w14:textId="5DC4456A" w:rsidR="00AB588F" w:rsidRPr="00AF43A9" w:rsidRDefault="00AB588F"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Decreto-ley Foral 4/2020, de 29 de abril, </w:t>
      </w:r>
      <w:r w:rsidR="008E43F9" w:rsidRPr="00E77055">
        <w:rPr>
          <w:color w:val="000000" w:themeColor="text1"/>
          <w:szCs w:val="26"/>
        </w:rPr>
        <w:t xml:space="preserve">por el que se </w:t>
      </w:r>
      <w:r w:rsidR="008E43F9">
        <w:rPr>
          <w:color w:val="000000" w:themeColor="text1"/>
          <w:szCs w:val="26"/>
        </w:rPr>
        <w:t>aprueban</w:t>
      </w:r>
      <w:r w:rsidR="008E43F9" w:rsidRPr="00E77055">
        <w:rPr>
          <w:color w:val="000000" w:themeColor="text1"/>
          <w:szCs w:val="26"/>
        </w:rPr>
        <w:t xml:space="preserve"> m</w:t>
      </w:r>
      <w:r w:rsidR="008E43F9">
        <w:rPr>
          <w:color w:val="000000" w:themeColor="text1"/>
          <w:szCs w:val="26"/>
        </w:rPr>
        <w:t>edidas urgentes para responder a</w:t>
      </w:r>
      <w:r w:rsidR="008E43F9" w:rsidRPr="00E77055">
        <w:rPr>
          <w:color w:val="000000" w:themeColor="text1"/>
          <w:szCs w:val="26"/>
        </w:rPr>
        <w:t xml:space="preserve">l </w:t>
      </w:r>
      <w:r w:rsidR="008E43F9">
        <w:rPr>
          <w:color w:val="000000" w:themeColor="text1"/>
          <w:szCs w:val="26"/>
        </w:rPr>
        <w:t>impacto generado por la crisis sanitaria del coronavirus (COVID-19).</w:t>
      </w:r>
    </w:p>
    <w:p w14:paraId="3B72B876" w14:textId="77777777" w:rsidR="00345C6C" w:rsidRPr="008A3EB8" w:rsidRDefault="00345C6C" w:rsidP="00AB588F">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sidRPr="008A3EB8">
        <w:rPr>
          <w:b/>
          <w:color w:val="000000" w:themeColor="text1"/>
          <w:szCs w:val="26"/>
        </w:rPr>
        <w:t xml:space="preserve">c) Estabilidad presupuestaria y sostenibilidad financiera </w:t>
      </w:r>
    </w:p>
    <w:p w14:paraId="3B1B5073" w14:textId="6D649E2E"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Orgánica 2/2012, de 27 de abril, de Estabilidad Presupuesta</w:t>
      </w:r>
      <w:r w:rsidR="002D49BE">
        <w:rPr>
          <w:color w:val="000000" w:themeColor="text1"/>
          <w:szCs w:val="26"/>
        </w:rPr>
        <w:t>ria y Sostenibilidad Financiera</w:t>
      </w:r>
      <w:r w:rsidRPr="00AB588F">
        <w:rPr>
          <w:color w:val="000000" w:themeColor="text1"/>
          <w:szCs w:val="26"/>
        </w:rPr>
        <w:t>.</w:t>
      </w:r>
    </w:p>
    <w:p w14:paraId="21EA0D7E"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Orgánica 9/2013, de 20 de diciembre, de control de la deuda comercial en el sector público.</w:t>
      </w:r>
    </w:p>
    <w:p w14:paraId="2B1459B7"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 xml:space="preserve">Ley Orgánica 6/2015, de 12 de junio, de modificación de la Ley Orgánica 8/1980, de 22 de septiembre, de financiación de las Comunidades Autónomas y </w:t>
      </w:r>
      <w:r w:rsidRPr="00AB588F">
        <w:rPr>
          <w:color w:val="000000" w:themeColor="text1"/>
          <w:szCs w:val="26"/>
        </w:rPr>
        <w:lastRenderedPageBreak/>
        <w:t>de la Ley Orgánica 2/2012, de 27 de abril, de Estabilidad Presupuestaria y Sostenibilidad Financiera.</w:t>
      </w:r>
    </w:p>
    <w:p w14:paraId="46C28B23"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25/2013, de 27 de diciembre, de impulso de la factura electrónica y creación del registro contable de facturas en el Sector Público.</w:t>
      </w:r>
    </w:p>
    <w:p w14:paraId="30608666"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27/2013, de 27 de diciembre, de racionalización y sostenibilidad de la Administración Local.</w:t>
      </w:r>
      <w:r>
        <w:rPr>
          <w:color w:val="000000" w:themeColor="text1"/>
          <w:szCs w:val="26"/>
        </w:rPr>
        <w:t xml:space="preserve"> </w:t>
      </w:r>
    </w:p>
    <w:p w14:paraId="0210B1E1"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Real Decreto-ley 8/2013, de 28 de junio, de medidas urgentes contra la morosidad de las administraciones públicas y de apoyo a entidades locales con problemas financieros.</w:t>
      </w:r>
    </w:p>
    <w:p w14:paraId="5584A867" w14:textId="77777777" w:rsidR="00F944DD"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Real Decreto-ley 17/2014, de 26 de diciembre, de medidas de sostenibilidad financiera de las comunidades autónomas y entidades locales y otras de carácter económico.</w:t>
      </w:r>
      <w:r>
        <w:rPr>
          <w:color w:val="000000" w:themeColor="text1"/>
          <w:szCs w:val="26"/>
        </w:rPr>
        <w:t xml:space="preserve"> </w:t>
      </w:r>
    </w:p>
    <w:p w14:paraId="1DC45C77" w14:textId="0CF84CE8" w:rsidR="008E43F9" w:rsidRPr="008E43F9" w:rsidRDefault="008E43F9"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8E43F9">
        <w:rPr>
          <w:color w:val="000000" w:themeColor="text1"/>
          <w:szCs w:val="26"/>
        </w:rPr>
        <w:t>Real Decreto-</w:t>
      </w:r>
      <w:r w:rsidR="006F4AD5">
        <w:rPr>
          <w:color w:val="000000" w:themeColor="text1"/>
          <w:szCs w:val="26"/>
        </w:rPr>
        <w:t>l</w:t>
      </w:r>
      <w:r w:rsidRPr="008E43F9">
        <w:rPr>
          <w:color w:val="000000" w:themeColor="text1"/>
          <w:szCs w:val="26"/>
        </w:rPr>
        <w:t xml:space="preserve">ey 10/2019, de 29 de marzo, por el que se prorroga para 2019 el destino del superávit de comunidades autónomas y de las entidades locales para inversiones financieramente sostenibles y se adoptan otras medidas en relación con las funciones del personal de las entidades locales con habilitación de carácter nacional. </w:t>
      </w:r>
    </w:p>
    <w:p w14:paraId="5D3D62F1" w14:textId="77777777" w:rsidR="00F944DD" w:rsidRPr="00AF43A9"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Real Decreto-ley 11/2020, de 31 de marzo, por el que se adoptan medidas urgentes complementarias en el ámbito social y económico para hacer frente al </w:t>
      </w:r>
      <w:proofErr w:type="spellStart"/>
      <w:r w:rsidRPr="00AF43A9">
        <w:rPr>
          <w:color w:val="000000" w:themeColor="text1"/>
          <w:szCs w:val="26"/>
        </w:rPr>
        <w:t>Covid-19</w:t>
      </w:r>
      <w:proofErr w:type="spellEnd"/>
      <w:r w:rsidRPr="00AF43A9">
        <w:rPr>
          <w:color w:val="000000" w:themeColor="text1"/>
          <w:szCs w:val="26"/>
        </w:rPr>
        <w:t xml:space="preserve">. </w:t>
      </w:r>
    </w:p>
    <w:p w14:paraId="17099B22" w14:textId="77777777" w:rsidR="00F944DD" w:rsidRPr="00AF43A9"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Real Decreto-ley 23/2020, de 23 de junio, por el que se aprueban medidas en materia de energía y en otros ámbitos para la reactivación económica.</w:t>
      </w:r>
    </w:p>
    <w:p w14:paraId="66912A30" w14:textId="77777777" w:rsidR="00F944DD" w:rsidRPr="008E43F9"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Real Decreto-ley 27/2020, de 4 de agosto, de medidas financieras, de carác</w:t>
      </w:r>
      <w:r w:rsidRPr="008E43F9">
        <w:rPr>
          <w:color w:val="000000" w:themeColor="text1"/>
          <w:szCs w:val="26"/>
        </w:rPr>
        <w:t>ter extraordinario y urgente, aplicables a las entidades locales.</w:t>
      </w:r>
    </w:p>
    <w:p w14:paraId="751FECE9" w14:textId="77777777" w:rsidR="00F944DD" w:rsidRPr="00AF43A9"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8E43F9">
        <w:rPr>
          <w:color w:val="000000" w:themeColor="text1"/>
          <w:szCs w:val="26"/>
        </w:rPr>
        <w:t>Acuerdo del Congreso de los Diputados, de 20 de octubre de 2020, por el que aprecia la existencia de una situación de emergencia extraordinaria que jus</w:t>
      </w:r>
      <w:r w:rsidRPr="00AF43A9">
        <w:rPr>
          <w:color w:val="000000" w:themeColor="text1"/>
          <w:szCs w:val="26"/>
        </w:rPr>
        <w:t xml:space="preserve">tifica la suspensión temporal de las reglas fiscales en 2020 y 2021. </w:t>
      </w:r>
    </w:p>
    <w:p w14:paraId="64D09B4E" w14:textId="77777777"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Orden HAP/2105/2012, de 1 de octubre, por la que se desarrollan las obligaciones de suministro de información previstas en la Ley Orgánica 2/2012, de 27 de abril, de Estabilidad Presupuestaria y Sostenibilidad Financiera.</w:t>
      </w:r>
    </w:p>
    <w:p w14:paraId="31E2F87F"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Resolución de 4 de julio de 2017, de la Secretaría General del Tesoro y Política Financiera, por la que se define el principio de prudencia financiera aplicable a las operaciones de endeudamiento y derivados de las comunidades autónomas y entidades locales.</w:t>
      </w:r>
    </w:p>
    <w:p w14:paraId="6B63EEF5" w14:textId="77777777" w:rsid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27/2012, de 28 de diciembre, por la que se adoptan en la Comunidad Foral de Navarra medidas para garantizar la estabilidad presupuestaria y de fomento de la competitividad.</w:t>
      </w:r>
    </w:p>
    <w:p w14:paraId="0C87D6F1" w14:textId="47773D14" w:rsidR="00345C6C" w:rsidRPr="002F16EC" w:rsidRDefault="00F20AA2" w:rsidP="00AB588F">
      <w:pPr>
        <w:pStyle w:val="texto"/>
        <w:tabs>
          <w:tab w:val="clear" w:pos="2835"/>
          <w:tab w:val="clear" w:pos="3969"/>
          <w:tab w:val="clear" w:pos="5103"/>
          <w:tab w:val="clear" w:pos="6237"/>
          <w:tab w:val="clear" w:pos="7371"/>
          <w:tab w:val="left" w:pos="480"/>
          <w:tab w:val="num" w:pos="720"/>
        </w:tabs>
        <w:ind w:firstLine="0"/>
        <w:rPr>
          <w:b/>
          <w:color w:val="000000" w:themeColor="text1"/>
          <w:szCs w:val="26"/>
        </w:rPr>
      </w:pPr>
      <w:r>
        <w:rPr>
          <w:b/>
          <w:color w:val="000000" w:themeColor="text1"/>
          <w:szCs w:val="26"/>
        </w:rPr>
        <w:lastRenderedPageBreak/>
        <w:t>d</w:t>
      </w:r>
      <w:r w:rsidR="00345C6C" w:rsidRPr="002F16EC">
        <w:rPr>
          <w:b/>
          <w:color w:val="000000" w:themeColor="text1"/>
          <w:szCs w:val="26"/>
        </w:rPr>
        <w:t xml:space="preserve">) Contratación administrativa </w:t>
      </w:r>
    </w:p>
    <w:p w14:paraId="524D9731" w14:textId="77777777" w:rsidR="00302151" w:rsidRPr="002F16EC" w:rsidRDefault="00302151" w:rsidP="00302151">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2F16EC">
        <w:rPr>
          <w:color w:val="000000" w:themeColor="text1"/>
          <w:szCs w:val="26"/>
        </w:rPr>
        <w:t xml:space="preserve">Real Decreto-ley 7/2020, de 12 marzo, por el que se adoptan medidas urgentes para responder el impacto económico del COVID-19. </w:t>
      </w:r>
    </w:p>
    <w:p w14:paraId="04861A75" w14:textId="5F64B4C5"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 xml:space="preserve">Ley Foral 2/2018, de 13 de abril, de </w:t>
      </w:r>
      <w:r w:rsidR="002D49BE">
        <w:rPr>
          <w:color w:val="000000" w:themeColor="text1"/>
          <w:szCs w:val="26"/>
        </w:rPr>
        <w:t>C</w:t>
      </w:r>
      <w:r w:rsidRPr="00AB588F">
        <w:rPr>
          <w:color w:val="000000" w:themeColor="text1"/>
          <w:szCs w:val="26"/>
        </w:rPr>
        <w:t xml:space="preserve">ontratos </w:t>
      </w:r>
      <w:r w:rsidR="002D49BE">
        <w:rPr>
          <w:color w:val="000000" w:themeColor="text1"/>
          <w:szCs w:val="26"/>
        </w:rPr>
        <w:t>P</w:t>
      </w:r>
      <w:r w:rsidRPr="00AB588F">
        <w:rPr>
          <w:color w:val="000000" w:themeColor="text1"/>
          <w:szCs w:val="26"/>
        </w:rPr>
        <w:t>úblicos.</w:t>
      </w:r>
    </w:p>
    <w:p w14:paraId="27B1A4D7" w14:textId="338155BF" w:rsidR="00AB588F" w:rsidRPr="00AB588F" w:rsidRDefault="00AB588F"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spacing w:after="120"/>
        <w:ind w:left="0" w:firstLine="290"/>
        <w:rPr>
          <w:color w:val="000000" w:themeColor="text1"/>
          <w:szCs w:val="26"/>
        </w:rPr>
      </w:pPr>
      <w:r w:rsidRPr="00AB588F">
        <w:rPr>
          <w:color w:val="000000" w:themeColor="text1"/>
          <w:szCs w:val="26"/>
        </w:rPr>
        <w:t xml:space="preserve">Ley Foral 6/2006, de 9 de junio, de contratos públicos (para los contratos cuyos pliegos de cláusulas administrativas particulares o condiciones reguladoras ya estuvieran aprobados a la fecha de entrada en vigor de la </w:t>
      </w:r>
      <w:r w:rsidR="002D49BE">
        <w:rPr>
          <w:color w:val="000000" w:themeColor="text1"/>
          <w:szCs w:val="26"/>
        </w:rPr>
        <w:t>Ley Foral</w:t>
      </w:r>
      <w:r w:rsidRPr="00AB588F">
        <w:rPr>
          <w:color w:val="000000" w:themeColor="text1"/>
          <w:szCs w:val="26"/>
        </w:rPr>
        <w:t xml:space="preserve"> 2/2018).</w:t>
      </w:r>
    </w:p>
    <w:p w14:paraId="650D97A2" w14:textId="77777777" w:rsidR="00AB588F" w:rsidRPr="00AB588F" w:rsidRDefault="00AB588F"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 xml:space="preserve">Decreto Foral 317/2019, de 13 de noviembre, por el que se actualizan los umbrales europeos de la Ley Foral 2/2018, de 13 de abril, de Contratos Públicos. </w:t>
      </w:r>
    </w:p>
    <w:p w14:paraId="557EFF49" w14:textId="6C4CD370" w:rsidR="00E77055" w:rsidRPr="00E77055" w:rsidRDefault="004D0737"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Decreto-ley F</w:t>
      </w:r>
      <w:r w:rsidR="00E77055" w:rsidRPr="00E77055">
        <w:rPr>
          <w:color w:val="000000" w:themeColor="text1"/>
          <w:szCs w:val="26"/>
        </w:rPr>
        <w:t xml:space="preserve">oral 2/2020, de 25 marzo, </w:t>
      </w:r>
      <w:r w:rsidR="008E43F9" w:rsidRPr="008E43F9">
        <w:rPr>
          <w:color w:val="000000" w:themeColor="text1"/>
          <w:szCs w:val="26"/>
        </w:rPr>
        <w:t>por el que se aprueban medidas urgentes para responder al impacto generado por la crisis sanitaria del coronavirus (COVID-19).</w:t>
      </w:r>
    </w:p>
    <w:p w14:paraId="219CB29A" w14:textId="5CCB1D9C" w:rsidR="00AB588F" w:rsidRPr="008E43F9" w:rsidRDefault="004D0737"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Decreto-ley F</w:t>
      </w:r>
      <w:r w:rsidR="00E77055" w:rsidRPr="00E77055">
        <w:rPr>
          <w:color w:val="000000" w:themeColor="text1"/>
          <w:szCs w:val="26"/>
        </w:rPr>
        <w:t xml:space="preserve">oral 5/2020, de 20 mayo, </w:t>
      </w:r>
      <w:r w:rsidR="008E43F9" w:rsidRPr="008E43F9">
        <w:rPr>
          <w:color w:val="000000" w:themeColor="text1"/>
          <w:szCs w:val="26"/>
        </w:rPr>
        <w:t>por el que se aprueban medidas urgentes para responder al impacto generado por la crisis sanitaria del coronavirus (COVID-19).</w:t>
      </w:r>
    </w:p>
    <w:p w14:paraId="290C62EA" w14:textId="043C09E8" w:rsidR="00345C6C" w:rsidRPr="00B81E61" w:rsidRDefault="00F20AA2" w:rsidP="00136925">
      <w:pPr>
        <w:pStyle w:val="texto"/>
        <w:spacing w:before="240"/>
        <w:ind w:firstLine="0"/>
        <w:rPr>
          <w:b/>
          <w:color w:val="000000" w:themeColor="text1"/>
          <w:szCs w:val="26"/>
        </w:rPr>
      </w:pPr>
      <w:r>
        <w:rPr>
          <w:b/>
          <w:color w:val="000000" w:themeColor="text1"/>
          <w:szCs w:val="26"/>
        </w:rPr>
        <w:t>e</w:t>
      </w:r>
      <w:r w:rsidR="00345C6C" w:rsidRPr="00B81E61">
        <w:rPr>
          <w:b/>
          <w:color w:val="000000" w:themeColor="text1"/>
          <w:szCs w:val="26"/>
        </w:rPr>
        <w:t xml:space="preserve">) Personal  </w:t>
      </w:r>
    </w:p>
    <w:p w14:paraId="5B3B7F60"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Real Decreto Legislativo 2/2015, de 23 de octubre, por el que se aprueba el Texto Refundido de la Ley del Estatuto de los Trabajadores.</w:t>
      </w:r>
    </w:p>
    <w:p w14:paraId="149273F3"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Real Decreto-ley 4/2015, de 22 de marzo, para la reforma urgente del Sistema de Formación Profesional para el Empleo en el ámbito laboral.</w:t>
      </w:r>
    </w:p>
    <w:p w14:paraId="5176DE3C" w14:textId="77777777" w:rsidR="00F944DD" w:rsidRPr="00F944DD"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Real Decreto-ley 2/2020, de 21 de enero de 2020, por el que se aprueban medidas urgentes en materia de</w:t>
      </w:r>
      <w:r w:rsidRPr="00F944DD">
        <w:rPr>
          <w:color w:val="000000" w:themeColor="text1"/>
          <w:szCs w:val="26"/>
        </w:rPr>
        <w:t xml:space="preserve"> retribuciones en el ámbito del sector público.</w:t>
      </w:r>
    </w:p>
    <w:p w14:paraId="58387D09" w14:textId="77777777" w:rsidR="00F944DD" w:rsidRPr="00F944DD"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 xml:space="preserve">Real Decreto-ley 29/2020, de 29 de septiembre, de medidas urgentes en materia de teletrabajo en las Administraciones Públicas y de recursos humanos en el Sistema Nacional de Salud para hacer frente a la crisis sanitaria ocasionada por la </w:t>
      </w:r>
      <w:proofErr w:type="spellStart"/>
      <w:r w:rsidRPr="00AB588F">
        <w:rPr>
          <w:color w:val="000000" w:themeColor="text1"/>
          <w:szCs w:val="26"/>
        </w:rPr>
        <w:t>Covid-19</w:t>
      </w:r>
      <w:proofErr w:type="spellEnd"/>
      <w:r w:rsidRPr="00AB588F">
        <w:rPr>
          <w:color w:val="000000" w:themeColor="text1"/>
          <w:szCs w:val="26"/>
        </w:rPr>
        <w:t>.</w:t>
      </w:r>
    </w:p>
    <w:p w14:paraId="0A21A8ED"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13/2012, de 21 de junio, de medidas urgentes en materia de personal al servicio de las Administraciones Públicas de Navarra.</w:t>
      </w:r>
    </w:p>
    <w:p w14:paraId="485A39BB"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13/2015, de 10 de abril, de modificación del Texto Refundido del Estatuto del Personal al servicio de las Administraciones Públicas de Navarra, en lo relativo al acceso al empleo público de las personas con discapacidad.</w:t>
      </w:r>
    </w:p>
    <w:p w14:paraId="48658629"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23/2018, de 19 de noviembre, de las Policías de Navarra.</w:t>
      </w:r>
    </w:p>
    <w:p w14:paraId="79D8BAD1"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Decreto Foral Legislativo 251/1993 de 30 de agosto por el que se aprueba el Texto refundido del Estatuto de Personal al servicio de las Administraciones Públicas de Navarra, así como sus disposiciones de desarrollo.</w:t>
      </w:r>
    </w:p>
    <w:p w14:paraId="0A83E1A9" w14:textId="77777777" w:rsidR="00F944DD" w:rsidRPr="008E43F9" w:rsidRDefault="00F944DD"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lastRenderedPageBreak/>
        <w:t xml:space="preserve">Decreto-ley Foral 10/2020, de 16 de septiembre, por el que se aprueban medidas en materia de personal al servicio de la </w:t>
      </w:r>
      <w:r w:rsidR="00B77FE7">
        <w:rPr>
          <w:color w:val="000000" w:themeColor="text1"/>
          <w:szCs w:val="26"/>
        </w:rPr>
        <w:t>ACFN</w:t>
      </w:r>
      <w:r w:rsidRPr="00AB588F">
        <w:rPr>
          <w:color w:val="000000" w:themeColor="text1"/>
          <w:szCs w:val="26"/>
        </w:rPr>
        <w:t xml:space="preserve"> de Navarra y sus Organismos Autónomos</w:t>
      </w:r>
      <w:r w:rsidRPr="008E43F9">
        <w:rPr>
          <w:color w:val="000000" w:themeColor="text1"/>
          <w:szCs w:val="26"/>
        </w:rPr>
        <w:t>.</w:t>
      </w:r>
    </w:p>
    <w:p w14:paraId="0074BC15" w14:textId="57F68977"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Decreto Foral 158/1984, de 4 de julio, por el que se aprueba el Reglamento Provisional de Retribuciones del Personal al servicio de las Administraciones Públicas de Navarra (modificado por D.F.21/2017, de 29 de marzo)</w:t>
      </w:r>
      <w:r w:rsidR="00657B5B">
        <w:rPr>
          <w:color w:val="000000" w:themeColor="text1"/>
          <w:szCs w:val="26"/>
        </w:rPr>
        <w:t>.</w:t>
      </w:r>
    </w:p>
    <w:p w14:paraId="19602123" w14:textId="77777777"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Decreto Foral 113/1985, de 5 de junio, por el que se aprueba el Reglamento de Ingreso en las Administraciones Públicas de Navarra.</w:t>
      </w:r>
    </w:p>
    <w:p w14:paraId="17E3F557" w14:textId="1E8EBF1C"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Decreto Foral 215/1985, de 6 de noviembre, por el que se aprueba el Reglamento de Provisión de puestos de trabajo en las Administraciones Públicas de Navarra. (modificado por D.F. 29/2017, de 17 de mayo)</w:t>
      </w:r>
      <w:r w:rsidR="00657B5B">
        <w:rPr>
          <w:color w:val="000000" w:themeColor="text1"/>
          <w:szCs w:val="26"/>
        </w:rPr>
        <w:t>.</w:t>
      </w:r>
    </w:p>
    <w:p w14:paraId="7F8C5E66" w14:textId="4B4D10E5" w:rsidR="00AB588F" w:rsidRPr="008A3EB8" w:rsidRDefault="00F20AA2" w:rsidP="00136925">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Pr>
          <w:b/>
          <w:color w:val="000000" w:themeColor="text1"/>
          <w:szCs w:val="26"/>
        </w:rPr>
        <w:t>f</w:t>
      </w:r>
      <w:r w:rsidR="00AB588F" w:rsidRPr="008A3EB8">
        <w:rPr>
          <w:b/>
          <w:color w:val="000000" w:themeColor="text1"/>
          <w:szCs w:val="26"/>
        </w:rPr>
        <w:t xml:space="preserve">) Subvenciones </w:t>
      </w:r>
    </w:p>
    <w:p w14:paraId="470E6015" w14:textId="3BC6C584" w:rsidR="00F944DD" w:rsidRDefault="00AB588F"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 xml:space="preserve">Ley 38/2003, de 17 de noviembre, General de </w:t>
      </w:r>
      <w:r w:rsidR="00F944DD">
        <w:rPr>
          <w:color w:val="000000" w:themeColor="text1"/>
          <w:szCs w:val="26"/>
        </w:rPr>
        <w:t>Subvenciones</w:t>
      </w:r>
      <w:r w:rsidR="00657B5B">
        <w:rPr>
          <w:color w:val="000000" w:themeColor="text1"/>
          <w:szCs w:val="26"/>
        </w:rPr>
        <w:t>.</w:t>
      </w:r>
    </w:p>
    <w:p w14:paraId="0D88F2F4" w14:textId="7B691E7D" w:rsidR="00AB588F" w:rsidRPr="00AB588F" w:rsidRDefault="00AB588F"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 xml:space="preserve">Real </w:t>
      </w:r>
      <w:r w:rsidR="00F944DD">
        <w:rPr>
          <w:color w:val="000000" w:themeColor="text1"/>
          <w:szCs w:val="26"/>
        </w:rPr>
        <w:t>Decreto 887/2006 de 21 de julio¸</w:t>
      </w:r>
      <w:r w:rsidR="00F944DD" w:rsidRPr="00F944DD">
        <w:rPr>
          <w:color w:val="000000" w:themeColor="text1"/>
          <w:szCs w:val="26"/>
        </w:rPr>
        <w:t xml:space="preserve"> por el que se aprueba el Reglamento de la Ley 38/2003, de 17 de noviembre, General de Subvenciones</w:t>
      </w:r>
      <w:r w:rsidR="00657B5B">
        <w:rPr>
          <w:color w:val="000000" w:themeColor="text1"/>
          <w:szCs w:val="26"/>
        </w:rPr>
        <w:t>.</w:t>
      </w:r>
    </w:p>
    <w:p w14:paraId="155325AB" w14:textId="2CFFE700" w:rsidR="00345C6C" w:rsidRPr="008A3EB8" w:rsidRDefault="00F20AA2" w:rsidP="00136925">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Pr>
          <w:b/>
          <w:color w:val="000000" w:themeColor="text1"/>
          <w:szCs w:val="26"/>
        </w:rPr>
        <w:t>g</w:t>
      </w:r>
      <w:r w:rsidR="00345C6C" w:rsidRPr="008A3EB8">
        <w:rPr>
          <w:b/>
          <w:color w:val="000000" w:themeColor="text1"/>
          <w:szCs w:val="26"/>
        </w:rPr>
        <w:t xml:space="preserve">) Urbanismo </w:t>
      </w:r>
      <w:r w:rsidR="00AB588F">
        <w:rPr>
          <w:b/>
          <w:color w:val="000000" w:themeColor="text1"/>
          <w:szCs w:val="26"/>
        </w:rPr>
        <w:t>y otras materias</w:t>
      </w:r>
    </w:p>
    <w:p w14:paraId="31D8CDAA" w14:textId="77777777" w:rsidR="00181012" w:rsidRPr="00AB588F" w:rsidRDefault="00181012"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7/2003, de 14 de febrero, de Turismo de Navarra.</w:t>
      </w:r>
    </w:p>
    <w:p w14:paraId="6556C39A" w14:textId="77777777" w:rsidR="00181012" w:rsidRPr="00AB588F" w:rsidRDefault="00181012"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 xml:space="preserve">Ley Foral 17/2020, de 16 de diciembre, reguladora de actividades con incidencia ambiental. </w:t>
      </w:r>
    </w:p>
    <w:p w14:paraId="4C9AEAC6" w14:textId="77777777" w:rsidR="00181012" w:rsidRPr="00AB588F" w:rsidRDefault="00181012"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18/2020, de 16 de diciembre, sobre medidas a favor del arraigo empresarial y contra la deslocalización empresarial.</w:t>
      </w:r>
    </w:p>
    <w:p w14:paraId="3396AE84" w14:textId="77777777" w:rsidR="00657B5B" w:rsidRPr="00AB588F" w:rsidRDefault="00657B5B"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19/2020, de 16 de diciembre, de modificación de la Ley Foral 7/2003, de 14 de febrero, de Turismo de Navarra.</w:t>
      </w:r>
    </w:p>
    <w:p w14:paraId="6E2D831F" w14:textId="77777777" w:rsidR="00181012" w:rsidRPr="00AB588F" w:rsidRDefault="00181012"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Ley Foral 21/2020, de 29 de diciembre, de modificación de diversos impuestos y otras medidas tributarias y de modificación del Texto Refundido de la Ley Foral de Ordenación del Territorio y Urbanismo.</w:t>
      </w:r>
      <w:r>
        <w:rPr>
          <w:color w:val="000000" w:themeColor="text1"/>
          <w:szCs w:val="26"/>
        </w:rPr>
        <w:t xml:space="preserve"> </w:t>
      </w:r>
    </w:p>
    <w:p w14:paraId="64BDF254" w14:textId="77777777" w:rsidR="00AB588F" w:rsidRDefault="00AB588F"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B588F">
        <w:rPr>
          <w:color w:val="000000" w:themeColor="text1"/>
          <w:szCs w:val="26"/>
        </w:rPr>
        <w:t>Decreto Foral Legislativo 1/2017 de 26 de julio, por el que se aprueba el Texto Refundido de la Ley Foral de Ordenación del Territorio y Urbanismo.</w:t>
      </w:r>
    </w:p>
    <w:p w14:paraId="66065DE0" w14:textId="7207C78E" w:rsidR="00E35D6B" w:rsidRPr="00AB588F" w:rsidRDefault="002D49BE"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Decreto F</w:t>
      </w:r>
      <w:r w:rsidR="00E35D6B" w:rsidRPr="00E35D6B">
        <w:rPr>
          <w:color w:val="000000" w:themeColor="text1"/>
          <w:szCs w:val="26"/>
        </w:rPr>
        <w:t>oral 48/2020, de 15 de julio, por el que se regulan los programas básicos y el sistema de financiación de los servicios sociales de base</w:t>
      </w:r>
      <w:r w:rsidR="00657B5B">
        <w:rPr>
          <w:color w:val="000000" w:themeColor="text1"/>
          <w:szCs w:val="26"/>
        </w:rPr>
        <w:t>.</w:t>
      </w:r>
    </w:p>
    <w:p w14:paraId="11591E30" w14:textId="596F4069" w:rsidR="00345C6C" w:rsidRPr="00B81E61" w:rsidRDefault="00F20AA2" w:rsidP="00136925">
      <w:pPr>
        <w:pStyle w:val="texto"/>
        <w:ind w:firstLine="0"/>
        <w:rPr>
          <w:b/>
          <w:color w:val="000000" w:themeColor="text1"/>
          <w:szCs w:val="26"/>
        </w:rPr>
      </w:pPr>
      <w:r>
        <w:rPr>
          <w:b/>
          <w:color w:val="000000" w:themeColor="text1"/>
          <w:szCs w:val="26"/>
        </w:rPr>
        <w:t>h</w:t>
      </w:r>
      <w:r w:rsidR="00345C6C" w:rsidRPr="00B81E61">
        <w:rPr>
          <w:b/>
          <w:color w:val="000000" w:themeColor="text1"/>
          <w:szCs w:val="26"/>
        </w:rPr>
        <w:t xml:space="preserve">) Normativa interna de </w:t>
      </w:r>
      <w:r w:rsidR="002F16EC">
        <w:rPr>
          <w:b/>
          <w:color w:val="000000" w:themeColor="text1"/>
          <w:szCs w:val="26"/>
        </w:rPr>
        <w:t>cada entidad local</w:t>
      </w:r>
    </w:p>
    <w:p w14:paraId="22E7D0E9" w14:textId="77777777" w:rsidR="00345C6C" w:rsidRPr="00B81E61" w:rsidRDefault="00345C6C" w:rsidP="00345C6C">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B81E61">
        <w:rPr>
          <w:color w:val="000000" w:themeColor="text1"/>
          <w:szCs w:val="26"/>
        </w:rPr>
        <w:t>Bases de ejecución de los presupuestos d</w:t>
      </w:r>
      <w:r w:rsidR="00AB588F">
        <w:rPr>
          <w:color w:val="000000" w:themeColor="text1"/>
          <w:szCs w:val="26"/>
        </w:rPr>
        <w:t>e las entidades locales para 2020</w:t>
      </w:r>
      <w:r w:rsidRPr="00B81E61">
        <w:rPr>
          <w:color w:val="000000" w:themeColor="text1"/>
          <w:szCs w:val="26"/>
        </w:rPr>
        <w:t xml:space="preserve">. </w:t>
      </w:r>
    </w:p>
    <w:p w14:paraId="32463A56" w14:textId="77777777" w:rsidR="00345C6C" w:rsidRPr="00B81E61" w:rsidRDefault="00345C6C" w:rsidP="00345C6C">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B81E61">
        <w:rPr>
          <w:color w:val="000000" w:themeColor="text1"/>
          <w:szCs w:val="26"/>
        </w:rPr>
        <w:t>Ordenanzas y acuerdos reguladores de las tasas y precios públicos.</w:t>
      </w:r>
    </w:p>
    <w:p w14:paraId="43F17E8D" w14:textId="4C53A769" w:rsidR="00F20AA2" w:rsidRDefault="00345C6C"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B81E61">
        <w:rPr>
          <w:color w:val="000000" w:themeColor="text1"/>
          <w:szCs w:val="26"/>
        </w:rPr>
        <w:t>Convenios colectivos específicos.</w:t>
      </w:r>
    </w:p>
    <w:p w14:paraId="23ADC7B9" w14:textId="77777777" w:rsidR="00F20AA2" w:rsidRPr="00AB588F" w:rsidRDefault="00F20AA2" w:rsidP="00F20AA2">
      <w:pPr>
        <w:pStyle w:val="texto"/>
        <w:tabs>
          <w:tab w:val="clear" w:pos="2835"/>
          <w:tab w:val="clear" w:pos="3969"/>
          <w:tab w:val="clear" w:pos="5103"/>
          <w:tab w:val="clear" w:pos="6237"/>
          <w:tab w:val="clear" w:pos="7371"/>
          <w:tab w:val="left" w:pos="480"/>
          <w:tab w:val="num" w:pos="720"/>
        </w:tabs>
        <w:ind w:firstLine="0"/>
        <w:rPr>
          <w:b/>
          <w:color w:val="000000" w:themeColor="text1"/>
          <w:szCs w:val="26"/>
        </w:rPr>
      </w:pPr>
      <w:r>
        <w:rPr>
          <w:b/>
          <w:color w:val="000000" w:themeColor="text1"/>
          <w:szCs w:val="26"/>
        </w:rPr>
        <w:lastRenderedPageBreak/>
        <w:t xml:space="preserve">d) </w:t>
      </w:r>
      <w:r w:rsidRPr="00AB588F">
        <w:rPr>
          <w:b/>
          <w:color w:val="000000" w:themeColor="text1"/>
          <w:szCs w:val="26"/>
        </w:rPr>
        <w:t>Financiación</w:t>
      </w:r>
      <w:r>
        <w:rPr>
          <w:b/>
          <w:color w:val="000000" w:themeColor="text1"/>
          <w:szCs w:val="26"/>
        </w:rPr>
        <w:t xml:space="preserve"> vinculada al </w:t>
      </w:r>
      <w:proofErr w:type="spellStart"/>
      <w:r>
        <w:rPr>
          <w:b/>
          <w:color w:val="000000" w:themeColor="text1"/>
          <w:szCs w:val="26"/>
        </w:rPr>
        <w:t>Covid-19</w:t>
      </w:r>
      <w:proofErr w:type="spellEnd"/>
    </w:p>
    <w:p w14:paraId="5CD3D7E7" w14:textId="77777777" w:rsidR="00F20AA2"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 xml:space="preserve">Real Decreto-ley 8/2020, de 17 de marzo, de medidas urgentes extraordinarias para hacer frente al impacto económico y social del </w:t>
      </w:r>
      <w:proofErr w:type="spellStart"/>
      <w:r>
        <w:rPr>
          <w:color w:val="000000" w:themeColor="text1"/>
          <w:szCs w:val="26"/>
        </w:rPr>
        <w:t>Covid-19</w:t>
      </w:r>
      <w:proofErr w:type="spellEnd"/>
      <w:r>
        <w:rPr>
          <w:color w:val="000000" w:themeColor="text1"/>
          <w:szCs w:val="26"/>
        </w:rPr>
        <w:t>.</w:t>
      </w:r>
    </w:p>
    <w:p w14:paraId="460E8EA3" w14:textId="77777777" w:rsidR="00F20AA2" w:rsidRPr="00AF43A9"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Ley Foral 8/2020, de 8 de abril, por la que se concede un suplemento de crédito para cubrir las necesidades derivadas de la adopción de medidas de carácter extraordinario y urgente por motivos de salud pública motivadas por el COVID-19.</w:t>
      </w:r>
    </w:p>
    <w:p w14:paraId="3782D543" w14:textId="77777777" w:rsidR="00F20AA2" w:rsidRPr="00AF43A9"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Ley Foral 13/2020, de 1 de julio, de concesión, regulación y distribución de un crédito extraordinario de 25 millones de euros, con cargo al Fondo de Participación en las Haciendas Locales de Navarra, para cubrir las necesidades de las entidades locales derivadas de la adopción de medidas de carácter extraordinario y urgente por motivos de salud pública motivadas por el </w:t>
      </w:r>
      <w:proofErr w:type="spellStart"/>
      <w:r w:rsidRPr="00AF43A9">
        <w:rPr>
          <w:color w:val="000000" w:themeColor="text1"/>
          <w:szCs w:val="26"/>
        </w:rPr>
        <w:t>Covid-19</w:t>
      </w:r>
      <w:proofErr w:type="spellEnd"/>
      <w:r w:rsidRPr="00AF43A9">
        <w:rPr>
          <w:color w:val="000000" w:themeColor="text1"/>
          <w:szCs w:val="26"/>
        </w:rPr>
        <w:t>.</w:t>
      </w:r>
    </w:p>
    <w:p w14:paraId="313C4135" w14:textId="77777777" w:rsidR="00F20AA2" w:rsidRPr="00AF43A9"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Ley </w:t>
      </w:r>
      <w:r>
        <w:rPr>
          <w:color w:val="000000" w:themeColor="text1"/>
          <w:szCs w:val="26"/>
        </w:rPr>
        <w:t>Foral</w:t>
      </w:r>
      <w:r w:rsidRPr="00AF43A9">
        <w:rPr>
          <w:color w:val="000000" w:themeColor="text1"/>
          <w:szCs w:val="26"/>
        </w:rPr>
        <w:t xml:space="preserve"> 14/2020, de 1 de septiembre, por la que se aprueban medidas extraordinarias para hacer frente a la crisis sanitaria del coronavirus (</w:t>
      </w:r>
      <w:proofErr w:type="spellStart"/>
      <w:r w:rsidRPr="00AF43A9">
        <w:rPr>
          <w:color w:val="000000" w:themeColor="text1"/>
          <w:szCs w:val="26"/>
        </w:rPr>
        <w:t>covid19</w:t>
      </w:r>
      <w:proofErr w:type="spellEnd"/>
      <w:r w:rsidRPr="00AF43A9">
        <w:rPr>
          <w:color w:val="000000" w:themeColor="text1"/>
          <w:szCs w:val="26"/>
        </w:rPr>
        <w:t>), una vez superada la fase 3 del plan para la transición hacia una nueva normalidad.</w:t>
      </w:r>
    </w:p>
    <w:p w14:paraId="6F9E6E3C" w14:textId="77777777" w:rsidR="00F20AA2" w:rsidRPr="00AF43A9"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AF43A9">
        <w:rPr>
          <w:color w:val="000000" w:themeColor="text1"/>
          <w:szCs w:val="26"/>
        </w:rPr>
        <w:t xml:space="preserve">Decreto-ley </w:t>
      </w:r>
      <w:r>
        <w:rPr>
          <w:color w:val="000000" w:themeColor="text1"/>
          <w:szCs w:val="26"/>
        </w:rPr>
        <w:t>F</w:t>
      </w:r>
      <w:r w:rsidRPr="00AF43A9">
        <w:rPr>
          <w:color w:val="000000" w:themeColor="text1"/>
          <w:szCs w:val="26"/>
        </w:rPr>
        <w:t xml:space="preserve">oral 3/2020, de 15 de abril, </w:t>
      </w:r>
      <w:r w:rsidRPr="00E77055">
        <w:rPr>
          <w:color w:val="000000" w:themeColor="text1"/>
          <w:szCs w:val="26"/>
        </w:rPr>
        <w:t xml:space="preserve">por el que se </w:t>
      </w:r>
      <w:r>
        <w:rPr>
          <w:color w:val="000000" w:themeColor="text1"/>
          <w:szCs w:val="26"/>
        </w:rPr>
        <w:t>aprueban</w:t>
      </w:r>
      <w:r w:rsidRPr="00E77055">
        <w:rPr>
          <w:color w:val="000000" w:themeColor="text1"/>
          <w:szCs w:val="26"/>
        </w:rPr>
        <w:t xml:space="preserve"> m</w:t>
      </w:r>
      <w:r>
        <w:rPr>
          <w:color w:val="000000" w:themeColor="text1"/>
          <w:szCs w:val="26"/>
        </w:rPr>
        <w:t>edidas urgentes para responder a</w:t>
      </w:r>
      <w:r w:rsidRPr="00E77055">
        <w:rPr>
          <w:color w:val="000000" w:themeColor="text1"/>
          <w:szCs w:val="26"/>
        </w:rPr>
        <w:t xml:space="preserve">l </w:t>
      </w:r>
      <w:r>
        <w:rPr>
          <w:color w:val="000000" w:themeColor="text1"/>
          <w:szCs w:val="26"/>
        </w:rPr>
        <w:t>impacto generado por la crisis sanitaria del coronavirus (COVID-19).</w:t>
      </w:r>
    </w:p>
    <w:p w14:paraId="2BF7E7CA" w14:textId="77777777" w:rsidR="00F20AA2" w:rsidRPr="008E43F9"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szCs w:val="26"/>
        </w:rPr>
        <w:t>Orden F</w:t>
      </w:r>
      <w:r w:rsidRPr="00AF43A9">
        <w:rPr>
          <w:color w:val="000000" w:themeColor="text1"/>
          <w:szCs w:val="26"/>
        </w:rPr>
        <w:t xml:space="preserve">oral 233/2020, de 24 de julio, de la Consejera de Derechos Sociales por la que se establecen los criterios de asignación del Fondo Social Extraordinario regulado por el Real Decreto-ley 8/2020, </w:t>
      </w:r>
      <w:r w:rsidRPr="008E43F9">
        <w:rPr>
          <w:color w:val="000000" w:themeColor="text1"/>
          <w:szCs w:val="26"/>
        </w:rPr>
        <w:t>de 17 de marzo, adjudicado al Proyecto “</w:t>
      </w:r>
      <w:proofErr w:type="spellStart"/>
      <w:r w:rsidRPr="008E43F9">
        <w:rPr>
          <w:color w:val="000000" w:themeColor="text1"/>
          <w:szCs w:val="26"/>
        </w:rPr>
        <w:t>Covid-19</w:t>
      </w:r>
      <w:proofErr w:type="spellEnd"/>
      <w:r w:rsidRPr="008E43F9">
        <w:rPr>
          <w:color w:val="000000" w:themeColor="text1"/>
          <w:szCs w:val="26"/>
        </w:rPr>
        <w:t xml:space="preserve"> Refuerzo de plantillas de los Servicios Sociales de Base de Navarra”.</w:t>
      </w:r>
    </w:p>
    <w:p w14:paraId="6083EAC0" w14:textId="77777777" w:rsidR="00F20AA2"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sidRPr="008E43F9">
        <w:rPr>
          <w:color w:val="000000" w:themeColor="text1"/>
          <w:szCs w:val="26"/>
        </w:rPr>
        <w:t>Resolución 591/2020, de 12 de noviembre, de la Dir. Gral. de Presupuestos, Patrimonio y Política Económica.</w:t>
      </w:r>
    </w:p>
    <w:p w14:paraId="36B86B42" w14:textId="77777777" w:rsidR="00AB588F" w:rsidRPr="006F29F9" w:rsidRDefault="00AB588F" w:rsidP="00136925">
      <w:pPr>
        <w:pStyle w:val="texto"/>
        <w:numPr>
          <w:ilvl w:val="0"/>
          <w:numId w:val="28"/>
        </w:numPr>
        <w:tabs>
          <w:tab w:val="clear" w:pos="2835"/>
          <w:tab w:val="clear" w:pos="3969"/>
          <w:tab w:val="clear" w:pos="5103"/>
          <w:tab w:val="clear" w:pos="6237"/>
          <w:tab w:val="clear" w:pos="7371"/>
          <w:tab w:val="left" w:pos="480"/>
          <w:tab w:val="num" w:pos="786"/>
        </w:tabs>
        <w:ind w:left="0" w:hanging="11"/>
        <w:rPr>
          <w:b/>
          <w:szCs w:val="26"/>
        </w:rPr>
      </w:pPr>
      <w:r w:rsidRPr="006F29F9">
        <w:rPr>
          <w:b/>
          <w:szCs w:val="26"/>
        </w:rPr>
        <w:t xml:space="preserve">Normativa </w:t>
      </w:r>
      <w:proofErr w:type="spellStart"/>
      <w:r w:rsidRPr="006F29F9">
        <w:rPr>
          <w:b/>
          <w:szCs w:val="26"/>
        </w:rPr>
        <w:t>Covid-19</w:t>
      </w:r>
      <w:proofErr w:type="spellEnd"/>
    </w:p>
    <w:p w14:paraId="5BF79027" w14:textId="3FA15B00" w:rsidR="00AB588F" w:rsidRPr="00A16FC4"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spacing w:val="2"/>
          <w:szCs w:val="26"/>
        </w:rPr>
      </w:pPr>
      <w:r w:rsidRPr="00A16FC4">
        <w:rPr>
          <w:spacing w:val="2"/>
          <w:szCs w:val="26"/>
        </w:rPr>
        <w:t xml:space="preserve">Real Decreto 463/2020, de 14 de marzo, por el que se declara el estado de alarma para la gestión de la situación de crisis sanitaria ocasionada por el </w:t>
      </w:r>
      <w:proofErr w:type="spellStart"/>
      <w:r w:rsidRPr="00A16FC4">
        <w:rPr>
          <w:spacing w:val="2"/>
          <w:szCs w:val="26"/>
        </w:rPr>
        <w:t>Covid</w:t>
      </w:r>
      <w:r w:rsidR="00A16FC4" w:rsidRPr="00A16FC4">
        <w:rPr>
          <w:spacing w:val="2"/>
          <w:szCs w:val="26"/>
        </w:rPr>
        <w:t>-</w:t>
      </w:r>
      <w:r w:rsidRPr="00A16FC4">
        <w:rPr>
          <w:spacing w:val="2"/>
          <w:szCs w:val="26"/>
        </w:rPr>
        <w:t>19</w:t>
      </w:r>
      <w:proofErr w:type="spellEnd"/>
      <w:r w:rsidRPr="00A16FC4">
        <w:rPr>
          <w:spacing w:val="2"/>
          <w:szCs w:val="26"/>
        </w:rPr>
        <w:t>.</w:t>
      </w:r>
    </w:p>
    <w:p w14:paraId="59E7ABAD" w14:textId="49B9F494" w:rsidR="00657B5B" w:rsidRPr="007A6732" w:rsidRDefault="00657B5B" w:rsidP="00AB588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szCs w:val="26"/>
        </w:rPr>
      </w:pPr>
      <w:r>
        <w:rPr>
          <w:szCs w:val="26"/>
        </w:rPr>
        <w:t xml:space="preserve">Real Decreto 537/2020, de 22 de mayo, por el que se prorroga el estado de alarma declarado por el Real Decreto 463/2020, de 14 de marzo, por el que se declara el estado de alarma para la gestión de la situación de crisis sanitaria ocasionada por el </w:t>
      </w:r>
      <w:proofErr w:type="spellStart"/>
      <w:r>
        <w:rPr>
          <w:szCs w:val="26"/>
        </w:rPr>
        <w:t>Covid-19</w:t>
      </w:r>
      <w:proofErr w:type="spellEnd"/>
      <w:r>
        <w:rPr>
          <w:szCs w:val="26"/>
        </w:rPr>
        <w:t>.</w:t>
      </w:r>
    </w:p>
    <w:p w14:paraId="7368A169" w14:textId="382DC239" w:rsidR="007D68B8" w:rsidRPr="007A6732" w:rsidRDefault="00CA1AA0" w:rsidP="00EC2B57">
      <w:pPr>
        <w:pStyle w:val="texto"/>
        <w:tabs>
          <w:tab w:val="clear" w:pos="2835"/>
          <w:tab w:val="clear" w:pos="3969"/>
          <w:tab w:val="clear" w:pos="5103"/>
          <w:tab w:val="clear" w:pos="6237"/>
          <w:tab w:val="clear" w:pos="7371"/>
          <w:tab w:val="left" w:pos="480"/>
          <w:tab w:val="num" w:pos="786"/>
        </w:tabs>
        <w:rPr>
          <w:b/>
          <w:bCs/>
          <w:color w:val="000000" w:themeColor="text1"/>
          <w:sz w:val="24"/>
          <w:lang w:eastAsia="es-ES"/>
        </w:rPr>
      </w:pPr>
      <w:r>
        <w:rPr>
          <w:szCs w:val="26"/>
        </w:rPr>
        <w:t xml:space="preserve">Además de estos reales </w:t>
      </w:r>
      <w:r w:rsidR="00AB588F" w:rsidRPr="007A6732">
        <w:rPr>
          <w:szCs w:val="26"/>
        </w:rPr>
        <w:t>decreto</w:t>
      </w:r>
      <w:r>
        <w:rPr>
          <w:szCs w:val="26"/>
        </w:rPr>
        <w:t>s</w:t>
      </w:r>
      <w:r w:rsidR="00AB588F" w:rsidRPr="007A6732">
        <w:rPr>
          <w:szCs w:val="26"/>
        </w:rPr>
        <w:t xml:space="preserve">, con motivo de la situación generada por la pandemia de </w:t>
      </w:r>
      <w:proofErr w:type="spellStart"/>
      <w:r w:rsidR="00AB588F" w:rsidRPr="007A6732">
        <w:rPr>
          <w:szCs w:val="26"/>
        </w:rPr>
        <w:t>Covid-19</w:t>
      </w:r>
      <w:proofErr w:type="spellEnd"/>
      <w:r w:rsidR="00AB588F" w:rsidRPr="007A6732">
        <w:rPr>
          <w:szCs w:val="26"/>
        </w:rPr>
        <w:t xml:space="preserve"> se promulgó un amplio elenco de normas</w:t>
      </w:r>
      <w:r w:rsidR="00181012" w:rsidRPr="007A6732">
        <w:rPr>
          <w:szCs w:val="26"/>
        </w:rPr>
        <w:t xml:space="preserve"> de entre las cuales, las que se han considerado de mayor incidencia en la actividad del Sector Público Local de Navarra se han incorporado en los apartados anteriores por razón de la materia.</w:t>
      </w:r>
      <w:r w:rsidR="007A6732" w:rsidRPr="007A6732">
        <w:rPr>
          <w:b/>
          <w:bCs/>
          <w:color w:val="000000" w:themeColor="text1"/>
          <w:sz w:val="24"/>
          <w:lang w:eastAsia="es-ES"/>
        </w:rPr>
        <w:t xml:space="preserve"> </w:t>
      </w:r>
      <w:r w:rsidR="007D68B8" w:rsidRPr="007A6732">
        <w:rPr>
          <w:b/>
          <w:bCs/>
          <w:color w:val="000000" w:themeColor="text1"/>
          <w:sz w:val="24"/>
          <w:lang w:eastAsia="es-ES"/>
        </w:rPr>
        <w:br w:type="page"/>
      </w:r>
    </w:p>
    <w:p w14:paraId="2AC1C1FB" w14:textId="77777777" w:rsidR="00A16FC4" w:rsidRDefault="00A16FC4" w:rsidP="00A16FC4">
      <w:pPr>
        <w:pStyle w:val="texto"/>
      </w:pPr>
      <w:bookmarkStart w:id="122" w:name="_Toc402257034"/>
      <w:bookmarkStart w:id="123" w:name="_Toc465686694"/>
      <w:bookmarkStart w:id="124" w:name="_Toc529773891"/>
      <w:bookmarkStart w:id="125" w:name="_Toc24100151"/>
      <w:bookmarkStart w:id="126" w:name="_Toc52348329"/>
      <w:bookmarkStart w:id="127" w:name="_Toc88727724"/>
      <w:bookmarkStart w:id="128" w:name="_Toc123724219"/>
    </w:p>
    <w:p w14:paraId="10053EF8" w14:textId="0B85E57E" w:rsidR="00345C6C" w:rsidRPr="00A16FC4" w:rsidRDefault="00345C6C" w:rsidP="00A16FC4">
      <w:pPr>
        <w:pStyle w:val="Ttulo1"/>
        <w:ind w:left="1134" w:firstLine="0"/>
        <w:rPr>
          <w:sz w:val="28"/>
          <w:szCs w:val="28"/>
        </w:rPr>
      </w:pPr>
      <w:r w:rsidRPr="00A16FC4">
        <w:rPr>
          <w:sz w:val="28"/>
          <w:szCs w:val="28"/>
        </w:rPr>
        <w:t>Anexo</w:t>
      </w:r>
      <w:bookmarkEnd w:id="122"/>
      <w:r w:rsidRPr="00A16FC4">
        <w:rPr>
          <w:sz w:val="28"/>
          <w:szCs w:val="28"/>
        </w:rPr>
        <w:t xml:space="preserve"> 2. Situación financiera del sector público local de Navarra, año 20</w:t>
      </w:r>
      <w:bookmarkEnd w:id="123"/>
      <w:bookmarkEnd w:id="124"/>
      <w:bookmarkEnd w:id="125"/>
      <w:bookmarkEnd w:id="126"/>
      <w:bookmarkEnd w:id="127"/>
      <w:r w:rsidR="00617780" w:rsidRPr="00A16FC4">
        <w:rPr>
          <w:sz w:val="28"/>
          <w:szCs w:val="28"/>
        </w:rPr>
        <w:t>20</w:t>
      </w:r>
      <w:bookmarkEnd w:id="128"/>
    </w:p>
    <w:p w14:paraId="344D7375" w14:textId="77777777" w:rsidR="00345C6C" w:rsidRPr="000E7BBF" w:rsidRDefault="00345C6C" w:rsidP="00345C6C">
      <w:pPr>
        <w:pStyle w:val="texto"/>
        <w:rPr>
          <w:color w:val="000000" w:themeColor="text1"/>
          <w:lang w:val="es-ES"/>
        </w:rPr>
      </w:pPr>
    </w:p>
    <w:sectPr w:rsidR="00345C6C" w:rsidRPr="000E7BBF" w:rsidSect="00822A40">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67EB" w14:textId="77777777" w:rsidR="004E2CFD" w:rsidRDefault="004E2CFD">
      <w:r>
        <w:separator/>
      </w:r>
    </w:p>
    <w:p w14:paraId="277785E1" w14:textId="77777777" w:rsidR="004E2CFD" w:rsidRDefault="004E2CFD"/>
    <w:p w14:paraId="2F57C49B" w14:textId="77777777" w:rsidR="004E2CFD" w:rsidRDefault="004E2CFD"/>
    <w:p w14:paraId="551E4D2B" w14:textId="77777777" w:rsidR="004E2CFD" w:rsidRDefault="004E2CFD"/>
  </w:endnote>
  <w:endnote w:type="continuationSeparator" w:id="0">
    <w:p w14:paraId="74A6F762" w14:textId="77777777" w:rsidR="004E2CFD" w:rsidRDefault="004E2CFD">
      <w:r>
        <w:continuationSeparator/>
      </w:r>
    </w:p>
    <w:p w14:paraId="446D51EE" w14:textId="77777777" w:rsidR="004E2CFD" w:rsidRDefault="004E2CFD"/>
    <w:p w14:paraId="30ECDD85" w14:textId="77777777" w:rsidR="004E2CFD" w:rsidRDefault="004E2CFD"/>
    <w:p w14:paraId="09FB0ACA" w14:textId="77777777" w:rsidR="004E2CFD" w:rsidRDefault="004E2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altName w:val="Arial"/>
    <w:panose1 w:val="020B0502020104020203"/>
    <w:charset w:val="00"/>
    <w:family w:val="swiss"/>
    <w:pitch w:val="variable"/>
    <w:sig w:usb0="00000007" w:usb1="00000000" w:usb2="00000000" w:usb3="00000000" w:csb0="00000003" w:csb1="00000000"/>
  </w:font>
  <w:font w:name="GillSans Light">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B450" w14:textId="77777777" w:rsidR="004E2CFD" w:rsidRDefault="004E2CF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DE16B6" w14:textId="77777777" w:rsidR="004E2CFD" w:rsidRDefault="004E2CFD" w:rsidP="0059650E">
    <w:pPr>
      <w:pStyle w:val="Piedepgina"/>
      <w:ind w:right="360"/>
    </w:pPr>
  </w:p>
  <w:p w14:paraId="691A200D" w14:textId="77777777" w:rsidR="004E2CFD" w:rsidRDefault="004E2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882D" w14:textId="77777777" w:rsidR="004E2CFD" w:rsidRPr="00F03814" w:rsidRDefault="004E2CF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0F2D3C9" wp14:editId="3EB39166">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545EFF10" w14:textId="77777777" w:rsidR="004E2CFD" w:rsidRPr="00F74E38" w:rsidRDefault="004E2CFD" w:rsidP="00F03814">
    <w:pPr>
      <w:pStyle w:val="Piedepgina"/>
      <w:tabs>
        <w:tab w:val="clear" w:pos="4252"/>
        <w:tab w:val="clear" w:pos="8504"/>
        <w:tab w:val="center" w:pos="4560"/>
      </w:tabs>
      <w:ind w:right="360"/>
      <w:jc w:val="left"/>
      <w:rPr>
        <w:rStyle w:val="Nmerodepgina"/>
      </w:rPr>
    </w:pPr>
  </w:p>
  <w:p w14:paraId="5B6BE50C" w14:textId="77777777" w:rsidR="004E2CFD" w:rsidRPr="00C13453" w:rsidRDefault="004E2CFD" w:rsidP="00D2472C">
    <w:pPr>
      <w:pStyle w:val="BorradorProvisional"/>
      <w:ind w:left="0"/>
      <w:jc w:val="center"/>
    </w:pPr>
    <w:r w:rsidRPr="00C13453">
      <w:t>Borrador final</w:t>
    </w:r>
  </w:p>
  <w:p w14:paraId="553EEE33" w14:textId="77777777" w:rsidR="004E2CFD" w:rsidRDefault="004E2C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BF5D" w14:textId="77777777" w:rsidR="004E2CFD" w:rsidRDefault="004E2CFD" w:rsidP="0059650E">
    <w:pPr>
      <w:pStyle w:val="Piedepgina"/>
      <w:ind w:right="360"/>
    </w:pPr>
  </w:p>
  <w:p w14:paraId="0777558A" w14:textId="77777777" w:rsidR="004E2CFD" w:rsidRDefault="004E2CF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7B1D" w14:textId="7832E77A" w:rsidR="004E2CFD" w:rsidRPr="00F03814" w:rsidRDefault="004E2CF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A5EC3C3" wp14:editId="2088F718">
          <wp:extent cx="213100" cy="3714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52769F96" w14:textId="6356C89B" w:rsidR="004E2CFD" w:rsidRDefault="004E2CFD"/>
  <w:p w14:paraId="135AD15B" w14:textId="77777777" w:rsidR="004E2CFD" w:rsidRDefault="004E2CF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15196"/>
      <w:docPartObj>
        <w:docPartGallery w:val="Page Numbers (Bottom of Page)"/>
        <w:docPartUnique/>
      </w:docPartObj>
    </w:sdtPr>
    <w:sdtEndPr>
      <w:rPr>
        <w:sz w:val="24"/>
        <w:szCs w:val="24"/>
      </w:rPr>
    </w:sdtEndPr>
    <w:sdtContent>
      <w:p w14:paraId="49A02464" w14:textId="77777777" w:rsidR="004E2CFD" w:rsidRDefault="004E2CFD" w:rsidP="00822A40">
        <w:pPr>
          <w:pStyle w:val="Piedepgina"/>
          <w:spacing w:after="0"/>
          <w:jc w:val="left"/>
        </w:pPr>
        <w:r>
          <w:rPr>
            <w:rFonts w:ascii="GillSans" w:hAnsi="GillSans"/>
            <w:noProof/>
            <w:lang w:val="es-ES" w:eastAsia="es-ES"/>
          </w:rPr>
          <w:drawing>
            <wp:inline distT="0" distB="0" distL="0" distR="0" wp14:anchorId="5592B062" wp14:editId="77857877">
              <wp:extent cx="213100" cy="37147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2709DCF8" w14:textId="28681815" w:rsidR="004E2CFD" w:rsidRDefault="004E2CFD" w:rsidP="00822A40">
        <w:pPr>
          <w:pStyle w:val="Piedepgina"/>
          <w:spacing w:after="0"/>
          <w:jc w:val="center"/>
          <w:rPr>
            <w:sz w:val="24"/>
            <w:szCs w:val="24"/>
          </w:rPr>
        </w:pPr>
        <w:r>
          <w:t xml:space="preserve">- </w:t>
        </w:r>
        <w:r w:rsidRPr="00822A40">
          <w:rPr>
            <w:sz w:val="24"/>
            <w:szCs w:val="24"/>
          </w:rPr>
          <w:fldChar w:fldCharType="begin"/>
        </w:r>
        <w:r w:rsidRPr="00822A40">
          <w:rPr>
            <w:sz w:val="24"/>
            <w:szCs w:val="24"/>
          </w:rPr>
          <w:instrText>PAGE   \* MERGEFORMAT</w:instrText>
        </w:r>
        <w:r w:rsidRPr="00822A40">
          <w:rPr>
            <w:sz w:val="24"/>
            <w:szCs w:val="24"/>
          </w:rPr>
          <w:fldChar w:fldCharType="separate"/>
        </w:r>
        <w:r w:rsidR="001A5A4B" w:rsidRPr="001A5A4B">
          <w:rPr>
            <w:noProof/>
            <w:sz w:val="24"/>
            <w:szCs w:val="24"/>
            <w:lang w:val="es-ES"/>
          </w:rPr>
          <w:t>3</w:t>
        </w:r>
        <w:r w:rsidRPr="00822A40">
          <w:rPr>
            <w:sz w:val="24"/>
            <w:szCs w:val="24"/>
          </w:rPr>
          <w:fldChar w:fldCharType="end"/>
        </w:r>
        <w:r>
          <w:rPr>
            <w:sz w:val="24"/>
            <w:szCs w:val="24"/>
          </w:rPr>
          <w:t xml:space="preserve"> -</w:t>
        </w:r>
      </w:p>
      <w:p w14:paraId="3D89C381" w14:textId="77777777" w:rsidR="004E2CFD" w:rsidRDefault="004E2CFD" w:rsidP="00822A40">
        <w:pPr>
          <w:pStyle w:val="Piedepgina"/>
          <w:spacing w:after="0"/>
          <w:jc w:val="center"/>
          <w:rPr>
            <w:sz w:val="24"/>
            <w:szCs w:val="24"/>
          </w:rPr>
        </w:pPr>
      </w:p>
      <w:p w14:paraId="7CCA395D" w14:textId="5EB414AB" w:rsidR="004E2CFD" w:rsidRPr="00822A40" w:rsidRDefault="0045539E" w:rsidP="00822A40">
        <w:pPr>
          <w:pStyle w:val="Piedepgina"/>
          <w:spacing w:after="0"/>
          <w:jc w:val="center"/>
          <w:rPr>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612B" w14:textId="77777777" w:rsidR="004E2CFD" w:rsidRDefault="004E2CFD" w:rsidP="006D5F52">
      <w:pPr>
        <w:ind w:firstLine="0"/>
      </w:pPr>
      <w:r>
        <w:separator/>
      </w:r>
    </w:p>
  </w:footnote>
  <w:footnote w:type="continuationSeparator" w:id="0">
    <w:p w14:paraId="79C81938" w14:textId="77777777" w:rsidR="004E2CFD" w:rsidRDefault="004E2CFD">
      <w:r>
        <w:continuationSeparator/>
      </w:r>
    </w:p>
    <w:p w14:paraId="0C7C73A1" w14:textId="77777777" w:rsidR="004E2CFD" w:rsidRDefault="004E2CFD"/>
    <w:p w14:paraId="1D6CABC0" w14:textId="77777777" w:rsidR="004E2CFD" w:rsidRDefault="004E2CFD"/>
    <w:p w14:paraId="6D05AA6E" w14:textId="77777777" w:rsidR="004E2CFD" w:rsidRDefault="004E2CFD"/>
  </w:footnote>
  <w:footnote w:id="1">
    <w:p w14:paraId="644FBBD7" w14:textId="59E4E177" w:rsidR="004E2CFD" w:rsidRPr="008E43F9" w:rsidRDefault="004E2CFD" w:rsidP="006D5F52">
      <w:pPr>
        <w:pStyle w:val="Textonotapie"/>
        <w:spacing w:after="60"/>
        <w:ind w:firstLine="0"/>
      </w:pPr>
      <w:r w:rsidRPr="008E43F9">
        <w:rPr>
          <w:rStyle w:val="Refdenotaalpie"/>
        </w:rPr>
        <w:footnoteRef/>
      </w:r>
      <w:r w:rsidRPr="008E43F9">
        <w:t xml:space="preserve"> Datos sin consolidar las </w:t>
      </w:r>
      <w:r>
        <w:t xml:space="preserve">tres </w:t>
      </w:r>
      <w:r w:rsidRPr="008E43F9">
        <w:t>sociedades públicas.</w:t>
      </w:r>
    </w:p>
  </w:footnote>
  <w:footnote w:id="2">
    <w:p w14:paraId="417C12E2" w14:textId="77777777" w:rsidR="004E2CFD" w:rsidRDefault="004E2CFD" w:rsidP="006D5F52">
      <w:pPr>
        <w:pStyle w:val="Textonotapie"/>
        <w:spacing w:after="60"/>
        <w:ind w:firstLine="0"/>
      </w:pPr>
      <w:r>
        <w:rPr>
          <w:rStyle w:val="Refdenotaalpie"/>
        </w:rPr>
        <w:footnoteRef/>
      </w:r>
      <w:r>
        <w:t xml:space="preserve"> Todos ellos destinados a ayuntamientos excepto el relativo a déficit adicional de transporte urbano, que incluía también a mancomunidades. De este último, la Mancomunidad de la Comarca de Pamplona recibió 0,99 millones y el Ayuntamiento de Tudela, 0,01.</w:t>
      </w:r>
    </w:p>
  </w:footnote>
  <w:footnote w:id="3">
    <w:p w14:paraId="67A6FA4D" w14:textId="79D6F01F" w:rsidR="004E2CFD" w:rsidRPr="008E43F9" w:rsidRDefault="004E2CFD" w:rsidP="006D5F52">
      <w:pPr>
        <w:pStyle w:val="Textonotapie"/>
        <w:spacing w:after="60"/>
        <w:ind w:firstLine="0"/>
      </w:pPr>
      <w:r w:rsidRPr="008E43F9">
        <w:rPr>
          <w:rStyle w:val="Refdenotaalpie"/>
        </w:rPr>
        <w:footnoteRef/>
      </w:r>
      <w:r w:rsidRPr="008E43F9">
        <w:t xml:space="preserve"> Datos sin consolidar las tres sociedades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DB33" w14:textId="77777777" w:rsidR="004E2CFD" w:rsidRDefault="004E2CFD">
    <w:pPr>
      <w:pStyle w:val="Encabezado"/>
    </w:pPr>
  </w:p>
  <w:p w14:paraId="72BD0100" w14:textId="77777777" w:rsidR="004E2CFD" w:rsidRDefault="004E2C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1CDA" w14:textId="15383D9B" w:rsidR="004E2CFD" w:rsidRPr="0059650E" w:rsidRDefault="004E2CFD" w:rsidP="0029777F">
    <w:pPr>
      <w:pStyle w:val="Encabezado"/>
      <w:pBdr>
        <w:bottom w:val="single" w:sz="4" w:space="1" w:color="auto"/>
      </w:pBdr>
      <w:spacing w:after="40"/>
      <w:ind w:firstLine="0"/>
      <w:jc w:val="left"/>
      <w:rPr>
        <w:lang w:val="es-ES"/>
      </w:rPr>
    </w:pPr>
    <w:r>
      <w:rPr>
        <w:b/>
        <w:noProof/>
        <w:lang w:val="es-ES" w:eastAsia="es-ES"/>
      </w:rPr>
      <w:drawing>
        <wp:inline distT="0" distB="0" distL="0" distR="0" wp14:anchorId="783D6EB5" wp14:editId="67CD102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sector público local de navarra, ejercicio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2759" w14:textId="77777777" w:rsidR="004E2CFD" w:rsidRDefault="004E2CFD" w:rsidP="006A2D41">
    <w:pPr>
      <w:pStyle w:val="Encabezado"/>
      <w:ind w:firstLine="0"/>
      <w:jc w:val="left"/>
    </w:pPr>
    <w:r>
      <w:rPr>
        <w:noProof/>
        <w:lang w:val="es-ES" w:eastAsia="es-ES"/>
      </w:rPr>
      <w:drawing>
        <wp:inline distT="0" distB="0" distL="0" distR="0" wp14:anchorId="09DDC58F" wp14:editId="1BF0A7B6">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501475D8" w14:textId="77777777" w:rsidR="004E2CFD" w:rsidRDefault="004E2CF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6EAC" w14:textId="77777777" w:rsidR="004E2CFD" w:rsidRDefault="004E2CFD"/>
  <w:p w14:paraId="55479353" w14:textId="77777777" w:rsidR="004E2CFD" w:rsidRDefault="004E2CFD"/>
  <w:p w14:paraId="35EBC500" w14:textId="77777777" w:rsidR="004E2CFD" w:rsidRDefault="004E2C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A42"/>
    <w:multiLevelType w:val="hybridMultilevel"/>
    <w:tmpl w:val="E6BA26A0"/>
    <w:lvl w:ilvl="0" w:tplc="2A462E34">
      <w:start w:val="1"/>
      <w:numFmt w:val="decimal"/>
      <w:lvlText w:val="(%1)"/>
      <w:lvlJc w:val="left"/>
      <w:pPr>
        <w:ind w:left="644" w:hanging="360"/>
      </w:pPr>
      <w:rPr>
        <w:rFonts w:hint="default"/>
        <w:i/>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71A0E8D"/>
    <w:multiLevelType w:val="hybridMultilevel"/>
    <w:tmpl w:val="C3485924"/>
    <w:lvl w:ilvl="0" w:tplc="FB5ED7DC">
      <w:start w:val="1"/>
      <w:numFmt w:val="bullet"/>
      <w:lvlText w:val=""/>
      <w:lvlJc w:val="left"/>
      <w:pPr>
        <w:ind w:left="1004" w:hanging="360"/>
      </w:pPr>
      <w:rPr>
        <w:rFonts w:ascii="Symbol" w:hAnsi="Symbol" w:hint="default"/>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D7D03FB"/>
    <w:multiLevelType w:val="hybridMultilevel"/>
    <w:tmpl w:val="DF9605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FFC4427"/>
    <w:multiLevelType w:val="hybridMultilevel"/>
    <w:tmpl w:val="8A02F10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F46449"/>
    <w:multiLevelType w:val="hybridMultilevel"/>
    <w:tmpl w:val="35B25016"/>
    <w:lvl w:ilvl="0" w:tplc="5ECC5584">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C487E29"/>
    <w:multiLevelType w:val="hybridMultilevel"/>
    <w:tmpl w:val="677203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5313CF"/>
    <w:multiLevelType w:val="hybridMultilevel"/>
    <w:tmpl w:val="76C6EA1A"/>
    <w:lvl w:ilvl="0" w:tplc="A2807A9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335B607A"/>
    <w:multiLevelType w:val="hybridMultilevel"/>
    <w:tmpl w:val="35DECD3C"/>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1164C7"/>
    <w:multiLevelType w:val="hybridMultilevel"/>
    <w:tmpl w:val="F0965294"/>
    <w:lvl w:ilvl="0" w:tplc="0C0A0017">
      <w:start w:val="1"/>
      <w:numFmt w:val="lowerLetter"/>
      <w:lvlText w:val="%1)"/>
      <w:lvlJc w:val="left"/>
      <w:pPr>
        <w:ind w:left="1004" w:hanging="360"/>
      </w:pPr>
      <w:rPr>
        <w:rFonts w:cs="Times New Roman"/>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6" w15:restartNumberingAfterBreak="0">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7"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480079F6"/>
    <w:multiLevelType w:val="hybridMultilevel"/>
    <w:tmpl w:val="0C464B76"/>
    <w:lvl w:ilvl="0" w:tplc="4C98ECD8">
      <w:start w:val="1"/>
      <w:numFmt w:val="decimal"/>
      <w:lvlText w:val="(%1)"/>
      <w:lvlJc w:val="left"/>
      <w:pPr>
        <w:tabs>
          <w:tab w:val="num" w:pos="885"/>
        </w:tabs>
        <w:ind w:left="885" w:hanging="525"/>
      </w:pPr>
      <w:rPr>
        <w:rFonts w:cs="Times New Roman" w:hint="default"/>
        <w:vertAlign w:val="superscrip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12628E"/>
    <w:multiLevelType w:val="hybridMultilevel"/>
    <w:tmpl w:val="3854420A"/>
    <w:lvl w:ilvl="0" w:tplc="0C0A0017">
      <w:start w:val="1"/>
      <w:numFmt w:val="lowerLetter"/>
      <w:lvlText w:val="%1)"/>
      <w:lvlJc w:val="left"/>
      <w:pPr>
        <w:ind w:left="1004" w:hanging="360"/>
      </w:pPr>
      <w:rPr>
        <w:rFonts w:cs="Times New Roman"/>
      </w:rPr>
    </w:lvl>
    <w:lvl w:ilvl="1" w:tplc="0C0A0001">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0" w15:restartNumberingAfterBreak="0">
    <w:nsid w:val="4B3E5938"/>
    <w:multiLevelType w:val="hybridMultilevel"/>
    <w:tmpl w:val="0ED41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D921AE"/>
    <w:multiLevelType w:val="hybridMultilevel"/>
    <w:tmpl w:val="7116FA58"/>
    <w:lvl w:ilvl="0" w:tplc="0C0A0017">
      <w:start w:val="1"/>
      <w:numFmt w:val="lowerLetter"/>
      <w:lvlText w:val="%1)"/>
      <w:lvlJc w:val="left"/>
      <w:pPr>
        <w:ind w:left="1004" w:hanging="360"/>
      </w:pPr>
      <w:rPr>
        <w:rFonts w:cs="Times New Roman"/>
      </w:rPr>
    </w:lvl>
    <w:lvl w:ilvl="1" w:tplc="FB5ED7DC">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2" w15:restartNumberingAfterBreak="0">
    <w:nsid w:val="55740F03"/>
    <w:multiLevelType w:val="hybridMultilevel"/>
    <w:tmpl w:val="44E09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985E1E"/>
    <w:multiLevelType w:val="hybridMultilevel"/>
    <w:tmpl w:val="C5D4EA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44B5128"/>
    <w:multiLevelType w:val="singleLevel"/>
    <w:tmpl w:val="F50A19D2"/>
    <w:lvl w:ilvl="0">
      <w:start w:val="46"/>
      <w:numFmt w:val="bullet"/>
      <w:lvlText w:val=""/>
      <w:lvlJc w:val="left"/>
      <w:pPr>
        <w:tabs>
          <w:tab w:val="num" w:pos="786"/>
        </w:tabs>
        <w:ind w:left="256" w:firstLine="170"/>
      </w:pPr>
      <w:rPr>
        <w:rFonts w:ascii="Wingdings" w:hAnsi="Wingdings" w:hint="default"/>
      </w:rPr>
    </w:lvl>
  </w:abstractNum>
  <w:abstractNum w:abstractNumId="25" w15:restartNumberingAfterBreak="0">
    <w:nsid w:val="69C619B9"/>
    <w:multiLevelType w:val="hybridMultilevel"/>
    <w:tmpl w:val="2C7255AE"/>
    <w:lvl w:ilvl="0" w:tplc="F50A19D2">
      <w:start w:val="46"/>
      <w:numFmt w:val="bullet"/>
      <w:lvlText w:val=""/>
      <w:lvlJc w:val="left"/>
      <w:pPr>
        <w:tabs>
          <w:tab w:val="num" w:pos="2232"/>
        </w:tabs>
        <w:ind w:left="1702" w:firstLine="17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7003001F"/>
    <w:multiLevelType w:val="hybridMultilevel"/>
    <w:tmpl w:val="76808282"/>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28" w15:restartNumberingAfterBreak="0">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29" w15:restartNumberingAfterBreak="0">
    <w:nsid w:val="717A37D5"/>
    <w:multiLevelType w:val="hybridMultilevel"/>
    <w:tmpl w:val="1C58AD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2B1CD7"/>
    <w:multiLevelType w:val="hybridMultilevel"/>
    <w:tmpl w:val="226AC086"/>
    <w:lvl w:ilvl="0" w:tplc="1F94E5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31009EC"/>
    <w:multiLevelType w:val="hybridMultilevel"/>
    <w:tmpl w:val="9BDCCFDE"/>
    <w:lvl w:ilvl="0" w:tplc="0C0A0017">
      <w:start w:val="1"/>
      <w:numFmt w:val="lowerLetter"/>
      <w:lvlText w:val="%1)"/>
      <w:lvlJc w:val="left"/>
      <w:pPr>
        <w:ind w:left="1004" w:hanging="360"/>
      </w:pPr>
      <w:rPr>
        <w:rFonts w:cs="Times New Roman"/>
      </w:rPr>
    </w:lvl>
    <w:lvl w:ilvl="1" w:tplc="07DE3244">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32" w15:restartNumberingAfterBreak="0">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51D222F"/>
    <w:multiLevelType w:val="hybridMultilevel"/>
    <w:tmpl w:val="A7FE360E"/>
    <w:lvl w:ilvl="0" w:tplc="F070AA86">
      <w:start w:val="1"/>
      <w:numFmt w:val="bullet"/>
      <w:lvlText w:val=""/>
      <w:lvlJc w:val="left"/>
      <w:pPr>
        <w:ind w:left="433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2016304591">
    <w:abstractNumId w:val="36"/>
  </w:num>
  <w:num w:numId="2" w16cid:durableId="1150562099">
    <w:abstractNumId w:val="24"/>
  </w:num>
  <w:num w:numId="3" w16cid:durableId="1209488345">
    <w:abstractNumId w:val="4"/>
  </w:num>
  <w:num w:numId="4" w16cid:durableId="633946392">
    <w:abstractNumId w:val="17"/>
  </w:num>
  <w:num w:numId="5" w16cid:durableId="1740783921">
    <w:abstractNumId w:val="26"/>
  </w:num>
  <w:num w:numId="6" w16cid:durableId="1461803385">
    <w:abstractNumId w:val="4"/>
  </w:num>
  <w:num w:numId="7" w16cid:durableId="15154336">
    <w:abstractNumId w:val="4"/>
  </w:num>
  <w:num w:numId="8" w16cid:durableId="183595214">
    <w:abstractNumId w:val="4"/>
  </w:num>
  <w:num w:numId="9" w16cid:durableId="66806163">
    <w:abstractNumId w:val="18"/>
  </w:num>
  <w:num w:numId="10" w16cid:durableId="607931197">
    <w:abstractNumId w:val="7"/>
  </w:num>
  <w:num w:numId="11" w16cid:durableId="1781097838">
    <w:abstractNumId w:val="15"/>
  </w:num>
  <w:num w:numId="12" w16cid:durableId="1484005965">
    <w:abstractNumId w:val="27"/>
  </w:num>
  <w:num w:numId="13" w16cid:durableId="1500729180">
    <w:abstractNumId w:val="16"/>
  </w:num>
  <w:num w:numId="14" w16cid:durableId="944116259">
    <w:abstractNumId w:val="34"/>
  </w:num>
  <w:num w:numId="15" w16cid:durableId="883522233">
    <w:abstractNumId w:val="9"/>
  </w:num>
  <w:num w:numId="16" w16cid:durableId="120610144">
    <w:abstractNumId w:val="2"/>
  </w:num>
  <w:num w:numId="17" w16cid:durableId="469371680">
    <w:abstractNumId w:val="35"/>
  </w:num>
  <w:num w:numId="18" w16cid:durableId="827551778">
    <w:abstractNumId w:val="1"/>
  </w:num>
  <w:num w:numId="19" w16cid:durableId="1739472188">
    <w:abstractNumId w:val="5"/>
  </w:num>
  <w:num w:numId="20" w16cid:durableId="1809975567">
    <w:abstractNumId w:val="32"/>
  </w:num>
  <w:num w:numId="21" w16cid:durableId="1311055342">
    <w:abstractNumId w:val="28"/>
  </w:num>
  <w:num w:numId="22" w16cid:durableId="25301959">
    <w:abstractNumId w:val="6"/>
  </w:num>
  <w:num w:numId="23" w16cid:durableId="890731230">
    <w:abstractNumId w:val="0"/>
  </w:num>
  <w:num w:numId="24" w16cid:durableId="508183106">
    <w:abstractNumId w:val="12"/>
  </w:num>
  <w:num w:numId="25" w16cid:durableId="620302387">
    <w:abstractNumId w:val="30"/>
  </w:num>
  <w:num w:numId="26" w16cid:durableId="981613359">
    <w:abstractNumId w:val="23"/>
  </w:num>
  <w:num w:numId="27" w16cid:durableId="1101561357">
    <w:abstractNumId w:val="8"/>
  </w:num>
  <w:num w:numId="28" w16cid:durableId="586110056">
    <w:abstractNumId w:val="11"/>
  </w:num>
  <w:num w:numId="29" w16cid:durableId="1244298776">
    <w:abstractNumId w:val="33"/>
  </w:num>
  <w:num w:numId="30" w16cid:durableId="196477599">
    <w:abstractNumId w:val="13"/>
  </w:num>
  <w:num w:numId="31" w16cid:durableId="48506249">
    <w:abstractNumId w:val="22"/>
  </w:num>
  <w:num w:numId="32" w16cid:durableId="294067510">
    <w:abstractNumId w:val="14"/>
  </w:num>
  <w:num w:numId="33" w16cid:durableId="2084058734">
    <w:abstractNumId w:val="20"/>
  </w:num>
  <w:num w:numId="34" w16cid:durableId="1127621484">
    <w:abstractNumId w:val="29"/>
  </w:num>
  <w:num w:numId="35" w16cid:durableId="1366059810">
    <w:abstractNumId w:val="10"/>
  </w:num>
  <w:num w:numId="36" w16cid:durableId="1589847716">
    <w:abstractNumId w:val="4"/>
  </w:num>
  <w:num w:numId="37" w16cid:durableId="776682412">
    <w:abstractNumId w:val="25"/>
  </w:num>
  <w:num w:numId="38" w16cid:durableId="251934605">
    <w:abstractNumId w:val="19"/>
  </w:num>
  <w:num w:numId="39" w16cid:durableId="1624379833">
    <w:abstractNumId w:val="21"/>
  </w:num>
  <w:num w:numId="40" w16cid:durableId="1740900400">
    <w:abstractNumId w:val="3"/>
  </w:num>
  <w:num w:numId="41" w16cid:durableId="4102777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6C"/>
    <w:rsid w:val="000019D8"/>
    <w:rsid w:val="00005CAD"/>
    <w:rsid w:val="00006736"/>
    <w:rsid w:val="00006A97"/>
    <w:rsid w:val="0001123B"/>
    <w:rsid w:val="00012A7F"/>
    <w:rsid w:val="000166FA"/>
    <w:rsid w:val="00017A3A"/>
    <w:rsid w:val="00023DC6"/>
    <w:rsid w:val="000259CF"/>
    <w:rsid w:val="0003647B"/>
    <w:rsid w:val="00036E42"/>
    <w:rsid w:val="0004373B"/>
    <w:rsid w:val="000448FA"/>
    <w:rsid w:val="00051F60"/>
    <w:rsid w:val="00053A42"/>
    <w:rsid w:val="0005517D"/>
    <w:rsid w:val="000565BE"/>
    <w:rsid w:val="00060273"/>
    <w:rsid w:val="0006133D"/>
    <w:rsid w:val="00063585"/>
    <w:rsid w:val="00071CD0"/>
    <w:rsid w:val="00075677"/>
    <w:rsid w:val="00075692"/>
    <w:rsid w:val="000823A0"/>
    <w:rsid w:val="00082610"/>
    <w:rsid w:val="00087B0A"/>
    <w:rsid w:val="00087B8D"/>
    <w:rsid w:val="00093D67"/>
    <w:rsid w:val="00093E60"/>
    <w:rsid w:val="00095E01"/>
    <w:rsid w:val="00097599"/>
    <w:rsid w:val="00097F99"/>
    <w:rsid w:val="000A18B7"/>
    <w:rsid w:val="000A2C1E"/>
    <w:rsid w:val="000A4697"/>
    <w:rsid w:val="000B268D"/>
    <w:rsid w:val="000B2728"/>
    <w:rsid w:val="000B3943"/>
    <w:rsid w:val="000B4477"/>
    <w:rsid w:val="000C0704"/>
    <w:rsid w:val="000C1BEA"/>
    <w:rsid w:val="000C2B07"/>
    <w:rsid w:val="000C39CC"/>
    <w:rsid w:val="000C7566"/>
    <w:rsid w:val="000D188E"/>
    <w:rsid w:val="000D5335"/>
    <w:rsid w:val="000D6A40"/>
    <w:rsid w:val="000D6E0F"/>
    <w:rsid w:val="000D7B42"/>
    <w:rsid w:val="000E7B86"/>
    <w:rsid w:val="000E7BBF"/>
    <w:rsid w:val="000F2B66"/>
    <w:rsid w:val="000F3D83"/>
    <w:rsid w:val="000F44C5"/>
    <w:rsid w:val="001004C5"/>
    <w:rsid w:val="00100F12"/>
    <w:rsid w:val="00101E58"/>
    <w:rsid w:val="00103589"/>
    <w:rsid w:val="00103FBD"/>
    <w:rsid w:val="00104149"/>
    <w:rsid w:val="001045C9"/>
    <w:rsid w:val="00107CC1"/>
    <w:rsid w:val="00111A92"/>
    <w:rsid w:val="001145C3"/>
    <w:rsid w:val="001145D9"/>
    <w:rsid w:val="001161D2"/>
    <w:rsid w:val="00130853"/>
    <w:rsid w:val="00131DF1"/>
    <w:rsid w:val="00132C38"/>
    <w:rsid w:val="00133182"/>
    <w:rsid w:val="00133984"/>
    <w:rsid w:val="00135208"/>
    <w:rsid w:val="001365C4"/>
    <w:rsid w:val="00136925"/>
    <w:rsid w:val="001374CC"/>
    <w:rsid w:val="0014147D"/>
    <w:rsid w:val="00141D29"/>
    <w:rsid w:val="0014506A"/>
    <w:rsid w:val="0014728F"/>
    <w:rsid w:val="0014737C"/>
    <w:rsid w:val="001521A2"/>
    <w:rsid w:val="00152358"/>
    <w:rsid w:val="00153ACF"/>
    <w:rsid w:val="00155BFF"/>
    <w:rsid w:val="00157BF1"/>
    <w:rsid w:val="00160F66"/>
    <w:rsid w:val="001633AF"/>
    <w:rsid w:val="0016527F"/>
    <w:rsid w:val="00166A6C"/>
    <w:rsid w:val="001728D0"/>
    <w:rsid w:val="00173672"/>
    <w:rsid w:val="00173EDD"/>
    <w:rsid w:val="0017402B"/>
    <w:rsid w:val="00176B58"/>
    <w:rsid w:val="00181012"/>
    <w:rsid w:val="00181D37"/>
    <w:rsid w:val="001835B7"/>
    <w:rsid w:val="0018426B"/>
    <w:rsid w:val="00185A37"/>
    <w:rsid w:val="001867C2"/>
    <w:rsid w:val="00187519"/>
    <w:rsid w:val="00193D8B"/>
    <w:rsid w:val="00194309"/>
    <w:rsid w:val="00194F51"/>
    <w:rsid w:val="0019660E"/>
    <w:rsid w:val="001A2B89"/>
    <w:rsid w:val="001A3BA2"/>
    <w:rsid w:val="001A5A4B"/>
    <w:rsid w:val="001B093A"/>
    <w:rsid w:val="001B2567"/>
    <w:rsid w:val="001B39E2"/>
    <w:rsid w:val="001C2B26"/>
    <w:rsid w:val="001C3A32"/>
    <w:rsid w:val="001C793D"/>
    <w:rsid w:val="001D4DC4"/>
    <w:rsid w:val="001D4F09"/>
    <w:rsid w:val="001D7DFD"/>
    <w:rsid w:val="001F0F4C"/>
    <w:rsid w:val="001F1482"/>
    <w:rsid w:val="001F20D7"/>
    <w:rsid w:val="001F3DCD"/>
    <w:rsid w:val="001F7744"/>
    <w:rsid w:val="002014EB"/>
    <w:rsid w:val="00202B1A"/>
    <w:rsid w:val="002034EE"/>
    <w:rsid w:val="00204979"/>
    <w:rsid w:val="00205AC4"/>
    <w:rsid w:val="00211D69"/>
    <w:rsid w:val="0021232E"/>
    <w:rsid w:val="002179DB"/>
    <w:rsid w:val="00220A51"/>
    <w:rsid w:val="00227E48"/>
    <w:rsid w:val="00230577"/>
    <w:rsid w:val="0023159D"/>
    <w:rsid w:val="0023209D"/>
    <w:rsid w:val="002333F8"/>
    <w:rsid w:val="00233D79"/>
    <w:rsid w:val="0023469F"/>
    <w:rsid w:val="002369E5"/>
    <w:rsid w:val="00236D9A"/>
    <w:rsid w:val="00237657"/>
    <w:rsid w:val="00242BA7"/>
    <w:rsid w:val="002437B5"/>
    <w:rsid w:val="002442C1"/>
    <w:rsid w:val="00244EF1"/>
    <w:rsid w:val="00246F21"/>
    <w:rsid w:val="00253E78"/>
    <w:rsid w:val="002563B1"/>
    <w:rsid w:val="0026295B"/>
    <w:rsid w:val="00262C3C"/>
    <w:rsid w:val="00264C88"/>
    <w:rsid w:val="0026532C"/>
    <w:rsid w:val="0026575D"/>
    <w:rsid w:val="00265EF6"/>
    <w:rsid w:val="002705B0"/>
    <w:rsid w:val="002717A6"/>
    <w:rsid w:val="00271C18"/>
    <w:rsid w:val="00272015"/>
    <w:rsid w:val="00273C10"/>
    <w:rsid w:val="00274B4C"/>
    <w:rsid w:val="00276264"/>
    <w:rsid w:val="00281DCA"/>
    <w:rsid w:val="002821B9"/>
    <w:rsid w:val="002827A0"/>
    <w:rsid w:val="00291051"/>
    <w:rsid w:val="0029777F"/>
    <w:rsid w:val="00297B04"/>
    <w:rsid w:val="00297E99"/>
    <w:rsid w:val="002A056C"/>
    <w:rsid w:val="002A2B5E"/>
    <w:rsid w:val="002A66A5"/>
    <w:rsid w:val="002A6EBB"/>
    <w:rsid w:val="002B21E9"/>
    <w:rsid w:val="002B2783"/>
    <w:rsid w:val="002B2B87"/>
    <w:rsid w:val="002B4E0F"/>
    <w:rsid w:val="002B5258"/>
    <w:rsid w:val="002B5754"/>
    <w:rsid w:val="002C2086"/>
    <w:rsid w:val="002C7026"/>
    <w:rsid w:val="002C7E08"/>
    <w:rsid w:val="002D089F"/>
    <w:rsid w:val="002D1390"/>
    <w:rsid w:val="002D49BE"/>
    <w:rsid w:val="002D5635"/>
    <w:rsid w:val="002D65E8"/>
    <w:rsid w:val="002D7D32"/>
    <w:rsid w:val="002E02E5"/>
    <w:rsid w:val="002E0478"/>
    <w:rsid w:val="002E0791"/>
    <w:rsid w:val="002E09C1"/>
    <w:rsid w:val="002E192B"/>
    <w:rsid w:val="002E1B92"/>
    <w:rsid w:val="002E43F6"/>
    <w:rsid w:val="002E5D2D"/>
    <w:rsid w:val="002E7B81"/>
    <w:rsid w:val="002F09FB"/>
    <w:rsid w:val="002F0FE3"/>
    <w:rsid w:val="002F16EC"/>
    <w:rsid w:val="002F17A2"/>
    <w:rsid w:val="002F1AF0"/>
    <w:rsid w:val="002F2530"/>
    <w:rsid w:val="002F272A"/>
    <w:rsid w:val="002F2A93"/>
    <w:rsid w:val="002F3225"/>
    <w:rsid w:val="002F53B4"/>
    <w:rsid w:val="002F76D6"/>
    <w:rsid w:val="002F7A3B"/>
    <w:rsid w:val="003000CA"/>
    <w:rsid w:val="00302151"/>
    <w:rsid w:val="00303506"/>
    <w:rsid w:val="003067C1"/>
    <w:rsid w:val="00307057"/>
    <w:rsid w:val="003118C4"/>
    <w:rsid w:val="00312819"/>
    <w:rsid w:val="00312E9C"/>
    <w:rsid w:val="00313875"/>
    <w:rsid w:val="003203BF"/>
    <w:rsid w:val="0032128C"/>
    <w:rsid w:val="00321369"/>
    <w:rsid w:val="00323118"/>
    <w:rsid w:val="00330787"/>
    <w:rsid w:val="00330E2B"/>
    <w:rsid w:val="00337493"/>
    <w:rsid w:val="0034285F"/>
    <w:rsid w:val="00345C6C"/>
    <w:rsid w:val="003464A4"/>
    <w:rsid w:val="00351684"/>
    <w:rsid w:val="00354458"/>
    <w:rsid w:val="00363653"/>
    <w:rsid w:val="0036509D"/>
    <w:rsid w:val="0037228C"/>
    <w:rsid w:val="00372E85"/>
    <w:rsid w:val="003738FD"/>
    <w:rsid w:val="00376B43"/>
    <w:rsid w:val="00377C40"/>
    <w:rsid w:val="00377DEA"/>
    <w:rsid w:val="003810BE"/>
    <w:rsid w:val="00386F6C"/>
    <w:rsid w:val="00387709"/>
    <w:rsid w:val="00387794"/>
    <w:rsid w:val="00397162"/>
    <w:rsid w:val="003A0421"/>
    <w:rsid w:val="003A335E"/>
    <w:rsid w:val="003A3DD2"/>
    <w:rsid w:val="003B2F9F"/>
    <w:rsid w:val="003B3573"/>
    <w:rsid w:val="003B5813"/>
    <w:rsid w:val="003C03EA"/>
    <w:rsid w:val="003C17BD"/>
    <w:rsid w:val="003C196B"/>
    <w:rsid w:val="003C6E1D"/>
    <w:rsid w:val="003D058C"/>
    <w:rsid w:val="003D1445"/>
    <w:rsid w:val="003D318C"/>
    <w:rsid w:val="003D76B1"/>
    <w:rsid w:val="003E17A6"/>
    <w:rsid w:val="003E4AA5"/>
    <w:rsid w:val="003F1CEC"/>
    <w:rsid w:val="003F43BF"/>
    <w:rsid w:val="003F6432"/>
    <w:rsid w:val="003F6BE4"/>
    <w:rsid w:val="00400FFE"/>
    <w:rsid w:val="00403CF8"/>
    <w:rsid w:val="00403EFD"/>
    <w:rsid w:val="00407459"/>
    <w:rsid w:val="0041121B"/>
    <w:rsid w:val="00414D01"/>
    <w:rsid w:val="004170FE"/>
    <w:rsid w:val="0041740E"/>
    <w:rsid w:val="004209E6"/>
    <w:rsid w:val="0042324B"/>
    <w:rsid w:val="004234E8"/>
    <w:rsid w:val="004248BF"/>
    <w:rsid w:val="00425AFD"/>
    <w:rsid w:val="00426805"/>
    <w:rsid w:val="00430150"/>
    <w:rsid w:val="004302F9"/>
    <w:rsid w:val="0043229B"/>
    <w:rsid w:val="00435287"/>
    <w:rsid w:val="004367EF"/>
    <w:rsid w:val="00440397"/>
    <w:rsid w:val="00440A22"/>
    <w:rsid w:val="00442CCA"/>
    <w:rsid w:val="0045539E"/>
    <w:rsid w:val="0045550E"/>
    <w:rsid w:val="00456456"/>
    <w:rsid w:val="00460B29"/>
    <w:rsid w:val="00461FE8"/>
    <w:rsid w:val="00462367"/>
    <w:rsid w:val="0046490C"/>
    <w:rsid w:val="00464D81"/>
    <w:rsid w:val="00470287"/>
    <w:rsid w:val="00470733"/>
    <w:rsid w:val="00471802"/>
    <w:rsid w:val="00474131"/>
    <w:rsid w:val="00475573"/>
    <w:rsid w:val="00477C53"/>
    <w:rsid w:val="0048192A"/>
    <w:rsid w:val="00485380"/>
    <w:rsid w:val="00487743"/>
    <w:rsid w:val="004937B1"/>
    <w:rsid w:val="00493D87"/>
    <w:rsid w:val="004950D4"/>
    <w:rsid w:val="004954EA"/>
    <w:rsid w:val="004A0506"/>
    <w:rsid w:val="004A12BD"/>
    <w:rsid w:val="004A2342"/>
    <w:rsid w:val="004A2F62"/>
    <w:rsid w:val="004B044B"/>
    <w:rsid w:val="004B1DB8"/>
    <w:rsid w:val="004B1F4E"/>
    <w:rsid w:val="004B2F01"/>
    <w:rsid w:val="004B35F2"/>
    <w:rsid w:val="004B4182"/>
    <w:rsid w:val="004B4538"/>
    <w:rsid w:val="004B6FB6"/>
    <w:rsid w:val="004B701D"/>
    <w:rsid w:val="004C3423"/>
    <w:rsid w:val="004C571D"/>
    <w:rsid w:val="004C5885"/>
    <w:rsid w:val="004C741A"/>
    <w:rsid w:val="004D0115"/>
    <w:rsid w:val="004D0737"/>
    <w:rsid w:val="004D3571"/>
    <w:rsid w:val="004D35A2"/>
    <w:rsid w:val="004D5FD1"/>
    <w:rsid w:val="004D7828"/>
    <w:rsid w:val="004E2CFD"/>
    <w:rsid w:val="004F62BB"/>
    <w:rsid w:val="004F7C93"/>
    <w:rsid w:val="0050238B"/>
    <w:rsid w:val="00506105"/>
    <w:rsid w:val="00513162"/>
    <w:rsid w:val="00514E3E"/>
    <w:rsid w:val="00525809"/>
    <w:rsid w:val="00534BA4"/>
    <w:rsid w:val="00535130"/>
    <w:rsid w:val="00537302"/>
    <w:rsid w:val="00543D5A"/>
    <w:rsid w:val="00545944"/>
    <w:rsid w:val="00555509"/>
    <w:rsid w:val="00557276"/>
    <w:rsid w:val="00561C5B"/>
    <w:rsid w:val="005636E0"/>
    <w:rsid w:val="00564F2D"/>
    <w:rsid w:val="00565DBB"/>
    <w:rsid w:val="00566CDA"/>
    <w:rsid w:val="0056727E"/>
    <w:rsid w:val="00567BA6"/>
    <w:rsid w:val="00570033"/>
    <w:rsid w:val="00570147"/>
    <w:rsid w:val="0057307E"/>
    <w:rsid w:val="00573A4C"/>
    <w:rsid w:val="00574B79"/>
    <w:rsid w:val="00574D12"/>
    <w:rsid w:val="00576A54"/>
    <w:rsid w:val="005800B4"/>
    <w:rsid w:val="0058070B"/>
    <w:rsid w:val="0058296F"/>
    <w:rsid w:val="005848BA"/>
    <w:rsid w:val="00586731"/>
    <w:rsid w:val="00593AAE"/>
    <w:rsid w:val="00593E0D"/>
    <w:rsid w:val="00595E80"/>
    <w:rsid w:val="0059650E"/>
    <w:rsid w:val="00596953"/>
    <w:rsid w:val="005A0D09"/>
    <w:rsid w:val="005A5CD0"/>
    <w:rsid w:val="005A6030"/>
    <w:rsid w:val="005A7D1C"/>
    <w:rsid w:val="005B57AD"/>
    <w:rsid w:val="005B722E"/>
    <w:rsid w:val="005C02FE"/>
    <w:rsid w:val="005C2EEF"/>
    <w:rsid w:val="005C31B6"/>
    <w:rsid w:val="005C50AC"/>
    <w:rsid w:val="005C6406"/>
    <w:rsid w:val="005C70E8"/>
    <w:rsid w:val="005D0F2E"/>
    <w:rsid w:val="005D69D1"/>
    <w:rsid w:val="005E210D"/>
    <w:rsid w:val="005F2425"/>
    <w:rsid w:val="005F5EC7"/>
    <w:rsid w:val="005F7207"/>
    <w:rsid w:val="005F7FCF"/>
    <w:rsid w:val="00603A53"/>
    <w:rsid w:val="00607691"/>
    <w:rsid w:val="0061062C"/>
    <w:rsid w:val="00613183"/>
    <w:rsid w:val="006133F0"/>
    <w:rsid w:val="00616888"/>
    <w:rsid w:val="006176BE"/>
    <w:rsid w:val="00617780"/>
    <w:rsid w:val="006202F5"/>
    <w:rsid w:val="00621298"/>
    <w:rsid w:val="006212CB"/>
    <w:rsid w:val="006279F9"/>
    <w:rsid w:val="006369EE"/>
    <w:rsid w:val="00640A31"/>
    <w:rsid w:val="00642D26"/>
    <w:rsid w:val="00643720"/>
    <w:rsid w:val="0064700E"/>
    <w:rsid w:val="00650183"/>
    <w:rsid w:val="00650677"/>
    <w:rsid w:val="006556FD"/>
    <w:rsid w:val="00657B5B"/>
    <w:rsid w:val="00657BCD"/>
    <w:rsid w:val="00663402"/>
    <w:rsid w:val="00671006"/>
    <w:rsid w:val="006736A9"/>
    <w:rsid w:val="00673BC7"/>
    <w:rsid w:val="00674975"/>
    <w:rsid w:val="00675D39"/>
    <w:rsid w:val="006761BC"/>
    <w:rsid w:val="00681E7B"/>
    <w:rsid w:val="00683931"/>
    <w:rsid w:val="0068560B"/>
    <w:rsid w:val="006A1277"/>
    <w:rsid w:val="006A185D"/>
    <w:rsid w:val="006A2602"/>
    <w:rsid w:val="006A2D41"/>
    <w:rsid w:val="006A63EC"/>
    <w:rsid w:val="006A67E1"/>
    <w:rsid w:val="006B1D1B"/>
    <w:rsid w:val="006B372D"/>
    <w:rsid w:val="006C36FB"/>
    <w:rsid w:val="006C7D62"/>
    <w:rsid w:val="006D0B23"/>
    <w:rsid w:val="006D2ED6"/>
    <w:rsid w:val="006D3802"/>
    <w:rsid w:val="006D5685"/>
    <w:rsid w:val="006D5F52"/>
    <w:rsid w:val="006D762B"/>
    <w:rsid w:val="006E1987"/>
    <w:rsid w:val="006E23B2"/>
    <w:rsid w:val="006E5207"/>
    <w:rsid w:val="006F231C"/>
    <w:rsid w:val="006F4AD5"/>
    <w:rsid w:val="006F5C70"/>
    <w:rsid w:val="006F5F14"/>
    <w:rsid w:val="006F6A20"/>
    <w:rsid w:val="007047B2"/>
    <w:rsid w:val="00704DE7"/>
    <w:rsid w:val="00706868"/>
    <w:rsid w:val="00706B38"/>
    <w:rsid w:val="007078B8"/>
    <w:rsid w:val="00715E32"/>
    <w:rsid w:val="007162D1"/>
    <w:rsid w:val="00716463"/>
    <w:rsid w:val="0071706E"/>
    <w:rsid w:val="007212FE"/>
    <w:rsid w:val="007221C6"/>
    <w:rsid w:val="00727292"/>
    <w:rsid w:val="0073427D"/>
    <w:rsid w:val="00740876"/>
    <w:rsid w:val="00742F6A"/>
    <w:rsid w:val="007446E8"/>
    <w:rsid w:val="00751553"/>
    <w:rsid w:val="0075165E"/>
    <w:rsid w:val="00751965"/>
    <w:rsid w:val="00754E10"/>
    <w:rsid w:val="007618A7"/>
    <w:rsid w:val="00762A29"/>
    <w:rsid w:val="0076327D"/>
    <w:rsid w:val="00767745"/>
    <w:rsid w:val="007707FC"/>
    <w:rsid w:val="00770BE3"/>
    <w:rsid w:val="0077177A"/>
    <w:rsid w:val="007728A8"/>
    <w:rsid w:val="00775B81"/>
    <w:rsid w:val="007825F1"/>
    <w:rsid w:val="00784CBA"/>
    <w:rsid w:val="00785A76"/>
    <w:rsid w:val="00785D01"/>
    <w:rsid w:val="00787852"/>
    <w:rsid w:val="007915BC"/>
    <w:rsid w:val="00793D68"/>
    <w:rsid w:val="007967FA"/>
    <w:rsid w:val="00796A87"/>
    <w:rsid w:val="00797E7A"/>
    <w:rsid w:val="007A0EA6"/>
    <w:rsid w:val="007A1EC0"/>
    <w:rsid w:val="007A2D9E"/>
    <w:rsid w:val="007A3C1B"/>
    <w:rsid w:val="007A56E6"/>
    <w:rsid w:val="007A6732"/>
    <w:rsid w:val="007B0381"/>
    <w:rsid w:val="007B0F3D"/>
    <w:rsid w:val="007B148D"/>
    <w:rsid w:val="007B18C8"/>
    <w:rsid w:val="007B28DE"/>
    <w:rsid w:val="007B465C"/>
    <w:rsid w:val="007B6C60"/>
    <w:rsid w:val="007B7A5F"/>
    <w:rsid w:val="007C36BE"/>
    <w:rsid w:val="007D0032"/>
    <w:rsid w:val="007D0B27"/>
    <w:rsid w:val="007D53ED"/>
    <w:rsid w:val="007D6001"/>
    <w:rsid w:val="007D68B8"/>
    <w:rsid w:val="007D7F94"/>
    <w:rsid w:val="007E1B76"/>
    <w:rsid w:val="007E219A"/>
    <w:rsid w:val="007E37BF"/>
    <w:rsid w:val="007E6593"/>
    <w:rsid w:val="007F06ED"/>
    <w:rsid w:val="007F1101"/>
    <w:rsid w:val="007F2CB1"/>
    <w:rsid w:val="007F48E9"/>
    <w:rsid w:val="007F5879"/>
    <w:rsid w:val="00803D20"/>
    <w:rsid w:val="00803F9A"/>
    <w:rsid w:val="008112A0"/>
    <w:rsid w:val="0081696D"/>
    <w:rsid w:val="00816E01"/>
    <w:rsid w:val="008173D0"/>
    <w:rsid w:val="00822A40"/>
    <w:rsid w:val="00823235"/>
    <w:rsid w:val="008249F1"/>
    <w:rsid w:val="00824AF2"/>
    <w:rsid w:val="00826686"/>
    <w:rsid w:val="00832BCD"/>
    <w:rsid w:val="00835563"/>
    <w:rsid w:val="00836511"/>
    <w:rsid w:val="00836B02"/>
    <w:rsid w:val="00836EC6"/>
    <w:rsid w:val="0083741E"/>
    <w:rsid w:val="00837985"/>
    <w:rsid w:val="00840E3D"/>
    <w:rsid w:val="00841C2E"/>
    <w:rsid w:val="00841D8C"/>
    <w:rsid w:val="00842220"/>
    <w:rsid w:val="008433A0"/>
    <w:rsid w:val="00844111"/>
    <w:rsid w:val="00844F74"/>
    <w:rsid w:val="0084582D"/>
    <w:rsid w:val="00846382"/>
    <w:rsid w:val="00846D14"/>
    <w:rsid w:val="00850F57"/>
    <w:rsid w:val="008536C2"/>
    <w:rsid w:val="0085536E"/>
    <w:rsid w:val="008600C7"/>
    <w:rsid w:val="008617D0"/>
    <w:rsid w:val="00861A60"/>
    <w:rsid w:val="00862357"/>
    <w:rsid w:val="00862D02"/>
    <w:rsid w:val="008633BF"/>
    <w:rsid w:val="008637B9"/>
    <w:rsid w:val="00864194"/>
    <w:rsid w:val="00870399"/>
    <w:rsid w:val="008711EC"/>
    <w:rsid w:val="008718FE"/>
    <w:rsid w:val="00872946"/>
    <w:rsid w:val="00883928"/>
    <w:rsid w:val="00883DDE"/>
    <w:rsid w:val="00887977"/>
    <w:rsid w:val="00891D73"/>
    <w:rsid w:val="00892A44"/>
    <w:rsid w:val="00893FBF"/>
    <w:rsid w:val="008974DA"/>
    <w:rsid w:val="008A2DE8"/>
    <w:rsid w:val="008A312D"/>
    <w:rsid w:val="008A3E09"/>
    <w:rsid w:val="008A3E57"/>
    <w:rsid w:val="008A77A7"/>
    <w:rsid w:val="008B3F34"/>
    <w:rsid w:val="008B5AD0"/>
    <w:rsid w:val="008B6411"/>
    <w:rsid w:val="008C027D"/>
    <w:rsid w:val="008C56B9"/>
    <w:rsid w:val="008C7339"/>
    <w:rsid w:val="008D05E0"/>
    <w:rsid w:val="008D2600"/>
    <w:rsid w:val="008E0AC0"/>
    <w:rsid w:val="008E215C"/>
    <w:rsid w:val="008E221A"/>
    <w:rsid w:val="008E3FFE"/>
    <w:rsid w:val="008E42D7"/>
    <w:rsid w:val="008E43F9"/>
    <w:rsid w:val="008E4AB0"/>
    <w:rsid w:val="008E518B"/>
    <w:rsid w:val="008E60BE"/>
    <w:rsid w:val="008E6423"/>
    <w:rsid w:val="008E6B74"/>
    <w:rsid w:val="008F0FAF"/>
    <w:rsid w:val="008F46CD"/>
    <w:rsid w:val="008F6480"/>
    <w:rsid w:val="008F7740"/>
    <w:rsid w:val="008F7ECB"/>
    <w:rsid w:val="00900CA2"/>
    <w:rsid w:val="00903653"/>
    <w:rsid w:val="009047EC"/>
    <w:rsid w:val="0090665E"/>
    <w:rsid w:val="00910A52"/>
    <w:rsid w:val="00911479"/>
    <w:rsid w:val="009119CB"/>
    <w:rsid w:val="0091484D"/>
    <w:rsid w:val="00921E56"/>
    <w:rsid w:val="0092576D"/>
    <w:rsid w:val="00925E71"/>
    <w:rsid w:val="0093329F"/>
    <w:rsid w:val="00933A7F"/>
    <w:rsid w:val="00937043"/>
    <w:rsid w:val="0094017F"/>
    <w:rsid w:val="009445D3"/>
    <w:rsid w:val="00945FB9"/>
    <w:rsid w:val="00955A8A"/>
    <w:rsid w:val="0096400D"/>
    <w:rsid w:val="009641E2"/>
    <w:rsid w:val="00966600"/>
    <w:rsid w:val="009671D9"/>
    <w:rsid w:val="00971352"/>
    <w:rsid w:val="00974F8A"/>
    <w:rsid w:val="00975E5B"/>
    <w:rsid w:val="00977C8F"/>
    <w:rsid w:val="00977F94"/>
    <w:rsid w:val="009803E4"/>
    <w:rsid w:val="009818CE"/>
    <w:rsid w:val="00982B6E"/>
    <w:rsid w:val="00983CA6"/>
    <w:rsid w:val="009863E9"/>
    <w:rsid w:val="00986B66"/>
    <w:rsid w:val="00990189"/>
    <w:rsid w:val="00992E20"/>
    <w:rsid w:val="009936FC"/>
    <w:rsid w:val="00993925"/>
    <w:rsid w:val="00993977"/>
    <w:rsid w:val="009956B1"/>
    <w:rsid w:val="009A05D1"/>
    <w:rsid w:val="009A28AC"/>
    <w:rsid w:val="009A3A5B"/>
    <w:rsid w:val="009A3F2A"/>
    <w:rsid w:val="009A5BDA"/>
    <w:rsid w:val="009B2AAC"/>
    <w:rsid w:val="009B3521"/>
    <w:rsid w:val="009B541C"/>
    <w:rsid w:val="009B6237"/>
    <w:rsid w:val="009C4460"/>
    <w:rsid w:val="009D46C5"/>
    <w:rsid w:val="009D7192"/>
    <w:rsid w:val="009E0E38"/>
    <w:rsid w:val="009E1A35"/>
    <w:rsid w:val="009E536C"/>
    <w:rsid w:val="009F09AA"/>
    <w:rsid w:val="009F0AA8"/>
    <w:rsid w:val="009F0B89"/>
    <w:rsid w:val="009F2C16"/>
    <w:rsid w:val="009F2C1B"/>
    <w:rsid w:val="009F335C"/>
    <w:rsid w:val="009F35A7"/>
    <w:rsid w:val="009F50C6"/>
    <w:rsid w:val="009F6861"/>
    <w:rsid w:val="00A002B5"/>
    <w:rsid w:val="00A0260C"/>
    <w:rsid w:val="00A02FED"/>
    <w:rsid w:val="00A041B5"/>
    <w:rsid w:val="00A04F8C"/>
    <w:rsid w:val="00A05158"/>
    <w:rsid w:val="00A11DAD"/>
    <w:rsid w:val="00A13BF5"/>
    <w:rsid w:val="00A14837"/>
    <w:rsid w:val="00A16FC4"/>
    <w:rsid w:val="00A225E3"/>
    <w:rsid w:val="00A23A26"/>
    <w:rsid w:val="00A24A8F"/>
    <w:rsid w:val="00A25708"/>
    <w:rsid w:val="00A25BF0"/>
    <w:rsid w:val="00A3026E"/>
    <w:rsid w:val="00A3668A"/>
    <w:rsid w:val="00A41B74"/>
    <w:rsid w:val="00A422A6"/>
    <w:rsid w:val="00A42B4F"/>
    <w:rsid w:val="00A45614"/>
    <w:rsid w:val="00A4576A"/>
    <w:rsid w:val="00A45AD0"/>
    <w:rsid w:val="00A45EE9"/>
    <w:rsid w:val="00A53C14"/>
    <w:rsid w:val="00A54C63"/>
    <w:rsid w:val="00A61410"/>
    <w:rsid w:val="00A6198A"/>
    <w:rsid w:val="00A65108"/>
    <w:rsid w:val="00A7067F"/>
    <w:rsid w:val="00A707A7"/>
    <w:rsid w:val="00A718FD"/>
    <w:rsid w:val="00A72341"/>
    <w:rsid w:val="00A776ED"/>
    <w:rsid w:val="00A80E50"/>
    <w:rsid w:val="00A8137F"/>
    <w:rsid w:val="00A81996"/>
    <w:rsid w:val="00A83663"/>
    <w:rsid w:val="00A83B0F"/>
    <w:rsid w:val="00A84216"/>
    <w:rsid w:val="00A87EED"/>
    <w:rsid w:val="00A90BFA"/>
    <w:rsid w:val="00A92BF3"/>
    <w:rsid w:val="00A943C8"/>
    <w:rsid w:val="00A950A4"/>
    <w:rsid w:val="00A9520D"/>
    <w:rsid w:val="00A9747D"/>
    <w:rsid w:val="00AA00A6"/>
    <w:rsid w:val="00AA07E3"/>
    <w:rsid w:val="00AA5343"/>
    <w:rsid w:val="00AA6BA8"/>
    <w:rsid w:val="00AA7F5A"/>
    <w:rsid w:val="00AB2340"/>
    <w:rsid w:val="00AB3E84"/>
    <w:rsid w:val="00AB588F"/>
    <w:rsid w:val="00AB5FE4"/>
    <w:rsid w:val="00AB659D"/>
    <w:rsid w:val="00AB734D"/>
    <w:rsid w:val="00AC06A5"/>
    <w:rsid w:val="00AC229F"/>
    <w:rsid w:val="00AD7671"/>
    <w:rsid w:val="00AE0E5C"/>
    <w:rsid w:val="00AE13D4"/>
    <w:rsid w:val="00AE3333"/>
    <w:rsid w:val="00AE354A"/>
    <w:rsid w:val="00AE53E8"/>
    <w:rsid w:val="00AE6FE4"/>
    <w:rsid w:val="00AF04B7"/>
    <w:rsid w:val="00AF2059"/>
    <w:rsid w:val="00AF3D84"/>
    <w:rsid w:val="00AF4161"/>
    <w:rsid w:val="00AF43A9"/>
    <w:rsid w:val="00AF580B"/>
    <w:rsid w:val="00B007C8"/>
    <w:rsid w:val="00B01A5E"/>
    <w:rsid w:val="00B034AC"/>
    <w:rsid w:val="00B072D2"/>
    <w:rsid w:val="00B11B1E"/>
    <w:rsid w:val="00B14410"/>
    <w:rsid w:val="00B15291"/>
    <w:rsid w:val="00B15E61"/>
    <w:rsid w:val="00B166A5"/>
    <w:rsid w:val="00B1765B"/>
    <w:rsid w:val="00B22F8D"/>
    <w:rsid w:val="00B246D6"/>
    <w:rsid w:val="00B24F35"/>
    <w:rsid w:val="00B25349"/>
    <w:rsid w:val="00B30E7B"/>
    <w:rsid w:val="00B32C88"/>
    <w:rsid w:val="00B34747"/>
    <w:rsid w:val="00B4144B"/>
    <w:rsid w:val="00B42E49"/>
    <w:rsid w:val="00B43F2E"/>
    <w:rsid w:val="00B50903"/>
    <w:rsid w:val="00B51B98"/>
    <w:rsid w:val="00B547BB"/>
    <w:rsid w:val="00B62FFE"/>
    <w:rsid w:val="00B64D34"/>
    <w:rsid w:val="00B65013"/>
    <w:rsid w:val="00B710EA"/>
    <w:rsid w:val="00B7123A"/>
    <w:rsid w:val="00B714B7"/>
    <w:rsid w:val="00B72304"/>
    <w:rsid w:val="00B7435C"/>
    <w:rsid w:val="00B763E1"/>
    <w:rsid w:val="00B76F38"/>
    <w:rsid w:val="00B772FA"/>
    <w:rsid w:val="00B77FE7"/>
    <w:rsid w:val="00B8085D"/>
    <w:rsid w:val="00B81EFF"/>
    <w:rsid w:val="00B82588"/>
    <w:rsid w:val="00B836BB"/>
    <w:rsid w:val="00B83A58"/>
    <w:rsid w:val="00B84122"/>
    <w:rsid w:val="00B862B0"/>
    <w:rsid w:val="00B87177"/>
    <w:rsid w:val="00B9454E"/>
    <w:rsid w:val="00B95F8E"/>
    <w:rsid w:val="00BA2B7C"/>
    <w:rsid w:val="00BA63E6"/>
    <w:rsid w:val="00BB142A"/>
    <w:rsid w:val="00BB34B9"/>
    <w:rsid w:val="00BB35C2"/>
    <w:rsid w:val="00BB553B"/>
    <w:rsid w:val="00BC201A"/>
    <w:rsid w:val="00BC28D7"/>
    <w:rsid w:val="00BC2D0B"/>
    <w:rsid w:val="00BC376C"/>
    <w:rsid w:val="00BC5897"/>
    <w:rsid w:val="00BC6321"/>
    <w:rsid w:val="00BC7817"/>
    <w:rsid w:val="00BD3819"/>
    <w:rsid w:val="00BD4BFD"/>
    <w:rsid w:val="00BD642D"/>
    <w:rsid w:val="00BD6988"/>
    <w:rsid w:val="00BE1A77"/>
    <w:rsid w:val="00BE4742"/>
    <w:rsid w:val="00BE48EC"/>
    <w:rsid w:val="00BE511E"/>
    <w:rsid w:val="00BE7383"/>
    <w:rsid w:val="00BE754D"/>
    <w:rsid w:val="00BF0A78"/>
    <w:rsid w:val="00BF1DB9"/>
    <w:rsid w:val="00BF6D10"/>
    <w:rsid w:val="00BF6E79"/>
    <w:rsid w:val="00BF74D8"/>
    <w:rsid w:val="00C01180"/>
    <w:rsid w:val="00C03F6C"/>
    <w:rsid w:val="00C050A8"/>
    <w:rsid w:val="00C12108"/>
    <w:rsid w:val="00C121D9"/>
    <w:rsid w:val="00C13453"/>
    <w:rsid w:val="00C220F9"/>
    <w:rsid w:val="00C247F8"/>
    <w:rsid w:val="00C2541C"/>
    <w:rsid w:val="00C26862"/>
    <w:rsid w:val="00C26CF1"/>
    <w:rsid w:val="00C30458"/>
    <w:rsid w:val="00C31D05"/>
    <w:rsid w:val="00C31DA6"/>
    <w:rsid w:val="00C31E0B"/>
    <w:rsid w:val="00C32FC8"/>
    <w:rsid w:val="00C33260"/>
    <w:rsid w:val="00C349E7"/>
    <w:rsid w:val="00C41EBC"/>
    <w:rsid w:val="00C4598F"/>
    <w:rsid w:val="00C50360"/>
    <w:rsid w:val="00C54E12"/>
    <w:rsid w:val="00C55468"/>
    <w:rsid w:val="00C57A54"/>
    <w:rsid w:val="00C622C3"/>
    <w:rsid w:val="00C63BD5"/>
    <w:rsid w:val="00C668F9"/>
    <w:rsid w:val="00C70306"/>
    <w:rsid w:val="00C70DD5"/>
    <w:rsid w:val="00C72EC6"/>
    <w:rsid w:val="00C74906"/>
    <w:rsid w:val="00C75E3C"/>
    <w:rsid w:val="00C775B8"/>
    <w:rsid w:val="00C77DCA"/>
    <w:rsid w:val="00C81B40"/>
    <w:rsid w:val="00C81FEA"/>
    <w:rsid w:val="00C83969"/>
    <w:rsid w:val="00C86C95"/>
    <w:rsid w:val="00C91EFD"/>
    <w:rsid w:val="00CA05EB"/>
    <w:rsid w:val="00CA1AA0"/>
    <w:rsid w:val="00CA3515"/>
    <w:rsid w:val="00CA3A05"/>
    <w:rsid w:val="00CA472D"/>
    <w:rsid w:val="00CA5250"/>
    <w:rsid w:val="00CA59A0"/>
    <w:rsid w:val="00CB14E9"/>
    <w:rsid w:val="00CB6D90"/>
    <w:rsid w:val="00CB72C3"/>
    <w:rsid w:val="00CC40EE"/>
    <w:rsid w:val="00CC45E4"/>
    <w:rsid w:val="00CD019F"/>
    <w:rsid w:val="00CD27C5"/>
    <w:rsid w:val="00CD4CDB"/>
    <w:rsid w:val="00CE2ACA"/>
    <w:rsid w:val="00CE4169"/>
    <w:rsid w:val="00CE66FD"/>
    <w:rsid w:val="00CE7894"/>
    <w:rsid w:val="00CF0526"/>
    <w:rsid w:val="00CF06A1"/>
    <w:rsid w:val="00CF1467"/>
    <w:rsid w:val="00CF1E06"/>
    <w:rsid w:val="00CF48D6"/>
    <w:rsid w:val="00CF57D6"/>
    <w:rsid w:val="00CF6C1B"/>
    <w:rsid w:val="00D019D5"/>
    <w:rsid w:val="00D040FE"/>
    <w:rsid w:val="00D168FD"/>
    <w:rsid w:val="00D16F64"/>
    <w:rsid w:val="00D17928"/>
    <w:rsid w:val="00D23225"/>
    <w:rsid w:val="00D2472C"/>
    <w:rsid w:val="00D279BA"/>
    <w:rsid w:val="00D35117"/>
    <w:rsid w:val="00D3641B"/>
    <w:rsid w:val="00D37BBA"/>
    <w:rsid w:val="00D404B5"/>
    <w:rsid w:val="00D447CB"/>
    <w:rsid w:val="00D46C83"/>
    <w:rsid w:val="00D47D16"/>
    <w:rsid w:val="00D505F4"/>
    <w:rsid w:val="00D51CE1"/>
    <w:rsid w:val="00D535F4"/>
    <w:rsid w:val="00D562F2"/>
    <w:rsid w:val="00D5707B"/>
    <w:rsid w:val="00D612F5"/>
    <w:rsid w:val="00D61B93"/>
    <w:rsid w:val="00D64F53"/>
    <w:rsid w:val="00D67E4A"/>
    <w:rsid w:val="00D710A8"/>
    <w:rsid w:val="00D73492"/>
    <w:rsid w:val="00D763FD"/>
    <w:rsid w:val="00D871C5"/>
    <w:rsid w:val="00D87694"/>
    <w:rsid w:val="00D90AD1"/>
    <w:rsid w:val="00D92179"/>
    <w:rsid w:val="00D941F7"/>
    <w:rsid w:val="00DA0A2D"/>
    <w:rsid w:val="00DA0F30"/>
    <w:rsid w:val="00DA4DDF"/>
    <w:rsid w:val="00DA5225"/>
    <w:rsid w:val="00DA6EB1"/>
    <w:rsid w:val="00DA7C49"/>
    <w:rsid w:val="00DB0804"/>
    <w:rsid w:val="00DB1C73"/>
    <w:rsid w:val="00DB2FC4"/>
    <w:rsid w:val="00DB45F1"/>
    <w:rsid w:val="00DB537B"/>
    <w:rsid w:val="00DC2AD3"/>
    <w:rsid w:val="00DC382A"/>
    <w:rsid w:val="00DD06D1"/>
    <w:rsid w:val="00DD2401"/>
    <w:rsid w:val="00DD412B"/>
    <w:rsid w:val="00DE1923"/>
    <w:rsid w:val="00DE2B33"/>
    <w:rsid w:val="00DE3AEA"/>
    <w:rsid w:val="00DE638B"/>
    <w:rsid w:val="00DE72EE"/>
    <w:rsid w:val="00DF37E5"/>
    <w:rsid w:val="00E034FE"/>
    <w:rsid w:val="00E041E5"/>
    <w:rsid w:val="00E04888"/>
    <w:rsid w:val="00E0763B"/>
    <w:rsid w:val="00E10302"/>
    <w:rsid w:val="00E10ADA"/>
    <w:rsid w:val="00E112F3"/>
    <w:rsid w:val="00E17EC5"/>
    <w:rsid w:val="00E26BFD"/>
    <w:rsid w:val="00E27795"/>
    <w:rsid w:val="00E27E90"/>
    <w:rsid w:val="00E33D02"/>
    <w:rsid w:val="00E34F2C"/>
    <w:rsid w:val="00E34F65"/>
    <w:rsid w:val="00E35D6B"/>
    <w:rsid w:val="00E35D79"/>
    <w:rsid w:val="00E361DB"/>
    <w:rsid w:val="00E36872"/>
    <w:rsid w:val="00E4641E"/>
    <w:rsid w:val="00E519AE"/>
    <w:rsid w:val="00E54FF7"/>
    <w:rsid w:val="00E57AF7"/>
    <w:rsid w:val="00E57B08"/>
    <w:rsid w:val="00E6241B"/>
    <w:rsid w:val="00E63B1D"/>
    <w:rsid w:val="00E64FCC"/>
    <w:rsid w:val="00E703B6"/>
    <w:rsid w:val="00E72200"/>
    <w:rsid w:val="00E72B1B"/>
    <w:rsid w:val="00E737FF"/>
    <w:rsid w:val="00E75D47"/>
    <w:rsid w:val="00E75F05"/>
    <w:rsid w:val="00E766F5"/>
    <w:rsid w:val="00E77055"/>
    <w:rsid w:val="00E82948"/>
    <w:rsid w:val="00E83B37"/>
    <w:rsid w:val="00E846FB"/>
    <w:rsid w:val="00E8650E"/>
    <w:rsid w:val="00E8701D"/>
    <w:rsid w:val="00E90218"/>
    <w:rsid w:val="00E913BB"/>
    <w:rsid w:val="00E92E19"/>
    <w:rsid w:val="00E95F2E"/>
    <w:rsid w:val="00E97D61"/>
    <w:rsid w:val="00E97ED9"/>
    <w:rsid w:val="00EA1508"/>
    <w:rsid w:val="00EA1541"/>
    <w:rsid w:val="00EA32E4"/>
    <w:rsid w:val="00EA5D4F"/>
    <w:rsid w:val="00EA7E36"/>
    <w:rsid w:val="00EB0898"/>
    <w:rsid w:val="00EB627B"/>
    <w:rsid w:val="00EB6D94"/>
    <w:rsid w:val="00EC2B57"/>
    <w:rsid w:val="00EC2C18"/>
    <w:rsid w:val="00EC4183"/>
    <w:rsid w:val="00EC6468"/>
    <w:rsid w:val="00EC6708"/>
    <w:rsid w:val="00ED1AC4"/>
    <w:rsid w:val="00ED207C"/>
    <w:rsid w:val="00ED325A"/>
    <w:rsid w:val="00ED3F41"/>
    <w:rsid w:val="00ED5615"/>
    <w:rsid w:val="00ED692E"/>
    <w:rsid w:val="00ED69AF"/>
    <w:rsid w:val="00EE13C5"/>
    <w:rsid w:val="00EE1847"/>
    <w:rsid w:val="00EE240E"/>
    <w:rsid w:val="00EE32F4"/>
    <w:rsid w:val="00EE593C"/>
    <w:rsid w:val="00EE6211"/>
    <w:rsid w:val="00EE688E"/>
    <w:rsid w:val="00EE6A6D"/>
    <w:rsid w:val="00EF03E2"/>
    <w:rsid w:val="00EF0883"/>
    <w:rsid w:val="00EF37DA"/>
    <w:rsid w:val="00EF7F8B"/>
    <w:rsid w:val="00F00171"/>
    <w:rsid w:val="00F0072C"/>
    <w:rsid w:val="00F03814"/>
    <w:rsid w:val="00F07386"/>
    <w:rsid w:val="00F078C3"/>
    <w:rsid w:val="00F07A09"/>
    <w:rsid w:val="00F1390C"/>
    <w:rsid w:val="00F14730"/>
    <w:rsid w:val="00F14D98"/>
    <w:rsid w:val="00F20AA2"/>
    <w:rsid w:val="00F20C5E"/>
    <w:rsid w:val="00F20E8F"/>
    <w:rsid w:val="00F2234A"/>
    <w:rsid w:val="00F32BCE"/>
    <w:rsid w:val="00F36A1D"/>
    <w:rsid w:val="00F404B8"/>
    <w:rsid w:val="00F40F96"/>
    <w:rsid w:val="00F44278"/>
    <w:rsid w:val="00F51B65"/>
    <w:rsid w:val="00F52AAB"/>
    <w:rsid w:val="00F52EB6"/>
    <w:rsid w:val="00F55260"/>
    <w:rsid w:val="00F6316B"/>
    <w:rsid w:val="00F65AE0"/>
    <w:rsid w:val="00F671E0"/>
    <w:rsid w:val="00F70460"/>
    <w:rsid w:val="00F74E38"/>
    <w:rsid w:val="00F76120"/>
    <w:rsid w:val="00F76D6F"/>
    <w:rsid w:val="00F778B0"/>
    <w:rsid w:val="00F83B7B"/>
    <w:rsid w:val="00F83BC2"/>
    <w:rsid w:val="00F914F0"/>
    <w:rsid w:val="00F92EC1"/>
    <w:rsid w:val="00F944DD"/>
    <w:rsid w:val="00F94C47"/>
    <w:rsid w:val="00F96735"/>
    <w:rsid w:val="00F970FC"/>
    <w:rsid w:val="00FA0421"/>
    <w:rsid w:val="00FA3389"/>
    <w:rsid w:val="00FA3476"/>
    <w:rsid w:val="00FA4909"/>
    <w:rsid w:val="00FA495F"/>
    <w:rsid w:val="00FA4F7F"/>
    <w:rsid w:val="00FB0C10"/>
    <w:rsid w:val="00FB2CFA"/>
    <w:rsid w:val="00FB3C36"/>
    <w:rsid w:val="00FB4280"/>
    <w:rsid w:val="00FB7CCE"/>
    <w:rsid w:val="00FC01C8"/>
    <w:rsid w:val="00FC5027"/>
    <w:rsid w:val="00FC50C7"/>
    <w:rsid w:val="00FC511D"/>
    <w:rsid w:val="00FC59E2"/>
    <w:rsid w:val="00FC68BC"/>
    <w:rsid w:val="00FD11D4"/>
    <w:rsid w:val="00FD225D"/>
    <w:rsid w:val="00FD2384"/>
    <w:rsid w:val="00FE452E"/>
    <w:rsid w:val="00FE675C"/>
    <w:rsid w:val="00FF30E6"/>
    <w:rsid w:val="00FF4275"/>
    <w:rsid w:val="00FF4A4C"/>
    <w:rsid w:val="00FF4C15"/>
    <w:rsid w:val="00FF5AE3"/>
    <w:rsid w:val="00FF7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9C1A7B"/>
  <w15:docId w15:val="{610594C5-FBE6-4D59-B099-01E309A8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4248BF"/>
    <w:pPr>
      <w:spacing w:after="140"/>
      <w:ind w:firstLine="567"/>
      <w:jc w:val="both"/>
    </w:pPr>
    <w:rPr>
      <w:lang w:val="es-ES_tradnl" w:eastAsia="en-US"/>
    </w:rPr>
  </w:style>
  <w:style w:type="paragraph" w:styleId="Ttulo1">
    <w:name w:val="heading 1"/>
    <w:basedOn w:val="Normal"/>
    <w:next w:val="Normal"/>
    <w:qFormat/>
    <w:rsid w:val="004248BF"/>
    <w:pPr>
      <w:keepNext/>
      <w:spacing w:before="240" w:after="240"/>
      <w:outlineLvl w:val="0"/>
    </w:pPr>
    <w:rPr>
      <w:rFonts w:ascii="Arial" w:hAnsi="Arial" w:cs="Arial"/>
      <w:b/>
      <w:bCs/>
      <w:kern w:val="32"/>
      <w:sz w:val="25"/>
      <w:szCs w:val="32"/>
    </w:rPr>
  </w:style>
  <w:style w:type="paragraph" w:styleId="Ttulo2">
    <w:name w:val="heading 2"/>
    <w:basedOn w:val="Normal"/>
    <w:next w:val="Normal"/>
    <w:qFormat/>
    <w:rsid w:val="004248BF"/>
    <w:pPr>
      <w:keepNext/>
      <w:spacing w:before="240" w:after="240"/>
      <w:ind w:firstLine="0"/>
      <w:outlineLvl w:val="1"/>
    </w:pPr>
    <w:rPr>
      <w:rFonts w:ascii="Arial" w:hAnsi="Arial" w:cs="Arial"/>
      <w:bCs/>
      <w:iCs/>
      <w:sz w:val="25"/>
      <w:szCs w:val="28"/>
    </w:rPr>
  </w:style>
  <w:style w:type="paragraph" w:styleId="Ttulo3">
    <w:name w:val="heading 3"/>
    <w:basedOn w:val="Normal"/>
    <w:next w:val="Normal"/>
    <w:link w:val="Ttulo3Car"/>
    <w:uiPriority w:val="9"/>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2835"/>
        <w:tab w:val="clear" w:pos="3969"/>
        <w:tab w:val="clear" w:pos="5103"/>
        <w:tab w:val="clear" w:pos="6237"/>
        <w:tab w:val="clear" w:pos="7371"/>
      </w:tabs>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ind w:firstLine="0"/>
      <w:outlineLvl w:val="9"/>
    </w:pPr>
    <w:rPr>
      <w:rFonts w:cs="Times New Roman"/>
      <w:bCs w:val="0"/>
      <w:color w:val="000000"/>
      <w:kern w:val="28"/>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345C6C"/>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345C6C"/>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345C6C"/>
    <w:pPr>
      <w:spacing w:after="0"/>
      <w:ind w:left="720" w:firstLine="0"/>
      <w:contextualSpacing/>
      <w:jc w:val="left"/>
    </w:pPr>
  </w:style>
  <w:style w:type="character" w:customStyle="1" w:styleId="PiedepginaCar">
    <w:name w:val="Pie de página Car"/>
    <w:basedOn w:val="Fuentedeprrafopredeter"/>
    <w:link w:val="Piedepgina"/>
    <w:uiPriority w:val="99"/>
    <w:rsid w:val="00345C6C"/>
    <w:rPr>
      <w:spacing w:val="6"/>
      <w:lang w:val="es-ES_tradnl" w:eastAsia="en-US"/>
    </w:rPr>
  </w:style>
  <w:style w:type="character" w:customStyle="1" w:styleId="Ttulo5Car">
    <w:name w:val="Título 5 Car"/>
    <w:basedOn w:val="Fuentedeprrafopredeter"/>
    <w:link w:val="Ttulo5"/>
    <w:uiPriority w:val="99"/>
    <w:rsid w:val="00345C6C"/>
    <w:rPr>
      <w:b/>
      <w:sz w:val="28"/>
      <w:lang w:eastAsia="en-US"/>
    </w:rPr>
  </w:style>
  <w:style w:type="character" w:customStyle="1" w:styleId="markedcontent">
    <w:name w:val="markedcontent"/>
    <w:basedOn w:val="Fuentedeprrafopredeter"/>
    <w:rsid w:val="00345C6C"/>
  </w:style>
  <w:style w:type="paragraph" w:styleId="Textonotapie">
    <w:name w:val="footnote text"/>
    <w:basedOn w:val="Normal"/>
    <w:link w:val="TextonotapieCar"/>
    <w:semiHidden/>
    <w:unhideWhenUsed/>
    <w:rsid w:val="00345C6C"/>
    <w:pPr>
      <w:spacing w:after="0"/>
    </w:pPr>
  </w:style>
  <w:style w:type="character" w:customStyle="1" w:styleId="TextonotapieCar">
    <w:name w:val="Texto nota pie Car"/>
    <w:basedOn w:val="Fuentedeprrafopredeter"/>
    <w:link w:val="Textonotapie"/>
    <w:semiHidden/>
    <w:rsid w:val="00345C6C"/>
    <w:rPr>
      <w:lang w:val="es-ES_tradnl" w:eastAsia="en-US"/>
    </w:rPr>
  </w:style>
  <w:style w:type="character" w:styleId="Refdenotaalpie">
    <w:name w:val="footnote reference"/>
    <w:basedOn w:val="Fuentedeprrafopredeter"/>
    <w:semiHidden/>
    <w:unhideWhenUsed/>
    <w:rsid w:val="00345C6C"/>
    <w:rPr>
      <w:vertAlign w:val="superscript"/>
    </w:rPr>
  </w:style>
  <w:style w:type="character" w:styleId="Refdecomentario">
    <w:name w:val="annotation reference"/>
    <w:basedOn w:val="Fuentedeprrafopredeter"/>
    <w:semiHidden/>
    <w:unhideWhenUsed/>
    <w:rsid w:val="00B72304"/>
    <w:rPr>
      <w:sz w:val="16"/>
      <w:szCs w:val="16"/>
    </w:rPr>
  </w:style>
  <w:style w:type="paragraph" w:styleId="Textocomentario">
    <w:name w:val="annotation text"/>
    <w:basedOn w:val="Normal"/>
    <w:link w:val="TextocomentarioCar"/>
    <w:semiHidden/>
    <w:unhideWhenUsed/>
    <w:rsid w:val="00B72304"/>
  </w:style>
  <w:style w:type="character" w:customStyle="1" w:styleId="TextocomentarioCar">
    <w:name w:val="Texto comentario Car"/>
    <w:basedOn w:val="Fuentedeprrafopredeter"/>
    <w:link w:val="Textocomentario"/>
    <w:semiHidden/>
    <w:rsid w:val="00B72304"/>
    <w:rPr>
      <w:lang w:val="es-ES_tradnl" w:eastAsia="en-US"/>
    </w:rPr>
  </w:style>
  <w:style w:type="paragraph" w:styleId="Asuntodelcomentario">
    <w:name w:val="annotation subject"/>
    <w:basedOn w:val="Textocomentario"/>
    <w:next w:val="Textocomentario"/>
    <w:link w:val="AsuntodelcomentarioCar"/>
    <w:semiHidden/>
    <w:unhideWhenUsed/>
    <w:rsid w:val="00B72304"/>
    <w:rPr>
      <w:b/>
      <w:bCs/>
    </w:rPr>
  </w:style>
  <w:style w:type="character" w:customStyle="1" w:styleId="AsuntodelcomentarioCar">
    <w:name w:val="Asunto del comentario Car"/>
    <w:basedOn w:val="TextocomentarioCar"/>
    <w:link w:val="Asuntodelcomentario"/>
    <w:semiHidden/>
    <w:rsid w:val="00B72304"/>
    <w:rPr>
      <w:b/>
      <w:bCs/>
      <w:lang w:val="es-ES_tradnl" w:eastAsia="en-US"/>
    </w:rPr>
  </w:style>
  <w:style w:type="character" w:customStyle="1" w:styleId="Ttulo3Car">
    <w:name w:val="Título 3 Car"/>
    <w:basedOn w:val="Fuentedeprrafopredeter"/>
    <w:link w:val="Ttulo3"/>
    <w:uiPriority w:val="9"/>
    <w:rsid w:val="00B83A58"/>
    <w:rPr>
      <w:rFonts w:ascii="Arial" w:hAnsi="Arial" w:cs="Arial"/>
      <w:b/>
      <w:bCs/>
      <w:szCs w:val="26"/>
      <w:lang w:val="es-ES_tradnl" w:eastAsia="en-US"/>
    </w:rPr>
  </w:style>
  <w:style w:type="character" w:styleId="Hipervnculovisitado">
    <w:name w:val="FollowedHyperlink"/>
    <w:basedOn w:val="Fuentedeprrafopredeter"/>
    <w:semiHidden/>
    <w:unhideWhenUsed/>
    <w:rsid w:val="00B83A58"/>
    <w:rPr>
      <w:color w:val="800080" w:themeColor="followedHyperlink"/>
      <w:u w:val="single"/>
    </w:rPr>
  </w:style>
  <w:style w:type="character" w:styleId="nfasis">
    <w:name w:val="Emphasis"/>
    <w:basedOn w:val="Fuentedeprrafopredeter"/>
    <w:uiPriority w:val="20"/>
    <w:qFormat/>
    <w:rsid w:val="00F944DD"/>
    <w:rPr>
      <w:i/>
      <w:iCs/>
    </w:rPr>
  </w:style>
  <w:style w:type="paragraph" w:styleId="TtuloTDC">
    <w:name w:val="TOC Heading"/>
    <w:basedOn w:val="Ttulo1"/>
    <w:next w:val="Normal"/>
    <w:uiPriority w:val="39"/>
    <w:unhideWhenUsed/>
    <w:qFormat/>
    <w:rsid w:val="00DA0A2D"/>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val="es-ES" w:eastAsia="es-ES"/>
    </w:rPr>
  </w:style>
  <w:style w:type="paragraph" w:styleId="Revisin">
    <w:name w:val="Revision"/>
    <w:hidden/>
    <w:uiPriority w:val="99"/>
    <w:semiHidden/>
    <w:rsid w:val="00291051"/>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3562">
      <w:bodyDiv w:val="1"/>
      <w:marLeft w:val="0"/>
      <w:marRight w:val="0"/>
      <w:marTop w:val="0"/>
      <w:marBottom w:val="0"/>
      <w:divBdr>
        <w:top w:val="none" w:sz="0" w:space="0" w:color="auto"/>
        <w:left w:val="none" w:sz="0" w:space="0" w:color="auto"/>
        <w:bottom w:val="none" w:sz="0" w:space="0" w:color="auto"/>
        <w:right w:val="none" w:sz="0" w:space="0" w:color="auto"/>
      </w:divBdr>
    </w:div>
    <w:div w:id="68233929">
      <w:bodyDiv w:val="1"/>
      <w:marLeft w:val="0"/>
      <w:marRight w:val="0"/>
      <w:marTop w:val="0"/>
      <w:marBottom w:val="0"/>
      <w:divBdr>
        <w:top w:val="none" w:sz="0" w:space="0" w:color="auto"/>
        <w:left w:val="none" w:sz="0" w:space="0" w:color="auto"/>
        <w:bottom w:val="none" w:sz="0" w:space="0" w:color="auto"/>
        <w:right w:val="none" w:sz="0" w:space="0" w:color="auto"/>
      </w:divBdr>
    </w:div>
    <w:div w:id="105927191">
      <w:bodyDiv w:val="1"/>
      <w:marLeft w:val="0"/>
      <w:marRight w:val="0"/>
      <w:marTop w:val="0"/>
      <w:marBottom w:val="0"/>
      <w:divBdr>
        <w:top w:val="none" w:sz="0" w:space="0" w:color="auto"/>
        <w:left w:val="none" w:sz="0" w:space="0" w:color="auto"/>
        <w:bottom w:val="none" w:sz="0" w:space="0" w:color="auto"/>
        <w:right w:val="none" w:sz="0" w:space="0" w:color="auto"/>
      </w:divBdr>
    </w:div>
    <w:div w:id="108209940">
      <w:bodyDiv w:val="1"/>
      <w:marLeft w:val="0"/>
      <w:marRight w:val="0"/>
      <w:marTop w:val="0"/>
      <w:marBottom w:val="0"/>
      <w:divBdr>
        <w:top w:val="none" w:sz="0" w:space="0" w:color="auto"/>
        <w:left w:val="none" w:sz="0" w:space="0" w:color="auto"/>
        <w:bottom w:val="none" w:sz="0" w:space="0" w:color="auto"/>
        <w:right w:val="none" w:sz="0" w:space="0" w:color="auto"/>
      </w:divBdr>
    </w:div>
    <w:div w:id="123355064">
      <w:bodyDiv w:val="1"/>
      <w:marLeft w:val="0"/>
      <w:marRight w:val="0"/>
      <w:marTop w:val="0"/>
      <w:marBottom w:val="0"/>
      <w:divBdr>
        <w:top w:val="none" w:sz="0" w:space="0" w:color="auto"/>
        <w:left w:val="none" w:sz="0" w:space="0" w:color="auto"/>
        <w:bottom w:val="none" w:sz="0" w:space="0" w:color="auto"/>
        <w:right w:val="none" w:sz="0" w:space="0" w:color="auto"/>
      </w:divBdr>
    </w:div>
    <w:div w:id="166140417">
      <w:bodyDiv w:val="1"/>
      <w:marLeft w:val="0"/>
      <w:marRight w:val="0"/>
      <w:marTop w:val="0"/>
      <w:marBottom w:val="0"/>
      <w:divBdr>
        <w:top w:val="none" w:sz="0" w:space="0" w:color="auto"/>
        <w:left w:val="none" w:sz="0" w:space="0" w:color="auto"/>
        <w:bottom w:val="none" w:sz="0" w:space="0" w:color="auto"/>
        <w:right w:val="none" w:sz="0" w:space="0" w:color="auto"/>
      </w:divBdr>
    </w:div>
    <w:div w:id="240718713">
      <w:bodyDiv w:val="1"/>
      <w:marLeft w:val="0"/>
      <w:marRight w:val="0"/>
      <w:marTop w:val="0"/>
      <w:marBottom w:val="0"/>
      <w:divBdr>
        <w:top w:val="none" w:sz="0" w:space="0" w:color="auto"/>
        <w:left w:val="none" w:sz="0" w:space="0" w:color="auto"/>
        <w:bottom w:val="none" w:sz="0" w:space="0" w:color="auto"/>
        <w:right w:val="none" w:sz="0" w:space="0" w:color="auto"/>
      </w:divBdr>
    </w:div>
    <w:div w:id="248775428">
      <w:bodyDiv w:val="1"/>
      <w:marLeft w:val="0"/>
      <w:marRight w:val="0"/>
      <w:marTop w:val="0"/>
      <w:marBottom w:val="0"/>
      <w:divBdr>
        <w:top w:val="none" w:sz="0" w:space="0" w:color="auto"/>
        <w:left w:val="none" w:sz="0" w:space="0" w:color="auto"/>
        <w:bottom w:val="none" w:sz="0" w:space="0" w:color="auto"/>
        <w:right w:val="none" w:sz="0" w:space="0" w:color="auto"/>
      </w:divBdr>
    </w:div>
    <w:div w:id="320692413">
      <w:bodyDiv w:val="1"/>
      <w:marLeft w:val="0"/>
      <w:marRight w:val="0"/>
      <w:marTop w:val="0"/>
      <w:marBottom w:val="0"/>
      <w:divBdr>
        <w:top w:val="none" w:sz="0" w:space="0" w:color="auto"/>
        <w:left w:val="none" w:sz="0" w:space="0" w:color="auto"/>
        <w:bottom w:val="none" w:sz="0" w:space="0" w:color="auto"/>
        <w:right w:val="none" w:sz="0" w:space="0" w:color="auto"/>
      </w:divBdr>
    </w:div>
    <w:div w:id="382602904">
      <w:bodyDiv w:val="1"/>
      <w:marLeft w:val="0"/>
      <w:marRight w:val="0"/>
      <w:marTop w:val="0"/>
      <w:marBottom w:val="0"/>
      <w:divBdr>
        <w:top w:val="none" w:sz="0" w:space="0" w:color="auto"/>
        <w:left w:val="none" w:sz="0" w:space="0" w:color="auto"/>
        <w:bottom w:val="none" w:sz="0" w:space="0" w:color="auto"/>
        <w:right w:val="none" w:sz="0" w:space="0" w:color="auto"/>
      </w:divBdr>
    </w:div>
    <w:div w:id="497622484">
      <w:bodyDiv w:val="1"/>
      <w:marLeft w:val="0"/>
      <w:marRight w:val="0"/>
      <w:marTop w:val="0"/>
      <w:marBottom w:val="0"/>
      <w:divBdr>
        <w:top w:val="none" w:sz="0" w:space="0" w:color="auto"/>
        <w:left w:val="none" w:sz="0" w:space="0" w:color="auto"/>
        <w:bottom w:val="none" w:sz="0" w:space="0" w:color="auto"/>
        <w:right w:val="none" w:sz="0" w:space="0" w:color="auto"/>
      </w:divBdr>
    </w:div>
    <w:div w:id="573273155">
      <w:bodyDiv w:val="1"/>
      <w:marLeft w:val="0"/>
      <w:marRight w:val="0"/>
      <w:marTop w:val="0"/>
      <w:marBottom w:val="0"/>
      <w:divBdr>
        <w:top w:val="none" w:sz="0" w:space="0" w:color="auto"/>
        <w:left w:val="none" w:sz="0" w:space="0" w:color="auto"/>
        <w:bottom w:val="none" w:sz="0" w:space="0" w:color="auto"/>
        <w:right w:val="none" w:sz="0" w:space="0" w:color="auto"/>
      </w:divBdr>
    </w:div>
    <w:div w:id="698505010">
      <w:bodyDiv w:val="1"/>
      <w:marLeft w:val="0"/>
      <w:marRight w:val="0"/>
      <w:marTop w:val="0"/>
      <w:marBottom w:val="0"/>
      <w:divBdr>
        <w:top w:val="none" w:sz="0" w:space="0" w:color="auto"/>
        <w:left w:val="none" w:sz="0" w:space="0" w:color="auto"/>
        <w:bottom w:val="none" w:sz="0" w:space="0" w:color="auto"/>
        <w:right w:val="none" w:sz="0" w:space="0" w:color="auto"/>
      </w:divBdr>
    </w:div>
    <w:div w:id="700400079">
      <w:bodyDiv w:val="1"/>
      <w:marLeft w:val="0"/>
      <w:marRight w:val="0"/>
      <w:marTop w:val="0"/>
      <w:marBottom w:val="0"/>
      <w:divBdr>
        <w:top w:val="none" w:sz="0" w:space="0" w:color="auto"/>
        <w:left w:val="none" w:sz="0" w:space="0" w:color="auto"/>
        <w:bottom w:val="none" w:sz="0" w:space="0" w:color="auto"/>
        <w:right w:val="none" w:sz="0" w:space="0" w:color="auto"/>
      </w:divBdr>
    </w:div>
    <w:div w:id="751467608">
      <w:bodyDiv w:val="1"/>
      <w:marLeft w:val="0"/>
      <w:marRight w:val="0"/>
      <w:marTop w:val="0"/>
      <w:marBottom w:val="0"/>
      <w:divBdr>
        <w:top w:val="none" w:sz="0" w:space="0" w:color="auto"/>
        <w:left w:val="none" w:sz="0" w:space="0" w:color="auto"/>
        <w:bottom w:val="none" w:sz="0" w:space="0" w:color="auto"/>
        <w:right w:val="none" w:sz="0" w:space="0" w:color="auto"/>
      </w:divBdr>
    </w:div>
    <w:div w:id="999577563">
      <w:bodyDiv w:val="1"/>
      <w:marLeft w:val="0"/>
      <w:marRight w:val="0"/>
      <w:marTop w:val="0"/>
      <w:marBottom w:val="0"/>
      <w:divBdr>
        <w:top w:val="none" w:sz="0" w:space="0" w:color="auto"/>
        <w:left w:val="none" w:sz="0" w:space="0" w:color="auto"/>
        <w:bottom w:val="none" w:sz="0" w:space="0" w:color="auto"/>
        <w:right w:val="none" w:sz="0" w:space="0" w:color="auto"/>
      </w:divBdr>
    </w:div>
    <w:div w:id="1216088206">
      <w:bodyDiv w:val="1"/>
      <w:marLeft w:val="0"/>
      <w:marRight w:val="0"/>
      <w:marTop w:val="0"/>
      <w:marBottom w:val="0"/>
      <w:divBdr>
        <w:top w:val="none" w:sz="0" w:space="0" w:color="auto"/>
        <w:left w:val="none" w:sz="0" w:space="0" w:color="auto"/>
        <w:bottom w:val="none" w:sz="0" w:space="0" w:color="auto"/>
        <w:right w:val="none" w:sz="0" w:space="0" w:color="auto"/>
      </w:divBdr>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
    <w:div w:id="1302925367">
      <w:bodyDiv w:val="1"/>
      <w:marLeft w:val="0"/>
      <w:marRight w:val="0"/>
      <w:marTop w:val="0"/>
      <w:marBottom w:val="0"/>
      <w:divBdr>
        <w:top w:val="none" w:sz="0" w:space="0" w:color="auto"/>
        <w:left w:val="none" w:sz="0" w:space="0" w:color="auto"/>
        <w:bottom w:val="none" w:sz="0" w:space="0" w:color="auto"/>
        <w:right w:val="none" w:sz="0" w:space="0" w:color="auto"/>
      </w:divBdr>
    </w:div>
    <w:div w:id="1309357615">
      <w:bodyDiv w:val="1"/>
      <w:marLeft w:val="0"/>
      <w:marRight w:val="0"/>
      <w:marTop w:val="0"/>
      <w:marBottom w:val="0"/>
      <w:divBdr>
        <w:top w:val="none" w:sz="0" w:space="0" w:color="auto"/>
        <w:left w:val="none" w:sz="0" w:space="0" w:color="auto"/>
        <w:bottom w:val="none" w:sz="0" w:space="0" w:color="auto"/>
        <w:right w:val="none" w:sz="0" w:space="0" w:color="auto"/>
      </w:divBdr>
    </w:div>
    <w:div w:id="1461612394">
      <w:bodyDiv w:val="1"/>
      <w:marLeft w:val="0"/>
      <w:marRight w:val="0"/>
      <w:marTop w:val="0"/>
      <w:marBottom w:val="0"/>
      <w:divBdr>
        <w:top w:val="none" w:sz="0" w:space="0" w:color="auto"/>
        <w:left w:val="none" w:sz="0" w:space="0" w:color="auto"/>
        <w:bottom w:val="none" w:sz="0" w:space="0" w:color="auto"/>
        <w:right w:val="none" w:sz="0" w:space="0" w:color="auto"/>
      </w:divBdr>
    </w:div>
    <w:div w:id="1525167433">
      <w:bodyDiv w:val="1"/>
      <w:marLeft w:val="0"/>
      <w:marRight w:val="0"/>
      <w:marTop w:val="0"/>
      <w:marBottom w:val="0"/>
      <w:divBdr>
        <w:top w:val="none" w:sz="0" w:space="0" w:color="auto"/>
        <w:left w:val="none" w:sz="0" w:space="0" w:color="auto"/>
        <w:bottom w:val="none" w:sz="0" w:space="0" w:color="auto"/>
        <w:right w:val="none" w:sz="0" w:space="0" w:color="auto"/>
      </w:divBdr>
    </w:div>
    <w:div w:id="1547332483">
      <w:bodyDiv w:val="1"/>
      <w:marLeft w:val="0"/>
      <w:marRight w:val="0"/>
      <w:marTop w:val="0"/>
      <w:marBottom w:val="0"/>
      <w:divBdr>
        <w:top w:val="none" w:sz="0" w:space="0" w:color="auto"/>
        <w:left w:val="none" w:sz="0" w:space="0" w:color="auto"/>
        <w:bottom w:val="none" w:sz="0" w:space="0" w:color="auto"/>
        <w:right w:val="none" w:sz="0" w:space="0" w:color="auto"/>
      </w:divBdr>
    </w:div>
    <w:div w:id="1575432640">
      <w:bodyDiv w:val="1"/>
      <w:marLeft w:val="0"/>
      <w:marRight w:val="0"/>
      <w:marTop w:val="0"/>
      <w:marBottom w:val="0"/>
      <w:divBdr>
        <w:top w:val="none" w:sz="0" w:space="0" w:color="auto"/>
        <w:left w:val="none" w:sz="0" w:space="0" w:color="auto"/>
        <w:bottom w:val="none" w:sz="0" w:space="0" w:color="auto"/>
        <w:right w:val="none" w:sz="0" w:space="0" w:color="auto"/>
      </w:divBdr>
    </w:div>
    <w:div w:id="1588074353">
      <w:bodyDiv w:val="1"/>
      <w:marLeft w:val="0"/>
      <w:marRight w:val="0"/>
      <w:marTop w:val="0"/>
      <w:marBottom w:val="0"/>
      <w:divBdr>
        <w:top w:val="none" w:sz="0" w:space="0" w:color="auto"/>
        <w:left w:val="none" w:sz="0" w:space="0" w:color="auto"/>
        <w:bottom w:val="none" w:sz="0" w:space="0" w:color="auto"/>
        <w:right w:val="none" w:sz="0" w:space="0" w:color="auto"/>
      </w:divBdr>
    </w:div>
    <w:div w:id="1638337589">
      <w:bodyDiv w:val="1"/>
      <w:marLeft w:val="0"/>
      <w:marRight w:val="0"/>
      <w:marTop w:val="0"/>
      <w:marBottom w:val="0"/>
      <w:divBdr>
        <w:top w:val="none" w:sz="0" w:space="0" w:color="auto"/>
        <w:left w:val="none" w:sz="0" w:space="0" w:color="auto"/>
        <w:bottom w:val="none" w:sz="0" w:space="0" w:color="auto"/>
        <w:right w:val="none" w:sz="0" w:space="0" w:color="auto"/>
      </w:divBdr>
    </w:div>
    <w:div w:id="1908420521">
      <w:bodyDiv w:val="1"/>
      <w:marLeft w:val="0"/>
      <w:marRight w:val="0"/>
      <w:marTop w:val="0"/>
      <w:marBottom w:val="0"/>
      <w:divBdr>
        <w:top w:val="none" w:sz="0" w:space="0" w:color="auto"/>
        <w:left w:val="none" w:sz="0" w:space="0" w:color="auto"/>
        <w:bottom w:val="none" w:sz="0" w:space="0" w:color="auto"/>
        <w:right w:val="none" w:sz="0" w:space="0" w:color="auto"/>
      </w:divBdr>
    </w:div>
    <w:div w:id="1945992909">
      <w:bodyDiv w:val="1"/>
      <w:marLeft w:val="0"/>
      <w:marRight w:val="0"/>
      <w:marTop w:val="0"/>
      <w:marBottom w:val="0"/>
      <w:divBdr>
        <w:top w:val="none" w:sz="0" w:space="0" w:color="auto"/>
        <w:left w:val="none" w:sz="0" w:space="0" w:color="auto"/>
        <w:bottom w:val="none" w:sz="0" w:space="0" w:color="auto"/>
        <w:right w:val="none" w:sz="0" w:space="0" w:color="auto"/>
      </w:divBdr>
    </w:div>
    <w:div w:id="2003045691">
      <w:bodyDiv w:val="1"/>
      <w:marLeft w:val="0"/>
      <w:marRight w:val="0"/>
      <w:marTop w:val="0"/>
      <w:marBottom w:val="0"/>
      <w:divBdr>
        <w:top w:val="none" w:sz="0" w:space="0" w:color="auto"/>
        <w:left w:val="none" w:sz="0" w:space="0" w:color="auto"/>
        <w:bottom w:val="none" w:sz="0" w:space="0" w:color="auto"/>
        <w:right w:val="none" w:sz="0" w:space="0" w:color="auto"/>
      </w:divBdr>
    </w:div>
    <w:div w:id="20378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702681\appdata\local\temp\tm_temp\TM_2\E.1.2%20-%20Sector%20P&#250;blico%20Local%202020%20-%2026-1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Nº contratos adjudicados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'resumen FECHAS'!$C$29</c:f>
              <c:strCache>
                <c:ptCount val="1"/>
                <c:pt idx="0">
                  <c:v>2020</c:v>
                </c:pt>
              </c:strCache>
            </c:strRef>
          </c:tx>
          <c:spPr>
            <a:ln w="28575" cap="rnd">
              <a:solidFill>
                <a:schemeClr val="accent2"/>
              </a:solidFill>
              <a:round/>
            </a:ln>
            <a:effectLst/>
          </c:spPr>
          <c:marker>
            <c:symbol val="none"/>
          </c:marker>
          <c:cat>
            <c:strRef>
              <c:f>'resumen FECHAS'!$B$30:$B$41</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'resumen FECHAS'!$C$30:$C$41</c:f>
              <c:numCache>
                <c:formatCode>#,##0</c:formatCode>
                <c:ptCount val="12"/>
                <c:pt idx="0">
                  <c:v>14</c:v>
                </c:pt>
                <c:pt idx="1">
                  <c:v>22</c:v>
                </c:pt>
                <c:pt idx="2">
                  <c:v>26</c:v>
                </c:pt>
                <c:pt idx="3">
                  <c:v>3</c:v>
                </c:pt>
                <c:pt idx="4">
                  <c:v>30</c:v>
                </c:pt>
                <c:pt idx="5">
                  <c:v>36</c:v>
                </c:pt>
                <c:pt idx="6">
                  <c:v>39</c:v>
                </c:pt>
                <c:pt idx="7">
                  <c:v>39</c:v>
                </c:pt>
                <c:pt idx="8">
                  <c:v>57</c:v>
                </c:pt>
                <c:pt idx="9">
                  <c:v>51</c:v>
                </c:pt>
                <c:pt idx="10">
                  <c:v>27</c:v>
                </c:pt>
                <c:pt idx="11">
                  <c:v>48</c:v>
                </c:pt>
              </c:numCache>
            </c:numRef>
          </c:val>
          <c:smooth val="0"/>
          <c:extLst>
            <c:ext xmlns:c16="http://schemas.microsoft.com/office/drawing/2014/chart" uri="{C3380CC4-5D6E-409C-BE32-E72D297353CC}">
              <c16:uniqueId val="{00000000-6030-4B94-B903-E5759EF278FB}"/>
            </c:ext>
          </c:extLst>
        </c:ser>
        <c:ser>
          <c:idx val="1"/>
          <c:order val="1"/>
          <c:tx>
            <c:strRef>
              <c:f>'resumen FECHAS'!$D$29</c:f>
              <c:strCache>
                <c:ptCount val="1"/>
                <c:pt idx="0">
                  <c:v>2019</c:v>
                </c:pt>
              </c:strCache>
            </c:strRef>
          </c:tx>
          <c:spPr>
            <a:ln w="28575" cap="rnd">
              <a:solidFill>
                <a:schemeClr val="accent1"/>
              </a:solidFill>
              <a:round/>
            </a:ln>
            <a:effectLst/>
          </c:spPr>
          <c:marker>
            <c:symbol val="none"/>
          </c:marker>
          <c:cat>
            <c:strRef>
              <c:f>'resumen FECHAS'!$B$30:$B$41</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'resumen FECHAS'!$D$30:$D$41</c:f>
              <c:numCache>
                <c:formatCode>General</c:formatCode>
                <c:ptCount val="12"/>
                <c:pt idx="0">
                  <c:v>32</c:v>
                </c:pt>
                <c:pt idx="1">
                  <c:v>20</c:v>
                </c:pt>
                <c:pt idx="2">
                  <c:v>37</c:v>
                </c:pt>
                <c:pt idx="3">
                  <c:v>41</c:v>
                </c:pt>
                <c:pt idx="4">
                  <c:v>65</c:v>
                </c:pt>
                <c:pt idx="5">
                  <c:v>45</c:v>
                </c:pt>
                <c:pt idx="6">
                  <c:v>35</c:v>
                </c:pt>
                <c:pt idx="7">
                  <c:v>40</c:v>
                </c:pt>
                <c:pt idx="8">
                  <c:v>58</c:v>
                </c:pt>
                <c:pt idx="9">
                  <c:v>39</c:v>
                </c:pt>
                <c:pt idx="10">
                  <c:v>31</c:v>
                </c:pt>
                <c:pt idx="11">
                  <c:v>61</c:v>
                </c:pt>
              </c:numCache>
            </c:numRef>
          </c:val>
          <c:smooth val="0"/>
          <c:extLst>
            <c:ext xmlns:c16="http://schemas.microsoft.com/office/drawing/2014/chart" uri="{C3380CC4-5D6E-409C-BE32-E72D297353CC}">
              <c16:uniqueId val="{00000001-6030-4B94-B903-E5759EF278FB}"/>
            </c:ext>
          </c:extLst>
        </c:ser>
        <c:dLbls>
          <c:showLegendKey val="0"/>
          <c:showVal val="0"/>
          <c:showCatName val="0"/>
          <c:showSerName val="0"/>
          <c:showPercent val="0"/>
          <c:showBubbleSize val="0"/>
        </c:dLbls>
        <c:smooth val="0"/>
        <c:axId val="680409568"/>
        <c:axId val="680414488"/>
      </c:lineChart>
      <c:catAx>
        <c:axId val="68040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0414488"/>
        <c:crosses val="autoZero"/>
        <c:auto val="1"/>
        <c:lblAlgn val="ctr"/>
        <c:lblOffset val="100"/>
        <c:noMultiLvlLbl val="0"/>
      </c:catAx>
      <c:valAx>
        <c:axId val="680414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040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F6F4-CC25-48C7-8B9C-AFF2168B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53</Pages>
  <Words>18225</Words>
  <Characters>97488</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d156363</dc:creator>
  <cp:keywords/>
  <dc:description/>
  <cp:lastModifiedBy>Aranaz, Carlota</cp:lastModifiedBy>
  <cp:revision>44</cp:revision>
  <cp:lastPrinted>2023-01-04T13:04:00Z</cp:lastPrinted>
  <dcterms:created xsi:type="dcterms:W3CDTF">2022-12-28T08:21:00Z</dcterms:created>
  <dcterms:modified xsi:type="dcterms:W3CDTF">2023-01-19T09:01:00Z</dcterms:modified>
</cp:coreProperties>
</file>