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 xml:space="preserve">Navarra Suma talde parlamentarioari atxikitako foru parlamentari Marta </w:t>
      </w:r>
      <w:proofErr w:type="spellStart"/>
      <w:r>
        <w:rPr>
          <w:rFonts w:ascii="Arial" w:hAnsi="Arial"/>
          <w:color w:val="000000"/>
        </w:rPr>
        <w:t>Álvarez</w:t>
      </w:r>
      <w:proofErr w:type="spellEnd"/>
      <w:r>
        <w:rPr>
          <w:rFonts w:ascii="Arial" w:hAnsi="Arial"/>
          <w:color w:val="000000"/>
        </w:rPr>
        <w:t xml:space="preserve"> Alonso andreak galdera egin du, jakiteko Nafarroako Gobernuak zenbat diru ordaintzeari utzi dion, bizitzeko gutxieneko diru-sarrera abian jarri zenez geroztik, errenta bermatuari legokiokeen diru-kopuruaren parte bat Estatuak ordaintzearen ondorioz (10-</w:t>
      </w:r>
      <w:proofErr w:type="spellStart"/>
      <w:r>
        <w:rPr>
          <w:rFonts w:ascii="Arial" w:hAnsi="Arial"/>
          <w:color w:val="000000"/>
        </w:rPr>
        <w:t>21</w:t>
      </w:r>
      <w:proofErr w:type="spellEnd"/>
      <w:r>
        <w:rPr>
          <w:rFonts w:ascii="Arial" w:hAnsi="Arial"/>
          <w:color w:val="000000"/>
        </w:rPr>
        <w:t>/PES-00207). Hona Nafarroako Gobernuko Eskubide Sozialetako kontseilariak informatzeko duena: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Bizitzeko gutxieneko diru-sarrera ezartzearen ondorioz Nafarroako Gobernuak errenta bermatura bideratzen ez dituen zenbatekoen zenbatespena honako hau da:</w:t>
      </w:r>
    </w:p>
    <w:p w:rsidR="007706EF" w:rsidRDefault="007706EF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Normal"/>
        <w:tblW w:w="0" w:type="auto"/>
        <w:tblInd w:w="997" w:type="dxa"/>
        <w:tblLayout w:type="fixed"/>
        <w:tblLook w:val="01E0" w:firstRow="1" w:lastRow="1" w:firstColumn="1" w:lastColumn="1" w:noHBand="0" w:noVBand="0"/>
      </w:tblPr>
      <w:tblGrid>
        <w:gridCol w:w="1320"/>
        <w:gridCol w:w="2220"/>
        <w:gridCol w:w="2313"/>
      </w:tblGrid>
      <w:tr w:rsidR="007706EF" w:rsidTr="005B472B">
        <w:trPr>
          <w:trHeight w:hRule="exact" w:val="286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Urtea</w:t>
            </w:r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Hilabetea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5B9BD5"/>
          </w:tcPr>
          <w:p w:rsidR="007706EF" w:rsidRDefault="007706EF" w:rsidP="005B472B">
            <w:pPr>
              <w:pStyle w:val="TableParagraph"/>
              <w:spacing w:before="1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Zenbatekoa</w:t>
            </w:r>
          </w:p>
        </w:tc>
      </w:tr>
      <w:tr w:rsidR="007706EF" w:rsidTr="005B472B">
        <w:trPr>
          <w:trHeight w:hRule="exact" w:val="300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32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Uztaila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32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4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Abuztua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Iraila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Urria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Azaroa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Abendua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5"/>
              <w:ind w:left="2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Guztira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5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4.488.841.86</w:t>
            </w:r>
            <w:proofErr w:type="spellEnd"/>
          </w:p>
        </w:tc>
      </w:tr>
      <w:tr w:rsidR="007706EF" w:rsidTr="005B472B">
        <w:trPr>
          <w:trHeight w:hRule="exact" w:val="298"/>
        </w:trPr>
        <w:tc>
          <w:tcPr>
            <w:tcW w:w="1320" w:type="dxa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2021</w:t>
            </w:r>
            <w:proofErr w:type="spellEnd"/>
          </w:p>
        </w:tc>
        <w:tc>
          <w:tcPr>
            <w:tcW w:w="2220" w:type="dxa"/>
            <w:tcBorders>
              <w:top w:val="single" w:sz="5" w:space="0" w:color="5B9BD5"/>
              <w:left w:val="nil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Urtarrila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748.140.31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1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Otsaila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2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756.246.42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3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Martxoa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1.115.722.79</w:t>
            </w:r>
            <w:proofErr w:type="spellEnd"/>
          </w:p>
        </w:tc>
      </w:tr>
      <w:tr w:rsidR="007706EF" w:rsidTr="005B472B">
        <w:trPr>
          <w:trHeight w:hRule="exact" w:val="298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1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Apirila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1.509.391.38</w:t>
            </w:r>
            <w:proofErr w:type="spellEnd"/>
          </w:p>
        </w:tc>
      </w:tr>
      <w:tr w:rsidR="007706EF" w:rsidTr="005B472B">
        <w:trPr>
          <w:trHeight w:hRule="exact" w:val="295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5"/>
              <w:ind w:left="2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Maiatza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5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1.558.219.00</w:t>
            </w:r>
            <w:proofErr w:type="spellEnd"/>
          </w:p>
        </w:tc>
      </w:tr>
      <w:tr w:rsidR="007706EF" w:rsidTr="005B472B">
        <w:trPr>
          <w:trHeight w:hRule="exact" w:val="296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</w:tcPr>
          <w:p w:rsidR="007706EF" w:rsidRDefault="007706EF" w:rsidP="005B472B">
            <w:pPr>
              <w:pStyle w:val="TableParagraph"/>
              <w:spacing w:before="27"/>
              <w:ind w:left="2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Ekaina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</w:tcPr>
          <w:p w:rsidR="007706EF" w:rsidRDefault="007706EF" w:rsidP="005B472B">
            <w:pPr>
              <w:pStyle w:val="TableParagraph"/>
              <w:spacing w:before="27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1.920.239.23</w:t>
            </w:r>
            <w:proofErr w:type="spellEnd"/>
          </w:p>
        </w:tc>
      </w:tr>
      <w:tr w:rsidR="007706EF" w:rsidTr="005B472B">
        <w:trPr>
          <w:trHeight w:hRule="exact" w:val="297"/>
        </w:trPr>
        <w:tc>
          <w:tcPr>
            <w:tcW w:w="3540" w:type="dxa"/>
            <w:gridSpan w:val="2"/>
            <w:tcBorders>
              <w:top w:val="single" w:sz="5" w:space="0" w:color="5B9BD5"/>
              <w:left w:val="single" w:sz="5" w:space="0" w:color="5B9BD5"/>
              <w:bottom w:val="single" w:sz="5" w:space="0" w:color="5B9BD5"/>
              <w:right w:val="nil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4"/>
              <w:ind w:left="2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Guztira</w:t>
            </w:r>
          </w:p>
        </w:tc>
        <w:tc>
          <w:tcPr>
            <w:tcW w:w="2313" w:type="dxa"/>
            <w:tcBorders>
              <w:top w:val="single" w:sz="5" w:space="0" w:color="5B9BD5"/>
              <w:left w:val="nil"/>
              <w:bottom w:val="single" w:sz="5" w:space="0" w:color="5B9BD5"/>
              <w:right w:val="single" w:sz="5" w:space="0" w:color="5B9BD5"/>
            </w:tcBorders>
            <w:shd w:val="clear" w:color="auto" w:fill="DEEAF6"/>
          </w:tcPr>
          <w:p w:rsidR="007706EF" w:rsidRDefault="007706EF" w:rsidP="005B472B">
            <w:pPr>
              <w:pStyle w:val="TableParagraph"/>
              <w:spacing w:before="24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7.607.959.13</w:t>
            </w:r>
            <w:proofErr w:type="spellEnd"/>
          </w:p>
        </w:tc>
      </w:tr>
    </w:tbl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/>
          <w:b/>
          <w:bCs/>
          <w:color w:val="FFFFFF"/>
          <w:sz w:val="20"/>
          <w:szCs w:val="20"/>
        </w:rPr>
        <w:t>Urtea Hilabetea Zenbatekoa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Edonola ere, zenbaki horiek ezin dira aurrezki “garbi” gisa ulertu Nafarroak, Hitzarmen Ekonomikoarekin bat, ekarpena egin beharko duelako, dagokion zatian, Espainiako prestazio orokorraren guztizko kostua ordaintzeko.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Hori guztia jakinarazten dizut, Nafarroako Parlamentuko Erregelamenduaren 194. artikulua betez.</w:t>
      </w:r>
    </w:p>
    <w:p w:rsidR="00E83FD6" w:rsidRDefault="00E83FD6" w:rsidP="00E83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Iruñean, </w:t>
      </w:r>
      <w:proofErr w:type="spellStart"/>
      <w:r>
        <w:rPr>
          <w:rFonts w:ascii="Arial" w:hAnsi="Arial"/>
          <w:color w:val="000000"/>
        </w:rPr>
        <w:t>2021eko</w:t>
      </w:r>
      <w:proofErr w:type="spellEnd"/>
      <w:r>
        <w:rPr>
          <w:rFonts w:ascii="Arial" w:hAnsi="Arial"/>
          <w:color w:val="000000"/>
        </w:rPr>
        <w:t xml:space="preserve"> uztailaren 2an.</w:t>
      </w:r>
    </w:p>
    <w:p w:rsidR="00AC63B5" w:rsidRPr="0014677B" w:rsidRDefault="00E83FD6" w:rsidP="00146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Eskubide Sozialetako kontseilaria: </w:t>
      </w:r>
      <w:proofErr w:type="spellStart"/>
      <w:r>
        <w:rPr>
          <w:rFonts w:ascii="Arial" w:hAnsi="Arial"/>
          <w:color w:val="000000"/>
        </w:rPr>
        <w:t>María</w:t>
      </w:r>
      <w:proofErr w:type="spellEnd"/>
      <w:r>
        <w:rPr>
          <w:rFonts w:ascii="Arial" w:hAnsi="Arial"/>
          <w:color w:val="000000"/>
        </w:rPr>
        <w:t xml:space="preserve"> Carmen Maeztu Villafranca</w:t>
      </w:r>
    </w:p>
    <w:sectPr w:rsidR="00AC63B5" w:rsidRPr="00146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D6"/>
    <w:rsid w:val="0014677B"/>
    <w:rsid w:val="003D2BC7"/>
    <w:rsid w:val="004B199E"/>
    <w:rsid w:val="007706EF"/>
    <w:rsid w:val="00AC63B5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E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6E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E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06E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2021-07-21T08:01:00Z</dcterms:created>
  <dcterms:modified xsi:type="dcterms:W3CDTF">2021-08-25T07:56:00Z</dcterms:modified>
</cp:coreProperties>
</file>