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07" w:rsidRPr="00D106AB" w:rsidRDefault="006F3270" w:rsidP="00D106AB">
      <w:pPr>
        <w:spacing w:after="200" w:line="276" w:lineRule="auto"/>
        <w:ind w:firstLine="708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EH Bildu Nafarroa talde parlamentarioari atxikitako foru parlamentari Arantxa Izurdiaga Osinaga andreak idatziz erantzuteko 10-21/PES-00162 galdera egin du SOD20 0003 lizitazio-espedienteari buruz. Honako hau da Garapen Ekonomiko eta Enpresarialeko kontseilari Mikel Irujo Amezaga jaunak horri buruz ematen dion informazioa:</w:t>
      </w:r>
      <w:r>
        <w:rPr>
          <w:rFonts w:asciiTheme="minorHAnsi" w:hAnsiTheme="minorHAnsi"/>
        </w:rPr>
        <w:t xml:space="preserve"> </w:t>
      </w:r>
    </w:p>
    <w:p w:rsidR="00550C07" w:rsidRDefault="00550C07" w:rsidP="00550C07">
      <w:pPr>
        <w:pStyle w:val="Default"/>
        <w:jc w:val="both"/>
        <w:rPr>
          <w:sz w:val="22"/>
          <w:szCs w:val="22"/>
        </w:rPr>
      </w:pPr>
    </w:p>
    <w:p w:rsidR="00550C07" w:rsidRPr="00460B28" w:rsidRDefault="00550C07" w:rsidP="00550C07">
      <w:pPr>
        <w:pStyle w:val="Default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Zer enpresari esleitu zaio kontratua?</w:t>
      </w:r>
      <w:r>
        <w:rPr>
          <w:b/>
          <w:sz w:val="22"/>
          <w:szCs w:val="22"/>
        </w:rPr>
        <w:t xml:space="preserve"> </w:t>
      </w:r>
    </w:p>
    <w:p w:rsidR="00550C07" w:rsidRPr="00460B28" w:rsidRDefault="00550C07" w:rsidP="00550C07">
      <w:pPr>
        <w:pStyle w:val="Default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Kontratuan zer epe ezarri da lanak egiteko?</w:t>
      </w:r>
      <w:r>
        <w:rPr>
          <w:b/>
          <w:sz w:val="22"/>
          <w:szCs w:val="22"/>
        </w:rPr>
        <w:t xml:space="preserve"> </w:t>
      </w:r>
    </w:p>
    <w:p w:rsidR="00550C07" w:rsidRPr="00460B28" w:rsidRDefault="00550C07" w:rsidP="00550C07">
      <w:pPr>
        <w:pStyle w:val="Default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Zer prezio ezarri da kontratuan?</w:t>
      </w:r>
      <w:r>
        <w:rPr>
          <w:b/>
          <w:sz w:val="22"/>
          <w:szCs w:val="22"/>
        </w:rPr>
        <w:t xml:space="preserve"> </w:t>
      </w:r>
    </w:p>
    <w:p w:rsidR="00550C07" w:rsidRDefault="00550C07" w:rsidP="00550C07">
      <w:pPr>
        <w:spacing w:after="200" w:line="276" w:lineRule="auto"/>
        <w:jc w:val="both"/>
        <w:rPr>
          <w:rFonts w:asciiTheme="minorHAnsi" w:hAnsiTheme="minorHAnsi" w:cstheme="minorBidi"/>
        </w:rPr>
      </w:pPr>
    </w:p>
    <w:p w:rsidR="00550C07" w:rsidRDefault="00550C07" w:rsidP="00550C07">
      <w:pPr>
        <w:spacing w:after="200" w:line="276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Ondokoa jakinarazten dizugu honako erantzun honen bidez:</w:t>
      </w:r>
    </w:p>
    <w:p w:rsidR="00550C07" w:rsidRDefault="00550C07" w:rsidP="00550C07">
      <w:pPr>
        <w:spacing w:after="200" w:line="276" w:lineRule="auto"/>
        <w:ind w:firstLine="708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Sodenak 2020ko azaroaren 16an argitaratutako prentsa-oharrak jasotzen zuen bezala, aholkularitza-zerbitzuak kontratatzeko lizitazioari ekingo zitzaion, kapital pribatuko finantza-tresna bat sortzea (Sodenaren laguntzarekin) edo bestela azken hori lehendik zegoen batean sartzea bultzatzearen egokitasuna aztertzeko.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Tresna honen azken helburua da Nafarroako enpresa lehiakor, traktore eta beren sektorean lider direnen hazkundea erraztea, tamaina ertain eta handikoak, haien hedapen-planak eta, ondorioz, haiek lurraldean ainguratzea eta irautea babestuz.</w:t>
      </w:r>
    </w:p>
    <w:p w:rsidR="00550C07" w:rsidRDefault="00550C07" w:rsidP="00550C07">
      <w:pPr>
        <w:jc w:val="both"/>
        <w:rPr>
          <w:rFonts w:asciiTheme="minorHAnsi" w:hAnsiTheme="minorHAnsi" w:cstheme="minorBidi"/>
        </w:rPr>
      </w:pPr>
    </w:p>
    <w:p w:rsidR="00550C07" w:rsidRDefault="00550C07" w:rsidP="00550C07">
      <w:pPr>
        <w:spacing w:after="200" w:line="276" w:lineRule="auto"/>
        <w:ind w:firstLine="708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Ekimen parlamentarioen bidea badagoela badakigun arren, gogoratu behar da lizitazio publikoko prozesu bati buruzko informazio guztia eskuragarri eta herritarrentzat irekita dagoela Nafarroako Gobernuaren kontratazio-atarian, honako helbide honetan:</w:t>
      </w:r>
    </w:p>
    <w:p w:rsidR="00550C07" w:rsidRDefault="004E387B" w:rsidP="00550C07">
      <w:pPr>
        <w:jc w:val="both"/>
      </w:pPr>
      <w:hyperlink r:id="rId8" w:history="1">
        <w:r>
          <w:rPr>
            <w:rStyle w:val="Hipervnculo"/>
          </w:rPr>
          <w:t xml:space="preserve">https://hacienda.navarra.es/sicpportal/ctaDato</w:t>
        </w:r>
        <w:bookmarkStart w:id="0" w:name="_Hlt72226715"/>
        <w:bookmarkStart w:id="1" w:name="_Hlt72226716"/>
        <w:r>
          <w:rPr>
            <w:rStyle w:val="Hipervnculo"/>
          </w:rPr>
          <w:t xml:space="preserve">s</w:t>
        </w:r>
        <w:bookmarkEnd w:id="0"/>
        <w:bookmarkEnd w:id="1"/>
        <w:r>
          <w:rPr>
            <w:rStyle w:val="Hipervnculo"/>
          </w:rPr>
          <w:t xml:space="preserve">Adjudicacion.aspx?Cod=8148&amp;Ticket=2101251042325FFAB9C6</w:t>
        </w:r>
      </w:hyperlink>
    </w:p>
    <w:p w:rsidR="00550C07" w:rsidRDefault="00550C07" w:rsidP="00550C07">
      <w:pPr>
        <w:jc w:val="both"/>
      </w:pPr>
    </w:p>
    <w:p w:rsidR="00550C07" w:rsidRDefault="00550C07" w:rsidP="00550C07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Egindako galderei dagokienez:</w:t>
      </w:r>
    </w:p>
    <w:p w:rsidR="00550C07" w:rsidRPr="000675A4" w:rsidRDefault="00550C07" w:rsidP="00550C07">
      <w:pPr>
        <w:jc w:val="both"/>
        <w:rPr>
          <w:rFonts w:asciiTheme="minorHAnsi" w:hAnsiTheme="minorHAnsi" w:cstheme="minorBidi"/>
        </w:rPr>
      </w:pPr>
    </w:p>
    <w:p w:rsidR="00550C07" w:rsidRDefault="00550C07" w:rsidP="00550C07">
      <w:pPr>
        <w:pStyle w:val="Default"/>
        <w:numPr>
          <w:ilvl w:val="0"/>
          <w:numId w:val="14"/>
        </w:numPr>
        <w:jc w:val="both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Zer enpresari esleitu zaio kontratua?</w:t>
      </w:r>
    </w:p>
    <w:p w:rsidR="00550C07" w:rsidRPr="008657AA" w:rsidRDefault="00550C07" w:rsidP="00550C07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0C07" w:rsidRPr="00D106AB" w:rsidRDefault="00550C07" w:rsidP="00D106AB">
      <w:pPr>
        <w:spacing w:after="200" w:line="276" w:lineRule="auto"/>
        <w:ind w:firstLine="708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“Fondo Arraigo” kapital pribatuko finantza-tresna bat sortzea (Sodenaren laguntzarekin) edo bestela lehendik zegoen batean sartzea bultzatzearen egokitasuna aztertzeko aholkularitza ekonomiko-finantzarioko zerbitzua emateko kontratua, betiere ulertuta finantza-tresna hori arrisku-kapitaleko partaidetza publikoko entitate pribatu bat izanen dela, PrincewaterhouseCoopers, Asesores de Negocios SLri (PwC) merkataritza-enpresari esleitu zaio.</w:t>
      </w:r>
    </w:p>
    <w:p w:rsidR="00550C07" w:rsidRPr="008657AA" w:rsidRDefault="00550C07" w:rsidP="00550C0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C07" w:rsidRDefault="00550C07" w:rsidP="00550C07">
      <w:pPr>
        <w:pStyle w:val="Default"/>
        <w:numPr>
          <w:ilvl w:val="0"/>
          <w:numId w:val="14"/>
        </w:numPr>
        <w:jc w:val="both"/>
        <w:rPr>
          <w:b/>
          <w:bCs/>
          <w:sz w:val="22"/>
          <w:szCs w:val="22"/>
          <w:rFonts w:asciiTheme="minorHAnsi" w:hAnsiTheme="minorHAnsi" w:cstheme="minorBidi"/>
        </w:rPr>
      </w:pPr>
      <w:r>
        <w:rPr>
          <w:b/>
          <w:bCs/>
          <w:sz w:val="22"/>
          <w:szCs w:val="22"/>
          <w:rFonts w:asciiTheme="minorHAnsi" w:hAnsiTheme="minorHAnsi"/>
        </w:rPr>
        <w:t xml:space="preserve">Kontratuan zer epe ezarri da lanak egiteko?</w:t>
      </w:r>
    </w:p>
    <w:p w:rsidR="00550C07" w:rsidRPr="008657AA" w:rsidRDefault="00550C07" w:rsidP="00550C07">
      <w:pPr>
        <w:pStyle w:val="Default"/>
        <w:ind w:left="7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="00550C07" w:rsidRPr="00D106AB" w:rsidRDefault="00550C07" w:rsidP="00D106AB">
      <w:pPr>
        <w:spacing w:after="200" w:line="276" w:lineRule="auto"/>
        <w:ind w:firstLine="708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4 hilabeteko epea ezarri da PwCren eta Sodenaren arteko kontratua formalizatzen den egunetik (2021eko otsailaren 23a) kontatzen hasita.</w:t>
      </w:r>
      <w:r>
        <w:rPr>
          <w:rFonts w:asciiTheme="minorHAnsi" w:hAnsiTheme="minorHAnsi"/>
        </w:rPr>
        <w:t xml:space="preserve"> </w:t>
      </w:r>
    </w:p>
    <w:p w:rsidR="00550C07" w:rsidRPr="008657AA" w:rsidRDefault="00550C07" w:rsidP="00550C0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C07" w:rsidRDefault="00550C07" w:rsidP="0055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rFonts w:cstheme="minorHAnsi"/>
        </w:rPr>
      </w:pPr>
      <w:r>
        <w:rPr>
          <w:b/>
        </w:rPr>
        <w:t xml:space="preserve">Zer prezio ezarri da kontratuan?</w:t>
      </w:r>
    </w:p>
    <w:p w:rsidR="00D106AB" w:rsidRDefault="00D106AB" w:rsidP="00550C07">
      <w:pPr>
        <w:ind w:left="709"/>
        <w:jc w:val="both"/>
        <w:rPr>
          <w:rFonts w:asciiTheme="minorHAnsi" w:hAnsiTheme="minorHAnsi" w:cstheme="minorBidi"/>
          <w:sz w:val="22"/>
          <w:szCs w:val="22"/>
        </w:rPr>
      </w:pPr>
    </w:p>
    <w:p w:rsidR="00550C07" w:rsidRPr="00D106AB" w:rsidRDefault="00550C07" w:rsidP="00550C07">
      <w:pPr>
        <w:ind w:left="709"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Ezarritako prezioa 70.000 euro gehi BEZa da.</w:t>
      </w:r>
      <w:r>
        <w:rPr>
          <w:rFonts w:asciiTheme="minorHAnsi" w:hAnsiTheme="minorHAnsi"/>
        </w:rPr>
        <w:t xml:space="preserve"> </w:t>
      </w:r>
    </w:p>
    <w:p w:rsidR="00550C07" w:rsidRPr="008657AA" w:rsidRDefault="00550C07" w:rsidP="00550C0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06AB" w:rsidRDefault="00D106AB" w:rsidP="00A07C53">
      <w:pPr>
        <w:spacing w:after="20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2A03EC" w:rsidRPr="00D106AB" w:rsidRDefault="002A03EC" w:rsidP="00D106AB">
      <w:pPr>
        <w:spacing w:after="200" w:line="276" w:lineRule="auto"/>
        <w:ind w:firstLine="708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 xml:space="preserve">Hori guztia jakinarazten dizut, Nafarroako Parlamentuko Erregelamenduaren 194. artikulua betez.</w:t>
      </w:r>
    </w:p>
    <w:p w:rsidR="00A07C53" w:rsidRPr="00D106AB" w:rsidRDefault="00A07C53" w:rsidP="00A07C53">
      <w:pPr>
        <w:spacing w:after="200" w:line="276" w:lineRule="auto"/>
        <w:rPr>
          <w:rFonts w:asciiTheme="minorHAnsi" w:eastAsia="Calibri" w:hAnsiTheme="minorHAnsi" w:cs="Arial"/>
          <w:lang w:eastAsia="en-US"/>
        </w:rPr>
      </w:pPr>
    </w:p>
    <w:p w:rsidR="002A03EC" w:rsidRPr="00D106A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 xml:space="preserve">Iruñean, 2021eko ekainaren 7an</w:t>
      </w:r>
    </w:p>
    <w:p w:rsidR="00A07C53" w:rsidRPr="00D106A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 xml:space="preserve">Garapen Ekonomiko eta Enpresarialeko kontseilaria: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Mikel Irujo Amezaga</w:t>
      </w:r>
    </w:p>
    <w:p w:rsidR="008F42F9" w:rsidRPr="00204105" w:rsidRDefault="008F42F9" w:rsidP="008F42F9">
      <w:pPr>
        <w:rPr>
          <w:rFonts w:asciiTheme="minorHAnsi" w:hAnsiTheme="minorHAnsi"/>
        </w:rPr>
      </w:pPr>
    </w:p>
    <w:sectPr w:rsidR="008F42F9" w:rsidRPr="00204105" w:rsidSect="00204105">
      <w:headerReference w:type="first" r:id="rId9"/>
      <w:pgSz w:w="11906" w:h="16838" w:code="9"/>
      <w:pgMar w:top="2942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drawing>
        <wp:inline distT="0" distB="0" distL="0" distR="0" wp14:anchorId="45DB851A" wp14:editId="118E1B01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FE9"/>
    <w:multiLevelType w:val="hybridMultilevel"/>
    <w:tmpl w:val="601A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D385E"/>
    <w:multiLevelType w:val="hybridMultilevel"/>
    <w:tmpl w:val="7360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54AC6"/>
    <w:multiLevelType w:val="hybridMultilevel"/>
    <w:tmpl w:val="282C8BD4"/>
    <w:lvl w:ilvl="0" w:tplc="34C00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52B59"/>
    <w:rsid w:val="000A6FD6"/>
    <w:rsid w:val="000D5A36"/>
    <w:rsid w:val="00100E08"/>
    <w:rsid w:val="001356D8"/>
    <w:rsid w:val="001360A4"/>
    <w:rsid w:val="001D0723"/>
    <w:rsid w:val="001E3FB5"/>
    <w:rsid w:val="001E7275"/>
    <w:rsid w:val="00204105"/>
    <w:rsid w:val="00287512"/>
    <w:rsid w:val="002A03EC"/>
    <w:rsid w:val="002E36EF"/>
    <w:rsid w:val="003326DB"/>
    <w:rsid w:val="00355E3F"/>
    <w:rsid w:val="003737A4"/>
    <w:rsid w:val="00377B13"/>
    <w:rsid w:val="003B13FB"/>
    <w:rsid w:val="003B6B5E"/>
    <w:rsid w:val="003F5379"/>
    <w:rsid w:val="00434B31"/>
    <w:rsid w:val="00437DEA"/>
    <w:rsid w:val="004E387B"/>
    <w:rsid w:val="004E6EBA"/>
    <w:rsid w:val="00520039"/>
    <w:rsid w:val="005332E5"/>
    <w:rsid w:val="00535B11"/>
    <w:rsid w:val="00550C07"/>
    <w:rsid w:val="00556C67"/>
    <w:rsid w:val="005D2A5C"/>
    <w:rsid w:val="0069291B"/>
    <w:rsid w:val="006F3270"/>
    <w:rsid w:val="00790268"/>
    <w:rsid w:val="007C2B39"/>
    <w:rsid w:val="007C6FF0"/>
    <w:rsid w:val="00830057"/>
    <w:rsid w:val="00850F2C"/>
    <w:rsid w:val="008B423E"/>
    <w:rsid w:val="008F42F9"/>
    <w:rsid w:val="00A07C53"/>
    <w:rsid w:val="00A22CC6"/>
    <w:rsid w:val="00A632F0"/>
    <w:rsid w:val="00A956D5"/>
    <w:rsid w:val="00A95C02"/>
    <w:rsid w:val="00AA3DE7"/>
    <w:rsid w:val="00AF706D"/>
    <w:rsid w:val="00B819BB"/>
    <w:rsid w:val="00BB2C36"/>
    <w:rsid w:val="00BC6038"/>
    <w:rsid w:val="00BF22C4"/>
    <w:rsid w:val="00C1598D"/>
    <w:rsid w:val="00C175B4"/>
    <w:rsid w:val="00C30218"/>
    <w:rsid w:val="00CD2A74"/>
    <w:rsid w:val="00D106AB"/>
    <w:rsid w:val="00D67B41"/>
    <w:rsid w:val="00DC7DCE"/>
    <w:rsid w:val="00DD777A"/>
    <w:rsid w:val="00DF6784"/>
    <w:rsid w:val="00E8213F"/>
    <w:rsid w:val="00F73997"/>
    <w:rsid w:val="00FA3E20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hacienda.navarra.es/sicpportal/ctaDatosAdjudicacion.aspx?Cod=8148&amp;Ticket=2101251042325FFAB9C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2021-03-30T06:57:00Z</cp:lastPrinted>
  <dcterms:created xsi:type="dcterms:W3CDTF">2021-06-09T06:48:00Z</dcterms:created>
  <dcterms:modified xsi:type="dcterms:W3CDTF">2021-06-09T06:49:00Z</dcterms:modified>
</cp:coreProperties>
</file>