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3B" w:rsidRDefault="0006723B" w:rsidP="00191644">
      <w:pPr>
        <w:spacing w:after="0" w:line="360" w:lineRule="auto"/>
        <w:ind w:firstLine="709"/>
        <w:jc w:val="both"/>
        <w:rPr>
          <w:rFonts w:ascii="Arial" w:hAnsi="Arial" w:cs="Arial"/>
        </w:rPr>
      </w:pPr>
      <w:bookmarkStart w:id="0" w:name="_GoBack"/>
      <w:r>
        <w:rPr>
          <w:rFonts w:ascii="Arial" w:hAnsi="Arial"/>
        </w:rPr>
        <w:t>EH Bildu talde parlamentarioari atxikitako Bakartxo Ruiz Jaso andreak 10-20 PES-00201 galdera aurkeztu du. Hori dela-eta, hona Nafarroako Gobernuko Hezkuntzako kontseilariaren informazioa:</w:t>
      </w:r>
    </w:p>
    <w:p w:rsidR="00FA2BD2" w:rsidRDefault="00D67C65" w:rsidP="00FA2BD2">
      <w:pPr>
        <w:spacing w:line="360" w:lineRule="auto"/>
        <w:ind w:firstLine="708"/>
        <w:jc w:val="both"/>
        <w:outlineLvl w:val="0"/>
        <w:rPr>
          <w:rFonts w:ascii="Arial" w:hAnsi="Arial" w:cs="Arial"/>
        </w:rPr>
      </w:pPr>
      <w:r>
        <w:rPr>
          <w:rFonts w:ascii="Arial" w:hAnsi="Arial"/>
        </w:rPr>
        <w:t xml:space="preserve">Aurrekontuaz haragoko 47 milioi euro gehiago inbertituko direla iragarri da </w:t>
      </w:r>
      <w:proofErr w:type="spellStart"/>
      <w:r>
        <w:rPr>
          <w:rFonts w:ascii="Arial" w:hAnsi="Arial"/>
        </w:rPr>
        <w:t>Covid</w:t>
      </w:r>
      <w:proofErr w:type="spellEnd"/>
      <w:r>
        <w:rPr>
          <w:rFonts w:ascii="Arial" w:hAnsi="Arial"/>
        </w:rPr>
        <w:t>-19ak eragindako pandemiaren ondoriozko beharrei erantzuteko, taula honetan zehatz azaltzen den moduan:</w:t>
      </w:r>
    </w:p>
    <w:tbl>
      <w:tblPr>
        <w:tblW w:w="8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60"/>
        <w:gridCol w:w="1226"/>
        <w:gridCol w:w="1245"/>
        <w:gridCol w:w="1226"/>
      </w:tblGrid>
      <w:tr w:rsidR="00FA2BD2" w:rsidRPr="00973152" w:rsidTr="00973152">
        <w:trPr>
          <w:trHeight w:val="290"/>
        </w:trPr>
        <w:tc>
          <w:tcPr>
            <w:tcW w:w="8357" w:type="dxa"/>
            <w:gridSpan w:val="4"/>
            <w:shd w:val="clear" w:color="auto" w:fill="auto"/>
            <w:noWrap/>
          </w:tcPr>
          <w:p w:rsidR="00FA2BD2" w:rsidRPr="00973152" w:rsidRDefault="00FA2BD2" w:rsidP="00973152">
            <w:pPr>
              <w:spacing w:after="0"/>
              <w:jc w:val="center"/>
              <w:rPr>
                <w:rFonts w:ascii="Calibri" w:eastAsia="Times New Roman" w:hAnsi="Calibri"/>
                <w:b/>
                <w:bCs/>
                <w:color w:val="000000"/>
                <w:sz w:val="22"/>
                <w:szCs w:val="22"/>
              </w:rPr>
            </w:pPr>
            <w:r>
              <w:rPr>
                <w:rFonts w:ascii="Calibri" w:hAnsi="Calibri"/>
                <w:b/>
                <w:bCs/>
                <w:color w:val="000000"/>
                <w:sz w:val="22"/>
                <w:szCs w:val="22"/>
              </w:rPr>
              <w:t>COVID KOSTUEN AURREIKUSPENA</w:t>
            </w:r>
          </w:p>
        </w:tc>
      </w:tr>
      <w:tr w:rsidR="00FA2BD2" w:rsidRPr="00973152" w:rsidTr="00973152">
        <w:trPr>
          <w:trHeight w:val="290"/>
        </w:trPr>
        <w:tc>
          <w:tcPr>
            <w:tcW w:w="8357" w:type="dxa"/>
            <w:gridSpan w:val="4"/>
            <w:shd w:val="clear" w:color="auto" w:fill="auto"/>
          </w:tcPr>
          <w:p w:rsidR="00FA2BD2" w:rsidRPr="00973152" w:rsidRDefault="00FA2BD2" w:rsidP="00973152">
            <w:pPr>
              <w:spacing w:after="0"/>
              <w:jc w:val="center"/>
              <w:rPr>
                <w:rFonts w:ascii="Calibri" w:eastAsia="Times New Roman" w:hAnsi="Calibri"/>
                <w:color w:val="000000"/>
                <w:sz w:val="22"/>
                <w:szCs w:val="22"/>
              </w:rPr>
            </w:pPr>
            <w:r>
              <w:rPr>
                <w:rFonts w:ascii="Calibri" w:hAnsi="Calibri"/>
                <w:color w:val="000000"/>
                <w:sz w:val="22"/>
                <w:szCs w:val="22"/>
              </w:rPr>
              <w:t> </w:t>
            </w:r>
          </w:p>
        </w:tc>
      </w:tr>
      <w:tr w:rsidR="00FA2BD2" w:rsidRPr="00973152" w:rsidTr="00973152">
        <w:trPr>
          <w:trHeight w:val="290"/>
        </w:trPr>
        <w:tc>
          <w:tcPr>
            <w:tcW w:w="4660" w:type="dxa"/>
            <w:shd w:val="clear" w:color="auto" w:fill="auto"/>
          </w:tcPr>
          <w:p w:rsidR="00FA2BD2" w:rsidRPr="00973152" w:rsidRDefault="00FA2BD2" w:rsidP="00973152">
            <w:pPr>
              <w:spacing w:after="0"/>
              <w:jc w:val="center"/>
              <w:rPr>
                <w:rFonts w:ascii="Calibri" w:eastAsia="Times New Roman" w:hAnsi="Calibri"/>
                <w:color w:val="000000"/>
                <w:sz w:val="22"/>
                <w:szCs w:val="22"/>
              </w:rPr>
            </w:pPr>
            <w:r>
              <w:rPr>
                <w:rFonts w:ascii="Calibri" w:hAnsi="Calibri"/>
                <w:color w:val="000000"/>
                <w:sz w:val="22"/>
                <w:szCs w:val="22"/>
              </w:rPr>
              <w:t> </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Publikoa</w:t>
            </w:r>
          </w:p>
        </w:tc>
        <w:tc>
          <w:tcPr>
            <w:tcW w:w="1245"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Itundua</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GUZTIRA</w:t>
            </w:r>
          </w:p>
        </w:tc>
      </w:tr>
      <w:tr w:rsidR="00FA2BD2" w:rsidRPr="00973152" w:rsidTr="00973152">
        <w:trPr>
          <w:trHeight w:val="580"/>
        </w:trPr>
        <w:tc>
          <w:tcPr>
            <w:tcW w:w="4660" w:type="dxa"/>
            <w:shd w:val="clear" w:color="auto" w:fill="auto"/>
          </w:tcPr>
          <w:p w:rsidR="00FA2BD2" w:rsidRPr="00973152" w:rsidRDefault="00FA2BD2" w:rsidP="00C65109">
            <w:pPr>
              <w:spacing w:after="0"/>
              <w:rPr>
                <w:rFonts w:ascii="Calibri" w:eastAsia="Times New Roman" w:hAnsi="Calibri"/>
                <w:color w:val="000000"/>
                <w:sz w:val="22"/>
                <w:szCs w:val="22"/>
              </w:rPr>
            </w:pPr>
            <w:r>
              <w:rPr>
                <w:rFonts w:ascii="Calibri" w:hAnsi="Calibri"/>
                <w:color w:val="000000"/>
                <w:sz w:val="22"/>
                <w:szCs w:val="22"/>
              </w:rPr>
              <w:t>Langile gastuak (bikoizteak, indargarriak, ordezkapenak)</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16.722.747</w:t>
            </w:r>
          </w:p>
        </w:tc>
        <w:tc>
          <w:tcPr>
            <w:tcW w:w="1245"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7.908.026</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24.630.773</w:t>
            </w:r>
          </w:p>
        </w:tc>
      </w:tr>
      <w:tr w:rsidR="00FA2BD2" w:rsidRPr="00973152" w:rsidTr="00973152">
        <w:trPr>
          <w:trHeight w:val="290"/>
        </w:trPr>
        <w:tc>
          <w:tcPr>
            <w:tcW w:w="4660" w:type="dxa"/>
            <w:shd w:val="clear" w:color="auto" w:fill="auto"/>
          </w:tcPr>
          <w:p w:rsidR="00FA2BD2" w:rsidRPr="00973152" w:rsidRDefault="00FA2BD2" w:rsidP="00C65109">
            <w:pPr>
              <w:spacing w:after="0"/>
              <w:rPr>
                <w:rFonts w:ascii="Calibri" w:eastAsia="Times New Roman" w:hAnsi="Calibri"/>
                <w:color w:val="000000"/>
                <w:sz w:val="22"/>
                <w:szCs w:val="22"/>
              </w:rPr>
            </w:pPr>
            <w:r>
              <w:rPr>
                <w:rFonts w:ascii="Calibri" w:hAnsi="Calibri"/>
                <w:color w:val="000000"/>
                <w:sz w:val="22"/>
                <w:szCs w:val="22"/>
              </w:rPr>
              <w:t xml:space="preserve">Prebentzio zerbitzua indartzea </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74.018</w:t>
            </w:r>
          </w:p>
        </w:tc>
        <w:tc>
          <w:tcPr>
            <w:tcW w:w="1245"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 </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74.018</w:t>
            </w:r>
          </w:p>
        </w:tc>
      </w:tr>
      <w:tr w:rsidR="00FA2BD2" w:rsidRPr="00973152" w:rsidTr="00973152">
        <w:trPr>
          <w:trHeight w:val="580"/>
        </w:trPr>
        <w:tc>
          <w:tcPr>
            <w:tcW w:w="4660" w:type="dxa"/>
            <w:shd w:val="clear" w:color="auto" w:fill="auto"/>
          </w:tcPr>
          <w:p w:rsidR="00FA2BD2" w:rsidRPr="00973152" w:rsidRDefault="00FA2BD2" w:rsidP="00973152">
            <w:pPr>
              <w:spacing w:after="0"/>
              <w:rPr>
                <w:rFonts w:ascii="Calibri" w:eastAsia="Times New Roman" w:hAnsi="Calibri"/>
                <w:color w:val="000000"/>
                <w:sz w:val="22"/>
                <w:szCs w:val="22"/>
              </w:rPr>
            </w:pPr>
            <w:r>
              <w:rPr>
                <w:rFonts w:ascii="Calibri" w:hAnsi="Calibri"/>
                <w:color w:val="000000"/>
                <w:sz w:val="22"/>
                <w:szCs w:val="22"/>
              </w:rPr>
              <w:t>Garraioa eta jantokia (garraioaren balizko murrizketak barne)</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5.614.500</w:t>
            </w:r>
          </w:p>
        </w:tc>
        <w:tc>
          <w:tcPr>
            <w:tcW w:w="1245"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 </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5.614.500</w:t>
            </w:r>
          </w:p>
        </w:tc>
      </w:tr>
      <w:tr w:rsidR="00FA2BD2" w:rsidRPr="00973152" w:rsidTr="00973152">
        <w:trPr>
          <w:trHeight w:val="580"/>
        </w:trPr>
        <w:tc>
          <w:tcPr>
            <w:tcW w:w="4660" w:type="dxa"/>
            <w:shd w:val="clear" w:color="auto" w:fill="auto"/>
          </w:tcPr>
          <w:p w:rsidR="00FA2BD2" w:rsidRPr="00973152" w:rsidRDefault="00FA2BD2" w:rsidP="00C65109">
            <w:pPr>
              <w:spacing w:after="0"/>
              <w:rPr>
                <w:rFonts w:ascii="Calibri" w:eastAsia="Times New Roman" w:hAnsi="Calibri"/>
                <w:color w:val="000000"/>
                <w:sz w:val="22"/>
                <w:szCs w:val="22"/>
              </w:rPr>
            </w:pPr>
            <w:r>
              <w:rPr>
                <w:rFonts w:ascii="Calibri" w:hAnsi="Calibri"/>
                <w:color w:val="000000"/>
                <w:sz w:val="22"/>
                <w:szCs w:val="22"/>
              </w:rPr>
              <w:t xml:space="preserve">Garbiketa, ekipamendua (zakarrontziak, termometroak, manparak...). Maskarak, </w:t>
            </w:r>
            <w:proofErr w:type="spellStart"/>
            <w:r>
              <w:rPr>
                <w:rFonts w:ascii="Calibri" w:hAnsi="Calibri"/>
                <w:color w:val="000000"/>
                <w:sz w:val="22"/>
                <w:szCs w:val="22"/>
              </w:rPr>
              <w:t>gelak…</w:t>
            </w:r>
            <w:proofErr w:type="spellEnd"/>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7.700.000</w:t>
            </w:r>
          </w:p>
        </w:tc>
        <w:tc>
          <w:tcPr>
            <w:tcW w:w="1245"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3.022.083</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10.722.083</w:t>
            </w:r>
          </w:p>
        </w:tc>
      </w:tr>
      <w:tr w:rsidR="00FA2BD2" w:rsidRPr="00973152" w:rsidTr="00973152">
        <w:trPr>
          <w:trHeight w:val="290"/>
        </w:trPr>
        <w:tc>
          <w:tcPr>
            <w:tcW w:w="4660" w:type="dxa"/>
            <w:shd w:val="clear" w:color="auto" w:fill="auto"/>
            <w:noWrap/>
          </w:tcPr>
          <w:p w:rsidR="00FA2BD2" w:rsidRPr="00973152" w:rsidRDefault="00FA2BD2" w:rsidP="00973152">
            <w:pPr>
              <w:spacing w:after="0"/>
              <w:rPr>
                <w:rFonts w:ascii="Calibri" w:eastAsia="Times New Roman" w:hAnsi="Calibri"/>
                <w:color w:val="000000"/>
                <w:sz w:val="22"/>
                <w:szCs w:val="22"/>
              </w:rPr>
            </w:pPr>
            <w:r>
              <w:rPr>
                <w:rFonts w:ascii="Calibri" w:hAnsi="Calibri"/>
                <w:color w:val="000000"/>
                <w:sz w:val="22"/>
                <w:szCs w:val="22"/>
              </w:rPr>
              <w:t>Ekipamendu informatikoa</w:t>
            </w:r>
          </w:p>
        </w:tc>
        <w:tc>
          <w:tcPr>
            <w:tcW w:w="1226" w:type="dxa"/>
            <w:shd w:val="clear" w:color="auto" w:fill="auto"/>
            <w:noWrap/>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5.600.000</w:t>
            </w:r>
          </w:p>
        </w:tc>
        <w:tc>
          <w:tcPr>
            <w:tcW w:w="1245" w:type="dxa"/>
            <w:shd w:val="clear" w:color="auto" w:fill="auto"/>
            <w:noWrap/>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 </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5.600.000</w:t>
            </w:r>
          </w:p>
        </w:tc>
      </w:tr>
      <w:tr w:rsidR="00FA2BD2" w:rsidRPr="00973152" w:rsidTr="00973152">
        <w:trPr>
          <w:trHeight w:val="290"/>
        </w:trPr>
        <w:tc>
          <w:tcPr>
            <w:tcW w:w="4660" w:type="dxa"/>
            <w:shd w:val="clear" w:color="auto" w:fill="auto"/>
            <w:noWrap/>
          </w:tcPr>
          <w:p w:rsidR="00FA2BD2" w:rsidRPr="00973152" w:rsidRDefault="00FA2BD2" w:rsidP="00973152">
            <w:pPr>
              <w:spacing w:after="0"/>
              <w:rPr>
                <w:rFonts w:ascii="Calibri" w:eastAsia="Times New Roman" w:hAnsi="Calibri"/>
                <w:color w:val="000000"/>
                <w:sz w:val="22"/>
                <w:szCs w:val="22"/>
              </w:rPr>
            </w:pPr>
            <w:r>
              <w:rPr>
                <w:rFonts w:ascii="Calibri" w:hAnsi="Calibri"/>
                <w:color w:val="000000"/>
                <w:sz w:val="22"/>
                <w:szCs w:val="22"/>
              </w:rPr>
              <w:t>Haur Hezkuntzako 1. zikloa eta eskola-kontzentrazioak</w:t>
            </w:r>
          </w:p>
        </w:tc>
        <w:tc>
          <w:tcPr>
            <w:tcW w:w="1226" w:type="dxa"/>
            <w:shd w:val="clear" w:color="auto" w:fill="auto"/>
            <w:noWrap/>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700.000</w:t>
            </w:r>
          </w:p>
        </w:tc>
        <w:tc>
          <w:tcPr>
            <w:tcW w:w="1245" w:type="dxa"/>
            <w:shd w:val="clear" w:color="auto" w:fill="auto"/>
            <w:noWrap/>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 </w:t>
            </w:r>
          </w:p>
        </w:tc>
        <w:tc>
          <w:tcPr>
            <w:tcW w:w="1226" w:type="dxa"/>
            <w:shd w:val="clear" w:color="auto" w:fill="auto"/>
          </w:tcPr>
          <w:p w:rsidR="00FA2BD2" w:rsidRPr="00973152" w:rsidRDefault="00FA2BD2" w:rsidP="00973152">
            <w:pPr>
              <w:spacing w:after="0"/>
              <w:jc w:val="right"/>
              <w:rPr>
                <w:rFonts w:ascii="Calibri" w:eastAsia="Times New Roman" w:hAnsi="Calibri"/>
                <w:color w:val="000000"/>
                <w:sz w:val="22"/>
                <w:szCs w:val="22"/>
              </w:rPr>
            </w:pPr>
            <w:r>
              <w:rPr>
                <w:rFonts w:ascii="Calibri" w:hAnsi="Calibri"/>
                <w:color w:val="000000"/>
                <w:sz w:val="22"/>
                <w:szCs w:val="22"/>
              </w:rPr>
              <w:t>700.000</w:t>
            </w:r>
          </w:p>
        </w:tc>
      </w:tr>
      <w:tr w:rsidR="00FA2BD2" w:rsidRPr="00973152" w:rsidTr="00973152">
        <w:trPr>
          <w:trHeight w:val="290"/>
        </w:trPr>
        <w:tc>
          <w:tcPr>
            <w:tcW w:w="4660" w:type="dxa"/>
            <w:shd w:val="clear" w:color="auto" w:fill="auto"/>
            <w:noWrap/>
          </w:tcPr>
          <w:p w:rsidR="00FA2BD2" w:rsidRPr="00973152" w:rsidRDefault="00FA2BD2" w:rsidP="00973152">
            <w:pPr>
              <w:spacing w:after="0"/>
              <w:rPr>
                <w:rFonts w:ascii="Calibri" w:eastAsia="Times New Roman" w:hAnsi="Calibri"/>
                <w:b/>
                <w:bCs/>
                <w:sz w:val="22"/>
                <w:szCs w:val="22"/>
              </w:rPr>
            </w:pPr>
            <w:r>
              <w:rPr>
                <w:rFonts w:ascii="Calibri" w:hAnsi="Calibri"/>
                <w:b/>
                <w:bCs/>
                <w:sz w:val="22"/>
                <w:szCs w:val="22"/>
              </w:rPr>
              <w:t>Gainerako gastuak, guztira</w:t>
            </w:r>
          </w:p>
        </w:tc>
        <w:tc>
          <w:tcPr>
            <w:tcW w:w="1226" w:type="dxa"/>
            <w:shd w:val="clear" w:color="auto" w:fill="auto"/>
            <w:noWrap/>
          </w:tcPr>
          <w:p w:rsidR="00FA2BD2" w:rsidRPr="00973152" w:rsidRDefault="00FA2BD2" w:rsidP="00973152">
            <w:pPr>
              <w:spacing w:after="0"/>
              <w:jc w:val="right"/>
              <w:rPr>
                <w:rFonts w:ascii="Calibri" w:eastAsia="Times New Roman" w:hAnsi="Calibri"/>
                <w:b/>
                <w:bCs/>
                <w:color w:val="000000"/>
                <w:sz w:val="22"/>
                <w:szCs w:val="22"/>
              </w:rPr>
            </w:pPr>
            <w:r>
              <w:rPr>
                <w:rFonts w:ascii="Calibri" w:hAnsi="Calibri"/>
                <w:b/>
                <w:bCs/>
                <w:color w:val="000000"/>
                <w:sz w:val="22"/>
                <w:szCs w:val="22"/>
              </w:rPr>
              <w:t>36.411.265</w:t>
            </w:r>
          </w:p>
        </w:tc>
        <w:tc>
          <w:tcPr>
            <w:tcW w:w="1245" w:type="dxa"/>
            <w:shd w:val="clear" w:color="auto" w:fill="auto"/>
            <w:noWrap/>
          </w:tcPr>
          <w:p w:rsidR="00FA2BD2" w:rsidRPr="00973152" w:rsidRDefault="00FA2BD2" w:rsidP="00973152">
            <w:pPr>
              <w:spacing w:after="0"/>
              <w:jc w:val="right"/>
              <w:rPr>
                <w:rFonts w:ascii="Calibri" w:eastAsia="Times New Roman" w:hAnsi="Calibri"/>
                <w:b/>
                <w:bCs/>
                <w:color w:val="000000"/>
                <w:sz w:val="22"/>
                <w:szCs w:val="22"/>
              </w:rPr>
            </w:pPr>
            <w:r>
              <w:rPr>
                <w:rFonts w:ascii="Calibri" w:hAnsi="Calibri"/>
                <w:b/>
                <w:bCs/>
                <w:color w:val="000000"/>
                <w:sz w:val="22"/>
                <w:szCs w:val="22"/>
              </w:rPr>
              <w:t>10.930.109</w:t>
            </w:r>
          </w:p>
        </w:tc>
        <w:tc>
          <w:tcPr>
            <w:tcW w:w="1226" w:type="dxa"/>
            <w:shd w:val="clear" w:color="auto" w:fill="auto"/>
            <w:noWrap/>
          </w:tcPr>
          <w:p w:rsidR="00FA2BD2" w:rsidRPr="00973152" w:rsidRDefault="00FA2BD2" w:rsidP="00973152">
            <w:pPr>
              <w:spacing w:after="0"/>
              <w:jc w:val="right"/>
              <w:rPr>
                <w:rFonts w:ascii="Calibri" w:eastAsia="Times New Roman" w:hAnsi="Calibri"/>
                <w:b/>
                <w:bCs/>
                <w:color w:val="000000"/>
                <w:sz w:val="22"/>
                <w:szCs w:val="22"/>
              </w:rPr>
            </w:pPr>
            <w:r>
              <w:rPr>
                <w:rFonts w:ascii="Calibri" w:hAnsi="Calibri"/>
                <w:b/>
                <w:bCs/>
                <w:color w:val="000000"/>
                <w:sz w:val="22"/>
                <w:szCs w:val="22"/>
              </w:rPr>
              <w:t>47.341.374</w:t>
            </w:r>
          </w:p>
        </w:tc>
      </w:tr>
    </w:tbl>
    <w:p w:rsidR="00950A73" w:rsidRDefault="00950A73" w:rsidP="005003E9">
      <w:pPr>
        <w:spacing w:line="360" w:lineRule="auto"/>
        <w:ind w:firstLine="708"/>
        <w:jc w:val="both"/>
        <w:outlineLvl w:val="0"/>
        <w:rPr>
          <w:rFonts w:ascii="Arial" w:hAnsi="Arial" w:cs="Arial"/>
        </w:rPr>
      </w:pPr>
    </w:p>
    <w:p w:rsidR="002528C3" w:rsidRDefault="00FA2BD2" w:rsidP="005003E9">
      <w:pPr>
        <w:spacing w:line="360" w:lineRule="auto"/>
        <w:ind w:firstLine="708"/>
        <w:jc w:val="both"/>
        <w:outlineLvl w:val="0"/>
        <w:rPr>
          <w:rFonts w:ascii="Arial" w:hAnsi="Arial" w:cs="Arial"/>
        </w:rPr>
      </w:pPr>
      <w:r>
        <w:rPr>
          <w:rFonts w:ascii="Arial" w:hAnsi="Arial"/>
        </w:rPr>
        <w:t xml:space="preserve">Taula horretan inbertsioen aurreikuspena kontzeptuz </w:t>
      </w:r>
      <w:proofErr w:type="spellStart"/>
      <w:r>
        <w:rPr>
          <w:rFonts w:ascii="Arial" w:hAnsi="Arial"/>
        </w:rPr>
        <w:t>kontzeptu</w:t>
      </w:r>
      <w:proofErr w:type="spellEnd"/>
      <w:r>
        <w:rPr>
          <w:rFonts w:ascii="Arial" w:hAnsi="Arial"/>
        </w:rPr>
        <w:t xml:space="preserve"> zehaztuta dago. Zuzeneko irakaskuntzarekin lotura duten kontzeptuak agertzen dira, bai eta materialen hornidurarekin, garbiketa zerbitzuen gehikuntzarekin edo garraio eta jantoki zerbitzuekin zerikusia duten guztiak ere.</w:t>
      </w:r>
    </w:p>
    <w:p w:rsidR="002528C3" w:rsidRDefault="002528C3" w:rsidP="005003E9">
      <w:pPr>
        <w:spacing w:line="360" w:lineRule="auto"/>
        <w:ind w:firstLine="708"/>
        <w:jc w:val="both"/>
        <w:outlineLvl w:val="0"/>
        <w:rPr>
          <w:rFonts w:ascii="Arial" w:hAnsi="Arial" w:cs="Arial"/>
        </w:rPr>
      </w:pPr>
      <w:r>
        <w:rPr>
          <w:rFonts w:ascii="Arial" w:hAnsi="Arial"/>
        </w:rPr>
        <w:t>Haur Hezkuntzaren etapan ratio berriak aplikatzeari dagokionez, bereiz ematen dira hezkuntza sare bakoitzaren datuak, hau da, ikastetxe publikoenak (I. eranskina) eta ikastetxe itunduenak (II. eranskina).</w:t>
      </w:r>
    </w:p>
    <w:p w:rsidR="00E1267D" w:rsidRDefault="002528C3" w:rsidP="005003E9">
      <w:pPr>
        <w:spacing w:line="360" w:lineRule="auto"/>
        <w:ind w:firstLine="708"/>
        <w:jc w:val="both"/>
        <w:outlineLvl w:val="0"/>
        <w:rPr>
          <w:rFonts w:ascii="Arial" w:hAnsi="Arial" w:cs="Arial"/>
        </w:rPr>
      </w:pPr>
      <w:r>
        <w:rPr>
          <w:rFonts w:ascii="Arial" w:hAnsi="Arial"/>
        </w:rPr>
        <w:t xml:space="preserve">Hirugarren galderak gainerakoekin bat egiten du zenbait puntutan, eta, bereziki, barnean hartzen ditu bigarren eta laugarren galderak. Prentsaurrekoan jakinarazi zen bezala, Hezkuntza Departamentuak aurreikuspen hau egin zuen sare publikoan eta sare itunduan irakasleen kopurua handitzeari buruz: gutxi </w:t>
      </w:r>
      <w:r>
        <w:rPr>
          <w:rFonts w:ascii="Arial" w:hAnsi="Arial"/>
        </w:rPr>
        <w:lastRenderedPageBreak/>
        <w:t xml:space="preserve">gorabehera 666 irakasle gehiago (lanaldi baliokidetan) 2019-2020 ikasturtean baino. </w:t>
      </w:r>
    </w:p>
    <w:p w:rsidR="00767FE0" w:rsidRDefault="00767FE0" w:rsidP="00C65109">
      <w:pPr>
        <w:spacing w:line="360" w:lineRule="auto"/>
        <w:ind w:firstLine="708"/>
        <w:jc w:val="both"/>
        <w:outlineLvl w:val="0"/>
        <w:rPr>
          <w:rFonts w:ascii="Arial" w:hAnsi="Arial" w:cs="Arial"/>
        </w:rPr>
      </w:pPr>
      <w:proofErr w:type="spellStart"/>
      <w:r>
        <w:rPr>
          <w:rFonts w:ascii="Arial" w:hAnsi="Arial"/>
        </w:rPr>
        <w:t>Plantillak</w:t>
      </w:r>
      <w:proofErr w:type="spellEnd"/>
      <w:r>
        <w:rPr>
          <w:rFonts w:ascii="Arial" w:hAnsi="Arial"/>
        </w:rPr>
        <w:t xml:space="preserve"> hornitze aldera 2020-2021 ikasturtearen hasierarako aurreikusitako neurriak bi multzo handitan banatzen dira: batzuk aniztasunari erantzuteko neurriak dira, eta besteak </w:t>
      </w:r>
      <w:proofErr w:type="spellStart"/>
      <w:r>
        <w:rPr>
          <w:rFonts w:ascii="Arial" w:hAnsi="Arial"/>
        </w:rPr>
        <w:t>Covid</w:t>
      </w:r>
      <w:proofErr w:type="spellEnd"/>
      <w:r>
        <w:rPr>
          <w:rFonts w:ascii="Arial" w:hAnsi="Arial"/>
        </w:rPr>
        <w:t>-19ak eragindako ohiz kanpoko edo errefortzuko neurriak.</w:t>
      </w:r>
    </w:p>
    <w:p w:rsidR="003557F7" w:rsidRDefault="003557F7" w:rsidP="00C65109">
      <w:pPr>
        <w:spacing w:line="360" w:lineRule="auto"/>
        <w:ind w:firstLine="708"/>
        <w:jc w:val="both"/>
        <w:outlineLvl w:val="0"/>
        <w:rPr>
          <w:rFonts w:ascii="Arial" w:hAnsi="Arial" w:cs="Arial"/>
        </w:rPr>
      </w:pPr>
      <w:r>
        <w:rPr>
          <w:rFonts w:ascii="Arial" w:hAnsi="Arial"/>
        </w:rPr>
        <w:t>Aniztasunari erantzuteko neurrietan, finantzaketaren ikuspuntutik, berriz ere bi multzo bereizi behar dira:</w:t>
      </w:r>
    </w:p>
    <w:p w:rsidR="003557F7" w:rsidRDefault="003557F7" w:rsidP="00C65109">
      <w:pPr>
        <w:spacing w:line="360" w:lineRule="auto"/>
        <w:ind w:firstLine="705"/>
        <w:jc w:val="both"/>
        <w:outlineLvl w:val="0"/>
        <w:rPr>
          <w:rFonts w:ascii="Arial" w:hAnsi="Arial" w:cs="Arial"/>
        </w:rPr>
      </w:pPr>
      <w:r>
        <w:rPr>
          <w:rFonts w:ascii="Arial" w:hAnsi="Arial"/>
        </w:rPr>
        <w:t xml:space="preserve">1. Europako Gizarte Funtsak </w:t>
      </w:r>
      <w:proofErr w:type="spellStart"/>
      <w:r>
        <w:rPr>
          <w:rFonts w:ascii="Arial" w:hAnsi="Arial"/>
        </w:rPr>
        <w:t>kofinantzatutako</w:t>
      </w:r>
      <w:proofErr w:type="spellEnd"/>
      <w:r>
        <w:rPr>
          <w:rFonts w:ascii="Arial" w:hAnsi="Arial"/>
        </w:rPr>
        <w:t xml:space="preserve"> neurriak:</w:t>
      </w:r>
    </w:p>
    <w:p w:rsidR="003557F7" w:rsidRDefault="003557F7" w:rsidP="003557F7">
      <w:pPr>
        <w:numPr>
          <w:ilvl w:val="1"/>
          <w:numId w:val="1"/>
        </w:numPr>
        <w:spacing w:line="360" w:lineRule="auto"/>
        <w:jc w:val="both"/>
        <w:outlineLvl w:val="0"/>
        <w:rPr>
          <w:rFonts w:ascii="Arial" w:hAnsi="Arial" w:cs="Arial"/>
        </w:rPr>
      </w:pPr>
      <w:r>
        <w:rPr>
          <w:rFonts w:ascii="Arial" w:hAnsi="Arial"/>
        </w:rPr>
        <w:t xml:space="preserve">Irakaskuntza partekatua; programa horrek 39 lanaldi baliokideren pareko zuzkidura dauka. </w:t>
      </w:r>
    </w:p>
    <w:p w:rsidR="003557F7" w:rsidRDefault="003557F7" w:rsidP="003557F7">
      <w:pPr>
        <w:numPr>
          <w:ilvl w:val="1"/>
          <w:numId w:val="1"/>
        </w:numPr>
        <w:spacing w:line="360" w:lineRule="auto"/>
        <w:jc w:val="both"/>
        <w:outlineLvl w:val="0"/>
        <w:rPr>
          <w:rFonts w:ascii="Arial" w:hAnsi="Arial" w:cs="Arial"/>
        </w:rPr>
      </w:pPr>
      <w:r>
        <w:rPr>
          <w:rFonts w:ascii="Arial" w:hAnsi="Arial"/>
        </w:rPr>
        <w:t>Lehen Hezkuntzako eta Derrigorrezko Bigarren Hezkuntzako ikasleentzako PROEDUCAR programa; guztira 26,9 lanaldi baliokide esleitu zaizkio.</w:t>
      </w:r>
    </w:p>
    <w:p w:rsidR="003557F7" w:rsidRDefault="003557F7" w:rsidP="003557F7">
      <w:pPr>
        <w:numPr>
          <w:ilvl w:val="1"/>
          <w:numId w:val="1"/>
        </w:numPr>
        <w:spacing w:line="360" w:lineRule="auto"/>
        <w:jc w:val="both"/>
        <w:outlineLvl w:val="0"/>
        <w:rPr>
          <w:rFonts w:ascii="Arial" w:hAnsi="Arial" w:cs="Arial"/>
        </w:rPr>
      </w:pPr>
      <w:r>
        <w:rPr>
          <w:rFonts w:ascii="Arial" w:hAnsi="Arial"/>
        </w:rPr>
        <w:t>Hizkuntzako indartze programa; 13,5 irakasleren pareko zuzkidura jasoko du.</w:t>
      </w:r>
    </w:p>
    <w:p w:rsidR="00017BCB" w:rsidRDefault="00017BCB" w:rsidP="003557F7">
      <w:pPr>
        <w:numPr>
          <w:ilvl w:val="1"/>
          <w:numId w:val="1"/>
        </w:numPr>
        <w:spacing w:line="360" w:lineRule="auto"/>
        <w:jc w:val="both"/>
        <w:outlineLvl w:val="0"/>
        <w:rPr>
          <w:rFonts w:ascii="Arial" w:hAnsi="Arial" w:cs="Arial"/>
        </w:rPr>
      </w:pPr>
      <w:r>
        <w:rPr>
          <w:rFonts w:ascii="Arial" w:hAnsi="Arial"/>
        </w:rPr>
        <w:t>PROA+ programa; 72 irakasleren pareko zuzkidura dauka esleituta.</w:t>
      </w:r>
    </w:p>
    <w:p w:rsidR="005003E9" w:rsidRPr="00E0546D" w:rsidRDefault="00767FE0" w:rsidP="00C65109">
      <w:pPr>
        <w:spacing w:line="360" w:lineRule="auto"/>
        <w:ind w:firstLine="705"/>
        <w:jc w:val="both"/>
        <w:outlineLvl w:val="0"/>
        <w:rPr>
          <w:rFonts w:ascii="Arial" w:hAnsi="Arial" w:cs="Arial"/>
        </w:rPr>
      </w:pPr>
      <w:r>
        <w:rPr>
          <w:rFonts w:ascii="Arial" w:hAnsi="Arial"/>
        </w:rPr>
        <w:t xml:space="preserve">2. Nafarroako Gobernuaren beraren aurrekontuarekin finantzatutako zuzkidurak, hezkuntza sistemaren behar berriei erantzun eta lehendik dauden beharretarako baliabideak indartzen dituztenak. </w:t>
      </w:r>
    </w:p>
    <w:p w:rsidR="00EF5CE1" w:rsidRPr="00085559" w:rsidRDefault="00EF5CE1" w:rsidP="00C65109">
      <w:pPr>
        <w:spacing w:line="360" w:lineRule="auto"/>
        <w:ind w:firstLine="705"/>
        <w:jc w:val="both"/>
        <w:outlineLvl w:val="0"/>
        <w:rPr>
          <w:rFonts w:ascii="Arial" w:hAnsi="Arial" w:cs="Arial"/>
        </w:rPr>
      </w:pPr>
      <w:r>
        <w:rPr>
          <w:rFonts w:ascii="Arial" w:hAnsi="Arial"/>
        </w:rPr>
        <w:t xml:space="preserve">Hemen, beharrak asetzeko zuzkiduraren gehikuntza 111,4 irakaskuntza-lanaldiren parekoa da, eta horietatik dagoeneko 96,15 kontratu sartu dira sisteman (lanaldi baliokidetan). Gainerakoak ikastetxeei esleituko zaizkie ikastetxe bakoitzaren egoera aztertu ahala, ezohiko matrikulazio aldiaren ondoren, espero ez zen matrikulazioak sortutako beharrei aurre egiteko. Azken xede horretarako, </w:t>
      </w:r>
      <w:proofErr w:type="spellStart"/>
      <w:r>
        <w:rPr>
          <w:rFonts w:ascii="Arial" w:hAnsi="Arial"/>
        </w:rPr>
        <w:t>Inklusio</w:t>
      </w:r>
      <w:proofErr w:type="spellEnd"/>
      <w:r>
        <w:rPr>
          <w:rFonts w:ascii="Arial" w:hAnsi="Arial"/>
        </w:rPr>
        <w:t xml:space="preserve">, Berdintasun eta Bizikidetza Zerbitzuak bi </w:t>
      </w:r>
      <w:r>
        <w:rPr>
          <w:rFonts w:ascii="Arial" w:hAnsi="Arial"/>
        </w:rPr>
        <w:lastRenderedPageBreak/>
        <w:t>berrikuspen epe aurreikusten ditu, lehenengoa abenduan eta bigarrena martxoan.</w:t>
      </w:r>
    </w:p>
    <w:p w:rsidR="00CF1484" w:rsidRDefault="00E1267D" w:rsidP="00C65109">
      <w:pPr>
        <w:spacing w:line="360" w:lineRule="auto"/>
        <w:ind w:firstLine="705"/>
        <w:jc w:val="both"/>
        <w:outlineLvl w:val="0"/>
        <w:rPr>
          <w:rFonts w:ascii="Arial" w:hAnsi="Arial" w:cs="Arial"/>
        </w:rPr>
      </w:pPr>
      <w:proofErr w:type="spellStart"/>
      <w:r>
        <w:rPr>
          <w:rFonts w:ascii="Arial" w:hAnsi="Arial"/>
        </w:rPr>
        <w:t>Covid</w:t>
      </w:r>
      <w:proofErr w:type="spellEnd"/>
      <w:r>
        <w:rPr>
          <w:rFonts w:ascii="Arial" w:hAnsi="Arial"/>
        </w:rPr>
        <w:t>-19ak eragindako pandemiaren ondoriozko neurri bereziei dagokienez, honela sailkatzen dira:</w:t>
      </w:r>
    </w:p>
    <w:p w:rsidR="00CF1484" w:rsidRDefault="00E0546D" w:rsidP="00C65109">
      <w:pPr>
        <w:spacing w:line="360" w:lineRule="auto"/>
        <w:ind w:firstLine="705"/>
        <w:jc w:val="both"/>
        <w:outlineLvl w:val="0"/>
        <w:rPr>
          <w:rFonts w:ascii="Arial" w:hAnsi="Arial" w:cs="Arial"/>
        </w:rPr>
      </w:pPr>
      <w:r>
        <w:rPr>
          <w:rFonts w:ascii="Arial" w:hAnsi="Arial"/>
        </w:rPr>
        <w:t>1. Haur Hezkuntzako ratioaren jaitsiera orokorra: ikasgela bakoitzeko 20 ikaslera jaisten da bi sareetan.</w:t>
      </w:r>
    </w:p>
    <w:p w:rsidR="00BB3F85" w:rsidRDefault="00BB3F85" w:rsidP="00C65109">
      <w:pPr>
        <w:spacing w:line="360" w:lineRule="auto"/>
        <w:ind w:firstLine="705"/>
        <w:jc w:val="both"/>
        <w:outlineLvl w:val="0"/>
        <w:rPr>
          <w:rFonts w:ascii="Arial" w:hAnsi="Arial" w:cs="Arial"/>
        </w:rPr>
      </w:pPr>
      <w:r>
        <w:rPr>
          <w:rFonts w:ascii="Arial" w:hAnsi="Arial"/>
        </w:rPr>
        <w:t>2. Zuzkidura bereziak Lehen Hezkuntzan, ratioei zuzenean lotuak, eta laguntzak Bigarren Hezkuntzako etapetan, ikastetxe bakoitzak etapa horietan dituen taldeen kopuruaren arabera. Etapaka bereizten diren bezala, titulartasunaren arabera ere bereizten dira.</w:t>
      </w:r>
    </w:p>
    <w:p w:rsidR="00B1797E" w:rsidRDefault="00CF1484" w:rsidP="00C65109">
      <w:pPr>
        <w:spacing w:line="360" w:lineRule="auto"/>
        <w:ind w:firstLine="705"/>
        <w:jc w:val="both"/>
        <w:outlineLvl w:val="0"/>
        <w:rPr>
          <w:rFonts w:ascii="Arial" w:hAnsi="Arial" w:cs="Arial"/>
        </w:rPr>
      </w:pPr>
      <w:r>
        <w:rPr>
          <w:rFonts w:ascii="Arial" w:hAnsi="Arial"/>
        </w:rPr>
        <w:t>Haur Hezkuntzan, ikasturtea hasi aurretik ahalik eta kontratu gehien eskaintze aldera, irakasleak kontratatu ziren ikasturtea hasi baino lehen, eta ezohiko matrikula aldiko behin betiko datuak ezagutu baino lehen. Orain arte, I. eranskinak erakusten duen moduan, 124 kontratu egin dira Haur Hezkuntzako bikoizteengatik Nafarroako Foru Komunitateko ikastetxe publikoetan.</w:t>
      </w:r>
    </w:p>
    <w:p w:rsidR="005A3E20" w:rsidRPr="00E0546D" w:rsidRDefault="005810FD" w:rsidP="00C65109">
      <w:pPr>
        <w:spacing w:line="360" w:lineRule="auto"/>
        <w:ind w:firstLine="705"/>
        <w:jc w:val="both"/>
        <w:outlineLvl w:val="0"/>
        <w:rPr>
          <w:rFonts w:ascii="Arial" w:hAnsi="Arial" w:cs="Arial"/>
        </w:rPr>
      </w:pPr>
      <w:r>
        <w:rPr>
          <w:rFonts w:ascii="Arial" w:hAnsi="Arial"/>
        </w:rPr>
        <w:t>Gainerako etapetarako indartze neurrien aplikazioa dela-eta, II. eta VIII. eranskinetan ikastetxe bakoitzari esleitu zaion ordu zuzkidura azaltzen da, II. eranskinak ikastetxe itunduen datuak biltzen ditu, eta VIII. eranskinak sare publikoko ikastetxeen datuak dakartza. Orain zuzkidura horiek inplementatzen ari dira irailaren 1eko 14/2020 Foru Legearen aplikaziotik eratorritako zuzkidurekin batera. Ber</w:t>
      </w:r>
      <w:r>
        <w:rPr>
          <w:rFonts w:ascii="64shgxkdh,Bold" w:hAnsi="64shgxkdh,Bold"/>
          <w:bCs/>
          <w:sz w:val="26"/>
          <w:szCs w:val="26"/>
        </w:rPr>
        <w:t>az, baliteke gaurko datan kontratu guztiak eginda ez egotea</w:t>
      </w:r>
      <w:r>
        <w:rPr>
          <w:rFonts w:ascii="64shgxkdh,Bold" w:hAnsi="64shgxkdh,Bold"/>
          <w:bCs/>
          <w:color w:val="0000FF"/>
          <w:sz w:val="26"/>
          <w:szCs w:val="26"/>
        </w:rPr>
        <w:t>.</w:t>
      </w:r>
    </w:p>
    <w:p w:rsidR="00E1267D" w:rsidRDefault="00FB6AD2" w:rsidP="00CF1484">
      <w:pPr>
        <w:spacing w:line="360" w:lineRule="auto"/>
        <w:jc w:val="both"/>
        <w:outlineLvl w:val="0"/>
        <w:rPr>
          <w:rFonts w:ascii="Arial" w:hAnsi="Arial" w:cs="Arial"/>
        </w:rPr>
      </w:pPr>
      <w:r>
        <w:rPr>
          <w:rFonts w:ascii="Arial" w:hAnsi="Arial"/>
        </w:rPr>
        <w:tab/>
        <w:t>Txosten horren osagarri gisa honako dokumentu hauek erantsi dira:</w:t>
      </w:r>
    </w:p>
    <w:p w:rsidR="005810FD" w:rsidRDefault="00162E01" w:rsidP="00C65109">
      <w:pPr>
        <w:spacing w:line="360" w:lineRule="auto"/>
        <w:ind w:firstLine="708"/>
        <w:jc w:val="both"/>
        <w:outlineLvl w:val="0"/>
        <w:rPr>
          <w:rFonts w:ascii="Arial" w:hAnsi="Arial" w:cs="Arial"/>
        </w:rPr>
      </w:pPr>
      <w:r>
        <w:rPr>
          <w:rFonts w:ascii="Arial" w:hAnsi="Arial"/>
        </w:rPr>
        <w:t>1. Haur Hezkuntzaren etapako taldeen eta irakasleen gehikuntza Nafarroako Foru Komunitateko ikastetxe publikoetan, taldeko 20 ikasleko ratioa aplikatzearen ondorioz (I. eranskina).</w:t>
      </w:r>
    </w:p>
    <w:p w:rsidR="005868D1" w:rsidRDefault="00B13B7F" w:rsidP="00C65109">
      <w:pPr>
        <w:spacing w:line="360" w:lineRule="auto"/>
        <w:ind w:firstLine="708"/>
        <w:jc w:val="both"/>
        <w:outlineLvl w:val="0"/>
        <w:rPr>
          <w:rFonts w:ascii="Arial" w:hAnsi="Arial" w:cs="Arial"/>
        </w:rPr>
      </w:pPr>
      <w:r>
        <w:rPr>
          <w:rFonts w:ascii="Arial" w:hAnsi="Arial"/>
        </w:rPr>
        <w:t xml:space="preserve">2. Sare itunduko ikastetxeetan aplikatutako neurrien laburpena ikastetxez </w:t>
      </w:r>
      <w:proofErr w:type="spellStart"/>
      <w:r>
        <w:rPr>
          <w:rFonts w:ascii="Arial" w:hAnsi="Arial"/>
        </w:rPr>
        <w:t>ikastetxe</w:t>
      </w:r>
      <w:proofErr w:type="spellEnd"/>
      <w:r>
        <w:rPr>
          <w:rFonts w:ascii="Arial" w:hAnsi="Arial"/>
        </w:rPr>
        <w:t xml:space="preserve"> (II. eranskina).</w:t>
      </w:r>
    </w:p>
    <w:p w:rsidR="003F0DC5" w:rsidRPr="00162E01" w:rsidRDefault="00B13B7F" w:rsidP="00C65109">
      <w:pPr>
        <w:spacing w:line="360" w:lineRule="auto"/>
        <w:ind w:firstLine="708"/>
        <w:jc w:val="both"/>
        <w:outlineLvl w:val="0"/>
        <w:rPr>
          <w:rFonts w:ascii="Arial" w:hAnsi="Arial" w:cs="Arial"/>
        </w:rPr>
      </w:pPr>
      <w:r>
        <w:rPr>
          <w:rFonts w:ascii="Arial" w:hAnsi="Arial"/>
        </w:rPr>
        <w:t>3. Ikastetxe bakoitzeko zuzkidura Europako Gizarte Funtsari lotutako programetan, PROA+ programan izan ezik (III. eranskina).</w:t>
      </w:r>
    </w:p>
    <w:p w:rsidR="003F0DC5" w:rsidRPr="008633E0" w:rsidRDefault="00B13B7F" w:rsidP="00C65109">
      <w:pPr>
        <w:spacing w:line="360" w:lineRule="auto"/>
        <w:ind w:firstLine="708"/>
        <w:jc w:val="both"/>
        <w:outlineLvl w:val="0"/>
        <w:rPr>
          <w:rFonts w:ascii="Arial" w:hAnsi="Arial" w:cs="Arial"/>
        </w:rPr>
      </w:pPr>
      <w:r>
        <w:rPr>
          <w:rFonts w:ascii="Arial" w:hAnsi="Arial"/>
        </w:rPr>
        <w:t>4. Ikastetxe bakoitzeko zuzkidura PROA+ programan (IV. eranskina).</w:t>
      </w:r>
    </w:p>
    <w:p w:rsidR="00C078CD" w:rsidRPr="00162E01" w:rsidRDefault="00B13B7F" w:rsidP="00C65109">
      <w:pPr>
        <w:spacing w:line="360" w:lineRule="auto"/>
        <w:ind w:firstLine="708"/>
        <w:jc w:val="both"/>
        <w:outlineLvl w:val="0"/>
        <w:rPr>
          <w:rFonts w:ascii="Arial" w:hAnsi="Arial" w:cs="Arial"/>
        </w:rPr>
      </w:pPr>
      <w:r>
        <w:rPr>
          <w:rFonts w:ascii="Arial" w:hAnsi="Arial"/>
        </w:rPr>
        <w:t>5. Pedagogia Terapeutikoko, Gutxiengoetako eta Hezkuntza Orientazioko irakasleen zuzkidura Haur eta Lehen Hezkuntzako ikastetxe publikoetan, 2020-2021 ikasturtean (V. eranskina).</w:t>
      </w:r>
    </w:p>
    <w:p w:rsidR="00D029A8" w:rsidRPr="00162E01" w:rsidRDefault="00B13B7F" w:rsidP="00C65109">
      <w:pPr>
        <w:spacing w:line="360" w:lineRule="auto"/>
        <w:ind w:firstLine="708"/>
        <w:jc w:val="both"/>
        <w:outlineLvl w:val="0"/>
        <w:rPr>
          <w:rFonts w:ascii="Arial" w:hAnsi="Arial" w:cs="Arial"/>
        </w:rPr>
      </w:pPr>
      <w:r>
        <w:rPr>
          <w:rFonts w:ascii="Arial" w:hAnsi="Arial"/>
        </w:rPr>
        <w:t>6. Pedagogia Terapeutikoko, Gutxiengoetako eta Hezkuntza Orientazioko irakasleen zuzkidura Bigarren Hezkuntzako ikastetxe publikoetan, 2020-2021 ikasturtean (VI. eranskina).</w:t>
      </w:r>
    </w:p>
    <w:p w:rsidR="00AB3E2C" w:rsidRPr="0048231C" w:rsidRDefault="00B13B7F" w:rsidP="00C65109">
      <w:pPr>
        <w:spacing w:line="360" w:lineRule="auto"/>
        <w:ind w:firstLine="708"/>
        <w:jc w:val="both"/>
        <w:outlineLvl w:val="0"/>
        <w:rPr>
          <w:rFonts w:ascii="Arial" w:hAnsi="Arial" w:cs="Arial"/>
        </w:rPr>
      </w:pPr>
      <w:r>
        <w:rPr>
          <w:rFonts w:ascii="Arial" w:hAnsi="Arial"/>
        </w:rPr>
        <w:t xml:space="preserve">7. Laguntzetarako ordu zuzkidura ikastetxe bakoitzeko, </w:t>
      </w:r>
      <w:proofErr w:type="spellStart"/>
      <w:r>
        <w:rPr>
          <w:rFonts w:ascii="Arial" w:hAnsi="Arial"/>
        </w:rPr>
        <w:t>DBHn</w:t>
      </w:r>
      <w:proofErr w:type="spellEnd"/>
      <w:r>
        <w:rPr>
          <w:rFonts w:ascii="Arial" w:hAnsi="Arial"/>
        </w:rPr>
        <w:t>, 2020-2021 ikasturtean (VII. eranskina).</w:t>
      </w:r>
    </w:p>
    <w:p w:rsidR="00E0546D" w:rsidRDefault="00B13B7F" w:rsidP="00E0546D">
      <w:pPr>
        <w:spacing w:line="360" w:lineRule="auto"/>
        <w:ind w:firstLine="708"/>
        <w:jc w:val="both"/>
        <w:outlineLvl w:val="0"/>
        <w:rPr>
          <w:rFonts w:ascii="Arial" w:hAnsi="Arial" w:cs="Arial"/>
        </w:rPr>
      </w:pPr>
      <w:r>
        <w:rPr>
          <w:rFonts w:ascii="Arial" w:hAnsi="Arial"/>
        </w:rPr>
        <w:t>8. Nafarroako ikastetxe publikoetan Haur Hezkuntzaz besteko etapetan aurreikusten den zuzkidura gehigarriaren zerrenda (VIII. eranskina).</w:t>
      </w:r>
    </w:p>
    <w:p w:rsidR="00E0546D" w:rsidRDefault="00503FCF" w:rsidP="00E0546D">
      <w:pPr>
        <w:spacing w:line="360" w:lineRule="auto"/>
        <w:ind w:firstLine="708"/>
        <w:jc w:val="both"/>
        <w:outlineLvl w:val="0"/>
        <w:rPr>
          <w:rFonts w:ascii="Arial" w:hAnsi="Arial" w:cs="Arial"/>
        </w:rPr>
      </w:pPr>
      <w:r>
        <w:rPr>
          <w:rFonts w:ascii="Arial" w:hAnsi="Arial"/>
        </w:rPr>
        <w:t>Iruñean, 2020ko urriaren 19an</w:t>
      </w:r>
    </w:p>
    <w:p w:rsidR="006D25E7" w:rsidRDefault="00E0546D" w:rsidP="00E0546D">
      <w:pPr>
        <w:spacing w:line="360" w:lineRule="auto"/>
        <w:ind w:firstLine="708"/>
        <w:jc w:val="both"/>
        <w:outlineLvl w:val="0"/>
        <w:rPr>
          <w:rFonts w:ascii="Arial" w:hAnsi="Arial" w:cs="Arial"/>
        </w:rPr>
      </w:pPr>
      <w:r>
        <w:rPr>
          <w:rFonts w:ascii="Arial" w:hAnsi="Arial"/>
        </w:rPr>
        <w:t xml:space="preserve">Hezkuntzako kontseilaria: Carlos Gimeno </w:t>
      </w:r>
      <w:proofErr w:type="spellStart"/>
      <w:r>
        <w:rPr>
          <w:rFonts w:ascii="Arial" w:hAnsi="Arial"/>
        </w:rPr>
        <w:t>Gurpegui</w:t>
      </w:r>
      <w:proofErr w:type="spellEnd"/>
    </w:p>
    <w:p w:rsidR="00406BEC" w:rsidRDefault="00406BEC" w:rsidP="00406BEC">
      <w:pPr>
        <w:jc w:val="both"/>
      </w:pPr>
      <w:r>
        <w:t>(Oharra: Aipatu eranskinak foru parlamentarien eskura daude Legebiltzarreko Zerbitzu Orokorretako bulegoetan.)</w:t>
      </w:r>
    </w:p>
    <w:bookmarkEnd w:id="0"/>
    <w:p w:rsidR="00406BEC" w:rsidRPr="00534450" w:rsidRDefault="00406BEC" w:rsidP="00E0546D">
      <w:pPr>
        <w:spacing w:line="360" w:lineRule="auto"/>
        <w:ind w:firstLine="708"/>
        <w:jc w:val="both"/>
        <w:outlineLvl w:val="0"/>
        <w:rPr>
          <w:rFonts w:ascii="Arial" w:hAnsi="Arial" w:cs="Arial"/>
        </w:rPr>
      </w:pPr>
    </w:p>
    <w:sectPr w:rsidR="00406BEC" w:rsidRPr="00534450" w:rsidSect="006D25E7">
      <w:pgSz w:w="11906" w:h="16838" w:code="9"/>
      <w:pgMar w:top="2835"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DE" w:rsidRDefault="00411CDE" w:rsidP="006D25E7">
      <w:pPr>
        <w:spacing w:after="0"/>
      </w:pPr>
      <w:r>
        <w:separator/>
      </w:r>
    </w:p>
  </w:endnote>
  <w:endnote w:type="continuationSeparator" w:id="0">
    <w:p w:rsidR="00411CDE" w:rsidRDefault="00411CDE" w:rsidP="006D25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64shgxkdh,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DE" w:rsidRDefault="00411CDE" w:rsidP="006D25E7">
      <w:pPr>
        <w:spacing w:after="0"/>
      </w:pPr>
      <w:r>
        <w:separator/>
      </w:r>
    </w:p>
  </w:footnote>
  <w:footnote w:type="continuationSeparator" w:id="0">
    <w:p w:rsidR="00411CDE" w:rsidRDefault="00411CDE" w:rsidP="006D25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A59"/>
    <w:multiLevelType w:val="multilevel"/>
    <w:tmpl w:val="FDA677A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43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84"/>
    <w:rsid w:val="00017BCB"/>
    <w:rsid w:val="00041C7F"/>
    <w:rsid w:val="0006723B"/>
    <w:rsid w:val="00085559"/>
    <w:rsid w:val="000D3D62"/>
    <w:rsid w:val="00112281"/>
    <w:rsid w:val="00157CC6"/>
    <w:rsid w:val="00162E01"/>
    <w:rsid w:val="00191644"/>
    <w:rsid w:val="001A44B2"/>
    <w:rsid w:val="001D1C26"/>
    <w:rsid w:val="002528C3"/>
    <w:rsid w:val="002D061C"/>
    <w:rsid w:val="00310780"/>
    <w:rsid w:val="003222DC"/>
    <w:rsid w:val="0034386B"/>
    <w:rsid w:val="003557F7"/>
    <w:rsid w:val="003867AA"/>
    <w:rsid w:val="003B049B"/>
    <w:rsid w:val="003B4634"/>
    <w:rsid w:val="003D0140"/>
    <w:rsid w:val="003F0DC5"/>
    <w:rsid w:val="003F1114"/>
    <w:rsid w:val="003F471F"/>
    <w:rsid w:val="0040048C"/>
    <w:rsid w:val="00405DC2"/>
    <w:rsid w:val="00406BEC"/>
    <w:rsid w:val="00411CDE"/>
    <w:rsid w:val="004156FC"/>
    <w:rsid w:val="00417D43"/>
    <w:rsid w:val="0045156D"/>
    <w:rsid w:val="00452D78"/>
    <w:rsid w:val="00466DCE"/>
    <w:rsid w:val="0048231C"/>
    <w:rsid w:val="004A759A"/>
    <w:rsid w:val="005003E9"/>
    <w:rsid w:val="00503FCF"/>
    <w:rsid w:val="00534450"/>
    <w:rsid w:val="005810FD"/>
    <w:rsid w:val="005868D1"/>
    <w:rsid w:val="00597CB6"/>
    <w:rsid w:val="005A3E20"/>
    <w:rsid w:val="005C732C"/>
    <w:rsid w:val="005D2C8A"/>
    <w:rsid w:val="0066735B"/>
    <w:rsid w:val="0069367B"/>
    <w:rsid w:val="006D25E7"/>
    <w:rsid w:val="006E3791"/>
    <w:rsid w:val="00732BAD"/>
    <w:rsid w:val="0073463F"/>
    <w:rsid w:val="007533C4"/>
    <w:rsid w:val="007633B2"/>
    <w:rsid w:val="00767FE0"/>
    <w:rsid w:val="007A2C40"/>
    <w:rsid w:val="007B19F8"/>
    <w:rsid w:val="007B57BF"/>
    <w:rsid w:val="007C30DE"/>
    <w:rsid w:val="007F7852"/>
    <w:rsid w:val="00815A34"/>
    <w:rsid w:val="0082153B"/>
    <w:rsid w:val="008360FD"/>
    <w:rsid w:val="008633E0"/>
    <w:rsid w:val="00871485"/>
    <w:rsid w:val="008B1EF7"/>
    <w:rsid w:val="008C7F33"/>
    <w:rsid w:val="008E4E59"/>
    <w:rsid w:val="00931C32"/>
    <w:rsid w:val="0093787D"/>
    <w:rsid w:val="00944189"/>
    <w:rsid w:val="00947A68"/>
    <w:rsid w:val="00950A73"/>
    <w:rsid w:val="00973152"/>
    <w:rsid w:val="0097459B"/>
    <w:rsid w:val="009B0BAB"/>
    <w:rsid w:val="009E7D21"/>
    <w:rsid w:val="00A17B82"/>
    <w:rsid w:val="00A347BA"/>
    <w:rsid w:val="00A42C9D"/>
    <w:rsid w:val="00AB3E2C"/>
    <w:rsid w:val="00B04AB8"/>
    <w:rsid w:val="00B13B7F"/>
    <w:rsid w:val="00B1797E"/>
    <w:rsid w:val="00B25954"/>
    <w:rsid w:val="00B92C38"/>
    <w:rsid w:val="00B931C8"/>
    <w:rsid w:val="00BB3F85"/>
    <w:rsid w:val="00BB457E"/>
    <w:rsid w:val="00C078CD"/>
    <w:rsid w:val="00C20E1A"/>
    <w:rsid w:val="00C32190"/>
    <w:rsid w:val="00C550FC"/>
    <w:rsid w:val="00C61677"/>
    <w:rsid w:val="00C65109"/>
    <w:rsid w:val="00C73436"/>
    <w:rsid w:val="00CF1484"/>
    <w:rsid w:val="00D029A8"/>
    <w:rsid w:val="00D67C65"/>
    <w:rsid w:val="00D71E33"/>
    <w:rsid w:val="00D94B49"/>
    <w:rsid w:val="00D96188"/>
    <w:rsid w:val="00DD774A"/>
    <w:rsid w:val="00E0546D"/>
    <w:rsid w:val="00E1267D"/>
    <w:rsid w:val="00E335E3"/>
    <w:rsid w:val="00E75D6A"/>
    <w:rsid w:val="00EB4FEB"/>
    <w:rsid w:val="00EE3CC8"/>
    <w:rsid w:val="00EF5CE1"/>
    <w:rsid w:val="00F0023D"/>
    <w:rsid w:val="00F127A8"/>
    <w:rsid w:val="00F449A4"/>
    <w:rsid w:val="00F57B70"/>
    <w:rsid w:val="00FA2BD2"/>
    <w:rsid w:val="00FB6AD2"/>
    <w:rsid w:val="00FD4C4B"/>
    <w:rsid w:val="00FE3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484"/>
    <w:pPr>
      <w:spacing w:after="200"/>
    </w:pPr>
    <w:rPr>
      <w:rFonts w:ascii="Cambria" w:eastAsia="Cambria" w:hAnsi="Cambri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detabla1">
    <w:name w:val="Estilo de tabla1"/>
    <w:basedOn w:val="Tablabsica1"/>
    <w:rsid w:val="00F57B70"/>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rsid w:val="00C73436"/>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Estilodetabla2">
    <w:name w:val="Estilo de tabla2"/>
    <w:basedOn w:val="Tablaconcuadrcula"/>
    <w:rsid w:val="00BB457E"/>
    <w:tblPr/>
  </w:style>
  <w:style w:type="table" w:styleId="Tablaconcuadrcula">
    <w:name w:val="Table Grid"/>
    <w:basedOn w:val="Tablanormal"/>
    <w:rsid w:val="00BB4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947A68"/>
    <w:pPr>
      <w:shd w:val="clear" w:color="auto" w:fill="000080"/>
    </w:pPr>
    <w:rPr>
      <w:rFonts w:ascii="Tahoma" w:hAnsi="Tahoma" w:cs="Tahoma"/>
      <w:sz w:val="20"/>
      <w:szCs w:val="20"/>
    </w:rPr>
  </w:style>
  <w:style w:type="table" w:styleId="Tablaconcuadrcula1">
    <w:name w:val="Table Grid 1"/>
    <w:basedOn w:val="Tablanormal"/>
    <w:rsid w:val="00FA2BD2"/>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cabezado">
    <w:name w:val="header"/>
    <w:basedOn w:val="Normal"/>
    <w:link w:val="EncabezadoCar"/>
    <w:rsid w:val="006D25E7"/>
    <w:pPr>
      <w:tabs>
        <w:tab w:val="center" w:pos="4252"/>
        <w:tab w:val="right" w:pos="8504"/>
      </w:tabs>
    </w:pPr>
  </w:style>
  <w:style w:type="character" w:customStyle="1" w:styleId="EncabezadoCar">
    <w:name w:val="Encabezado Car"/>
    <w:link w:val="Encabezado"/>
    <w:rsid w:val="006D25E7"/>
    <w:rPr>
      <w:rFonts w:ascii="Cambria" w:eastAsia="Cambria" w:hAnsi="Cambria"/>
      <w:sz w:val="24"/>
      <w:szCs w:val="24"/>
      <w:lang w:val="eu-ES" w:eastAsia="en-US"/>
    </w:rPr>
  </w:style>
  <w:style w:type="paragraph" w:styleId="Piedepgina">
    <w:name w:val="footer"/>
    <w:basedOn w:val="Normal"/>
    <w:link w:val="PiedepginaCar"/>
    <w:rsid w:val="006D25E7"/>
    <w:pPr>
      <w:tabs>
        <w:tab w:val="center" w:pos="4252"/>
        <w:tab w:val="right" w:pos="8504"/>
      </w:tabs>
    </w:pPr>
  </w:style>
  <w:style w:type="character" w:customStyle="1" w:styleId="PiedepginaCar">
    <w:name w:val="Pie de página Car"/>
    <w:link w:val="Piedepgina"/>
    <w:rsid w:val="006D25E7"/>
    <w:rPr>
      <w:rFonts w:ascii="Cambria" w:eastAsia="Cambria" w:hAnsi="Cambria"/>
      <w:sz w:val="24"/>
      <w:szCs w:val="24"/>
      <w:lang w:val="eu-ES" w:eastAsia="en-US"/>
    </w:rPr>
  </w:style>
  <w:style w:type="paragraph" w:styleId="Textodeglobo">
    <w:name w:val="Balloon Text"/>
    <w:basedOn w:val="Normal"/>
    <w:link w:val="TextodegloboCar"/>
    <w:rsid w:val="00112281"/>
    <w:pPr>
      <w:spacing w:after="0"/>
    </w:pPr>
    <w:rPr>
      <w:rFonts w:ascii="Segoe UI" w:hAnsi="Segoe UI" w:cs="Segoe UI"/>
      <w:sz w:val="18"/>
      <w:szCs w:val="18"/>
    </w:rPr>
  </w:style>
  <w:style w:type="character" w:customStyle="1" w:styleId="TextodegloboCar">
    <w:name w:val="Texto de globo Car"/>
    <w:link w:val="Textodeglobo"/>
    <w:rsid w:val="00112281"/>
    <w:rPr>
      <w:rFonts w:ascii="Segoe UI" w:eastAsia="Cambria" w:hAnsi="Segoe UI" w:cs="Segoe UI"/>
      <w:sz w:val="18"/>
      <w:szCs w:val="18"/>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484"/>
    <w:pPr>
      <w:spacing w:after="200"/>
    </w:pPr>
    <w:rPr>
      <w:rFonts w:ascii="Cambria" w:eastAsia="Cambria" w:hAnsi="Cambri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detabla1">
    <w:name w:val="Estilo de tabla1"/>
    <w:basedOn w:val="Tablabsica1"/>
    <w:rsid w:val="00F57B70"/>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rsid w:val="00C73436"/>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Estilodetabla2">
    <w:name w:val="Estilo de tabla2"/>
    <w:basedOn w:val="Tablaconcuadrcula"/>
    <w:rsid w:val="00BB457E"/>
    <w:tblPr/>
  </w:style>
  <w:style w:type="table" w:styleId="Tablaconcuadrcula">
    <w:name w:val="Table Grid"/>
    <w:basedOn w:val="Tablanormal"/>
    <w:rsid w:val="00BB4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947A68"/>
    <w:pPr>
      <w:shd w:val="clear" w:color="auto" w:fill="000080"/>
    </w:pPr>
    <w:rPr>
      <w:rFonts w:ascii="Tahoma" w:hAnsi="Tahoma" w:cs="Tahoma"/>
      <w:sz w:val="20"/>
      <w:szCs w:val="20"/>
    </w:rPr>
  </w:style>
  <w:style w:type="table" w:styleId="Tablaconcuadrcula1">
    <w:name w:val="Table Grid 1"/>
    <w:basedOn w:val="Tablanormal"/>
    <w:rsid w:val="00FA2BD2"/>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cabezado">
    <w:name w:val="header"/>
    <w:basedOn w:val="Normal"/>
    <w:link w:val="EncabezadoCar"/>
    <w:rsid w:val="006D25E7"/>
    <w:pPr>
      <w:tabs>
        <w:tab w:val="center" w:pos="4252"/>
        <w:tab w:val="right" w:pos="8504"/>
      </w:tabs>
    </w:pPr>
  </w:style>
  <w:style w:type="character" w:customStyle="1" w:styleId="EncabezadoCar">
    <w:name w:val="Encabezado Car"/>
    <w:link w:val="Encabezado"/>
    <w:rsid w:val="006D25E7"/>
    <w:rPr>
      <w:rFonts w:ascii="Cambria" w:eastAsia="Cambria" w:hAnsi="Cambria"/>
      <w:sz w:val="24"/>
      <w:szCs w:val="24"/>
      <w:lang w:val="eu-ES" w:eastAsia="en-US"/>
    </w:rPr>
  </w:style>
  <w:style w:type="paragraph" w:styleId="Piedepgina">
    <w:name w:val="footer"/>
    <w:basedOn w:val="Normal"/>
    <w:link w:val="PiedepginaCar"/>
    <w:rsid w:val="006D25E7"/>
    <w:pPr>
      <w:tabs>
        <w:tab w:val="center" w:pos="4252"/>
        <w:tab w:val="right" w:pos="8504"/>
      </w:tabs>
    </w:pPr>
  </w:style>
  <w:style w:type="character" w:customStyle="1" w:styleId="PiedepginaCar">
    <w:name w:val="Pie de página Car"/>
    <w:link w:val="Piedepgina"/>
    <w:rsid w:val="006D25E7"/>
    <w:rPr>
      <w:rFonts w:ascii="Cambria" w:eastAsia="Cambria" w:hAnsi="Cambria"/>
      <w:sz w:val="24"/>
      <w:szCs w:val="24"/>
      <w:lang w:val="eu-ES" w:eastAsia="en-US"/>
    </w:rPr>
  </w:style>
  <w:style w:type="paragraph" w:styleId="Textodeglobo">
    <w:name w:val="Balloon Text"/>
    <w:basedOn w:val="Normal"/>
    <w:link w:val="TextodegloboCar"/>
    <w:rsid w:val="00112281"/>
    <w:pPr>
      <w:spacing w:after="0"/>
    </w:pPr>
    <w:rPr>
      <w:rFonts w:ascii="Segoe UI" w:hAnsi="Segoe UI" w:cs="Segoe UI"/>
      <w:sz w:val="18"/>
      <w:szCs w:val="18"/>
    </w:rPr>
  </w:style>
  <w:style w:type="character" w:customStyle="1" w:styleId="TextodegloboCar">
    <w:name w:val="Texto de globo Car"/>
    <w:link w:val="Textodeglobo"/>
    <w:rsid w:val="00112281"/>
    <w:rPr>
      <w:rFonts w:ascii="Segoe UI" w:eastAsia="Cambria" w:hAnsi="Segoe UI" w:cs="Segoe UI"/>
      <w:sz w:val="18"/>
      <w:szCs w:val="18"/>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1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5264</Characters>
  <Application>Microsoft Office Word</Application>
  <DocSecurity>0</DocSecurity>
  <Lines>43</Lines>
  <Paragraphs>11</Paragraphs>
  <ScaleCrop>false</ScaleCrop>
  <HeadingPairs>
    <vt:vector size="2" baseType="variant">
      <vt:variant>
        <vt:lpstr>Título</vt:lpstr>
      </vt:variant>
      <vt:variant>
        <vt:i4>1</vt:i4>
      </vt:variant>
    </vt:vector>
  </HeadingPairs>
  <TitlesOfParts>
    <vt:vector size="1" baseType="lpstr">
      <vt:lpstr>En relación a la petición de información 10-20_____, presentada por el Grupo Parlamentario Navarra Suma, el  Consejero de Educación del Gobierno de Navarra,</vt:lpstr>
    </vt:vector>
  </TitlesOfParts>
  <Company>Gobierno de Navarra</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 10-20_____, presentada por el Grupo Parlamentario Navarra Suma, el  Consejero de Educación del Gobierno de Navarra,</dc:title>
  <dc:creator>x007122</dc:creator>
  <cp:lastModifiedBy>Iñaki De Santiago</cp:lastModifiedBy>
  <cp:revision>2</cp:revision>
  <cp:lastPrinted>2020-10-19T09:42:00Z</cp:lastPrinted>
  <dcterms:created xsi:type="dcterms:W3CDTF">2020-12-16T13:05:00Z</dcterms:created>
  <dcterms:modified xsi:type="dcterms:W3CDTF">2020-12-16T13:05:00Z</dcterms:modified>
</cp:coreProperties>
</file>