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Next Generation EU funtsetarako aurkeztutako “Efizientzia energetikoa hobetzea Justizia Zuzendaritza Nagusiari atxikitako eraikinetan”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Migrazio Politiketako eta Justiziako Departamentuak “Efizientzia energetikoa hobetzea Justizia Zuzendaritza Nagusiari atxikitako eraikinetan”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UEtik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