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63" w:rsidRDefault="00CC4263" w:rsidP="00453A73">
      <w:pPr>
        <w:spacing w:line="360" w:lineRule="auto"/>
        <w:ind w:left="426"/>
        <w:jc w:val="both"/>
        <w:rPr>
          <w:rFonts w:ascii="Arial" w:hAnsi="Arial" w:cs="Arial"/>
          <w:sz w:val="24"/>
          <w:szCs w:val="24"/>
          <w:lang w:val="es-ES_tradnl"/>
        </w:rPr>
      </w:pPr>
      <w:r>
        <w:rPr>
          <w:rFonts w:ascii="Arial" w:hAnsi="Arial" w:cs="Arial"/>
          <w:sz w:val="24"/>
          <w:szCs w:val="24"/>
          <w:lang w:val="es-ES_tradnl"/>
        </w:rPr>
        <w:t>2 de octubre</w:t>
      </w:r>
    </w:p>
    <w:p w:rsidR="00CC4263" w:rsidRDefault="00D150AC" w:rsidP="00D150AC">
      <w:pPr>
        <w:spacing w:line="360" w:lineRule="auto"/>
        <w:ind w:left="426"/>
        <w:jc w:val="both"/>
        <w:rPr>
          <w:rFonts w:ascii="Arial" w:hAnsi="Arial" w:cs="Arial"/>
          <w:sz w:val="24"/>
          <w:szCs w:val="24"/>
        </w:rPr>
      </w:pPr>
      <w:r>
        <w:rPr>
          <w:rFonts w:ascii="Arial" w:hAnsi="Arial" w:cs="Arial"/>
          <w:sz w:val="24"/>
          <w:szCs w:val="24"/>
        </w:rPr>
        <w:t>El</w:t>
      </w:r>
      <w:r w:rsidRPr="00453A73">
        <w:rPr>
          <w:rFonts w:ascii="Arial" w:hAnsi="Arial" w:cs="Arial"/>
          <w:sz w:val="24"/>
          <w:szCs w:val="24"/>
        </w:rPr>
        <w:t xml:space="preserve"> Consejer</w:t>
      </w:r>
      <w:r>
        <w:rPr>
          <w:rFonts w:ascii="Arial" w:hAnsi="Arial" w:cs="Arial"/>
          <w:sz w:val="24"/>
          <w:szCs w:val="24"/>
        </w:rPr>
        <w:t>o</w:t>
      </w:r>
      <w:r w:rsidRPr="00453A73">
        <w:rPr>
          <w:rFonts w:ascii="Arial" w:hAnsi="Arial" w:cs="Arial"/>
          <w:sz w:val="24"/>
          <w:szCs w:val="24"/>
        </w:rPr>
        <w:t xml:space="preserve"> de </w:t>
      </w:r>
      <w:r>
        <w:rPr>
          <w:rFonts w:ascii="Arial" w:hAnsi="Arial" w:cs="Arial"/>
          <w:sz w:val="24"/>
          <w:szCs w:val="24"/>
        </w:rPr>
        <w:t>Cohesión Territorial</w:t>
      </w:r>
      <w:r w:rsidRPr="00453A73">
        <w:rPr>
          <w:rFonts w:ascii="Arial" w:hAnsi="Arial" w:cs="Arial"/>
          <w:sz w:val="24"/>
          <w:szCs w:val="24"/>
        </w:rPr>
        <w:t xml:space="preserve"> del Gobierno de Navarra, en relación con la pregunta para su contestación por escrito </w:t>
      </w:r>
      <w:r>
        <w:rPr>
          <w:rFonts w:ascii="Arial" w:hAnsi="Arial" w:cs="Arial"/>
          <w:sz w:val="24"/>
          <w:szCs w:val="24"/>
        </w:rPr>
        <w:t>10-20/PES-0017</w:t>
      </w:r>
      <w:r w:rsidR="0034106C">
        <w:rPr>
          <w:rFonts w:ascii="Arial" w:hAnsi="Arial" w:cs="Arial"/>
          <w:sz w:val="24"/>
          <w:szCs w:val="24"/>
        </w:rPr>
        <w:t>5</w:t>
      </w:r>
      <w:r>
        <w:rPr>
          <w:rFonts w:ascii="Arial" w:hAnsi="Arial" w:cs="Arial"/>
          <w:sz w:val="24"/>
          <w:szCs w:val="24"/>
        </w:rPr>
        <w:t xml:space="preserve"> </w:t>
      </w:r>
      <w:r w:rsidRPr="00453A73">
        <w:rPr>
          <w:rFonts w:ascii="Arial" w:hAnsi="Arial" w:cs="Arial"/>
          <w:sz w:val="24"/>
          <w:szCs w:val="24"/>
        </w:rPr>
        <w:t xml:space="preserve">formulada por </w:t>
      </w:r>
      <w:r w:rsidR="0034106C">
        <w:rPr>
          <w:rFonts w:ascii="Arial" w:hAnsi="Arial" w:cs="Arial"/>
          <w:sz w:val="24"/>
          <w:szCs w:val="24"/>
        </w:rPr>
        <w:t>el</w:t>
      </w:r>
      <w:r w:rsidRPr="00453A73">
        <w:rPr>
          <w:rFonts w:ascii="Arial" w:hAnsi="Arial" w:cs="Arial"/>
          <w:sz w:val="24"/>
          <w:szCs w:val="24"/>
        </w:rPr>
        <w:t xml:space="preserve"> Parlamentari</w:t>
      </w:r>
      <w:r w:rsidR="0034106C">
        <w:rPr>
          <w:rFonts w:ascii="Arial" w:hAnsi="Arial" w:cs="Arial"/>
          <w:sz w:val="24"/>
          <w:szCs w:val="24"/>
        </w:rPr>
        <w:t>o</w:t>
      </w:r>
      <w:r w:rsidRPr="00453A73">
        <w:rPr>
          <w:rFonts w:ascii="Arial" w:hAnsi="Arial" w:cs="Arial"/>
          <w:sz w:val="24"/>
          <w:szCs w:val="24"/>
        </w:rPr>
        <w:t xml:space="preserve"> Foral Ilm</w:t>
      </w:r>
      <w:r w:rsidR="0034106C">
        <w:rPr>
          <w:rFonts w:ascii="Arial" w:hAnsi="Arial" w:cs="Arial"/>
          <w:sz w:val="24"/>
          <w:szCs w:val="24"/>
        </w:rPr>
        <w:t>o</w:t>
      </w:r>
      <w:r w:rsidRPr="00453A73">
        <w:rPr>
          <w:rFonts w:ascii="Arial" w:hAnsi="Arial" w:cs="Arial"/>
          <w:sz w:val="24"/>
          <w:szCs w:val="24"/>
        </w:rPr>
        <w:t xml:space="preserve">. Sr. D. </w:t>
      </w:r>
      <w:r w:rsidR="0034106C">
        <w:rPr>
          <w:rFonts w:ascii="Arial" w:hAnsi="Arial" w:cs="Arial"/>
          <w:sz w:val="24"/>
          <w:szCs w:val="24"/>
        </w:rPr>
        <w:t xml:space="preserve">Adolfo </w:t>
      </w:r>
      <w:proofErr w:type="spellStart"/>
      <w:r w:rsidR="0034106C">
        <w:rPr>
          <w:rFonts w:ascii="Arial" w:hAnsi="Arial" w:cs="Arial"/>
          <w:sz w:val="24"/>
          <w:szCs w:val="24"/>
        </w:rPr>
        <w:t>Araiz</w:t>
      </w:r>
      <w:proofErr w:type="spellEnd"/>
      <w:r w:rsidR="0034106C">
        <w:rPr>
          <w:rFonts w:ascii="Arial" w:hAnsi="Arial" w:cs="Arial"/>
          <w:sz w:val="24"/>
          <w:szCs w:val="24"/>
        </w:rPr>
        <w:t xml:space="preserve"> </w:t>
      </w:r>
      <w:proofErr w:type="spellStart"/>
      <w:r w:rsidR="0034106C">
        <w:rPr>
          <w:rFonts w:ascii="Arial" w:hAnsi="Arial" w:cs="Arial"/>
          <w:sz w:val="24"/>
          <w:szCs w:val="24"/>
        </w:rPr>
        <w:t>Flamarique</w:t>
      </w:r>
      <w:proofErr w:type="spellEnd"/>
      <w:r>
        <w:rPr>
          <w:rFonts w:ascii="Arial" w:hAnsi="Arial" w:cs="Arial"/>
          <w:sz w:val="24"/>
          <w:szCs w:val="24"/>
        </w:rPr>
        <w:t xml:space="preserve">, </w:t>
      </w:r>
      <w:r w:rsidRPr="00453A73">
        <w:rPr>
          <w:rFonts w:ascii="Arial" w:hAnsi="Arial" w:cs="Arial"/>
          <w:sz w:val="24"/>
          <w:szCs w:val="24"/>
        </w:rPr>
        <w:t>adscrit</w:t>
      </w:r>
      <w:r w:rsidR="0034106C">
        <w:rPr>
          <w:rFonts w:ascii="Arial" w:hAnsi="Arial" w:cs="Arial"/>
          <w:sz w:val="24"/>
          <w:szCs w:val="24"/>
        </w:rPr>
        <w:t>o</w:t>
      </w:r>
      <w:r w:rsidRPr="00453A73">
        <w:rPr>
          <w:rFonts w:ascii="Arial" w:hAnsi="Arial" w:cs="Arial"/>
          <w:sz w:val="24"/>
          <w:szCs w:val="24"/>
        </w:rPr>
        <w:t xml:space="preserve"> al Grupo Parlamentario</w:t>
      </w:r>
      <w:r>
        <w:rPr>
          <w:rFonts w:ascii="Arial" w:hAnsi="Arial" w:cs="Arial"/>
          <w:sz w:val="24"/>
          <w:szCs w:val="24"/>
        </w:rPr>
        <w:t xml:space="preserve"> de </w:t>
      </w:r>
      <w:r w:rsidR="0034106C">
        <w:rPr>
          <w:rFonts w:ascii="Arial" w:hAnsi="Arial" w:cs="Arial"/>
          <w:sz w:val="24"/>
          <w:szCs w:val="24"/>
        </w:rPr>
        <w:t>E.H. Bildu</w:t>
      </w:r>
      <w:r>
        <w:rPr>
          <w:rFonts w:ascii="Arial" w:hAnsi="Arial" w:cs="Arial"/>
          <w:sz w:val="24"/>
          <w:szCs w:val="24"/>
        </w:rPr>
        <w:t xml:space="preserve"> en la que se pregunta </w:t>
      </w:r>
    </w:p>
    <w:p w:rsidR="00CC4263" w:rsidRDefault="0034106C" w:rsidP="00453A73">
      <w:pPr>
        <w:spacing w:line="360" w:lineRule="auto"/>
        <w:ind w:left="426"/>
        <w:jc w:val="both"/>
        <w:rPr>
          <w:rFonts w:ascii="Arial" w:hAnsi="Arial" w:cs="Arial"/>
          <w:b/>
          <w:sz w:val="24"/>
          <w:szCs w:val="24"/>
        </w:rPr>
      </w:pPr>
      <w:r w:rsidRPr="0034106C">
        <w:rPr>
          <w:rFonts w:ascii="Arial" w:hAnsi="Arial" w:cs="Arial"/>
          <w:b/>
          <w:sz w:val="24"/>
          <w:szCs w:val="24"/>
        </w:rPr>
        <w:t xml:space="preserve">¿Qué </w:t>
      </w:r>
      <w:proofErr w:type="spellStart"/>
      <w:r w:rsidRPr="0034106C">
        <w:rPr>
          <w:rFonts w:ascii="Arial" w:hAnsi="Arial" w:cs="Arial"/>
          <w:b/>
          <w:sz w:val="24"/>
          <w:szCs w:val="24"/>
        </w:rPr>
        <w:t>inejecuciónes</w:t>
      </w:r>
      <w:proofErr w:type="spellEnd"/>
      <w:r w:rsidRPr="0034106C">
        <w:rPr>
          <w:rFonts w:ascii="Arial" w:hAnsi="Arial" w:cs="Arial"/>
          <w:b/>
          <w:sz w:val="24"/>
          <w:szCs w:val="24"/>
        </w:rPr>
        <w:t xml:space="preserve"> de gasto prevé el Departamento de Cohesión Territorial, con expresión de la partida y del importe en cada una de ellas, en los Presupuestos del año 2020?</w:t>
      </w:r>
    </w:p>
    <w:p w:rsidR="00CC4263" w:rsidRDefault="002843BA" w:rsidP="0034106C">
      <w:pPr>
        <w:spacing w:line="360" w:lineRule="auto"/>
        <w:ind w:left="426"/>
        <w:jc w:val="both"/>
        <w:rPr>
          <w:rFonts w:ascii="Arial" w:hAnsi="Arial" w:cs="Arial"/>
          <w:sz w:val="24"/>
          <w:szCs w:val="24"/>
          <w:lang w:val="es-ES_tradnl"/>
        </w:rPr>
      </w:pPr>
      <w:proofErr w:type="gramStart"/>
      <w:r w:rsidRPr="002843BA">
        <w:rPr>
          <w:rFonts w:ascii="Arial" w:hAnsi="Arial" w:cs="Arial"/>
          <w:sz w:val="24"/>
          <w:szCs w:val="24"/>
          <w:lang w:val="es-ES_tradnl"/>
        </w:rPr>
        <w:t>tiene</w:t>
      </w:r>
      <w:proofErr w:type="gramEnd"/>
      <w:r w:rsidRPr="002843BA">
        <w:rPr>
          <w:rFonts w:ascii="Arial" w:hAnsi="Arial" w:cs="Arial"/>
          <w:sz w:val="24"/>
          <w:szCs w:val="24"/>
          <w:lang w:val="es-ES_tradnl"/>
        </w:rPr>
        <w:t xml:space="preserve"> el honor de</w:t>
      </w:r>
      <w:r w:rsidR="0034106C">
        <w:rPr>
          <w:rFonts w:ascii="Arial" w:hAnsi="Arial" w:cs="Arial"/>
          <w:sz w:val="24"/>
          <w:szCs w:val="24"/>
          <w:lang w:val="es-ES_tradnl"/>
        </w:rPr>
        <w:t xml:space="preserve"> remitir la información solicitada en el documento adjunto. A modo resumen, señalar que e</w:t>
      </w:r>
      <w:r w:rsidR="0034106C" w:rsidRPr="0034106C">
        <w:rPr>
          <w:rFonts w:ascii="Arial" w:hAnsi="Arial" w:cs="Arial"/>
          <w:sz w:val="24"/>
          <w:szCs w:val="24"/>
          <w:lang w:val="es-ES_tradnl"/>
        </w:rPr>
        <w:t>l departamento de Cohesión Territorial, a 28 de septiembre de 2020, estima una inejecución del 3,5 % del presupuesto consolidado.</w:t>
      </w:r>
    </w:p>
    <w:p w:rsidR="00CC4263" w:rsidRDefault="0034106C" w:rsidP="005C14E9">
      <w:pPr>
        <w:spacing w:line="360" w:lineRule="auto"/>
        <w:ind w:left="426"/>
        <w:jc w:val="both"/>
        <w:rPr>
          <w:rFonts w:ascii="Arial" w:hAnsi="Arial" w:cs="Arial"/>
          <w:sz w:val="24"/>
          <w:szCs w:val="24"/>
          <w:lang w:val="es-ES_tradnl"/>
        </w:rPr>
      </w:pPr>
      <w:r w:rsidRPr="0034106C">
        <w:rPr>
          <w:rFonts w:ascii="Arial" w:hAnsi="Arial" w:cs="Arial"/>
          <w:sz w:val="24"/>
          <w:szCs w:val="24"/>
          <w:lang w:val="es-ES_tradnl"/>
        </w:rPr>
        <w:t xml:space="preserve">Cabe informar que casi la mitad de la cuantía </w:t>
      </w:r>
      <w:r>
        <w:rPr>
          <w:rFonts w:ascii="Arial" w:hAnsi="Arial" w:cs="Arial"/>
          <w:sz w:val="24"/>
          <w:szCs w:val="24"/>
          <w:lang w:val="es-ES_tradnl"/>
        </w:rPr>
        <w:t>de las inejecuciones</w:t>
      </w:r>
      <w:r w:rsidRPr="0034106C">
        <w:rPr>
          <w:rFonts w:ascii="Arial" w:hAnsi="Arial" w:cs="Arial"/>
          <w:sz w:val="24"/>
          <w:szCs w:val="24"/>
          <w:lang w:val="es-ES_tradnl"/>
        </w:rPr>
        <w:t xml:space="preserve"> se </w:t>
      </w:r>
      <w:proofErr w:type="gramStart"/>
      <w:r w:rsidRPr="0034106C">
        <w:rPr>
          <w:rFonts w:ascii="Arial" w:hAnsi="Arial" w:cs="Arial"/>
          <w:sz w:val="24"/>
          <w:szCs w:val="24"/>
          <w:lang w:val="es-ES_tradnl"/>
        </w:rPr>
        <w:t>corresponde</w:t>
      </w:r>
      <w:r>
        <w:rPr>
          <w:rFonts w:ascii="Arial" w:hAnsi="Arial" w:cs="Arial"/>
          <w:sz w:val="24"/>
          <w:szCs w:val="24"/>
          <w:lang w:val="es-ES_tradnl"/>
        </w:rPr>
        <w:t>n</w:t>
      </w:r>
      <w:proofErr w:type="gramEnd"/>
      <w:r w:rsidRPr="0034106C">
        <w:rPr>
          <w:rFonts w:ascii="Arial" w:hAnsi="Arial" w:cs="Arial"/>
          <w:sz w:val="24"/>
          <w:szCs w:val="24"/>
          <w:lang w:val="es-ES_tradnl"/>
        </w:rPr>
        <w:t xml:space="preserve"> </w:t>
      </w:r>
      <w:r>
        <w:rPr>
          <w:rFonts w:ascii="Arial" w:hAnsi="Arial" w:cs="Arial"/>
          <w:sz w:val="24"/>
          <w:szCs w:val="24"/>
          <w:lang w:val="es-ES_tradnl"/>
        </w:rPr>
        <w:t>al</w:t>
      </w:r>
      <w:r w:rsidRPr="0034106C">
        <w:rPr>
          <w:rFonts w:ascii="Arial" w:hAnsi="Arial" w:cs="Arial"/>
          <w:sz w:val="24"/>
          <w:szCs w:val="24"/>
          <w:lang w:val="es-ES_tradnl"/>
        </w:rPr>
        <w:t xml:space="preserve"> Plan de Infraestructuras Locales (PIL), 7,4 millones de euros. Hay que destacar que inicialmente el PIL se presupuestó por 17,5 millones; no obstante, a lo largo del ejercicio se ha incrementado hasta alcanzar el presupuesto consolidado los 25,6 millones. La previsión que maneja el departamento, es ejecutar 18,2 millones de euros. No obstante, lo anterior, estos 7,4 millones de euros son gasto ya comprometido.</w:t>
      </w:r>
      <w:r w:rsidR="005C14E9">
        <w:rPr>
          <w:rFonts w:ascii="Arial" w:hAnsi="Arial" w:cs="Arial"/>
          <w:sz w:val="24"/>
          <w:szCs w:val="24"/>
          <w:lang w:val="es-ES_tradnl"/>
        </w:rPr>
        <w:t xml:space="preserve"> Asimismo, informar que algunas de estas inejecuciones del PIL pueden deberse </w:t>
      </w:r>
      <w:r w:rsidR="005C14E9" w:rsidRPr="005C14E9">
        <w:rPr>
          <w:rFonts w:ascii="Arial" w:hAnsi="Arial" w:cs="Arial"/>
          <w:sz w:val="24"/>
          <w:szCs w:val="24"/>
          <w:lang w:val="es-ES_tradnl"/>
        </w:rPr>
        <w:t>a la irrupción de la epidemia del COVID-19. No obstante, la Dirección General de Administración Local y Despoblación no se encuentra en disposición de cuantificar cuál podría ser esta afección debido a la propia dinámica del PIL.</w:t>
      </w:r>
    </w:p>
    <w:p w:rsidR="00CC4263" w:rsidRDefault="0034106C" w:rsidP="0034106C">
      <w:pPr>
        <w:spacing w:line="360" w:lineRule="auto"/>
        <w:ind w:left="426"/>
        <w:jc w:val="both"/>
        <w:rPr>
          <w:rFonts w:ascii="Arial" w:hAnsi="Arial" w:cs="Arial"/>
          <w:sz w:val="24"/>
          <w:szCs w:val="24"/>
          <w:lang w:val="es-ES_tradnl"/>
        </w:rPr>
      </w:pPr>
      <w:r w:rsidRPr="0034106C">
        <w:rPr>
          <w:rFonts w:ascii="Arial" w:hAnsi="Arial" w:cs="Arial"/>
          <w:sz w:val="24"/>
          <w:szCs w:val="24"/>
          <w:lang w:val="es-ES_tradnl"/>
        </w:rPr>
        <w:t>Otra parte importante de la inejecución se localiza en las partidas de los cánones, 6,4 millones de euros. En el caso de los cánones de las Autovía A-12 y A-21, se debe a la diferencia entre las estimaciones realizadas en el momento de elaborar el presupuesto y los datos reales de IPC y tráfico de 2019. Como resultado se produce un menor coste y un ahorro para el Gobierno de Navarra. En los cánones de la ampliación de la 1ª fase del Canal de Navarra, la diferencia se debe a que se presupuesta el importe establecido en el Acuerdo de Gobierno de autorización del gasto plurianual, que a su vez recoge el coste teórico, mientras que en la partida se abona el gasto real.</w:t>
      </w:r>
    </w:p>
    <w:p w:rsidR="00CC4263" w:rsidRDefault="0034106C" w:rsidP="0034106C">
      <w:pPr>
        <w:spacing w:line="360" w:lineRule="auto"/>
        <w:ind w:left="426"/>
        <w:jc w:val="both"/>
        <w:rPr>
          <w:rFonts w:ascii="Arial" w:hAnsi="Arial" w:cs="Arial"/>
          <w:sz w:val="24"/>
          <w:szCs w:val="24"/>
          <w:lang w:val="es-ES_tradnl"/>
        </w:rPr>
      </w:pPr>
      <w:r w:rsidRPr="0034106C">
        <w:rPr>
          <w:rFonts w:ascii="Arial" w:hAnsi="Arial" w:cs="Arial"/>
          <w:sz w:val="24"/>
          <w:szCs w:val="24"/>
          <w:lang w:val="es-ES_tradnl"/>
        </w:rPr>
        <w:lastRenderedPageBreak/>
        <w:t xml:space="preserve">También cabe hacer referencia a la inejecución en relación a la variante de Tafalla, que asciende a 922.311 euros. Dicha cantidad se corresponde con la parte de la reserva para posibles modificaciones, dentro del límite establecido en la Ley Foral de Contratos, que no ha sido utilizada, por lo que supone un menor coste y un ahorro para el Gobierno de Navarra. </w:t>
      </w:r>
    </w:p>
    <w:p w:rsidR="00CC4263" w:rsidRDefault="0034106C" w:rsidP="0034106C">
      <w:pPr>
        <w:spacing w:line="360" w:lineRule="auto"/>
        <w:ind w:left="426"/>
        <w:jc w:val="both"/>
        <w:rPr>
          <w:rFonts w:ascii="Arial" w:hAnsi="Arial" w:cs="Arial"/>
          <w:sz w:val="24"/>
          <w:szCs w:val="24"/>
          <w:lang w:val="es-ES_tradnl"/>
        </w:rPr>
      </w:pPr>
      <w:r w:rsidRPr="0034106C">
        <w:rPr>
          <w:rFonts w:ascii="Arial" w:hAnsi="Arial" w:cs="Arial"/>
          <w:sz w:val="24"/>
          <w:szCs w:val="24"/>
          <w:lang w:val="es-ES_tradnl"/>
        </w:rPr>
        <w:t xml:space="preserve">Por último, se debe señalar también la partida de Estudios y proyectos en la que se licita el proyecto de desdoblamiento de los túneles de </w:t>
      </w:r>
      <w:proofErr w:type="spellStart"/>
      <w:r w:rsidRPr="0034106C">
        <w:rPr>
          <w:rFonts w:ascii="Arial" w:hAnsi="Arial" w:cs="Arial"/>
          <w:sz w:val="24"/>
          <w:szCs w:val="24"/>
          <w:lang w:val="es-ES_tradnl"/>
        </w:rPr>
        <w:t>Belate</w:t>
      </w:r>
      <w:proofErr w:type="spellEnd"/>
      <w:r w:rsidRPr="0034106C">
        <w:rPr>
          <w:rFonts w:ascii="Arial" w:hAnsi="Arial" w:cs="Arial"/>
          <w:sz w:val="24"/>
          <w:szCs w:val="24"/>
          <w:lang w:val="es-ES_tradnl"/>
        </w:rPr>
        <w:t xml:space="preserve"> y </w:t>
      </w:r>
      <w:proofErr w:type="spellStart"/>
      <w:r w:rsidRPr="0034106C">
        <w:rPr>
          <w:rFonts w:ascii="Arial" w:hAnsi="Arial" w:cs="Arial"/>
          <w:sz w:val="24"/>
          <w:szCs w:val="24"/>
          <w:lang w:val="es-ES_tradnl"/>
        </w:rPr>
        <w:t>Almándoz</w:t>
      </w:r>
      <w:proofErr w:type="spellEnd"/>
      <w:r w:rsidRPr="0034106C">
        <w:rPr>
          <w:rFonts w:ascii="Arial" w:hAnsi="Arial" w:cs="Arial"/>
          <w:sz w:val="24"/>
          <w:szCs w:val="24"/>
          <w:lang w:val="es-ES_tradnl"/>
        </w:rPr>
        <w:t xml:space="preserve">, afectada en este caso directamente por la crisis del COVID-19. Inicialmente se preveía un gasto de 750.000 euros en 2020 y otros 750.000 euros en 2021 que, con el retraso de plazos, se estima que se producirán en los años 2021 y 2022. No obstante, dicho lo cual, no afecta al avance de los trabajos en relación a la redacción del proyecto de duplicación de los túneles de </w:t>
      </w:r>
      <w:proofErr w:type="spellStart"/>
      <w:r w:rsidRPr="0034106C">
        <w:rPr>
          <w:rFonts w:ascii="Arial" w:hAnsi="Arial" w:cs="Arial"/>
          <w:sz w:val="24"/>
          <w:szCs w:val="24"/>
          <w:lang w:val="es-ES_tradnl"/>
        </w:rPr>
        <w:t>Belate</w:t>
      </w:r>
      <w:proofErr w:type="spellEnd"/>
      <w:r w:rsidRPr="0034106C">
        <w:rPr>
          <w:rFonts w:ascii="Arial" w:hAnsi="Arial" w:cs="Arial"/>
          <w:sz w:val="24"/>
          <w:szCs w:val="24"/>
          <w:lang w:val="es-ES_tradnl"/>
        </w:rPr>
        <w:t xml:space="preserve"> y </w:t>
      </w:r>
      <w:proofErr w:type="spellStart"/>
      <w:r w:rsidRPr="0034106C">
        <w:rPr>
          <w:rFonts w:ascii="Arial" w:hAnsi="Arial" w:cs="Arial"/>
          <w:sz w:val="24"/>
          <w:szCs w:val="24"/>
          <w:lang w:val="es-ES_tradnl"/>
        </w:rPr>
        <w:t>Almándoz</w:t>
      </w:r>
      <w:proofErr w:type="spellEnd"/>
      <w:r w:rsidRPr="0034106C">
        <w:rPr>
          <w:rFonts w:ascii="Arial" w:hAnsi="Arial" w:cs="Arial"/>
          <w:sz w:val="24"/>
          <w:szCs w:val="24"/>
          <w:lang w:val="es-ES_tradnl"/>
        </w:rPr>
        <w:t xml:space="preserve">, que con fecha 30 de septiembre de 2020 han sido adjudicados a las empresas </w:t>
      </w:r>
      <w:proofErr w:type="spellStart"/>
      <w:r w:rsidRPr="0034106C">
        <w:rPr>
          <w:rFonts w:ascii="Arial" w:hAnsi="Arial" w:cs="Arial"/>
          <w:sz w:val="24"/>
          <w:szCs w:val="24"/>
          <w:lang w:val="es-ES_tradnl"/>
        </w:rPr>
        <w:t>Geocontrol</w:t>
      </w:r>
      <w:proofErr w:type="spellEnd"/>
      <w:r w:rsidRPr="0034106C">
        <w:rPr>
          <w:rFonts w:ascii="Arial" w:hAnsi="Arial" w:cs="Arial"/>
          <w:sz w:val="24"/>
          <w:szCs w:val="24"/>
          <w:lang w:val="es-ES_tradnl"/>
        </w:rPr>
        <w:t xml:space="preserve">, S.A. y PJS Proyectos, Estudios y Servicios Técnicos de Navarra, S.A. (SERTECNA).  </w:t>
      </w:r>
    </w:p>
    <w:p w:rsidR="00CC4263" w:rsidRDefault="00453A73" w:rsidP="00453A73">
      <w:pPr>
        <w:spacing w:line="360" w:lineRule="auto"/>
        <w:ind w:left="426"/>
        <w:jc w:val="both"/>
        <w:rPr>
          <w:rFonts w:ascii="Arial" w:hAnsi="Arial" w:cs="Arial"/>
          <w:sz w:val="24"/>
          <w:szCs w:val="24"/>
        </w:rPr>
      </w:pPr>
      <w:r w:rsidRPr="00453A73">
        <w:rPr>
          <w:rFonts w:ascii="Arial" w:hAnsi="Arial" w:cs="Arial"/>
          <w:sz w:val="24"/>
          <w:szCs w:val="24"/>
        </w:rPr>
        <w:t>Es cuanto informo en cumplimiento de lo dispuesto en el artículo 194 del Reglamento del Parlamento de Navarra.</w:t>
      </w:r>
    </w:p>
    <w:p w:rsidR="00CC4263" w:rsidRDefault="00B60C30" w:rsidP="00B60C30">
      <w:pPr>
        <w:spacing w:line="360" w:lineRule="auto"/>
        <w:jc w:val="center"/>
        <w:rPr>
          <w:rFonts w:ascii="Arial" w:hAnsi="Arial" w:cs="Arial"/>
          <w:sz w:val="24"/>
          <w:szCs w:val="24"/>
        </w:rPr>
      </w:pPr>
      <w:r w:rsidRPr="00B60C30">
        <w:rPr>
          <w:rFonts w:ascii="Arial" w:hAnsi="Arial" w:cs="Arial"/>
          <w:sz w:val="24"/>
          <w:szCs w:val="24"/>
        </w:rPr>
        <w:t xml:space="preserve">Pamplona-Iruña, a </w:t>
      </w:r>
      <w:r w:rsidR="002F0A3B">
        <w:rPr>
          <w:rFonts w:ascii="Arial" w:hAnsi="Arial" w:cs="Arial"/>
          <w:sz w:val="24"/>
          <w:szCs w:val="24"/>
        </w:rPr>
        <w:t xml:space="preserve">1 </w:t>
      </w:r>
      <w:r w:rsidRPr="00B60C30">
        <w:rPr>
          <w:rFonts w:ascii="Arial" w:hAnsi="Arial" w:cs="Arial"/>
          <w:sz w:val="24"/>
          <w:szCs w:val="24"/>
        </w:rPr>
        <w:t xml:space="preserve">de </w:t>
      </w:r>
      <w:r w:rsidR="002F0A3B">
        <w:rPr>
          <w:rFonts w:ascii="Arial" w:hAnsi="Arial" w:cs="Arial"/>
          <w:sz w:val="24"/>
          <w:szCs w:val="24"/>
        </w:rPr>
        <w:t>octubre</w:t>
      </w:r>
      <w:r w:rsidRPr="00B60C30">
        <w:rPr>
          <w:rFonts w:ascii="Arial" w:hAnsi="Arial" w:cs="Arial"/>
          <w:sz w:val="24"/>
          <w:szCs w:val="24"/>
        </w:rPr>
        <w:t xml:space="preserve"> de 2020</w:t>
      </w:r>
    </w:p>
    <w:p w:rsidR="00CC4263" w:rsidRDefault="00CC4263" w:rsidP="00CC4263">
      <w:pPr>
        <w:spacing w:line="360" w:lineRule="auto"/>
        <w:jc w:val="center"/>
        <w:rPr>
          <w:rFonts w:ascii="Arial" w:hAnsi="Arial" w:cs="Arial"/>
          <w:sz w:val="24"/>
          <w:szCs w:val="24"/>
        </w:rPr>
      </w:pPr>
      <w:r>
        <w:rPr>
          <w:rFonts w:ascii="Arial" w:hAnsi="Arial" w:cs="Arial"/>
          <w:sz w:val="24"/>
          <w:szCs w:val="24"/>
        </w:rPr>
        <w:t xml:space="preserve">El </w:t>
      </w:r>
      <w:r w:rsidRPr="00B60C30">
        <w:rPr>
          <w:rFonts w:ascii="Arial" w:hAnsi="Arial" w:cs="Arial"/>
          <w:sz w:val="24"/>
          <w:szCs w:val="24"/>
        </w:rPr>
        <w:t>Consejero de Cohesión Territorial</w:t>
      </w:r>
      <w:r>
        <w:rPr>
          <w:rFonts w:ascii="Arial" w:hAnsi="Arial" w:cs="Arial"/>
          <w:sz w:val="24"/>
          <w:szCs w:val="24"/>
        </w:rPr>
        <w:t xml:space="preserve">: </w:t>
      </w:r>
      <w:r w:rsidRPr="00B60C30">
        <w:rPr>
          <w:rFonts w:ascii="Arial" w:hAnsi="Arial" w:cs="Arial"/>
          <w:sz w:val="24"/>
          <w:szCs w:val="24"/>
        </w:rPr>
        <w:t xml:space="preserve">Bernardo </w:t>
      </w:r>
      <w:proofErr w:type="spellStart"/>
      <w:r w:rsidRPr="00B60C30">
        <w:rPr>
          <w:rFonts w:ascii="Arial" w:hAnsi="Arial" w:cs="Arial"/>
          <w:sz w:val="24"/>
          <w:szCs w:val="24"/>
        </w:rPr>
        <w:t>Ciriza</w:t>
      </w:r>
      <w:proofErr w:type="spellEnd"/>
      <w:r w:rsidRPr="00B60C30">
        <w:rPr>
          <w:rFonts w:ascii="Arial" w:hAnsi="Arial" w:cs="Arial"/>
          <w:sz w:val="24"/>
          <w:szCs w:val="24"/>
        </w:rPr>
        <w:t xml:space="preserve"> Pérez</w:t>
      </w:r>
    </w:p>
    <w:p w:rsidR="00CC4263" w:rsidRDefault="00CC4263" w:rsidP="00DB144D">
      <w:pPr>
        <w:ind w:left="-284"/>
        <w:jc w:val="both"/>
        <w:rPr>
          <w:rFonts w:ascii="Calibri" w:hAnsi="Calibri"/>
          <w:sz w:val="24"/>
          <w:szCs w:val="24"/>
        </w:rPr>
      </w:pPr>
    </w:p>
    <w:p w:rsidR="00CC4263" w:rsidRDefault="00CC4263" w:rsidP="009E202F">
      <w:pPr>
        <w:rPr>
          <w:szCs w:val="24"/>
          <w:lang w:val="es-ES_tradnl"/>
        </w:rPr>
        <w:sectPr w:rsidR="00CC4263" w:rsidSect="00CC4263">
          <w:headerReference w:type="default" r:id="rId8"/>
          <w:headerReference w:type="first" r:id="rId9"/>
          <w:footerReference w:type="first" r:id="rId10"/>
          <w:pgSz w:w="11906" w:h="16838" w:code="9"/>
          <w:pgMar w:top="1702" w:right="1418" w:bottom="1418" w:left="1418" w:header="851" w:footer="709" w:gutter="0"/>
          <w:paperSrc w:first="1"/>
          <w:cols w:space="708"/>
          <w:docGrid w:linePitch="360"/>
        </w:sectPr>
      </w:pPr>
    </w:p>
    <w:tbl>
      <w:tblPr>
        <w:tblW w:w="15176" w:type="dxa"/>
        <w:tblInd w:w="-356" w:type="dxa"/>
        <w:tblCellMar>
          <w:left w:w="70" w:type="dxa"/>
          <w:right w:w="70" w:type="dxa"/>
        </w:tblCellMar>
        <w:tblLook w:val="04A0" w:firstRow="1" w:lastRow="0" w:firstColumn="1" w:lastColumn="0" w:noHBand="0" w:noVBand="1"/>
      </w:tblPr>
      <w:tblGrid>
        <w:gridCol w:w="2694"/>
        <w:gridCol w:w="1058"/>
        <w:gridCol w:w="974"/>
        <w:gridCol w:w="1147"/>
        <w:gridCol w:w="1051"/>
        <w:gridCol w:w="3990"/>
        <w:gridCol w:w="1533"/>
        <w:gridCol w:w="1533"/>
        <w:gridCol w:w="1422"/>
      </w:tblGrid>
      <w:tr w:rsidR="00090A9C" w:rsidRPr="006F757E" w:rsidTr="00090A9C">
        <w:trPr>
          <w:trHeight w:val="300"/>
        </w:trPr>
        <w:tc>
          <w:tcPr>
            <w:tcW w:w="2694" w:type="dxa"/>
            <w:tcBorders>
              <w:bottom w:val="single" w:sz="4" w:space="0" w:color="auto"/>
              <w:right w:val="single" w:sz="4" w:space="0" w:color="auto"/>
            </w:tcBorders>
            <w:shd w:val="clear" w:color="auto" w:fill="auto"/>
            <w:noWrap/>
            <w:vAlign w:val="bottom"/>
          </w:tcPr>
          <w:p w:rsidR="00090A9C" w:rsidRPr="006F757E" w:rsidRDefault="00090A9C" w:rsidP="00C979A4">
            <w:pPr>
              <w:rPr>
                <w:rFonts w:asciiTheme="minorHAnsi" w:hAnsiTheme="minorHAnsi"/>
                <w:b/>
                <w:bCs/>
              </w:rPr>
            </w:pPr>
            <w:bookmarkStart w:id="0" w:name="_GoBack"/>
          </w:p>
        </w:tc>
        <w:tc>
          <w:tcPr>
            <w:tcW w:w="1058" w:type="dxa"/>
            <w:tcBorders>
              <w:left w:val="nil"/>
              <w:bottom w:val="single" w:sz="4" w:space="0" w:color="auto"/>
              <w:right w:val="single" w:sz="4" w:space="0" w:color="auto"/>
            </w:tcBorders>
            <w:shd w:val="clear" w:color="auto" w:fill="auto"/>
            <w:noWrap/>
            <w:vAlign w:val="bottom"/>
          </w:tcPr>
          <w:p w:rsidR="00090A9C" w:rsidRPr="006F757E" w:rsidRDefault="00090A9C" w:rsidP="00C979A4">
            <w:pPr>
              <w:rPr>
                <w:rFonts w:asciiTheme="minorHAnsi" w:hAnsiTheme="minorHAnsi"/>
                <w:b/>
                <w:bCs/>
              </w:rPr>
            </w:pPr>
          </w:p>
        </w:tc>
        <w:tc>
          <w:tcPr>
            <w:tcW w:w="974"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p>
        </w:tc>
        <w:tc>
          <w:tcPr>
            <w:tcW w:w="1147"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p>
        </w:tc>
        <w:tc>
          <w:tcPr>
            <w:tcW w:w="1051"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p>
        </w:tc>
        <w:tc>
          <w:tcPr>
            <w:tcW w:w="3990"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p>
        </w:tc>
        <w:tc>
          <w:tcPr>
            <w:tcW w:w="1403"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r>
              <w:rPr>
                <w:rFonts w:ascii="Calibri" w:hAnsi="Calibri" w:cs="Calibri"/>
                <w:sz w:val="22"/>
                <w:szCs w:val="22"/>
                <w:lang w:eastAsia="es-ES_tradnl"/>
              </w:rPr>
              <w:t>130.949.185,00</w:t>
            </w:r>
          </w:p>
        </w:tc>
        <w:tc>
          <w:tcPr>
            <w:tcW w:w="1520"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r>
              <w:rPr>
                <w:rFonts w:ascii="Calibri" w:hAnsi="Calibri" w:cs="Calibri"/>
                <w:sz w:val="22"/>
                <w:szCs w:val="22"/>
                <w:lang w:eastAsia="es-ES_tradnl"/>
              </w:rPr>
              <w:t>154.309.167,82</w:t>
            </w:r>
          </w:p>
        </w:tc>
        <w:tc>
          <w:tcPr>
            <w:tcW w:w="1339" w:type="dxa"/>
            <w:tcBorders>
              <w:left w:val="nil"/>
              <w:bottom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r>
              <w:rPr>
                <w:rFonts w:ascii="Calibri" w:hAnsi="Calibri" w:cs="Calibri"/>
                <w:sz w:val="22"/>
                <w:szCs w:val="22"/>
                <w:lang w:eastAsia="es-ES_tradnl"/>
              </w:rPr>
              <w:t>16.102.731,04</w:t>
            </w:r>
          </w:p>
        </w:tc>
      </w:tr>
      <w:bookmarkEnd w:id="0"/>
      <w:tr w:rsidR="00CC4263" w:rsidRPr="006F757E" w:rsidTr="00090A9C">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b/>
                <w:bCs/>
              </w:rPr>
            </w:pPr>
            <w:r w:rsidRPr="006F757E">
              <w:rPr>
                <w:rFonts w:asciiTheme="minorHAnsi" w:hAnsiTheme="minorHAnsi"/>
                <w:b/>
                <w:bCs/>
              </w:rPr>
              <w:t>POEF</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b/>
                <w:bCs/>
              </w:rPr>
            </w:pPr>
            <w:r w:rsidRPr="006F757E">
              <w:rPr>
                <w:rFonts w:asciiTheme="minorHAnsi" w:hAnsiTheme="minorHAnsi"/>
                <w:b/>
                <w:bCs/>
              </w:rPr>
              <w:t>Programa</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sidRPr="006F757E">
              <w:rPr>
                <w:rFonts w:asciiTheme="minorHAnsi" w:hAnsiTheme="minorHAnsi"/>
                <w:b/>
                <w:bCs/>
              </w:rPr>
              <w:t>Orgánico</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sidRPr="006F757E">
              <w:rPr>
                <w:rFonts w:asciiTheme="minorHAnsi" w:hAnsiTheme="minorHAnsi"/>
                <w:b/>
                <w:bCs/>
              </w:rPr>
              <w:t>Económico</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sidRPr="006F757E">
              <w:rPr>
                <w:rFonts w:asciiTheme="minorHAnsi" w:hAnsiTheme="minorHAnsi"/>
                <w:b/>
                <w:bCs/>
              </w:rPr>
              <w:t>Funcional</w:t>
            </w:r>
          </w:p>
        </w:tc>
        <w:tc>
          <w:tcPr>
            <w:tcW w:w="3990"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sidRPr="006F757E">
              <w:rPr>
                <w:rFonts w:asciiTheme="minorHAnsi" w:hAnsiTheme="minorHAnsi"/>
                <w:b/>
                <w:bCs/>
              </w:rPr>
              <w:t>Denominación</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sidRPr="006F757E">
              <w:rPr>
                <w:rFonts w:asciiTheme="minorHAnsi" w:hAnsiTheme="minorHAnsi"/>
                <w:b/>
                <w:bCs/>
              </w:rPr>
              <w:t>Crédito inicial</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sidRPr="006F757E">
              <w:rPr>
                <w:rFonts w:asciiTheme="minorHAnsi" w:hAnsiTheme="minorHAnsi"/>
                <w:b/>
                <w:bCs/>
              </w:rPr>
              <w:t>Consolidado</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sidRPr="006F757E">
              <w:rPr>
                <w:rFonts w:asciiTheme="minorHAnsi" w:hAnsiTheme="minorHAnsi"/>
                <w:b/>
                <w:bCs/>
              </w:rPr>
              <w:t>Inejecución</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210001 21100 2276 495100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2276</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495100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Trabajos para Sistemas de Información Territorial</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53.000,00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53.000,00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210001 21100 4609 942302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942302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Subvenciones a entidades locales para el impulso de la implantación de la administración electrónica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210001 21300 6092 942300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6092</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942300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(E) Encargo a GAN para la realización de planes de prevención de inundaciones en cascos urbanos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210001 21100 7609 912200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912200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Ejecución subsidiaria edificio Los Arcos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250.000,00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235.000,00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211001 21200 4600 942104</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942104</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Compensación a ayuntamientos por corporativos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6.100.000,00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6.063.234,84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81.501,28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211000 21300 7600 261600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261600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Libre determinación</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61.250,00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2.182.487,90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23.832,12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211000 21300 7600 261603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261603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COVID-19 Fondo extraordinario transferencias de capital para inversiones de impulso de la economía local</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13.500.000,00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0,91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211000 21300 7600 456104</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456104</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Plan director de abastecimiento en alta (RG)</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363.333,99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7.257,40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211000 21300 7600 456106</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456106</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P.I. Abastecimiento de agua en alta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3.032.140,00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3.486.279,24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1.529.219,74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211000 21300 7600 456203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456203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P.I. Tratamiento de residuos sólidos urbanos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3.084.367,00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3.459.167,49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2.019.404,83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211000 21300 7600 467900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467900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P.I. redes de acceso de banda ancha de nueva generación</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927.359,00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1.168.177,85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383.528,24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211000 21300 7600 942400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942400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Plan extraordinario de inversiones locales 2011-2012</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31.943,09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915,92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211000 21300 7600 942405</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942405</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P.I. Realización de estudios para el plan de inversiones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211000 21310 7600 261602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261602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Urbanización de travesías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211000 21310 7600 261608</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261608</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Pavimentaciones con redes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4.471.695,00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5.857.121,41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1.397.162,85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211000 21310 7600 261609</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261609</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Pavimentaciones sin redes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161.298,00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748.102,81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321.058,70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211000 21310 7600 261610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261610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Adaptación de infraestructuras y dotaciones a la normativa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1.201.068,00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1.678.236,44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604.934,38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211000 21310 7600 456103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456103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Redes locales de abastecimiento, saneamiento y pluviales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3.507.089,00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4.925.566,61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702.808,62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211000 21310 7600 459103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459103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Alumbrado público</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507.450,00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872.119,66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330.770,10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 xml:space="preserve">211000 21310 7600 </w:t>
            </w:r>
            <w:proofErr w:type="spellStart"/>
            <w:r w:rsidRPr="006F757E">
              <w:rPr>
                <w:rFonts w:asciiTheme="minorHAnsi" w:hAnsiTheme="minorHAnsi"/>
                <w:color w:val="000000"/>
              </w:rPr>
              <w:t>45A202</w:t>
            </w:r>
            <w:proofErr w:type="spellEnd"/>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proofErr w:type="spellStart"/>
            <w:r w:rsidRPr="006F757E">
              <w:rPr>
                <w:rFonts w:asciiTheme="minorHAnsi" w:hAnsiTheme="minorHAnsi"/>
                <w:color w:val="000000"/>
              </w:rPr>
              <w:t>45A202</w:t>
            </w:r>
            <w:proofErr w:type="spellEnd"/>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Caminos a núcleos habitados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546.234,00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846.399,99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110.614,66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lastRenderedPageBreak/>
              <w:t>210001 21100 4609 942300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942300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Compensación a entes locales por bonificaciones en tributos locales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1.160.000,00-</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220000 22200 2120 453300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2120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453300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Conservación de edificios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45.000,00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45.000,00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30.000,00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220003 22210 2289 453300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220003</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22210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2289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453300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Sal, gravilla y otros suministros auxiliares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140.000,00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140.000,00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220003 22200 2090 453200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220003</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2090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453200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Canon de la autovía A-12 Pamplona-Logroño</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50.600.000,00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50.600.000,00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1.076.781,16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220003 22200 2090 453202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220003</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2090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453202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Canon de la autovía A-21. Autovía del Pirineo</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19.600.000,00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19.382.472,30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383.713,30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220004 22100 4700 452100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220004</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4700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452100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Canon de los riegos del Canal de Navarra. Ampliación 1ª fase.</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12.579.330,00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12.579.330,00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4.930.378,45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220003 22230 6010 453303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220003</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22230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6010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453303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Renovación de Instalaciones en túneles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220001 22360 6010 453200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22360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6010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453200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Ejecución de sondeos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88.460,67-</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220002 22100 6010 453210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220002</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6010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453210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Variante de Tafalla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7.346.390,00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7.346.390,00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922.311,24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220002 22100 6010 453211</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220002</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6010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453211</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Actuaciones de conversión de la N-121-A en vía 2+1</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307.001,21-</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220001 22310 6091 453200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6091</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453200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Estudios y proyectos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1.190.370,00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1.190.370,00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598.374,63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220001 22320 6092 495100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22320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6092</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495100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Encargo a TRACASA instrumental. Elaboración y actualización de cartografía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550.000,00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51.205,02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220001 22360 6091 451100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22360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6091</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451100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Seguridad en la construcción: estudios y seguimiento</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242.545,00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242.545,00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78.189,32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220004 22100 6092 452100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220004</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6092</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452100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Infraestructuras para la Ampliación Canal de Navarra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200.000,00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220004 22100 6094 452100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220004</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6094</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452100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Programas informáticos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120.065,00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120.065,00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120.065,00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220004 22100 4400 452100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220004</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4400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452100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(E) Transferencia corriente INTIA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659.990,00-</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rPr>
            </w:pPr>
            <w:r w:rsidRPr="006F757E">
              <w:rPr>
                <w:rFonts w:asciiTheme="minorHAnsi" w:hAnsiTheme="minorHAnsi"/>
              </w:rPr>
              <w:t>220001 22310 6092 453100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6092</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(E) Estudios para mejora de infraestructuras ferroviarias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45.010,00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45.010,00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45.010,00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230001 23130 2160 453400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23130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2160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453400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Mantenimiento sistema de modernización. INDRA.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275.000,00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275.000,00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175.000,00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230001 23130 2273 453400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23130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2273</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453400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Proyecto de modernización del transporte. Asistencia gestión proyecto</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115.000,00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115.000,00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115.000,00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230001 23200 2276 451402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2276</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451402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Encargo a NASUVINSA. Movilidad Logística y Transportes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230001 23120 4609 441100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23120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441100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Aportación al transporte público de la comarca de Pamplona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11.580.475,00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11.580.475,00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378.815,85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230001 23120 4609 441103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23120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441103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Convenio con la Mancomunidad Comarca de Pamplona para el transporte al Centro Penitenciario</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27.887,20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27.887,20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230001 23120 4709 441102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23120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4709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441102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sidRPr="006F757E">
              <w:rPr>
                <w:rFonts w:asciiTheme="minorHAnsi" w:hAnsiTheme="minorHAnsi"/>
                <w:color w:val="000000"/>
              </w:rPr>
              <w:t xml:space="preserve">COVID-19 Ayuda al mantenimiento de </w:t>
            </w:r>
            <w:r w:rsidRPr="006F757E">
              <w:rPr>
                <w:rFonts w:asciiTheme="minorHAnsi" w:hAnsiTheme="minorHAnsi"/>
                <w:color w:val="000000"/>
              </w:rPr>
              <w:lastRenderedPageBreak/>
              <w:t>servicios de transporte de viajeros</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lastRenderedPageBreak/>
              <w:t xml:space="preserve">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2.024.422,00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sidRPr="006F757E">
              <w:rPr>
                <w:rFonts w:asciiTheme="minorHAnsi" w:hAnsiTheme="minorHAnsi"/>
                <w:color w:val="000000"/>
              </w:rPr>
              <w:t xml:space="preserve">624.422,00 </w:t>
            </w:r>
          </w:p>
        </w:tc>
      </w:tr>
    </w:tbl>
    <w:p w:rsidR="00A2145B" w:rsidRPr="009E202F" w:rsidRDefault="00A2145B" w:rsidP="009E202F">
      <w:pPr>
        <w:rPr>
          <w:szCs w:val="24"/>
          <w:lang w:val="es-ES_tradnl"/>
        </w:rPr>
      </w:pPr>
    </w:p>
    <w:sectPr w:rsidR="00A2145B" w:rsidRPr="009E202F" w:rsidSect="00BF6168">
      <w:pgSz w:w="16838" w:h="11906" w:orient="landscape" w:code="9"/>
      <w:pgMar w:top="1135" w:right="1702"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04" w:rsidRDefault="00AF3104">
      <w:r>
        <w:separator/>
      </w:r>
    </w:p>
  </w:endnote>
  <w:endnote w:type="continuationSeparator" w:id="0">
    <w:p w:rsidR="00AF3104" w:rsidRDefault="00AF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04" w:rsidRDefault="00AF3104">
      <w:r>
        <w:separator/>
      </w:r>
    </w:p>
  </w:footnote>
  <w:footnote w:type="continuationSeparator" w:id="0">
    <w:p w:rsidR="00AF3104" w:rsidRDefault="00AF3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268269F5" wp14:editId="7427A282">
          <wp:simplePos x="0" y="0"/>
          <wp:positionH relativeFrom="page">
            <wp:align>left</wp:align>
          </wp:positionH>
          <wp:positionV relativeFrom="page">
            <wp:align>top</wp:align>
          </wp:positionV>
          <wp:extent cx="7569186" cy="1803058"/>
          <wp:effectExtent l="25400" t="0" r="14" b="0"/>
          <wp:wrapNone/>
          <wp:docPr id="2" name="Imagen 2"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10F37"/>
    <w:rsid w:val="000729E0"/>
    <w:rsid w:val="00090A9C"/>
    <w:rsid w:val="0009463A"/>
    <w:rsid w:val="000A1B73"/>
    <w:rsid w:val="000B64A1"/>
    <w:rsid w:val="000B66B8"/>
    <w:rsid w:val="00192C26"/>
    <w:rsid w:val="001E46D1"/>
    <w:rsid w:val="002168BE"/>
    <w:rsid w:val="00237978"/>
    <w:rsid w:val="00277C9A"/>
    <w:rsid w:val="002843BA"/>
    <w:rsid w:val="00291E79"/>
    <w:rsid w:val="002C5077"/>
    <w:rsid w:val="002F0A3B"/>
    <w:rsid w:val="0034106C"/>
    <w:rsid w:val="00355B58"/>
    <w:rsid w:val="0038365D"/>
    <w:rsid w:val="003F1206"/>
    <w:rsid w:val="004031A8"/>
    <w:rsid w:val="00426486"/>
    <w:rsid w:val="00453A73"/>
    <w:rsid w:val="00475FFA"/>
    <w:rsid w:val="004A0341"/>
    <w:rsid w:val="004C58DB"/>
    <w:rsid w:val="004F041D"/>
    <w:rsid w:val="004F4088"/>
    <w:rsid w:val="005031E3"/>
    <w:rsid w:val="00524782"/>
    <w:rsid w:val="005367EB"/>
    <w:rsid w:val="00560A6B"/>
    <w:rsid w:val="00597336"/>
    <w:rsid w:val="005B095B"/>
    <w:rsid w:val="005C14E9"/>
    <w:rsid w:val="00610AAA"/>
    <w:rsid w:val="006755C0"/>
    <w:rsid w:val="006764C1"/>
    <w:rsid w:val="00696F6F"/>
    <w:rsid w:val="006A5952"/>
    <w:rsid w:val="006C0A38"/>
    <w:rsid w:val="0072622D"/>
    <w:rsid w:val="00780CA4"/>
    <w:rsid w:val="00793F61"/>
    <w:rsid w:val="007E640E"/>
    <w:rsid w:val="007F791E"/>
    <w:rsid w:val="00832136"/>
    <w:rsid w:val="00834F7A"/>
    <w:rsid w:val="00841669"/>
    <w:rsid w:val="0086775D"/>
    <w:rsid w:val="009226EF"/>
    <w:rsid w:val="009603A5"/>
    <w:rsid w:val="0096171C"/>
    <w:rsid w:val="00994342"/>
    <w:rsid w:val="009D73FA"/>
    <w:rsid w:val="009E0B2C"/>
    <w:rsid w:val="009E202F"/>
    <w:rsid w:val="009E381E"/>
    <w:rsid w:val="00A117E7"/>
    <w:rsid w:val="00A2145B"/>
    <w:rsid w:val="00A57E0A"/>
    <w:rsid w:val="00AF3104"/>
    <w:rsid w:val="00B17CCC"/>
    <w:rsid w:val="00B46857"/>
    <w:rsid w:val="00B605A4"/>
    <w:rsid w:val="00B60C30"/>
    <w:rsid w:val="00BD6A02"/>
    <w:rsid w:val="00BF6168"/>
    <w:rsid w:val="00C7645D"/>
    <w:rsid w:val="00CA2943"/>
    <w:rsid w:val="00CC186C"/>
    <w:rsid w:val="00CC4263"/>
    <w:rsid w:val="00D150AC"/>
    <w:rsid w:val="00D27CE0"/>
    <w:rsid w:val="00D95E60"/>
    <w:rsid w:val="00DA6D6E"/>
    <w:rsid w:val="00DB144D"/>
    <w:rsid w:val="00DF6784"/>
    <w:rsid w:val="00E21BF7"/>
    <w:rsid w:val="00E549D7"/>
    <w:rsid w:val="00ED5CA9"/>
    <w:rsid w:val="00EE5207"/>
    <w:rsid w:val="00F323EB"/>
    <w:rsid w:val="00F37BED"/>
    <w:rsid w:val="00FA28DC"/>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1728646350">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1455</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4</cp:revision>
  <cp:lastPrinted>2020-09-29T11:04:00Z</cp:lastPrinted>
  <dcterms:created xsi:type="dcterms:W3CDTF">2020-10-09T10:43:00Z</dcterms:created>
  <dcterms:modified xsi:type="dcterms:W3CDTF">2020-10-09T11:19:00Z</dcterms:modified>
</cp:coreProperties>
</file>