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razones por las que el concurso de emergencia para el diseño de prototipos y suministro de respiradores convocado el pasado día 2 de abril ha quedado desierto, formulada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de máxima actualidad dirigida a la Consejera de Salud del Gobierno de Navarra, para su contestación en Pleno.</w:t>
      </w:r>
    </w:p>
    <w:p>
      <w:pPr>
        <w:pStyle w:val="0"/>
        <w:suppressAutoHyphens w:val="false"/>
        <w:rPr>
          <w:rStyle w:val="1"/>
        </w:rPr>
      </w:pPr>
      <w:r>
        <w:rPr>
          <w:rStyle w:val="1"/>
        </w:rPr>
        <w:t xml:space="preserve">¿Cuáles son las razones por las que el concurso de emergencia para el diseño de prototipos y suministro de respiradores convocado por el Gobierno de Navarra el pasado 2 de abril haya quedado desierto?</w:t>
      </w:r>
    </w:p>
    <w:p>
      <w:pPr>
        <w:pStyle w:val="0"/>
        <w:suppressAutoHyphens w:val="false"/>
        <w:rPr>
          <w:rStyle w:val="1"/>
        </w:rPr>
      </w:pPr>
      <w:r>
        <w:rPr>
          <w:rStyle w:val="1"/>
        </w:rPr>
        <w:t xml:space="preserve">Pamplona, a 11 de mayo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