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propuesta de acuerdo de la Junta de Transferencias en materia de tráfico, circulación de vehículos a motor y seguridad vial que el pasado 20 de diciembre de 2019 remitió la anterior Consejera de Presidencia, Función Pública, Interior y Justicia al anterior Gobierno del Estado,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Presidencia, Igualdad, Función Pública e Interior.</w:t>
      </w:r>
    </w:p>
    <w:p>
      <w:pPr>
        <w:pStyle w:val="0"/>
        <w:suppressAutoHyphens w:val="false"/>
        <w:rPr>
          <w:rStyle w:val="1"/>
        </w:rPr>
      </w:pPr>
      <w:r>
        <w:rPr>
          <w:rStyle w:val="1"/>
        </w:rPr>
        <w:t xml:space="preserve">Pamplona, 10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 siguiente pregunta para su respuesta oral en Comisión por el Departamento de Presidencia, Igualdad, Función Pública e Interior: </w:t>
      </w:r>
    </w:p>
    <w:p>
      <w:pPr>
        <w:pStyle w:val="0"/>
        <w:suppressAutoHyphens w:val="false"/>
        <w:rPr>
          <w:rStyle w:val="1"/>
        </w:rPr>
      </w:pPr>
      <w:r>
        <w:rPr>
          <w:rStyle w:val="1"/>
        </w:rPr>
        <w:t xml:space="preserve">¿Mantiene y hace suya el Gobierno la propuesta de acuerdo de la Junta de Transferencias en materia de tráfico, circulación de vehículos a motor y seguridad vial que el pasado 20 de diciembre de 2019 remitió la anterior Consejera de Presidencia, Función Pública, Interior y Justicia al anterior Gobierno del Estado? </w:t>
      </w:r>
    </w:p>
    <w:p>
      <w:pPr>
        <w:pStyle w:val="0"/>
        <w:suppressAutoHyphens w:val="false"/>
        <w:rPr>
          <w:rStyle w:val="1"/>
        </w:rPr>
      </w:pPr>
      <w:r>
        <w:rPr>
          <w:rStyle w:val="1"/>
        </w:rPr>
        <w:t xml:space="preserve">Iruñea a 6 de febrero de 2020</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