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2B" w:rsidRDefault="00FE1ABF" w:rsidP="00597EDB">
      <w:pPr>
        <w:tabs>
          <w:tab w:val="left" w:pos="3780"/>
        </w:tabs>
        <w:jc w:val="both"/>
        <w:rPr>
          <w:rFonts w:ascii="Century Gothic" w:hAnsi="Century Gothic"/>
        </w:rPr>
      </w:pPr>
      <w:r>
        <w:rPr>
          <w:rFonts w:ascii="Century Gothic" w:hAnsi="Century Gothic"/>
        </w:rPr>
        <w:t>Maiatzaren 15a</w:t>
      </w:r>
    </w:p>
    <w:p w:rsidR="00FE1ABF" w:rsidRDefault="001F63C7" w:rsidP="00CB0E20">
      <w:pPr>
        <w:tabs>
          <w:tab w:val="left" w:pos="3780"/>
        </w:tabs>
        <w:spacing w:line="276" w:lineRule="auto"/>
        <w:jc w:val="both"/>
        <w:rPr>
          <w:rFonts w:ascii="Century Gothic" w:hAnsi="Century Gothic"/>
        </w:rPr>
      </w:pPr>
      <w:proofErr w:type="spellStart"/>
      <w:r>
        <w:rPr>
          <w:rFonts w:ascii="Century Gothic" w:hAnsi="Century Gothic"/>
        </w:rPr>
        <w:t>Unión</w:t>
      </w:r>
      <w:proofErr w:type="spellEnd"/>
      <w:r>
        <w:rPr>
          <w:rFonts w:ascii="Century Gothic" w:hAnsi="Century Gothic"/>
        </w:rPr>
        <w:t xml:space="preserve"> del </w:t>
      </w:r>
      <w:proofErr w:type="spellStart"/>
      <w:r>
        <w:rPr>
          <w:rFonts w:ascii="Century Gothic" w:hAnsi="Century Gothic"/>
        </w:rPr>
        <w:t>Pueblo</w:t>
      </w:r>
      <w:proofErr w:type="spellEnd"/>
      <w:r>
        <w:rPr>
          <w:rFonts w:ascii="Century Gothic" w:hAnsi="Century Gothic"/>
        </w:rPr>
        <w:t xml:space="preserve"> Navarro (UPN) talde parlamentarioari atxikitako foru parlamentari Begoña </w:t>
      </w:r>
      <w:proofErr w:type="spellStart"/>
      <w:r>
        <w:rPr>
          <w:rFonts w:ascii="Century Gothic" w:hAnsi="Century Gothic"/>
        </w:rPr>
        <w:t>Ganuza</w:t>
      </w:r>
      <w:proofErr w:type="spellEnd"/>
      <w:r>
        <w:rPr>
          <w:rFonts w:ascii="Century Gothic" w:hAnsi="Century Gothic"/>
        </w:rPr>
        <w:t xml:space="preserve"> </w:t>
      </w:r>
      <w:proofErr w:type="spellStart"/>
      <w:r>
        <w:rPr>
          <w:rFonts w:ascii="Century Gothic" w:hAnsi="Century Gothic"/>
        </w:rPr>
        <w:t>Bernaola</w:t>
      </w:r>
      <w:proofErr w:type="spellEnd"/>
      <w:r>
        <w:rPr>
          <w:rFonts w:ascii="Century Gothic" w:hAnsi="Century Gothic"/>
        </w:rPr>
        <w:t xml:space="preserve"> andreak idatziz erantzuteko galdera bat egin du (PES-00088). Haren bidez, informazioa eskatzen du Osasun, Gizarte Zerbitzu eta Berdintasun Ministerioak finantzaketa publikoa onartu dien farmako </w:t>
      </w:r>
      <w:proofErr w:type="spellStart"/>
      <w:r>
        <w:rPr>
          <w:rFonts w:ascii="Century Gothic" w:hAnsi="Century Gothic"/>
        </w:rPr>
        <w:t>onkologiko</w:t>
      </w:r>
      <w:proofErr w:type="spellEnd"/>
      <w:r>
        <w:rPr>
          <w:rFonts w:ascii="Century Gothic" w:hAnsi="Century Gothic"/>
        </w:rPr>
        <w:t xml:space="preserve"> berriei buruz. Hona Nafarroako Gobernuko Osasuneko kontseilariaren informazioa:</w:t>
      </w:r>
    </w:p>
    <w:p w:rsidR="00FE1ABF" w:rsidRDefault="007D0D81" w:rsidP="00CB0E20">
      <w:pPr>
        <w:spacing w:line="276" w:lineRule="auto"/>
        <w:jc w:val="both"/>
        <w:rPr>
          <w:rFonts w:ascii="Century Gothic" w:hAnsi="Century Gothic"/>
        </w:rPr>
      </w:pPr>
      <w:r>
        <w:rPr>
          <w:rFonts w:ascii="Century Gothic" w:hAnsi="Century Gothic"/>
        </w:rPr>
        <w:t xml:space="preserve">Erantsita ematen dugu Espainiako Medikamentuaren eta Osasun Produktuen Agentziak 2016ko urtarrilaren 1etik 2018ko apirilaren 10era onartu dituen medikamentu berrien zerrenda, Osasun, Gizarte Zerbitzu eta Berdintasun Ministerioaren finantzaketa publikoarekin, Osasun Sistema Nazionalak baimendutako </w:t>
      </w:r>
      <w:proofErr w:type="spellStart"/>
      <w:r>
        <w:rPr>
          <w:rFonts w:ascii="Century Gothic" w:hAnsi="Century Gothic"/>
        </w:rPr>
        <w:t>indikazioekin</w:t>
      </w:r>
      <w:proofErr w:type="spellEnd"/>
      <w:r>
        <w:rPr>
          <w:rFonts w:ascii="Century Gothic" w:hAnsi="Century Gothic"/>
        </w:rPr>
        <w:t xml:space="preserve"> eta sistema horrek finantzatzen ez dituen </w:t>
      </w:r>
      <w:proofErr w:type="spellStart"/>
      <w:r>
        <w:rPr>
          <w:rFonts w:ascii="Century Gothic" w:hAnsi="Century Gothic"/>
        </w:rPr>
        <w:t>indikazioekin</w:t>
      </w:r>
      <w:proofErr w:type="spellEnd"/>
      <w:r>
        <w:rPr>
          <w:rFonts w:ascii="Century Gothic" w:hAnsi="Century Gothic"/>
        </w:rPr>
        <w:t>.</w:t>
      </w:r>
    </w:p>
    <w:p w:rsidR="00FE1ABF" w:rsidRDefault="007D0D81" w:rsidP="00CB0E20">
      <w:pPr>
        <w:spacing w:line="276" w:lineRule="auto"/>
        <w:jc w:val="both"/>
        <w:rPr>
          <w:rFonts w:ascii="Century Gothic" w:hAnsi="Century Gothic"/>
        </w:rPr>
      </w:pPr>
      <w:r>
        <w:rPr>
          <w:rFonts w:ascii="Century Gothic" w:hAnsi="Century Gothic"/>
        </w:rPr>
        <w:t xml:space="preserve">Gehienak Farmaziako Batzorde Zentralak aztertu ditu, </w:t>
      </w:r>
      <w:proofErr w:type="spellStart"/>
      <w:r>
        <w:rPr>
          <w:rFonts w:ascii="Century Gothic" w:hAnsi="Century Gothic"/>
        </w:rPr>
        <w:t>posizionamendu</w:t>
      </w:r>
      <w:proofErr w:type="spellEnd"/>
      <w:r>
        <w:rPr>
          <w:rFonts w:ascii="Century Gothic" w:hAnsi="Century Gothic"/>
        </w:rPr>
        <w:t xml:space="preserve"> terapeutiko bat ezartzeko. Batzuk orain dela oso gutxi merkaturatu direnez, Batzordearen hurrengo bileretan aztertuko dira.</w:t>
      </w:r>
    </w:p>
    <w:p w:rsidR="00FE1ABF" w:rsidRDefault="007D0D81" w:rsidP="00CB0E20">
      <w:pPr>
        <w:spacing w:line="276" w:lineRule="auto"/>
        <w:jc w:val="both"/>
        <w:rPr>
          <w:rFonts w:ascii="Century Gothic" w:hAnsi="Century Gothic"/>
        </w:rPr>
      </w:pPr>
      <w:r>
        <w:rPr>
          <w:rFonts w:ascii="Century Gothic" w:hAnsi="Century Gothic"/>
        </w:rPr>
        <w:t>Sartutako farmakoak fitxa teknikoaren arabera erabiltzen dira, eta Osasun, Gizarte Zerbitzu eta Berdintasun Ministerioak ezarritakoaren arabera eta adostutako protokolo klinikoen arabera finantzatzen dira.</w:t>
      </w:r>
    </w:p>
    <w:p w:rsidR="00FE1ABF" w:rsidRDefault="007D0D81" w:rsidP="00CB0E20">
      <w:pPr>
        <w:spacing w:line="276" w:lineRule="auto"/>
        <w:jc w:val="both"/>
        <w:rPr>
          <w:rFonts w:ascii="Century Gothic" w:hAnsi="Century Gothic"/>
        </w:rPr>
      </w:pPr>
      <w:r>
        <w:rPr>
          <w:rFonts w:ascii="Century Gothic" w:hAnsi="Century Gothic"/>
        </w:rPr>
        <w:t>2016ko urtarrilaren 1etik aurrera merkaturatu diren farmako guztietatik, bat bakarra dago Nafarroako ospitaleetan sartu ez dena, zeren eta ulertu baitzen azterlanetan aipatzen diren onurek ez dutela garrantzi klinikorik. LONSURF® (</w:t>
      </w:r>
      <w:proofErr w:type="spellStart"/>
      <w:r>
        <w:rPr>
          <w:rFonts w:ascii="Century Gothic" w:hAnsi="Century Gothic"/>
        </w:rPr>
        <w:t>trifluridina</w:t>
      </w:r>
      <w:proofErr w:type="spellEnd"/>
      <w:r>
        <w:rPr>
          <w:rFonts w:ascii="Century Gothic" w:hAnsi="Century Gothic"/>
        </w:rPr>
        <w:t xml:space="preserve"> </w:t>
      </w:r>
      <w:proofErr w:type="spellStart"/>
      <w:r>
        <w:rPr>
          <w:rFonts w:ascii="Century Gothic" w:hAnsi="Century Gothic"/>
        </w:rPr>
        <w:t>tiperaziloa</w:t>
      </w:r>
      <w:proofErr w:type="spellEnd"/>
      <w:r>
        <w:rPr>
          <w:rFonts w:ascii="Century Gothic" w:hAnsi="Century Gothic"/>
        </w:rPr>
        <w:t xml:space="preserve">) farmakoari buruz ari gara. Kolon-ondesteko minbizia izan eta eskura dauden terapiekin tratamendua eman zaien gaixoei </w:t>
      </w:r>
      <w:proofErr w:type="spellStart"/>
      <w:r>
        <w:rPr>
          <w:rFonts w:ascii="Century Gothic" w:hAnsi="Century Gothic"/>
        </w:rPr>
        <w:t>trifluridina/tipiraziloarekin</w:t>
      </w:r>
      <w:proofErr w:type="spellEnd"/>
      <w:r>
        <w:rPr>
          <w:rFonts w:ascii="Century Gothic" w:hAnsi="Century Gothic"/>
        </w:rPr>
        <w:t xml:space="preserve"> egindako tratamenduak garrantzi kliniko oso apaleko onura dakar. Halaber, haren erabilerak </w:t>
      </w:r>
      <w:proofErr w:type="spellStart"/>
      <w:r>
        <w:rPr>
          <w:rFonts w:ascii="Century Gothic" w:hAnsi="Century Gothic"/>
        </w:rPr>
        <w:t>toxizitate</w:t>
      </w:r>
      <w:proofErr w:type="spellEnd"/>
      <w:r>
        <w:rPr>
          <w:rFonts w:ascii="Century Gothic" w:hAnsi="Century Gothic"/>
        </w:rPr>
        <w:t xml:space="preserve"> moderatu bat badakar, batez ere </w:t>
      </w:r>
      <w:proofErr w:type="spellStart"/>
      <w:r>
        <w:rPr>
          <w:rFonts w:ascii="Century Gothic" w:hAnsi="Century Gothic"/>
        </w:rPr>
        <w:t>hematologikoa</w:t>
      </w:r>
      <w:proofErr w:type="spellEnd"/>
      <w:r>
        <w:rPr>
          <w:rFonts w:ascii="Century Gothic" w:hAnsi="Century Gothic"/>
        </w:rPr>
        <w:t>, eta horrekin batera nekea eta goragalea.</w:t>
      </w:r>
    </w:p>
    <w:p w:rsidR="007D0D81" w:rsidRPr="007D0D81" w:rsidRDefault="007D0D81" w:rsidP="007D0D81">
      <w:pPr>
        <w:jc w:val="both"/>
        <w:rPr>
          <w:rFonts w:ascii="Century Gothic" w:hAnsi="Century Gothic"/>
        </w:rPr>
      </w:pPr>
    </w:p>
    <w:tbl>
      <w:tblPr>
        <w:tblW w:w="9513" w:type="dxa"/>
        <w:tblInd w:w="55" w:type="dxa"/>
        <w:tblLayout w:type="fixed"/>
        <w:tblCellMar>
          <w:left w:w="70" w:type="dxa"/>
          <w:right w:w="70" w:type="dxa"/>
        </w:tblCellMar>
        <w:tblLook w:val="04A0" w:firstRow="1" w:lastRow="0" w:firstColumn="1" w:lastColumn="0" w:noHBand="0" w:noVBand="1"/>
      </w:tblPr>
      <w:tblGrid>
        <w:gridCol w:w="1319"/>
        <w:gridCol w:w="1405"/>
        <w:gridCol w:w="1147"/>
        <w:gridCol w:w="1122"/>
        <w:gridCol w:w="976"/>
        <w:gridCol w:w="1417"/>
        <w:gridCol w:w="993"/>
        <w:gridCol w:w="1134"/>
      </w:tblGrid>
      <w:tr w:rsidR="007D0D81" w:rsidRPr="000C783E" w:rsidTr="000C783E">
        <w:trPr>
          <w:trHeight w:val="20"/>
        </w:trPr>
        <w:tc>
          <w:tcPr>
            <w:tcW w:w="1319" w:type="dxa"/>
            <w:tcBorders>
              <w:top w:val="single" w:sz="8" w:space="0" w:color="auto"/>
              <w:left w:val="single" w:sz="8" w:space="0" w:color="auto"/>
              <w:bottom w:val="single" w:sz="8" w:space="0" w:color="auto"/>
              <w:right w:val="nil"/>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P. akti</w:t>
            </w:r>
            <w:bookmarkStart w:id="0" w:name="_GoBack"/>
            <w:bookmarkEnd w:id="0"/>
            <w:r w:rsidRPr="000C783E">
              <w:rPr>
                <w:rFonts w:asciiTheme="minorHAnsi" w:hAnsiTheme="minorHAnsi"/>
                <w:b/>
                <w:bCs/>
                <w:color w:val="000000"/>
                <w:sz w:val="18"/>
                <w:szCs w:val="18"/>
              </w:rPr>
              <w:t>boa</w:t>
            </w:r>
          </w:p>
        </w:tc>
        <w:tc>
          <w:tcPr>
            <w:tcW w:w="140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 xml:space="preserve">Osasun Sistema Nazionalak finantzatutako </w:t>
            </w:r>
            <w:proofErr w:type="spellStart"/>
            <w:r w:rsidRPr="000C783E">
              <w:rPr>
                <w:rFonts w:asciiTheme="minorHAnsi" w:hAnsiTheme="minorHAnsi"/>
                <w:b/>
                <w:bCs/>
                <w:color w:val="000000"/>
                <w:sz w:val="18"/>
                <w:szCs w:val="18"/>
              </w:rPr>
              <w:t>indikazioak</w:t>
            </w:r>
            <w:proofErr w:type="spellEnd"/>
          </w:p>
        </w:tc>
        <w:tc>
          <w:tcPr>
            <w:tcW w:w="1147" w:type="dxa"/>
            <w:tcBorders>
              <w:top w:val="single" w:sz="8" w:space="0" w:color="auto"/>
              <w:left w:val="nil"/>
              <w:bottom w:val="single" w:sz="8" w:space="0" w:color="auto"/>
              <w:right w:val="single" w:sz="4"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 xml:space="preserve">Osasun Sistema Nazionalak finantzatzen ez dituen </w:t>
            </w:r>
            <w:proofErr w:type="spellStart"/>
            <w:r w:rsidRPr="000C783E">
              <w:rPr>
                <w:rFonts w:asciiTheme="minorHAnsi" w:hAnsiTheme="minorHAnsi"/>
                <w:b/>
                <w:bCs/>
                <w:color w:val="000000"/>
                <w:sz w:val="18"/>
                <w:szCs w:val="18"/>
              </w:rPr>
              <w:t>indikazioak</w:t>
            </w:r>
            <w:proofErr w:type="spellEnd"/>
          </w:p>
        </w:tc>
        <w:tc>
          <w:tcPr>
            <w:tcW w:w="1122" w:type="dxa"/>
            <w:tcBorders>
              <w:top w:val="single" w:sz="8" w:space="0" w:color="auto"/>
              <w:left w:val="nil"/>
              <w:bottom w:val="single" w:sz="8" w:space="0" w:color="auto"/>
              <w:right w:val="single" w:sz="4"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1. Onespenaren data</w:t>
            </w:r>
          </w:p>
        </w:tc>
        <w:tc>
          <w:tcPr>
            <w:tcW w:w="976" w:type="dxa"/>
            <w:tcBorders>
              <w:top w:val="single" w:sz="8" w:space="0" w:color="auto"/>
              <w:left w:val="nil"/>
              <w:bottom w:val="single" w:sz="8" w:space="0" w:color="auto"/>
              <w:right w:val="single" w:sz="4"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Merkaturatzearen data</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7D0D81" w:rsidRPr="000C783E" w:rsidRDefault="00764E41" w:rsidP="000C783E">
            <w:pPr>
              <w:spacing w:before="20" w:after="20"/>
              <w:jc w:val="center"/>
              <w:rPr>
                <w:rFonts w:asciiTheme="minorHAnsi" w:hAnsiTheme="minorHAnsi"/>
                <w:b/>
                <w:bCs/>
                <w:color w:val="000000"/>
                <w:sz w:val="18"/>
                <w:szCs w:val="18"/>
              </w:rPr>
            </w:pPr>
            <w:r w:rsidRPr="000C783E">
              <w:rPr>
                <w:rFonts w:asciiTheme="minorHAnsi" w:hAnsiTheme="minorHAnsi"/>
                <w:b/>
                <w:bCs/>
                <w:color w:val="000000"/>
                <w:sz w:val="18"/>
                <w:szCs w:val="18"/>
              </w:rPr>
              <w:t>Nafarroan noiz sartu den</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Farmaziako Batzorde Zentralak aztertua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D0D81" w:rsidRPr="000C783E" w:rsidRDefault="00764E41" w:rsidP="000C783E">
            <w:pPr>
              <w:spacing w:before="20" w:after="20"/>
              <w:rPr>
                <w:rFonts w:asciiTheme="minorHAnsi" w:hAnsiTheme="minorHAnsi"/>
                <w:b/>
                <w:bCs/>
                <w:color w:val="000000"/>
                <w:sz w:val="18"/>
                <w:szCs w:val="18"/>
              </w:rPr>
            </w:pPr>
            <w:r w:rsidRPr="000C783E">
              <w:rPr>
                <w:rFonts w:asciiTheme="minorHAnsi" w:hAnsiTheme="minorHAnsi"/>
                <w:b/>
                <w:bCs/>
                <w:color w:val="000000"/>
                <w:sz w:val="18"/>
                <w:szCs w:val="18"/>
              </w:rPr>
              <w:t>Nafarroan ez sartzearen data</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NIVOLUMAB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Melanoma</w:t>
            </w:r>
            <w:proofErr w:type="spellEnd"/>
            <w:r w:rsidRPr="000C783E">
              <w:rPr>
                <w:rFonts w:asciiTheme="minorHAnsi" w:hAnsiTheme="minorHAnsi"/>
                <w:color w:val="000000"/>
                <w:sz w:val="18"/>
                <w:szCs w:val="18"/>
              </w:rPr>
              <w:t xml:space="preserve"> aurreratua, ezin erauzi daitekeena edo metastasikoa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2015/09/24</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minbizia, </w:t>
            </w:r>
            <w:proofErr w:type="spellStart"/>
            <w:r w:rsidRPr="000C783E">
              <w:rPr>
                <w:rFonts w:asciiTheme="minorHAnsi" w:hAnsiTheme="minorHAnsi"/>
                <w:color w:val="000000"/>
                <w:sz w:val="18"/>
                <w:szCs w:val="18"/>
              </w:rPr>
              <w:t>ez-mikrozitikoa</w:t>
            </w:r>
            <w:proofErr w:type="spellEnd"/>
            <w:r w:rsidRPr="000C783E">
              <w:rPr>
                <w:rFonts w:asciiTheme="minorHAnsi" w:hAnsiTheme="minorHAnsi"/>
                <w:color w:val="000000"/>
                <w:sz w:val="18"/>
                <w:szCs w:val="18"/>
              </w:rPr>
              <w:t xml:space="preserve"> eta metastasikoa 2. linean</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Giltzurruneko minbizia 2. linean</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lastRenderedPageBreak/>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Hodgkinen</w:t>
            </w:r>
            <w:proofErr w:type="spellEnd"/>
            <w:r w:rsidRPr="000C783E">
              <w:rPr>
                <w:rFonts w:asciiTheme="minorHAnsi" w:hAnsiTheme="minorHAnsi"/>
                <w:color w:val="000000"/>
                <w:sz w:val="18"/>
                <w:szCs w:val="18"/>
              </w:rPr>
              <w:t xml:space="preserve"> linfoma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Buruko eta lepoko minbizia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Minbizi </w:t>
            </w:r>
            <w:proofErr w:type="spellStart"/>
            <w:r w:rsidRPr="000C783E">
              <w:rPr>
                <w:rFonts w:asciiTheme="minorHAnsi" w:hAnsiTheme="minorHAnsi"/>
                <w:color w:val="000000"/>
                <w:sz w:val="18"/>
                <w:szCs w:val="18"/>
              </w:rPr>
              <w:t>urotelial</w:t>
            </w:r>
            <w:proofErr w:type="spellEnd"/>
            <w:r w:rsidRPr="000C783E">
              <w:rPr>
                <w:rFonts w:asciiTheme="minorHAnsi" w:hAnsiTheme="minorHAnsi"/>
                <w:color w:val="000000"/>
                <w:sz w:val="18"/>
                <w:szCs w:val="18"/>
              </w:rPr>
              <w:t xml:space="preserve"> metastasikoa</w:t>
            </w:r>
          </w:p>
        </w:tc>
        <w:tc>
          <w:tcPr>
            <w:tcW w:w="1122"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PEMBROLIZUMAB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Melanoma</w:t>
            </w:r>
            <w:proofErr w:type="spellEnd"/>
            <w:r w:rsidRPr="000C783E">
              <w:rPr>
                <w:rFonts w:asciiTheme="minorHAnsi" w:hAnsiTheme="minorHAnsi"/>
                <w:color w:val="000000"/>
                <w:sz w:val="18"/>
                <w:szCs w:val="18"/>
              </w:rPr>
              <w:t xml:space="preserve"> aurreratua, ezin erauzi daitekeena edo metastasikoa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2015/5/22</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minbizia, </w:t>
            </w:r>
            <w:proofErr w:type="spellStart"/>
            <w:r w:rsidRPr="000C783E">
              <w:rPr>
                <w:rFonts w:asciiTheme="minorHAnsi" w:hAnsiTheme="minorHAnsi"/>
                <w:color w:val="000000"/>
                <w:sz w:val="18"/>
                <w:szCs w:val="18"/>
              </w:rPr>
              <w:t>ez-mikrozitikoa</w:t>
            </w:r>
            <w:proofErr w:type="spellEnd"/>
            <w:r w:rsidRPr="000C783E">
              <w:rPr>
                <w:rFonts w:asciiTheme="minorHAnsi" w:hAnsiTheme="minorHAnsi"/>
                <w:color w:val="000000"/>
                <w:sz w:val="18"/>
                <w:szCs w:val="18"/>
              </w:rPr>
              <w:t xml:space="preserve"> eta metastasikoa 2. linean</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2016/6/23</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minbizia, </w:t>
            </w:r>
            <w:proofErr w:type="spellStart"/>
            <w:r w:rsidRPr="000C783E">
              <w:rPr>
                <w:rFonts w:asciiTheme="minorHAnsi" w:hAnsiTheme="minorHAnsi"/>
                <w:color w:val="000000"/>
                <w:sz w:val="18"/>
                <w:szCs w:val="18"/>
              </w:rPr>
              <w:t>ez-mikrozitikoa</w:t>
            </w:r>
            <w:proofErr w:type="spellEnd"/>
            <w:r w:rsidRPr="000C783E">
              <w:rPr>
                <w:rFonts w:asciiTheme="minorHAnsi" w:hAnsiTheme="minorHAnsi"/>
                <w:color w:val="000000"/>
                <w:sz w:val="18"/>
                <w:szCs w:val="18"/>
              </w:rPr>
              <w:t xml:space="preserve"> eta metastasikoa 1.linean</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2016/12/15</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Hodgkinen</w:t>
            </w:r>
            <w:proofErr w:type="spellEnd"/>
            <w:r w:rsidRPr="000C783E">
              <w:rPr>
                <w:rFonts w:asciiTheme="minorHAnsi" w:hAnsiTheme="minorHAnsi"/>
                <w:color w:val="000000"/>
                <w:sz w:val="18"/>
                <w:szCs w:val="18"/>
              </w:rPr>
              <w:t xml:space="preserve"> linfoma</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2017/3/23</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Minbizi </w:t>
            </w:r>
            <w:proofErr w:type="spellStart"/>
            <w:r w:rsidRPr="000C783E">
              <w:rPr>
                <w:rFonts w:asciiTheme="minorHAnsi" w:hAnsiTheme="minorHAnsi"/>
                <w:color w:val="000000"/>
                <w:sz w:val="18"/>
                <w:szCs w:val="18"/>
              </w:rPr>
              <w:t>urotelial</w:t>
            </w:r>
            <w:proofErr w:type="spellEnd"/>
            <w:r w:rsidRPr="000C783E">
              <w:rPr>
                <w:rFonts w:asciiTheme="minorHAnsi" w:hAnsiTheme="minorHAnsi"/>
                <w:color w:val="000000"/>
                <w:sz w:val="18"/>
                <w:szCs w:val="18"/>
              </w:rPr>
              <w:t xml:space="preserve"> metastasikoa 2. linean</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2017/7/20</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RUXOLITINIB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Mielofibrosia</w:t>
            </w:r>
            <w:proofErr w:type="spellEnd"/>
            <w:r w:rsidRPr="000C783E">
              <w:rPr>
                <w:rFonts w:asciiTheme="minorHAnsi" w:hAnsiTheme="minorHAnsi"/>
                <w:color w:val="000000"/>
                <w:sz w:val="18"/>
                <w:szCs w:val="18"/>
              </w:rPr>
              <w:t xml:space="preserve"> </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2012/4/19</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Polizitemia</w:t>
            </w:r>
            <w:proofErr w:type="spellEnd"/>
            <w:r w:rsidRPr="000C783E">
              <w:rPr>
                <w:rFonts w:asciiTheme="minorHAnsi" w:hAnsiTheme="minorHAnsi"/>
                <w:color w:val="000000"/>
                <w:sz w:val="18"/>
                <w:szCs w:val="18"/>
              </w:rPr>
              <w:t xml:space="preserve"> </w:t>
            </w:r>
            <w:proofErr w:type="spellStart"/>
            <w:r w:rsidRPr="000C783E">
              <w:rPr>
                <w:rFonts w:asciiTheme="minorHAnsi" w:hAnsiTheme="minorHAnsi"/>
                <w:color w:val="000000"/>
                <w:sz w:val="18"/>
                <w:szCs w:val="18"/>
              </w:rPr>
              <w:t>vera</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2015/1/22</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IBRUTINIB</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Leuzemia </w:t>
            </w:r>
            <w:proofErr w:type="spellStart"/>
            <w:r w:rsidRPr="000C783E">
              <w:rPr>
                <w:rFonts w:asciiTheme="minorHAnsi" w:hAnsiTheme="minorHAnsi"/>
                <w:color w:val="000000"/>
                <w:sz w:val="18"/>
                <w:szCs w:val="18"/>
              </w:rPr>
              <w:t>linfozitiko</w:t>
            </w:r>
            <w:proofErr w:type="spellEnd"/>
            <w:r w:rsidRPr="000C783E">
              <w:rPr>
                <w:rFonts w:asciiTheme="minorHAnsi" w:hAnsiTheme="minorHAnsi"/>
                <w:color w:val="000000"/>
                <w:sz w:val="18"/>
                <w:szCs w:val="18"/>
              </w:rPr>
              <w:t xml:space="preserve"> kronikoa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2014/7/24</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Mantuko zelulen leuzemia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2015/5/21</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Waldenströmen</w:t>
            </w:r>
            <w:proofErr w:type="spellEnd"/>
            <w:r w:rsidRPr="000C783E">
              <w:rPr>
                <w:rFonts w:asciiTheme="minorHAnsi" w:hAnsiTheme="minorHAnsi"/>
                <w:color w:val="000000"/>
                <w:sz w:val="18"/>
                <w:szCs w:val="18"/>
              </w:rPr>
              <w:t xml:space="preserve"> </w:t>
            </w:r>
            <w:proofErr w:type="spellStart"/>
            <w:r w:rsidRPr="000C783E">
              <w:rPr>
                <w:rFonts w:asciiTheme="minorHAnsi" w:hAnsiTheme="minorHAnsi"/>
                <w:color w:val="000000"/>
                <w:sz w:val="18"/>
                <w:szCs w:val="18"/>
              </w:rPr>
              <w:t>makroglobulinemia</w:t>
            </w:r>
            <w:proofErr w:type="spellEnd"/>
            <w:r w:rsidRPr="000C783E">
              <w:rPr>
                <w:rFonts w:asciiTheme="minorHAnsi" w:hAnsiTheme="minorHAnsi"/>
                <w:color w:val="000000"/>
                <w:sz w:val="18"/>
                <w:szCs w:val="18"/>
              </w:rPr>
              <w:t xml:space="preserve"> </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2015/5/21</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4"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LLKren</w:t>
            </w:r>
            <w:proofErr w:type="spellEnd"/>
            <w:r w:rsidRPr="000C783E">
              <w:rPr>
                <w:rFonts w:asciiTheme="minorHAnsi" w:hAnsiTheme="minorHAnsi"/>
                <w:color w:val="000000"/>
                <w:sz w:val="18"/>
                <w:szCs w:val="18"/>
              </w:rPr>
              <w:t xml:space="preserve"> 1. linea</w:t>
            </w:r>
          </w:p>
        </w:tc>
        <w:tc>
          <w:tcPr>
            <w:tcW w:w="1147" w:type="dxa"/>
            <w:tcBorders>
              <w:top w:val="nil"/>
              <w:left w:val="nil"/>
              <w:bottom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2016/4/28</w:t>
            </w:r>
          </w:p>
        </w:tc>
        <w:tc>
          <w:tcPr>
            <w:tcW w:w="976" w:type="dxa"/>
            <w:tcBorders>
              <w:top w:val="nil"/>
              <w:left w:val="nil"/>
              <w:bottom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4"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vMerge w:val="restart"/>
            <w:tcBorders>
              <w:top w:val="single" w:sz="4" w:space="0" w:color="auto"/>
              <w:left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single" w:sz="4" w:space="0" w:color="auto"/>
              <w:left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vMerge w:val="restart"/>
            <w:tcBorders>
              <w:top w:val="single" w:sz="4" w:space="0" w:color="auto"/>
              <w:left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vMerge/>
            <w:tcBorders>
              <w:left w:val="single" w:sz="4" w:space="0" w:color="auto"/>
              <w:right w:val="single" w:sz="4" w:space="0" w:color="auto"/>
            </w:tcBorders>
            <w:vAlign w:val="center"/>
            <w:hideMark/>
          </w:tcPr>
          <w:p w:rsidR="007D0D81" w:rsidRPr="000C783E" w:rsidRDefault="007D0D81" w:rsidP="000C783E">
            <w:pPr>
              <w:spacing w:before="20" w:after="20"/>
              <w:rPr>
                <w:rFonts w:asciiTheme="minorHAnsi" w:hAnsiTheme="minorHAnsi"/>
                <w:color w:val="000000"/>
                <w:sz w:val="18"/>
                <w:szCs w:val="18"/>
              </w:rPr>
            </w:pPr>
          </w:p>
        </w:tc>
        <w:tc>
          <w:tcPr>
            <w:tcW w:w="1122"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 </w:t>
            </w:r>
          </w:p>
        </w:tc>
        <w:tc>
          <w:tcPr>
            <w:tcW w:w="976"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left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vMerge/>
            <w:tcBorders>
              <w:left w:val="single" w:sz="4" w:space="0" w:color="auto"/>
              <w:right w:val="single" w:sz="4" w:space="0" w:color="auto"/>
            </w:tcBorders>
            <w:vAlign w:val="center"/>
            <w:hideMark/>
          </w:tcPr>
          <w:p w:rsidR="007D0D81" w:rsidRPr="000C783E" w:rsidRDefault="007D0D81" w:rsidP="000C783E">
            <w:pPr>
              <w:spacing w:before="20" w:after="20"/>
              <w:rPr>
                <w:rFonts w:asciiTheme="minorHAnsi" w:hAnsiTheme="minorHAnsi"/>
                <w:color w:val="000000"/>
                <w:sz w:val="18"/>
                <w:szCs w:val="18"/>
              </w:rPr>
            </w:pPr>
          </w:p>
        </w:tc>
      </w:tr>
      <w:tr w:rsidR="007D0D81" w:rsidRPr="000C783E" w:rsidTr="000C783E">
        <w:trPr>
          <w:trHeight w:val="20"/>
        </w:trPr>
        <w:tc>
          <w:tcPr>
            <w:tcW w:w="1319" w:type="dxa"/>
            <w:tcBorders>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OLAPARIB</w:t>
            </w:r>
          </w:p>
        </w:tc>
        <w:tc>
          <w:tcPr>
            <w:tcW w:w="1405" w:type="dxa"/>
            <w:tcBorders>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Emakumeen obarioko minbizia, BRCA mutazioarekin</w:t>
            </w:r>
          </w:p>
        </w:tc>
        <w:tc>
          <w:tcPr>
            <w:tcW w:w="1147" w:type="dxa"/>
            <w:vMerge/>
            <w:tcBorders>
              <w:left w:val="single" w:sz="4" w:space="0" w:color="auto"/>
              <w:right w:val="single" w:sz="4" w:space="0" w:color="auto"/>
            </w:tcBorders>
            <w:vAlign w:val="center"/>
            <w:hideMark/>
          </w:tcPr>
          <w:p w:rsidR="007D0D81" w:rsidRPr="000C783E" w:rsidRDefault="007D0D81" w:rsidP="000C783E">
            <w:pPr>
              <w:spacing w:before="20" w:after="20"/>
              <w:rPr>
                <w:rFonts w:asciiTheme="minorHAnsi" w:hAnsiTheme="minorHAnsi"/>
                <w:color w:val="000000"/>
                <w:sz w:val="18"/>
                <w:szCs w:val="18"/>
              </w:rPr>
            </w:pPr>
          </w:p>
        </w:tc>
        <w:tc>
          <w:tcPr>
            <w:tcW w:w="1122" w:type="dxa"/>
            <w:tcBorders>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2014/10/23</w:t>
            </w:r>
          </w:p>
        </w:tc>
        <w:tc>
          <w:tcPr>
            <w:tcW w:w="976" w:type="dxa"/>
            <w:tcBorders>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vMerge/>
            <w:tcBorders>
              <w:left w:val="single" w:sz="4" w:space="0" w:color="auto"/>
              <w:bottom w:val="single" w:sz="4" w:space="0" w:color="auto"/>
              <w:right w:val="single" w:sz="4" w:space="0" w:color="auto"/>
            </w:tcBorders>
            <w:vAlign w:val="center"/>
            <w:hideMark/>
          </w:tcPr>
          <w:p w:rsidR="007D0D81" w:rsidRPr="000C783E" w:rsidRDefault="007D0D81" w:rsidP="000C783E">
            <w:pPr>
              <w:spacing w:before="20" w:after="20"/>
              <w:rPr>
                <w:rFonts w:asciiTheme="minorHAnsi" w:hAnsiTheme="minorHAnsi"/>
                <w:color w:val="000000"/>
                <w:sz w:val="18"/>
                <w:szCs w:val="18"/>
              </w:rPr>
            </w:pPr>
          </w:p>
        </w:tc>
      </w:tr>
      <w:tr w:rsidR="007D0D81" w:rsidRPr="000C783E" w:rsidTr="000C783E">
        <w:trPr>
          <w:trHeight w:val="20"/>
        </w:trPr>
        <w:tc>
          <w:tcPr>
            <w:tcW w:w="1319" w:type="dxa"/>
            <w:tcBorders>
              <w:top w:val="single" w:sz="8" w:space="0" w:color="auto"/>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IDELALISIB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LLK eta linfoma folikularra</w:t>
            </w:r>
          </w:p>
        </w:tc>
        <w:tc>
          <w:tcPr>
            <w:tcW w:w="1147" w:type="dxa"/>
            <w:tcBorders>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2014/7/24</w:t>
            </w:r>
          </w:p>
        </w:tc>
        <w:tc>
          <w:tcPr>
            <w:tcW w:w="976"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w:t>
            </w:r>
          </w:p>
        </w:tc>
        <w:tc>
          <w:tcPr>
            <w:tcW w:w="1417"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w:t>
            </w:r>
          </w:p>
        </w:tc>
        <w:tc>
          <w:tcPr>
            <w:tcW w:w="993"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single" w:sz="4" w:space="0" w:color="auto"/>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LLK </w:t>
            </w:r>
            <w:proofErr w:type="spellStart"/>
            <w:r w:rsidRPr="000C783E">
              <w:rPr>
                <w:rFonts w:asciiTheme="minorHAnsi" w:hAnsiTheme="minorHAnsi"/>
                <w:color w:val="000000"/>
                <w:sz w:val="18"/>
                <w:szCs w:val="18"/>
              </w:rPr>
              <w:t>rituximabekin</w:t>
            </w:r>
            <w:proofErr w:type="spellEnd"/>
            <w:r w:rsidRPr="000C783E">
              <w:rPr>
                <w:rFonts w:asciiTheme="minorHAnsi" w:hAnsiTheme="minorHAnsi"/>
                <w:color w:val="000000"/>
                <w:sz w:val="18"/>
                <w:szCs w:val="18"/>
              </w:rPr>
              <w:t xml:space="preserve"> edo </w:t>
            </w:r>
            <w:proofErr w:type="spellStart"/>
            <w:r w:rsidRPr="000C783E">
              <w:rPr>
                <w:rFonts w:asciiTheme="minorHAnsi" w:hAnsiTheme="minorHAnsi"/>
                <w:color w:val="000000"/>
                <w:sz w:val="18"/>
                <w:szCs w:val="18"/>
              </w:rPr>
              <w:t>ofatumumabekin</w:t>
            </w:r>
            <w:proofErr w:type="spellEnd"/>
            <w:r w:rsidRPr="000C783E">
              <w:rPr>
                <w:rFonts w:asciiTheme="minorHAnsi" w:hAnsiTheme="minorHAnsi"/>
                <w:color w:val="000000"/>
                <w:sz w:val="18"/>
                <w:szCs w:val="18"/>
              </w:rPr>
              <w:t xml:space="preserve"> </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2016/2/25</w:t>
            </w:r>
          </w:p>
        </w:tc>
        <w:tc>
          <w:tcPr>
            <w:tcW w:w="976"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single" w:sz="8" w:space="0" w:color="auto"/>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TRAMETINIB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Melanoma</w:t>
            </w:r>
            <w:proofErr w:type="spellEnd"/>
            <w:r w:rsidRPr="000C783E">
              <w:rPr>
                <w:rFonts w:asciiTheme="minorHAnsi" w:hAnsiTheme="minorHAnsi"/>
                <w:color w:val="000000"/>
                <w:sz w:val="18"/>
                <w:szCs w:val="18"/>
              </w:rPr>
              <w:t xml:space="preserve"> metastasikoa BRAF V600 mutazioarekin</w:t>
            </w:r>
          </w:p>
        </w:tc>
        <w:tc>
          <w:tcPr>
            <w:tcW w:w="1147" w:type="dxa"/>
            <w:tcBorders>
              <w:top w:val="single" w:sz="8" w:space="0" w:color="auto"/>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2014/4/25</w:t>
            </w:r>
          </w:p>
        </w:tc>
        <w:tc>
          <w:tcPr>
            <w:tcW w:w="976"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2016/4/1</w:t>
            </w:r>
          </w:p>
        </w:tc>
        <w:tc>
          <w:tcPr>
            <w:tcW w:w="1417"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2016/4/1</w:t>
            </w:r>
          </w:p>
        </w:tc>
        <w:tc>
          <w:tcPr>
            <w:tcW w:w="993"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single" w:sz="8" w:space="0" w:color="auto"/>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 </w:t>
            </w:r>
            <w:proofErr w:type="spellStart"/>
            <w:r w:rsidRPr="000C783E">
              <w:rPr>
                <w:rFonts w:asciiTheme="minorHAnsi" w:hAnsiTheme="minorHAnsi"/>
                <w:color w:val="000000"/>
                <w:sz w:val="18"/>
                <w:szCs w:val="18"/>
              </w:rPr>
              <w:t>ez-mikrozitikoa</w:t>
            </w:r>
            <w:proofErr w:type="spellEnd"/>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2017/2/23</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lastRenderedPageBreak/>
              <w:t>VISMODEGIB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Zelula basalen </w:t>
            </w:r>
            <w:proofErr w:type="spellStart"/>
            <w:r w:rsidRPr="000C783E">
              <w:rPr>
                <w:rFonts w:asciiTheme="minorHAnsi" w:hAnsiTheme="minorHAnsi"/>
                <w:color w:val="000000"/>
                <w:sz w:val="18"/>
                <w:szCs w:val="18"/>
              </w:rPr>
              <w:t>kartzinoma</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2013/4/26</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2016/5/12</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2016/5/12</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COBIMETINIB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Melanoma</w:t>
            </w:r>
            <w:proofErr w:type="spellEnd"/>
            <w:r w:rsidRPr="000C783E">
              <w:rPr>
                <w:rFonts w:asciiTheme="minorHAnsi" w:hAnsiTheme="minorHAnsi"/>
                <w:color w:val="000000"/>
                <w:sz w:val="18"/>
                <w:szCs w:val="18"/>
              </w:rPr>
              <w:t xml:space="preserve"> metastasikoa BRAF V600 mutazioarekin</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2015/9/25</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2016/10/1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2016/10/1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TRIFLURIDINA TIPERAZILOA</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BC0F1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Kolon-ondesteko minbizi metastasikoaren 3. linea</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2016/2/25</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2016/10/1</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2018/3/23</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CARFILZOMIB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Mieloma</w:t>
            </w:r>
            <w:proofErr w:type="spellEnd"/>
            <w:r w:rsidRPr="000C783E">
              <w:rPr>
                <w:rFonts w:asciiTheme="minorHAnsi" w:hAnsiTheme="minorHAnsi"/>
                <w:color w:val="000000"/>
                <w:sz w:val="18"/>
                <w:szCs w:val="18"/>
              </w:rPr>
              <w:t xml:space="preserve"> anizkoitza</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2015/9/25</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2016/11/1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2016/11/1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DARATUMUMAB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Mieloma</w:t>
            </w:r>
            <w:proofErr w:type="spellEnd"/>
            <w:r w:rsidRPr="000C783E">
              <w:rPr>
                <w:rFonts w:asciiTheme="minorHAnsi" w:hAnsiTheme="minorHAnsi"/>
                <w:color w:val="000000"/>
                <w:sz w:val="18"/>
                <w:szCs w:val="18"/>
              </w:rPr>
              <w:t xml:space="preserve"> anizkoitza, berrerortzearekin</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2016/4/1</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2016/12/1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2016/12/1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single" w:sz="8" w:space="0" w:color="auto"/>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LENVATINIB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Tiroideko minbizi aurreratu edo metastasikoa</w:t>
            </w:r>
          </w:p>
        </w:tc>
        <w:tc>
          <w:tcPr>
            <w:tcW w:w="1147" w:type="dxa"/>
            <w:tcBorders>
              <w:top w:val="single" w:sz="8" w:space="0" w:color="auto"/>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2015/3/26</w:t>
            </w:r>
          </w:p>
        </w:tc>
        <w:tc>
          <w:tcPr>
            <w:tcW w:w="976"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2016/12/1</w:t>
            </w:r>
          </w:p>
        </w:tc>
        <w:tc>
          <w:tcPr>
            <w:tcW w:w="1417"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2016/12/1</w:t>
            </w:r>
          </w:p>
        </w:tc>
        <w:tc>
          <w:tcPr>
            <w:tcW w:w="993" w:type="dxa"/>
            <w:tcBorders>
              <w:top w:val="single" w:sz="8" w:space="0" w:color="auto"/>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single" w:sz="8" w:space="0" w:color="auto"/>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Giltzurruneko zeluletako </w:t>
            </w:r>
            <w:proofErr w:type="spellStart"/>
            <w:r w:rsidRPr="000C783E">
              <w:rPr>
                <w:rFonts w:asciiTheme="minorHAnsi" w:hAnsiTheme="minorHAnsi"/>
                <w:color w:val="000000"/>
                <w:sz w:val="18"/>
                <w:szCs w:val="18"/>
              </w:rPr>
              <w:t>kartzinoma</w:t>
            </w:r>
            <w:proofErr w:type="spellEnd"/>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2016/7/22</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BOSUTINIB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Leuzemia </w:t>
            </w:r>
            <w:proofErr w:type="spellStart"/>
            <w:r w:rsidRPr="000C783E">
              <w:rPr>
                <w:rFonts w:asciiTheme="minorHAnsi" w:hAnsiTheme="minorHAnsi"/>
                <w:color w:val="000000"/>
                <w:sz w:val="18"/>
                <w:szCs w:val="18"/>
              </w:rPr>
              <w:t>mieloide</w:t>
            </w:r>
            <w:proofErr w:type="spellEnd"/>
            <w:r w:rsidRPr="000C783E">
              <w:rPr>
                <w:rFonts w:asciiTheme="minorHAnsi" w:hAnsiTheme="minorHAnsi"/>
                <w:color w:val="000000"/>
                <w:sz w:val="18"/>
                <w:szCs w:val="18"/>
              </w:rPr>
              <w:t xml:space="preserve"> kronikoa</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2013/1/18</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2017/3/1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2017/3/1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CABOZANTINIB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Giltzurruneko minbizi aurreratua, aurreko tratamenduaren ondorengoa</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2016/7/22</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2017/7/1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2017/7/1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PONATINIB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Leuzemia </w:t>
            </w:r>
            <w:proofErr w:type="spellStart"/>
            <w:r w:rsidRPr="000C783E">
              <w:rPr>
                <w:rFonts w:asciiTheme="minorHAnsi" w:hAnsiTheme="minorHAnsi"/>
                <w:color w:val="000000"/>
                <w:sz w:val="18"/>
                <w:szCs w:val="18"/>
              </w:rPr>
              <w:t>mieloide</w:t>
            </w:r>
            <w:proofErr w:type="spellEnd"/>
            <w:r w:rsidRPr="000C783E">
              <w:rPr>
                <w:rFonts w:asciiTheme="minorHAnsi" w:hAnsiTheme="minorHAnsi"/>
                <w:color w:val="000000"/>
                <w:sz w:val="18"/>
                <w:szCs w:val="18"/>
              </w:rPr>
              <w:t xml:space="preserve"> kronikoa eta LAL </w:t>
            </w:r>
            <w:proofErr w:type="spellStart"/>
            <w:r w:rsidRPr="000C783E">
              <w:rPr>
                <w:rFonts w:asciiTheme="minorHAnsi" w:hAnsiTheme="minorHAnsi"/>
                <w:color w:val="000000"/>
                <w:sz w:val="18"/>
                <w:szCs w:val="18"/>
              </w:rPr>
              <w:t>pH</w:t>
            </w:r>
            <w:proofErr w:type="spellEnd"/>
            <w:r w:rsidRPr="000C783E">
              <w:rPr>
                <w:rFonts w:asciiTheme="minorHAnsi" w:hAnsiTheme="minorHAnsi"/>
                <w:color w:val="000000"/>
                <w:sz w:val="18"/>
                <w:szCs w:val="18"/>
              </w:rPr>
              <w:t>+</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2013/3/21</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2017/10/1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2017/10/1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PALBOCICLIB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Bularreko minbizia 1. eta 2. lineetan, menopausiaren aurreko aldian eta aldi </w:t>
            </w:r>
            <w:proofErr w:type="spellStart"/>
            <w:r w:rsidRPr="000C783E">
              <w:rPr>
                <w:rFonts w:asciiTheme="minorHAnsi" w:hAnsiTheme="minorHAnsi"/>
                <w:color w:val="000000"/>
                <w:sz w:val="18"/>
                <w:szCs w:val="18"/>
              </w:rPr>
              <w:t>perimenopausikoan</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2016/7/15</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2017/11/1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2017/11/1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RIBOCICLIB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Bularreko minbizia 1. linean</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2017/6/23</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2017/11/1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2017/11/1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4"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OLARATUMAB</w:t>
            </w: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Ehun bigunetako sarkoma</w:t>
            </w:r>
          </w:p>
        </w:tc>
        <w:tc>
          <w:tcPr>
            <w:tcW w:w="1147" w:type="dxa"/>
            <w:tcBorders>
              <w:top w:val="nil"/>
              <w:left w:val="nil"/>
              <w:bottom w:val="single" w:sz="4"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2016/9/16</w:t>
            </w:r>
          </w:p>
        </w:tc>
        <w:tc>
          <w:tcPr>
            <w:tcW w:w="976" w:type="dxa"/>
            <w:tcBorders>
              <w:top w:val="nil"/>
              <w:left w:val="nil"/>
              <w:bottom w:val="single" w:sz="4"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2017/11/1</w:t>
            </w:r>
          </w:p>
        </w:tc>
        <w:tc>
          <w:tcPr>
            <w:tcW w:w="1417" w:type="dxa"/>
            <w:tcBorders>
              <w:top w:val="nil"/>
              <w:left w:val="nil"/>
              <w:bottom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2017/11/1</w:t>
            </w:r>
          </w:p>
        </w:tc>
        <w:tc>
          <w:tcPr>
            <w:tcW w:w="993" w:type="dxa"/>
            <w:tcBorders>
              <w:top w:val="nil"/>
              <w:left w:val="nil"/>
              <w:bottom w:val="single" w:sz="4"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BAI</w:t>
            </w:r>
          </w:p>
        </w:tc>
        <w:tc>
          <w:tcPr>
            <w:tcW w:w="1134" w:type="dxa"/>
            <w:tcBorders>
              <w:top w:val="nil"/>
              <w:left w:val="nil"/>
              <w:bottom w:val="single" w:sz="4"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single" w:sz="4" w:space="0" w:color="auto"/>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ALECTINIB</w:t>
            </w:r>
          </w:p>
        </w:tc>
        <w:tc>
          <w:tcPr>
            <w:tcW w:w="14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 </w:t>
            </w:r>
            <w:proofErr w:type="spellStart"/>
            <w:r w:rsidRPr="000C783E">
              <w:rPr>
                <w:rFonts w:asciiTheme="minorHAnsi" w:hAnsiTheme="minorHAnsi"/>
                <w:color w:val="000000"/>
                <w:sz w:val="18"/>
                <w:szCs w:val="18"/>
              </w:rPr>
              <w:t>ez-mikrozitikoa</w:t>
            </w:r>
            <w:proofErr w:type="spellEnd"/>
          </w:p>
        </w:tc>
        <w:tc>
          <w:tcPr>
            <w:tcW w:w="1147" w:type="dxa"/>
            <w:tcBorders>
              <w:top w:val="single" w:sz="4" w:space="0" w:color="auto"/>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single" w:sz="4" w:space="0" w:color="auto"/>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2016/12/15</w:t>
            </w:r>
          </w:p>
        </w:tc>
        <w:tc>
          <w:tcPr>
            <w:tcW w:w="976" w:type="dxa"/>
            <w:tcBorders>
              <w:top w:val="single" w:sz="4" w:space="0" w:color="auto"/>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2018/4/1</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2018/4/1</w:t>
            </w: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VENETOCLAX</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Leuzemia </w:t>
            </w:r>
            <w:proofErr w:type="spellStart"/>
            <w:r w:rsidRPr="000C783E">
              <w:rPr>
                <w:rFonts w:asciiTheme="minorHAnsi" w:hAnsiTheme="minorHAnsi"/>
                <w:color w:val="000000"/>
                <w:sz w:val="18"/>
                <w:szCs w:val="18"/>
              </w:rPr>
              <w:t>linfozitiko</w:t>
            </w:r>
            <w:proofErr w:type="spellEnd"/>
            <w:r w:rsidRPr="000C783E">
              <w:rPr>
                <w:rFonts w:asciiTheme="minorHAnsi" w:hAnsiTheme="minorHAnsi"/>
                <w:color w:val="000000"/>
                <w:sz w:val="18"/>
                <w:szCs w:val="18"/>
              </w:rPr>
              <w:t xml:space="preserve"> kronikoa</w:t>
            </w:r>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2016/10/13</w:t>
            </w:r>
          </w:p>
        </w:tc>
        <w:tc>
          <w:tcPr>
            <w:tcW w:w="976"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2018/4/1</w:t>
            </w:r>
          </w:p>
        </w:tc>
        <w:tc>
          <w:tcPr>
            <w:tcW w:w="1417"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2018/4/1</w:t>
            </w:r>
          </w:p>
        </w:tc>
        <w:tc>
          <w:tcPr>
            <w:tcW w:w="993"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nil"/>
              <w:right w:val="nil"/>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ATEZOLIZUMAB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0C783E" w:rsidRDefault="007D0D81" w:rsidP="000C783E">
            <w:pPr>
              <w:spacing w:before="20" w:after="20"/>
              <w:rPr>
                <w:rFonts w:asciiTheme="minorHAnsi" w:hAnsiTheme="minorHAnsi"/>
                <w:color w:val="000000"/>
                <w:sz w:val="18"/>
                <w:szCs w:val="18"/>
              </w:rPr>
            </w:pPr>
            <w:proofErr w:type="spellStart"/>
            <w:r w:rsidRPr="000C783E">
              <w:rPr>
                <w:rFonts w:asciiTheme="minorHAnsi" w:hAnsiTheme="minorHAnsi"/>
                <w:color w:val="000000"/>
                <w:sz w:val="18"/>
                <w:szCs w:val="18"/>
              </w:rPr>
              <w:t>Kartzinoma</w:t>
            </w:r>
            <w:proofErr w:type="spellEnd"/>
            <w:r w:rsidRPr="000C783E">
              <w:rPr>
                <w:rFonts w:asciiTheme="minorHAnsi" w:hAnsiTheme="minorHAnsi"/>
                <w:color w:val="000000"/>
                <w:sz w:val="18"/>
                <w:szCs w:val="18"/>
              </w:rPr>
              <w:t xml:space="preserve"> </w:t>
            </w:r>
            <w:proofErr w:type="spellStart"/>
            <w:r w:rsidRPr="000C783E">
              <w:rPr>
                <w:rFonts w:asciiTheme="minorHAnsi" w:hAnsiTheme="minorHAnsi"/>
                <w:color w:val="000000"/>
                <w:sz w:val="18"/>
                <w:szCs w:val="18"/>
              </w:rPr>
              <w:t>urotelial</w:t>
            </w:r>
            <w:proofErr w:type="spellEnd"/>
            <w:r w:rsidRPr="000C783E">
              <w:rPr>
                <w:rFonts w:asciiTheme="minorHAnsi" w:hAnsiTheme="minorHAnsi"/>
                <w:color w:val="000000"/>
                <w:sz w:val="18"/>
                <w:szCs w:val="18"/>
              </w:rPr>
              <w:t xml:space="preserve"> metastasikoa</w:t>
            </w:r>
          </w:p>
        </w:tc>
        <w:tc>
          <w:tcPr>
            <w:tcW w:w="1147" w:type="dxa"/>
            <w:tcBorders>
              <w:top w:val="nil"/>
              <w:left w:val="nil"/>
              <w:bottom w:val="nil"/>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2017/7/20</w:t>
            </w:r>
          </w:p>
        </w:tc>
        <w:tc>
          <w:tcPr>
            <w:tcW w:w="976"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2018/4/1</w:t>
            </w:r>
          </w:p>
        </w:tc>
        <w:tc>
          <w:tcPr>
            <w:tcW w:w="1417"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2018/4/1</w:t>
            </w:r>
          </w:p>
        </w:tc>
        <w:tc>
          <w:tcPr>
            <w:tcW w:w="993" w:type="dxa"/>
            <w:tcBorders>
              <w:top w:val="nil"/>
              <w:left w:val="nil"/>
              <w:bottom w:val="nil"/>
              <w:right w:val="single" w:sz="4" w:space="0" w:color="auto"/>
            </w:tcBorders>
            <w:shd w:val="clear" w:color="auto" w:fill="auto"/>
            <w:vAlign w:val="center"/>
            <w:hideMark/>
          </w:tcPr>
          <w:p w:rsidR="007D0D81" w:rsidRPr="000C783E" w:rsidRDefault="007D0D81" w:rsidP="000C783E">
            <w:pPr>
              <w:spacing w:before="20" w:after="20"/>
              <w:jc w:val="center"/>
              <w:rPr>
                <w:rFonts w:asciiTheme="minorHAnsi" w:hAnsiTheme="minorHAnsi"/>
                <w:color w:val="000000"/>
                <w:sz w:val="18"/>
                <w:szCs w:val="18"/>
              </w:rPr>
            </w:pPr>
            <w:r w:rsidRPr="000C783E">
              <w:rPr>
                <w:rFonts w:asciiTheme="minorHAnsi" w:hAnsiTheme="minorHAnsi"/>
                <w:color w:val="000000"/>
                <w:sz w:val="18"/>
                <w:szCs w:val="18"/>
              </w:rPr>
              <w:t>EZ</w:t>
            </w:r>
          </w:p>
        </w:tc>
        <w:tc>
          <w:tcPr>
            <w:tcW w:w="1134" w:type="dxa"/>
            <w:tcBorders>
              <w:top w:val="nil"/>
              <w:left w:val="nil"/>
              <w:bottom w:val="nil"/>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r w:rsidR="007D0D81" w:rsidRPr="000C783E" w:rsidTr="000C783E">
        <w:trPr>
          <w:trHeight w:val="20"/>
        </w:trPr>
        <w:tc>
          <w:tcPr>
            <w:tcW w:w="1319" w:type="dxa"/>
            <w:tcBorders>
              <w:top w:val="nil"/>
              <w:left w:val="single" w:sz="8" w:space="0" w:color="auto"/>
              <w:bottom w:val="single" w:sz="8" w:space="0" w:color="auto"/>
              <w:right w:val="nil"/>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0C783E" w:rsidRDefault="00B06524"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xml:space="preserve">Birikako minbizi </w:t>
            </w:r>
            <w:proofErr w:type="spellStart"/>
            <w:r w:rsidRPr="000C783E">
              <w:rPr>
                <w:rFonts w:asciiTheme="minorHAnsi" w:hAnsiTheme="minorHAnsi"/>
                <w:color w:val="000000"/>
                <w:sz w:val="18"/>
                <w:szCs w:val="18"/>
              </w:rPr>
              <w:t>ez-mikrozitikoa</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0C783E" w:rsidRDefault="007D0D81" w:rsidP="000C783E">
            <w:pPr>
              <w:spacing w:before="20" w:after="20"/>
              <w:jc w:val="right"/>
              <w:rPr>
                <w:rFonts w:asciiTheme="minorHAnsi" w:hAnsiTheme="minorHAnsi"/>
                <w:color w:val="000000"/>
                <w:sz w:val="18"/>
                <w:szCs w:val="18"/>
              </w:rPr>
            </w:pPr>
            <w:r w:rsidRPr="000C783E">
              <w:rPr>
                <w:rFonts w:asciiTheme="minorHAnsi" w:hAnsiTheme="minorHAnsi"/>
                <w:color w:val="000000"/>
                <w:sz w:val="18"/>
                <w:szCs w:val="18"/>
              </w:rPr>
              <w:t>2017/7/20</w:t>
            </w:r>
          </w:p>
        </w:tc>
        <w:tc>
          <w:tcPr>
            <w:tcW w:w="976"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0C783E" w:rsidRDefault="007D0D81" w:rsidP="000C783E">
            <w:pPr>
              <w:spacing w:before="20" w:after="20"/>
              <w:rPr>
                <w:rFonts w:asciiTheme="minorHAnsi" w:hAnsiTheme="minorHAnsi"/>
                <w:color w:val="000000"/>
                <w:sz w:val="18"/>
                <w:szCs w:val="18"/>
              </w:rPr>
            </w:pPr>
            <w:r w:rsidRPr="000C783E">
              <w:rPr>
                <w:rFonts w:asciiTheme="minorHAnsi" w:hAnsiTheme="minorHAnsi"/>
                <w:color w:val="000000"/>
                <w:sz w:val="18"/>
                <w:szCs w:val="18"/>
              </w:rPr>
              <w:t> </w:t>
            </w:r>
          </w:p>
        </w:tc>
      </w:tr>
    </w:tbl>
    <w:p w:rsidR="00FE1ABF" w:rsidRDefault="00FE1ABF" w:rsidP="007D0D81">
      <w:pPr>
        <w:jc w:val="both"/>
        <w:rPr>
          <w:rFonts w:ascii="Century Gothic" w:hAnsi="Century Gothic"/>
        </w:rPr>
      </w:pPr>
    </w:p>
    <w:p w:rsidR="00FE1ABF" w:rsidRDefault="001F63C7" w:rsidP="00CB0E20">
      <w:pPr>
        <w:tabs>
          <w:tab w:val="left" w:pos="720"/>
        </w:tabs>
        <w:spacing w:line="276" w:lineRule="auto"/>
        <w:jc w:val="both"/>
        <w:rPr>
          <w:rFonts w:ascii="Century Gothic" w:hAnsi="Century Gothic"/>
        </w:rPr>
      </w:pPr>
      <w:r>
        <w:rPr>
          <w:rFonts w:ascii="Century Gothic" w:hAnsi="Century Gothic"/>
        </w:rPr>
        <w:t>Hori guztia jakinarazten dizut, Nafarroako Parlamentuko Erregelamenduaren 194. artikulua betez.</w:t>
      </w:r>
    </w:p>
    <w:p w:rsidR="00FE1ABF" w:rsidRDefault="001F63C7" w:rsidP="00CB0E20">
      <w:pPr>
        <w:spacing w:line="276" w:lineRule="auto"/>
        <w:ind w:left="567" w:right="567"/>
        <w:jc w:val="center"/>
        <w:outlineLvl w:val="0"/>
        <w:rPr>
          <w:rFonts w:ascii="Century Gothic" w:hAnsi="Century Gothic"/>
        </w:rPr>
      </w:pPr>
      <w:r>
        <w:rPr>
          <w:rFonts w:ascii="Century Gothic" w:hAnsi="Century Gothic"/>
        </w:rPr>
        <w:t>Iruñean, 2018ko maiatzaren 8an</w:t>
      </w:r>
    </w:p>
    <w:p w:rsidR="00FE1ABF" w:rsidRPr="00FE1ABF" w:rsidRDefault="00FE1ABF" w:rsidP="00FE1ABF">
      <w:pPr>
        <w:spacing w:line="276" w:lineRule="auto"/>
        <w:ind w:left="567" w:right="567"/>
        <w:jc w:val="center"/>
        <w:outlineLvl w:val="0"/>
        <w:rPr>
          <w:rFonts w:ascii="Century Gothic" w:hAnsi="Century Gothic"/>
        </w:rPr>
      </w:pPr>
      <w:r>
        <w:rPr>
          <w:rFonts w:ascii="Century Gothic" w:hAnsi="Century Gothic"/>
        </w:rPr>
        <w:t xml:space="preserve">Osasuneko kontseilaria: Fernando </w:t>
      </w:r>
      <w:proofErr w:type="spellStart"/>
      <w:r>
        <w:rPr>
          <w:rFonts w:ascii="Century Gothic" w:hAnsi="Century Gothic"/>
        </w:rPr>
        <w:t>Domínguez</w:t>
      </w:r>
      <w:proofErr w:type="spellEnd"/>
      <w:r>
        <w:rPr>
          <w:rFonts w:ascii="Century Gothic" w:hAnsi="Century Gothic"/>
        </w:rPr>
        <w:t xml:space="preserve"> </w:t>
      </w:r>
      <w:proofErr w:type="spellStart"/>
      <w:r>
        <w:rPr>
          <w:rFonts w:ascii="Century Gothic" w:hAnsi="Century Gothic"/>
        </w:rPr>
        <w:t>Cunchillos</w:t>
      </w:r>
      <w:proofErr w:type="spellEnd"/>
    </w:p>
    <w:p w:rsidR="00234CA4" w:rsidRPr="00234CA4" w:rsidRDefault="00234CA4" w:rsidP="00C2094E">
      <w:pPr>
        <w:tabs>
          <w:tab w:val="left" w:pos="3780"/>
        </w:tabs>
        <w:jc w:val="both"/>
        <w:rPr>
          <w:rFonts w:ascii="Century Gothic" w:hAnsi="Century Gothic"/>
        </w:rPr>
      </w:pPr>
    </w:p>
    <w:sectPr w:rsidR="00234CA4" w:rsidRPr="00234CA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1C" w:rsidRDefault="00A7201C">
      <w:r>
        <w:separator/>
      </w:r>
    </w:p>
  </w:endnote>
  <w:endnote w:type="continuationSeparator" w:id="0">
    <w:p w:rsidR="00A7201C" w:rsidRDefault="00A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9A" w:rsidRDefault="003F439A" w:rsidP="003F439A">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64E41">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1C" w:rsidRDefault="00A7201C">
      <w:r>
        <w:separator/>
      </w:r>
    </w:p>
  </w:footnote>
  <w:footnote w:type="continuationSeparator" w:id="0">
    <w:p w:rsidR="00A7201C" w:rsidRDefault="00A7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D11"/>
    <w:multiLevelType w:val="hybridMultilevel"/>
    <w:tmpl w:val="A10A6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37644C"/>
    <w:multiLevelType w:val="hybridMultilevel"/>
    <w:tmpl w:val="F996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292A6C"/>
    <w:multiLevelType w:val="hybridMultilevel"/>
    <w:tmpl w:val="99EED19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4E48D6"/>
    <w:multiLevelType w:val="hybridMultilevel"/>
    <w:tmpl w:val="05167B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FF56A2"/>
    <w:multiLevelType w:val="hybridMultilevel"/>
    <w:tmpl w:val="95D6C65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C7"/>
    <w:rsid w:val="0000387F"/>
    <w:rsid w:val="000078E5"/>
    <w:rsid w:val="00010902"/>
    <w:rsid w:val="00013F71"/>
    <w:rsid w:val="000206CF"/>
    <w:rsid w:val="000251F9"/>
    <w:rsid w:val="00027633"/>
    <w:rsid w:val="00027973"/>
    <w:rsid w:val="0003640C"/>
    <w:rsid w:val="000815C3"/>
    <w:rsid w:val="0009391E"/>
    <w:rsid w:val="00094914"/>
    <w:rsid w:val="0009767C"/>
    <w:rsid w:val="000A024B"/>
    <w:rsid w:val="000A68EB"/>
    <w:rsid w:val="000B1227"/>
    <w:rsid w:val="000C0780"/>
    <w:rsid w:val="000C4BDA"/>
    <w:rsid w:val="000C6172"/>
    <w:rsid w:val="000C6BD2"/>
    <w:rsid w:val="000C783E"/>
    <w:rsid w:val="000D375F"/>
    <w:rsid w:val="000E081D"/>
    <w:rsid w:val="000E0825"/>
    <w:rsid w:val="000E75C8"/>
    <w:rsid w:val="000F5E44"/>
    <w:rsid w:val="00104044"/>
    <w:rsid w:val="00115FB8"/>
    <w:rsid w:val="0012228D"/>
    <w:rsid w:val="00124CF7"/>
    <w:rsid w:val="00133815"/>
    <w:rsid w:val="00154BE0"/>
    <w:rsid w:val="001654A3"/>
    <w:rsid w:val="001657BB"/>
    <w:rsid w:val="00184B06"/>
    <w:rsid w:val="0019303E"/>
    <w:rsid w:val="001A1D73"/>
    <w:rsid w:val="001C1140"/>
    <w:rsid w:val="001C2BAA"/>
    <w:rsid w:val="001E2CB4"/>
    <w:rsid w:val="001F2DFD"/>
    <w:rsid w:val="001F63C7"/>
    <w:rsid w:val="00211567"/>
    <w:rsid w:val="00221D74"/>
    <w:rsid w:val="00234CA4"/>
    <w:rsid w:val="00235802"/>
    <w:rsid w:val="00244238"/>
    <w:rsid w:val="002457DF"/>
    <w:rsid w:val="00247449"/>
    <w:rsid w:val="00254A00"/>
    <w:rsid w:val="002614AA"/>
    <w:rsid w:val="00261772"/>
    <w:rsid w:val="00263406"/>
    <w:rsid w:val="00273FBE"/>
    <w:rsid w:val="002755A7"/>
    <w:rsid w:val="0028280B"/>
    <w:rsid w:val="00284158"/>
    <w:rsid w:val="002A3193"/>
    <w:rsid w:val="002B42C4"/>
    <w:rsid w:val="002B5845"/>
    <w:rsid w:val="002E48AD"/>
    <w:rsid w:val="002E5567"/>
    <w:rsid w:val="003234A7"/>
    <w:rsid w:val="003304A0"/>
    <w:rsid w:val="003314EC"/>
    <w:rsid w:val="00340125"/>
    <w:rsid w:val="00361AB4"/>
    <w:rsid w:val="00364572"/>
    <w:rsid w:val="00364CE9"/>
    <w:rsid w:val="00367F2B"/>
    <w:rsid w:val="00384427"/>
    <w:rsid w:val="003A539F"/>
    <w:rsid w:val="003A5B95"/>
    <w:rsid w:val="003B0B14"/>
    <w:rsid w:val="003B4B97"/>
    <w:rsid w:val="003C3FBA"/>
    <w:rsid w:val="003E38EF"/>
    <w:rsid w:val="003F439A"/>
    <w:rsid w:val="004114F2"/>
    <w:rsid w:val="004217D0"/>
    <w:rsid w:val="00423F29"/>
    <w:rsid w:val="00426CAB"/>
    <w:rsid w:val="0043200C"/>
    <w:rsid w:val="0044433C"/>
    <w:rsid w:val="004571BC"/>
    <w:rsid w:val="0046407D"/>
    <w:rsid w:val="00476DF6"/>
    <w:rsid w:val="00482CC5"/>
    <w:rsid w:val="00483DB2"/>
    <w:rsid w:val="004900E4"/>
    <w:rsid w:val="004907AB"/>
    <w:rsid w:val="00494AEB"/>
    <w:rsid w:val="004C3CCA"/>
    <w:rsid w:val="004D15B9"/>
    <w:rsid w:val="004D6F2F"/>
    <w:rsid w:val="004E3C2B"/>
    <w:rsid w:val="004E401D"/>
    <w:rsid w:val="004F4628"/>
    <w:rsid w:val="00526D1F"/>
    <w:rsid w:val="00526D5E"/>
    <w:rsid w:val="0053795D"/>
    <w:rsid w:val="005404BF"/>
    <w:rsid w:val="00540E26"/>
    <w:rsid w:val="005459C6"/>
    <w:rsid w:val="00555675"/>
    <w:rsid w:val="00565E43"/>
    <w:rsid w:val="0057126D"/>
    <w:rsid w:val="005854C1"/>
    <w:rsid w:val="00590A36"/>
    <w:rsid w:val="00597EDB"/>
    <w:rsid w:val="005B3E0B"/>
    <w:rsid w:val="005B5592"/>
    <w:rsid w:val="005B626E"/>
    <w:rsid w:val="005C3A1D"/>
    <w:rsid w:val="005D2AB1"/>
    <w:rsid w:val="005E2182"/>
    <w:rsid w:val="005E3A7F"/>
    <w:rsid w:val="005F59C3"/>
    <w:rsid w:val="00614B9A"/>
    <w:rsid w:val="00627732"/>
    <w:rsid w:val="00633CFD"/>
    <w:rsid w:val="0063441C"/>
    <w:rsid w:val="00641B43"/>
    <w:rsid w:val="0064613E"/>
    <w:rsid w:val="0064704D"/>
    <w:rsid w:val="00670C5D"/>
    <w:rsid w:val="00677567"/>
    <w:rsid w:val="0068409D"/>
    <w:rsid w:val="00687B55"/>
    <w:rsid w:val="0069320F"/>
    <w:rsid w:val="0069366F"/>
    <w:rsid w:val="006B1E03"/>
    <w:rsid w:val="006B2BFF"/>
    <w:rsid w:val="006B4184"/>
    <w:rsid w:val="006C2097"/>
    <w:rsid w:val="006E19AE"/>
    <w:rsid w:val="006E3D96"/>
    <w:rsid w:val="006E4655"/>
    <w:rsid w:val="006F3A11"/>
    <w:rsid w:val="0070226D"/>
    <w:rsid w:val="00702666"/>
    <w:rsid w:val="00711314"/>
    <w:rsid w:val="007126C6"/>
    <w:rsid w:val="00721D2E"/>
    <w:rsid w:val="00721EB4"/>
    <w:rsid w:val="007416EF"/>
    <w:rsid w:val="00745148"/>
    <w:rsid w:val="007622ED"/>
    <w:rsid w:val="00764E41"/>
    <w:rsid w:val="007737CF"/>
    <w:rsid w:val="007776D3"/>
    <w:rsid w:val="00790545"/>
    <w:rsid w:val="007A1AFD"/>
    <w:rsid w:val="007B147F"/>
    <w:rsid w:val="007B43E2"/>
    <w:rsid w:val="007D0D81"/>
    <w:rsid w:val="007D2A41"/>
    <w:rsid w:val="007D40A6"/>
    <w:rsid w:val="007D6AAA"/>
    <w:rsid w:val="007E20EE"/>
    <w:rsid w:val="007E3EEA"/>
    <w:rsid w:val="007E7236"/>
    <w:rsid w:val="007F16ED"/>
    <w:rsid w:val="007F5B36"/>
    <w:rsid w:val="00813265"/>
    <w:rsid w:val="00814C04"/>
    <w:rsid w:val="00817662"/>
    <w:rsid w:val="00820758"/>
    <w:rsid w:val="00824DF2"/>
    <w:rsid w:val="008264F4"/>
    <w:rsid w:val="00836F63"/>
    <w:rsid w:val="008408BD"/>
    <w:rsid w:val="0084271F"/>
    <w:rsid w:val="00855E9B"/>
    <w:rsid w:val="00864EAA"/>
    <w:rsid w:val="0088492A"/>
    <w:rsid w:val="00884981"/>
    <w:rsid w:val="00891752"/>
    <w:rsid w:val="008A279E"/>
    <w:rsid w:val="008C0378"/>
    <w:rsid w:val="008C2EFA"/>
    <w:rsid w:val="008E72E9"/>
    <w:rsid w:val="008F00F4"/>
    <w:rsid w:val="00902F68"/>
    <w:rsid w:val="00906309"/>
    <w:rsid w:val="009204DD"/>
    <w:rsid w:val="00922004"/>
    <w:rsid w:val="00930719"/>
    <w:rsid w:val="009457A5"/>
    <w:rsid w:val="00954DB9"/>
    <w:rsid w:val="0095542B"/>
    <w:rsid w:val="00964E65"/>
    <w:rsid w:val="00970D7C"/>
    <w:rsid w:val="00982BB0"/>
    <w:rsid w:val="00984844"/>
    <w:rsid w:val="00984C8A"/>
    <w:rsid w:val="00985FB2"/>
    <w:rsid w:val="009968F8"/>
    <w:rsid w:val="009B1786"/>
    <w:rsid w:val="009B22A1"/>
    <w:rsid w:val="009D3DFD"/>
    <w:rsid w:val="009E61F0"/>
    <w:rsid w:val="009F0BC0"/>
    <w:rsid w:val="009F5A71"/>
    <w:rsid w:val="00A17D11"/>
    <w:rsid w:val="00A30D13"/>
    <w:rsid w:val="00A326AF"/>
    <w:rsid w:val="00A330C5"/>
    <w:rsid w:val="00A33FAD"/>
    <w:rsid w:val="00A34BE0"/>
    <w:rsid w:val="00A34FE9"/>
    <w:rsid w:val="00A35627"/>
    <w:rsid w:val="00A3758C"/>
    <w:rsid w:val="00A475F9"/>
    <w:rsid w:val="00A47C7D"/>
    <w:rsid w:val="00A509BB"/>
    <w:rsid w:val="00A51705"/>
    <w:rsid w:val="00A566D6"/>
    <w:rsid w:val="00A6293A"/>
    <w:rsid w:val="00A67B49"/>
    <w:rsid w:val="00A7201C"/>
    <w:rsid w:val="00A742ED"/>
    <w:rsid w:val="00A802CE"/>
    <w:rsid w:val="00A816D9"/>
    <w:rsid w:val="00A820D6"/>
    <w:rsid w:val="00A84899"/>
    <w:rsid w:val="00A94DA7"/>
    <w:rsid w:val="00A94F8C"/>
    <w:rsid w:val="00AA065C"/>
    <w:rsid w:val="00AA0B33"/>
    <w:rsid w:val="00AA1C91"/>
    <w:rsid w:val="00AB62DD"/>
    <w:rsid w:val="00AB6F7D"/>
    <w:rsid w:val="00AC0874"/>
    <w:rsid w:val="00AD373E"/>
    <w:rsid w:val="00AD65B3"/>
    <w:rsid w:val="00AE2304"/>
    <w:rsid w:val="00AF426D"/>
    <w:rsid w:val="00AF4DB2"/>
    <w:rsid w:val="00AF6FB1"/>
    <w:rsid w:val="00B05A54"/>
    <w:rsid w:val="00B06524"/>
    <w:rsid w:val="00B31FED"/>
    <w:rsid w:val="00B4315F"/>
    <w:rsid w:val="00B52EAD"/>
    <w:rsid w:val="00B56BB3"/>
    <w:rsid w:val="00B6245E"/>
    <w:rsid w:val="00B6349F"/>
    <w:rsid w:val="00B7110F"/>
    <w:rsid w:val="00B72F4A"/>
    <w:rsid w:val="00B752DA"/>
    <w:rsid w:val="00B75734"/>
    <w:rsid w:val="00B8104C"/>
    <w:rsid w:val="00B83140"/>
    <w:rsid w:val="00B85EF1"/>
    <w:rsid w:val="00B937F0"/>
    <w:rsid w:val="00B9550D"/>
    <w:rsid w:val="00BC0F11"/>
    <w:rsid w:val="00BD04B5"/>
    <w:rsid w:val="00BD4C6D"/>
    <w:rsid w:val="00BD64DF"/>
    <w:rsid w:val="00BF0E64"/>
    <w:rsid w:val="00C0487A"/>
    <w:rsid w:val="00C10AC3"/>
    <w:rsid w:val="00C1707E"/>
    <w:rsid w:val="00C2094E"/>
    <w:rsid w:val="00C233A9"/>
    <w:rsid w:val="00C23C44"/>
    <w:rsid w:val="00C2796C"/>
    <w:rsid w:val="00C33154"/>
    <w:rsid w:val="00C41ABE"/>
    <w:rsid w:val="00C41BE2"/>
    <w:rsid w:val="00C44D85"/>
    <w:rsid w:val="00C521F6"/>
    <w:rsid w:val="00C64F4A"/>
    <w:rsid w:val="00C701AE"/>
    <w:rsid w:val="00C77CCD"/>
    <w:rsid w:val="00C84847"/>
    <w:rsid w:val="00CA46EA"/>
    <w:rsid w:val="00CB0C34"/>
    <w:rsid w:val="00CB0E20"/>
    <w:rsid w:val="00CB3664"/>
    <w:rsid w:val="00CB54D2"/>
    <w:rsid w:val="00CC0B80"/>
    <w:rsid w:val="00CC1BB0"/>
    <w:rsid w:val="00CC5F06"/>
    <w:rsid w:val="00CD1741"/>
    <w:rsid w:val="00CD59DC"/>
    <w:rsid w:val="00CD60C3"/>
    <w:rsid w:val="00CD669F"/>
    <w:rsid w:val="00CE5D80"/>
    <w:rsid w:val="00CF3702"/>
    <w:rsid w:val="00D02DBC"/>
    <w:rsid w:val="00D06B35"/>
    <w:rsid w:val="00D22CA9"/>
    <w:rsid w:val="00D347AD"/>
    <w:rsid w:val="00D57A38"/>
    <w:rsid w:val="00D61D9C"/>
    <w:rsid w:val="00D711EB"/>
    <w:rsid w:val="00D739CD"/>
    <w:rsid w:val="00D81539"/>
    <w:rsid w:val="00D833A4"/>
    <w:rsid w:val="00D94A06"/>
    <w:rsid w:val="00DA074D"/>
    <w:rsid w:val="00DA6F0D"/>
    <w:rsid w:val="00DB613E"/>
    <w:rsid w:val="00DC0C52"/>
    <w:rsid w:val="00DC148E"/>
    <w:rsid w:val="00DC470D"/>
    <w:rsid w:val="00DD0CE4"/>
    <w:rsid w:val="00DE6109"/>
    <w:rsid w:val="00DF6822"/>
    <w:rsid w:val="00E031E3"/>
    <w:rsid w:val="00E07953"/>
    <w:rsid w:val="00E118FF"/>
    <w:rsid w:val="00E17BDE"/>
    <w:rsid w:val="00E401D8"/>
    <w:rsid w:val="00E50C2E"/>
    <w:rsid w:val="00E50FF6"/>
    <w:rsid w:val="00E52AD4"/>
    <w:rsid w:val="00E558ED"/>
    <w:rsid w:val="00E6249E"/>
    <w:rsid w:val="00E6427D"/>
    <w:rsid w:val="00E87A2F"/>
    <w:rsid w:val="00EA1F09"/>
    <w:rsid w:val="00EA5CE1"/>
    <w:rsid w:val="00EA70F3"/>
    <w:rsid w:val="00EB70AE"/>
    <w:rsid w:val="00ED1F49"/>
    <w:rsid w:val="00EE2A2B"/>
    <w:rsid w:val="00EE4D7D"/>
    <w:rsid w:val="00EF51E9"/>
    <w:rsid w:val="00F00480"/>
    <w:rsid w:val="00F008AA"/>
    <w:rsid w:val="00F31682"/>
    <w:rsid w:val="00F35E76"/>
    <w:rsid w:val="00F401F0"/>
    <w:rsid w:val="00F555F6"/>
    <w:rsid w:val="00F64DCF"/>
    <w:rsid w:val="00F70396"/>
    <w:rsid w:val="00F73DAD"/>
    <w:rsid w:val="00F866E5"/>
    <w:rsid w:val="00F90A00"/>
    <w:rsid w:val="00F96714"/>
    <w:rsid w:val="00FA5F6A"/>
    <w:rsid w:val="00FC7FCC"/>
    <w:rsid w:val="00FD08A1"/>
    <w:rsid w:val="00FD2A2B"/>
    <w:rsid w:val="00FE1ABF"/>
    <w:rsid w:val="00FE2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F439A"/>
    <w:pPr>
      <w:tabs>
        <w:tab w:val="center" w:pos="4252"/>
        <w:tab w:val="right" w:pos="8504"/>
      </w:tabs>
    </w:pPr>
  </w:style>
  <w:style w:type="paragraph" w:styleId="Piedepgina">
    <w:name w:val="footer"/>
    <w:basedOn w:val="Normal"/>
    <w:rsid w:val="003F439A"/>
    <w:pPr>
      <w:tabs>
        <w:tab w:val="center" w:pos="4252"/>
        <w:tab w:val="right" w:pos="8504"/>
      </w:tabs>
    </w:pPr>
  </w:style>
  <w:style w:type="character" w:styleId="Nmerodepgina">
    <w:name w:val="page number"/>
    <w:basedOn w:val="Fuentedeprrafopredeter"/>
    <w:rsid w:val="003F439A"/>
  </w:style>
  <w:style w:type="paragraph" w:styleId="Prrafodelista">
    <w:name w:val="List Paragraph"/>
    <w:basedOn w:val="Normal"/>
    <w:uiPriority w:val="34"/>
    <w:qFormat/>
    <w:rsid w:val="007D0D81"/>
    <w:pPr>
      <w:spacing w:after="160" w:line="259" w:lineRule="auto"/>
      <w:ind w:left="720"/>
      <w:contextualSpacing/>
    </w:pPr>
    <w:rPr>
      <w:rFonts w:ascii="Calibri" w:hAnsi="Calibri"/>
      <w:sz w:val="22"/>
      <w:szCs w:val="22"/>
    </w:rPr>
  </w:style>
  <w:style w:type="paragraph" w:styleId="Textodeglobo">
    <w:name w:val="Balloon Text"/>
    <w:basedOn w:val="Normal"/>
    <w:link w:val="TextodegloboCar"/>
    <w:rsid w:val="00CB0E20"/>
    <w:rPr>
      <w:rFonts w:ascii="Tahoma" w:hAnsi="Tahoma" w:cs="Tahoma"/>
      <w:sz w:val="16"/>
      <w:szCs w:val="16"/>
    </w:rPr>
  </w:style>
  <w:style w:type="character" w:customStyle="1" w:styleId="TextodegloboCar">
    <w:name w:val="Texto de globo Car"/>
    <w:link w:val="Textodeglobo"/>
    <w:rsid w:val="00CB0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F439A"/>
    <w:pPr>
      <w:tabs>
        <w:tab w:val="center" w:pos="4252"/>
        <w:tab w:val="right" w:pos="8504"/>
      </w:tabs>
    </w:pPr>
  </w:style>
  <w:style w:type="paragraph" w:styleId="Piedepgina">
    <w:name w:val="footer"/>
    <w:basedOn w:val="Normal"/>
    <w:rsid w:val="003F439A"/>
    <w:pPr>
      <w:tabs>
        <w:tab w:val="center" w:pos="4252"/>
        <w:tab w:val="right" w:pos="8504"/>
      </w:tabs>
    </w:pPr>
  </w:style>
  <w:style w:type="character" w:styleId="Nmerodepgina">
    <w:name w:val="page number"/>
    <w:basedOn w:val="Fuentedeprrafopredeter"/>
    <w:rsid w:val="003F439A"/>
  </w:style>
  <w:style w:type="paragraph" w:styleId="Prrafodelista">
    <w:name w:val="List Paragraph"/>
    <w:basedOn w:val="Normal"/>
    <w:uiPriority w:val="34"/>
    <w:qFormat/>
    <w:rsid w:val="007D0D81"/>
    <w:pPr>
      <w:spacing w:after="160" w:line="259" w:lineRule="auto"/>
      <w:ind w:left="720"/>
      <w:contextualSpacing/>
    </w:pPr>
    <w:rPr>
      <w:rFonts w:ascii="Calibri" w:hAnsi="Calibri"/>
      <w:sz w:val="22"/>
      <w:szCs w:val="22"/>
    </w:rPr>
  </w:style>
  <w:style w:type="paragraph" w:styleId="Textodeglobo">
    <w:name w:val="Balloon Text"/>
    <w:basedOn w:val="Normal"/>
    <w:link w:val="TextodegloboCar"/>
    <w:rsid w:val="00CB0E20"/>
    <w:rPr>
      <w:rFonts w:ascii="Tahoma" w:hAnsi="Tahoma" w:cs="Tahoma"/>
      <w:sz w:val="16"/>
      <w:szCs w:val="16"/>
    </w:rPr>
  </w:style>
  <w:style w:type="character" w:customStyle="1" w:styleId="TextodegloboCar">
    <w:name w:val="Texto de globo Car"/>
    <w:link w:val="Textodeglobo"/>
    <w:rsid w:val="00CB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EA27-A278-43E5-AB5E-FF535FFB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petición de información presentada por la Parlamentaria Foral Ilma</vt:lpstr>
    </vt:vector>
  </TitlesOfParts>
  <Company>Gobierno de Navarra</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petición de información presentada por la Parlamentaria Foral Ilma</dc:title>
  <dc:creator>D429748</dc:creator>
  <cp:lastModifiedBy>De Santiago, Iñaki</cp:lastModifiedBy>
  <cp:revision>3</cp:revision>
  <cp:lastPrinted>2018-05-09T08:42:00Z</cp:lastPrinted>
  <dcterms:created xsi:type="dcterms:W3CDTF">2018-05-25T08:06:00Z</dcterms:created>
  <dcterms:modified xsi:type="dcterms:W3CDTF">2018-05-25T08:13:00Z</dcterms:modified>
</cp:coreProperties>
</file>