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azaroaren 13an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Carlos Gimeno Gurpegui jaunak aurkezturiko galdera, museoetarako inbertsioen partidari buruzkoa, Kultura, Kirol eta Gazteria Batzordean izapidetu dadin, Kultura, Kirol eta Gazteriako kontseilari andreak erantzun dezan. Galdera 2017ko irailaren 29ko 119. Nafarroako Parlamentuko Aldizkari Ofizialean argitaratu zen.</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2017ko azaroaren 13an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