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6D053C" w:rsidRDefault="00FA495F" w:rsidP="002F488B">
      <w:pPr>
        <w:pStyle w:val="EstiloPortada"/>
        <w:ind w:left="3402" w:right="-58"/>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5E20" w:rsidRPr="002C7026" w:rsidRDefault="00D85E20" w:rsidP="002C7026">
                            <w:pPr>
                              <w:spacing w:after="0"/>
                              <w:ind w:firstLine="0"/>
                              <w:jc w:val="center"/>
                              <w:rPr>
                                <w:rFonts w:ascii="Trajan" w:hAnsi="Trajan"/>
                                <w:sz w:val="18"/>
                                <w:szCs w:val="18"/>
                              </w:rPr>
                            </w:pPr>
                            <w:r>
                              <w:rPr>
                                <w:rFonts w:ascii="Trajan" w:hAnsi="Trajan"/>
                                <w:sz w:val="18"/>
                              </w:rPr>
                              <w:t>Camara de</w:t>
                            </w:r>
                          </w:p>
                          <w:p w:rsidR="00D85E20" w:rsidRPr="002C7026" w:rsidRDefault="00D85E20" w:rsidP="002C7026">
                            <w:pPr>
                              <w:spacing w:after="0"/>
                              <w:ind w:firstLine="0"/>
                              <w:jc w:val="center"/>
                              <w:rPr>
                                <w:rFonts w:ascii="Trajan" w:hAnsi="Trajan"/>
                                <w:sz w:val="18"/>
                                <w:szCs w:val="18"/>
                              </w:rPr>
                            </w:pPr>
                            <w:r>
                              <w:rPr>
                                <w:rFonts w:ascii="Trajan" w:hAnsi="Trajan"/>
                                <w:sz w:val="18"/>
                              </w:rPr>
                              <w:t>Comptos</w:t>
                            </w:r>
                          </w:p>
                          <w:p w:rsidR="00D85E20" w:rsidRPr="002C7026" w:rsidRDefault="00D85E20" w:rsidP="002C7026">
                            <w:pPr>
                              <w:spacing w:after="0"/>
                              <w:ind w:firstLine="0"/>
                              <w:jc w:val="center"/>
                              <w:rPr>
                                <w:rFonts w:ascii="Trajan" w:hAnsi="Trajan"/>
                                <w:sz w:val="18"/>
                                <w:szCs w:val="18"/>
                              </w:rPr>
                            </w:pPr>
                            <w:r>
                              <w:rPr>
                                <w:rFonts w:ascii="Trajan" w:hAnsi="Trajan"/>
                                <w:sz w:val="18"/>
                              </w:rPr>
                              <w:t>De Navarra</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Nafarroako</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Kontuen</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85E20" w:rsidRPr="002C7026" w:rsidRDefault="00D85E20" w:rsidP="002C7026">
                      <w:pPr>
                        <w:spacing w:after="0"/>
                        <w:ind w:firstLine="0"/>
                        <w:jc w:val="center"/>
                        <w:rPr>
                          <w:rFonts w:ascii="Trajan" w:hAnsi="Trajan"/>
                          <w:sz w:val="18"/>
                          <w:szCs w:val="18"/>
                        </w:rPr>
                      </w:pPr>
                      <w:r>
                        <w:rPr>
                          <w:rFonts w:ascii="Trajan" w:hAnsi="Trajan"/>
                          <w:sz w:val="18"/>
                        </w:rPr>
                        <w:t>Camara de</w:t>
                      </w:r>
                    </w:p>
                    <w:p w:rsidR="00D85E20" w:rsidRPr="002C7026" w:rsidRDefault="00D85E20" w:rsidP="002C7026">
                      <w:pPr>
                        <w:spacing w:after="0"/>
                        <w:ind w:firstLine="0"/>
                        <w:jc w:val="center"/>
                        <w:rPr>
                          <w:rFonts w:ascii="Trajan" w:hAnsi="Trajan"/>
                          <w:sz w:val="18"/>
                          <w:szCs w:val="18"/>
                        </w:rPr>
                      </w:pPr>
                      <w:r>
                        <w:rPr>
                          <w:rFonts w:ascii="Trajan" w:hAnsi="Trajan"/>
                          <w:sz w:val="18"/>
                        </w:rPr>
                        <w:t>Comptos</w:t>
                      </w:r>
                    </w:p>
                    <w:p w:rsidR="00D85E20" w:rsidRPr="002C7026" w:rsidRDefault="00D85E20" w:rsidP="002C7026">
                      <w:pPr>
                        <w:spacing w:after="0"/>
                        <w:ind w:firstLine="0"/>
                        <w:jc w:val="center"/>
                        <w:rPr>
                          <w:rFonts w:ascii="Trajan" w:hAnsi="Trajan"/>
                          <w:sz w:val="18"/>
                          <w:szCs w:val="18"/>
                        </w:rPr>
                      </w:pPr>
                      <w:r>
                        <w:rPr>
                          <w:rFonts w:ascii="Trajan" w:hAnsi="Trajan"/>
                          <w:sz w:val="18"/>
                        </w:rPr>
                        <w:t>De Navarra</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Nafarroako</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Kontuen</w:t>
                      </w:r>
                    </w:p>
                    <w:p w:rsidR="00D85E20" w:rsidRPr="002C7026" w:rsidRDefault="00D85E20"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2F488B" w:rsidRDefault="002F488B" w:rsidP="002F488B">
      <w:pPr>
        <w:pStyle w:val="EstiloPortada"/>
        <w:ind w:left="3402" w:right="0"/>
        <w:rPr>
          <w:sz w:val="52"/>
          <w:szCs w:val="52"/>
        </w:rPr>
      </w:pPr>
      <w:r>
        <w:rPr>
          <w:sz w:val="52"/>
        </w:rPr>
        <w:t>Naf</w:t>
      </w:r>
      <w:r w:rsidR="00B86B42">
        <w:rPr>
          <w:sz w:val="52"/>
        </w:rPr>
        <w:t>arroaren Bruselako Ordezkaritza</w:t>
      </w:r>
      <w:r w:rsidR="00B86B42">
        <w:rPr>
          <w:sz w:val="52"/>
        </w:rPr>
        <w:br/>
      </w:r>
      <w:r>
        <w:rPr>
          <w:sz w:val="52"/>
        </w:rPr>
        <w:t>(2003-2014)</w:t>
      </w:r>
    </w:p>
    <w:p w:rsidR="001C3A32" w:rsidRPr="00204979" w:rsidRDefault="001C3A32" w:rsidP="00891D73">
      <w:pPr>
        <w:pStyle w:val="texto"/>
      </w:pPr>
    </w:p>
    <w:p w:rsidR="001C3A32" w:rsidRPr="00204979" w:rsidRDefault="001C3A32" w:rsidP="00891D73">
      <w:pPr>
        <w:pStyle w:val="texto"/>
      </w:pPr>
    </w:p>
    <w:p w:rsidR="001C3A32" w:rsidRPr="002D7A42"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0F5BB4" w:rsidRDefault="000F5BB4" w:rsidP="002D7A42">
      <w:pPr>
        <w:pStyle w:val="texto"/>
      </w:pPr>
    </w:p>
    <w:p w:rsidR="000F5BB4" w:rsidRDefault="000F5BB4" w:rsidP="002D7A42">
      <w:pPr>
        <w:pStyle w:val="texto"/>
      </w:pPr>
    </w:p>
    <w:p w:rsidR="002D7A42" w:rsidRDefault="002D7A42" w:rsidP="002D7A42">
      <w:pPr>
        <w:pStyle w:val="texto"/>
      </w:pPr>
    </w:p>
    <w:p w:rsidR="00716463" w:rsidRPr="001D4F09" w:rsidRDefault="006D053C" w:rsidP="009936FC">
      <w:pPr>
        <w:pStyle w:val="Fechaportada"/>
      </w:pPr>
      <w:r>
        <w:lastRenderedPageBreak/>
        <w:t>2016ko urtarrila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2F488B" w:rsidRDefault="002F488B" w:rsidP="002F488B">
      <w:pPr>
        <w:pStyle w:val="ndice"/>
      </w:pPr>
      <w:r>
        <w:lastRenderedPageBreak/>
        <w:t>Aurkibidea</w:t>
      </w:r>
    </w:p>
    <w:p w:rsidR="002F488B" w:rsidRPr="004740FB" w:rsidRDefault="002F488B" w:rsidP="002F488B">
      <w:pPr>
        <w:pStyle w:val="ndice"/>
        <w:ind w:right="-156"/>
        <w:jc w:val="right"/>
        <w:rPr>
          <w:b w:val="0"/>
          <w:i/>
          <w:sz w:val="16"/>
          <w:szCs w:val="16"/>
        </w:rPr>
      </w:pPr>
      <w:r>
        <w:rPr>
          <w:b w:val="0"/>
          <w:i/>
          <w:sz w:val="16"/>
        </w:rPr>
        <w:t xml:space="preserve"> Orrialdea</w:t>
      </w:r>
    </w:p>
    <w:p w:rsidR="00B86B42" w:rsidRDefault="0014728F">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46402964" w:history="1">
        <w:r w:rsidR="00B86B42" w:rsidRPr="00784A34">
          <w:rPr>
            <w:rStyle w:val="Hipervnculo"/>
            <w:noProof/>
          </w:rPr>
          <w:t>I. Sarrera</w:t>
        </w:r>
        <w:r w:rsidR="00B86B42">
          <w:rPr>
            <w:noProof/>
            <w:webHidden/>
          </w:rPr>
          <w:tab/>
        </w:r>
        <w:r w:rsidR="00B86B42">
          <w:rPr>
            <w:noProof/>
            <w:webHidden/>
          </w:rPr>
          <w:fldChar w:fldCharType="begin"/>
        </w:r>
        <w:r w:rsidR="00B86B42">
          <w:rPr>
            <w:noProof/>
            <w:webHidden/>
          </w:rPr>
          <w:instrText xml:space="preserve"> PAGEREF _Toc446402964 \h </w:instrText>
        </w:r>
        <w:r w:rsidR="00B86B42">
          <w:rPr>
            <w:noProof/>
            <w:webHidden/>
          </w:rPr>
        </w:r>
        <w:r w:rsidR="00B86B42">
          <w:rPr>
            <w:noProof/>
            <w:webHidden/>
          </w:rPr>
          <w:fldChar w:fldCharType="separate"/>
        </w:r>
        <w:r w:rsidR="00B86B42">
          <w:rPr>
            <w:noProof/>
            <w:webHidden/>
          </w:rPr>
          <w:t>3</w:t>
        </w:r>
        <w:r w:rsidR="00B86B42">
          <w:rPr>
            <w:noProof/>
            <w:webHidden/>
          </w:rPr>
          <w:fldChar w:fldCharType="end"/>
        </w:r>
      </w:hyperlink>
    </w:p>
    <w:p w:rsidR="00B86B42" w:rsidRDefault="00B86B42">
      <w:pPr>
        <w:pStyle w:val="TDC1"/>
        <w:rPr>
          <w:rFonts w:asciiTheme="minorHAnsi" w:eastAsiaTheme="minorEastAsia" w:hAnsiTheme="minorHAnsi" w:cstheme="minorBidi"/>
          <w:smallCaps w:val="0"/>
          <w:noProof/>
          <w:szCs w:val="22"/>
          <w:lang w:val="es-ES" w:eastAsia="es-ES" w:bidi="ar-SA"/>
        </w:rPr>
      </w:pPr>
      <w:hyperlink w:anchor="_Toc446402965" w:history="1">
        <w:r w:rsidRPr="00784A34">
          <w:rPr>
            <w:rStyle w:val="Hipervnculo"/>
            <w:noProof/>
          </w:rPr>
          <w:t>II. Nafarroaren Bruselako Ordezkaritza</w:t>
        </w:r>
        <w:r>
          <w:rPr>
            <w:noProof/>
            <w:webHidden/>
          </w:rPr>
          <w:tab/>
        </w:r>
        <w:r>
          <w:rPr>
            <w:noProof/>
            <w:webHidden/>
          </w:rPr>
          <w:fldChar w:fldCharType="begin"/>
        </w:r>
        <w:r>
          <w:rPr>
            <w:noProof/>
            <w:webHidden/>
          </w:rPr>
          <w:instrText xml:space="preserve"> PAGEREF _Toc446402965 \h </w:instrText>
        </w:r>
        <w:r>
          <w:rPr>
            <w:noProof/>
            <w:webHidden/>
          </w:rPr>
        </w:r>
        <w:r>
          <w:rPr>
            <w:noProof/>
            <w:webHidden/>
          </w:rPr>
          <w:fldChar w:fldCharType="separate"/>
        </w:r>
        <w:r>
          <w:rPr>
            <w:noProof/>
            <w:webHidden/>
          </w:rPr>
          <w:t>4</w:t>
        </w:r>
        <w:r>
          <w:rPr>
            <w:noProof/>
            <w:webHidden/>
          </w:rPr>
          <w:fldChar w:fldCharType="end"/>
        </w:r>
      </w:hyperlink>
    </w:p>
    <w:p w:rsidR="00B86B42" w:rsidRDefault="00B86B42">
      <w:pPr>
        <w:pStyle w:val="TDC2"/>
        <w:rPr>
          <w:rFonts w:asciiTheme="minorHAnsi" w:eastAsiaTheme="minorEastAsia" w:hAnsiTheme="minorHAnsi" w:cstheme="minorBidi"/>
          <w:noProof/>
          <w:szCs w:val="22"/>
          <w:lang w:val="es-ES" w:eastAsia="es-ES" w:bidi="ar-SA"/>
        </w:rPr>
      </w:pPr>
      <w:hyperlink w:anchor="_Toc446402966" w:history="1">
        <w:r w:rsidRPr="00784A34">
          <w:rPr>
            <w:rStyle w:val="Hipervnculo"/>
            <w:noProof/>
          </w:rPr>
          <w:t>II.1. Aurrekariak, sorrera eta eginkizunak</w:t>
        </w:r>
        <w:r>
          <w:rPr>
            <w:noProof/>
            <w:webHidden/>
          </w:rPr>
          <w:tab/>
        </w:r>
        <w:r>
          <w:rPr>
            <w:noProof/>
            <w:webHidden/>
          </w:rPr>
          <w:fldChar w:fldCharType="begin"/>
        </w:r>
        <w:r>
          <w:rPr>
            <w:noProof/>
            <w:webHidden/>
          </w:rPr>
          <w:instrText xml:space="preserve"> PAGEREF _Toc446402966 \h </w:instrText>
        </w:r>
        <w:r>
          <w:rPr>
            <w:noProof/>
            <w:webHidden/>
          </w:rPr>
        </w:r>
        <w:r>
          <w:rPr>
            <w:noProof/>
            <w:webHidden/>
          </w:rPr>
          <w:fldChar w:fldCharType="separate"/>
        </w:r>
        <w:r>
          <w:rPr>
            <w:noProof/>
            <w:webHidden/>
          </w:rPr>
          <w:t>4</w:t>
        </w:r>
        <w:r>
          <w:rPr>
            <w:noProof/>
            <w:webHidden/>
          </w:rPr>
          <w:fldChar w:fldCharType="end"/>
        </w:r>
      </w:hyperlink>
    </w:p>
    <w:p w:rsidR="00B86B42" w:rsidRDefault="00B86B42">
      <w:pPr>
        <w:pStyle w:val="TDC2"/>
        <w:rPr>
          <w:rFonts w:asciiTheme="minorHAnsi" w:eastAsiaTheme="minorEastAsia" w:hAnsiTheme="minorHAnsi" w:cstheme="minorBidi"/>
          <w:noProof/>
          <w:szCs w:val="22"/>
          <w:lang w:val="es-ES" w:eastAsia="es-ES" w:bidi="ar-SA"/>
        </w:rPr>
      </w:pPr>
      <w:hyperlink w:anchor="_Toc446402967" w:history="1">
        <w:r w:rsidRPr="00784A34">
          <w:rPr>
            <w:rStyle w:val="Hipervnculo"/>
            <w:noProof/>
          </w:rPr>
          <w:t>II.2. Ordezkaritzaren gastuak</w:t>
        </w:r>
        <w:r>
          <w:rPr>
            <w:noProof/>
            <w:webHidden/>
          </w:rPr>
          <w:tab/>
        </w:r>
        <w:r>
          <w:rPr>
            <w:noProof/>
            <w:webHidden/>
          </w:rPr>
          <w:fldChar w:fldCharType="begin"/>
        </w:r>
        <w:r>
          <w:rPr>
            <w:noProof/>
            <w:webHidden/>
          </w:rPr>
          <w:instrText xml:space="preserve"> PAGEREF _Toc446402967 \h </w:instrText>
        </w:r>
        <w:r>
          <w:rPr>
            <w:noProof/>
            <w:webHidden/>
          </w:rPr>
        </w:r>
        <w:r>
          <w:rPr>
            <w:noProof/>
            <w:webHidden/>
          </w:rPr>
          <w:fldChar w:fldCharType="separate"/>
        </w:r>
        <w:r>
          <w:rPr>
            <w:noProof/>
            <w:webHidden/>
          </w:rPr>
          <w:t>6</w:t>
        </w:r>
        <w:r>
          <w:rPr>
            <w:noProof/>
            <w:webHidden/>
          </w:rPr>
          <w:fldChar w:fldCharType="end"/>
        </w:r>
      </w:hyperlink>
    </w:p>
    <w:p w:rsidR="00B86B42" w:rsidRDefault="00B86B42">
      <w:pPr>
        <w:pStyle w:val="TDC1"/>
        <w:rPr>
          <w:rFonts w:asciiTheme="minorHAnsi" w:eastAsiaTheme="minorEastAsia" w:hAnsiTheme="minorHAnsi" w:cstheme="minorBidi"/>
          <w:smallCaps w:val="0"/>
          <w:noProof/>
          <w:szCs w:val="22"/>
          <w:lang w:val="es-ES" w:eastAsia="es-ES" w:bidi="ar-SA"/>
        </w:rPr>
      </w:pPr>
      <w:hyperlink w:anchor="_Toc446402968" w:history="1">
        <w:r w:rsidRPr="00784A34">
          <w:rPr>
            <w:rStyle w:val="Hipervnculo"/>
            <w:noProof/>
          </w:rPr>
          <w:t>III. Helburua</w:t>
        </w:r>
        <w:r>
          <w:rPr>
            <w:noProof/>
            <w:webHidden/>
          </w:rPr>
          <w:tab/>
        </w:r>
        <w:r>
          <w:rPr>
            <w:noProof/>
            <w:webHidden/>
          </w:rPr>
          <w:fldChar w:fldCharType="begin"/>
        </w:r>
        <w:r>
          <w:rPr>
            <w:noProof/>
            <w:webHidden/>
          </w:rPr>
          <w:instrText xml:space="preserve"> PAGEREF _Toc446402968 \h </w:instrText>
        </w:r>
        <w:r>
          <w:rPr>
            <w:noProof/>
            <w:webHidden/>
          </w:rPr>
        </w:r>
        <w:r>
          <w:rPr>
            <w:noProof/>
            <w:webHidden/>
          </w:rPr>
          <w:fldChar w:fldCharType="separate"/>
        </w:r>
        <w:r>
          <w:rPr>
            <w:noProof/>
            <w:webHidden/>
          </w:rPr>
          <w:t>8</w:t>
        </w:r>
        <w:r>
          <w:rPr>
            <w:noProof/>
            <w:webHidden/>
          </w:rPr>
          <w:fldChar w:fldCharType="end"/>
        </w:r>
      </w:hyperlink>
    </w:p>
    <w:p w:rsidR="00B86B42" w:rsidRDefault="00B86B42">
      <w:pPr>
        <w:pStyle w:val="TDC1"/>
        <w:rPr>
          <w:rFonts w:asciiTheme="minorHAnsi" w:eastAsiaTheme="minorEastAsia" w:hAnsiTheme="minorHAnsi" w:cstheme="minorBidi"/>
          <w:smallCaps w:val="0"/>
          <w:noProof/>
          <w:szCs w:val="22"/>
          <w:lang w:val="es-ES" w:eastAsia="es-ES" w:bidi="ar-SA"/>
        </w:rPr>
      </w:pPr>
      <w:hyperlink w:anchor="_Toc446402969" w:history="1">
        <w:r w:rsidRPr="00784A34">
          <w:rPr>
            <w:rStyle w:val="Hipervnculo"/>
            <w:noProof/>
          </w:rPr>
          <w:t>IV. Norainokoa eta mugak</w:t>
        </w:r>
        <w:r>
          <w:rPr>
            <w:noProof/>
            <w:webHidden/>
          </w:rPr>
          <w:tab/>
        </w:r>
        <w:r>
          <w:rPr>
            <w:noProof/>
            <w:webHidden/>
          </w:rPr>
          <w:fldChar w:fldCharType="begin"/>
        </w:r>
        <w:r>
          <w:rPr>
            <w:noProof/>
            <w:webHidden/>
          </w:rPr>
          <w:instrText xml:space="preserve"> PAGEREF _Toc446402969 \h </w:instrText>
        </w:r>
        <w:r>
          <w:rPr>
            <w:noProof/>
            <w:webHidden/>
          </w:rPr>
        </w:r>
        <w:r>
          <w:rPr>
            <w:noProof/>
            <w:webHidden/>
          </w:rPr>
          <w:fldChar w:fldCharType="separate"/>
        </w:r>
        <w:r>
          <w:rPr>
            <w:noProof/>
            <w:webHidden/>
          </w:rPr>
          <w:t>9</w:t>
        </w:r>
        <w:r>
          <w:rPr>
            <w:noProof/>
            <w:webHidden/>
          </w:rPr>
          <w:fldChar w:fldCharType="end"/>
        </w:r>
      </w:hyperlink>
    </w:p>
    <w:p w:rsidR="00B86B42" w:rsidRDefault="00B86B42">
      <w:pPr>
        <w:pStyle w:val="TDC1"/>
        <w:rPr>
          <w:rFonts w:asciiTheme="minorHAnsi" w:eastAsiaTheme="minorEastAsia" w:hAnsiTheme="minorHAnsi" w:cstheme="minorBidi"/>
          <w:smallCaps w:val="0"/>
          <w:noProof/>
          <w:szCs w:val="22"/>
          <w:lang w:val="es-ES" w:eastAsia="es-ES" w:bidi="ar-SA"/>
        </w:rPr>
      </w:pPr>
      <w:hyperlink w:anchor="_Toc446402970" w:history="1">
        <w:r w:rsidRPr="00784A34">
          <w:rPr>
            <w:rStyle w:val="Hipervnculo"/>
            <w:noProof/>
          </w:rPr>
          <w:t>V. Ondorioak eta gomendioak</w:t>
        </w:r>
        <w:r>
          <w:rPr>
            <w:noProof/>
            <w:webHidden/>
          </w:rPr>
          <w:tab/>
        </w:r>
        <w:r>
          <w:rPr>
            <w:noProof/>
            <w:webHidden/>
          </w:rPr>
          <w:fldChar w:fldCharType="begin"/>
        </w:r>
        <w:r>
          <w:rPr>
            <w:noProof/>
            <w:webHidden/>
          </w:rPr>
          <w:instrText xml:space="preserve"> PAGEREF _Toc446402970 \h </w:instrText>
        </w:r>
        <w:r>
          <w:rPr>
            <w:noProof/>
            <w:webHidden/>
          </w:rPr>
        </w:r>
        <w:r>
          <w:rPr>
            <w:noProof/>
            <w:webHidden/>
          </w:rPr>
          <w:fldChar w:fldCharType="separate"/>
        </w:r>
        <w:r>
          <w:rPr>
            <w:noProof/>
            <w:webHidden/>
          </w:rPr>
          <w:t>11</w:t>
        </w:r>
        <w:r>
          <w:rPr>
            <w:noProof/>
            <w:webHidden/>
          </w:rPr>
          <w:fldChar w:fldCharType="end"/>
        </w:r>
      </w:hyperlink>
    </w:p>
    <w:p w:rsidR="00B86B42" w:rsidRDefault="00B86B42">
      <w:pPr>
        <w:pStyle w:val="TDC2"/>
        <w:rPr>
          <w:rFonts w:asciiTheme="minorHAnsi" w:eastAsiaTheme="minorEastAsia" w:hAnsiTheme="minorHAnsi" w:cstheme="minorBidi"/>
          <w:noProof/>
          <w:szCs w:val="22"/>
          <w:lang w:val="es-ES" w:eastAsia="es-ES" w:bidi="ar-SA"/>
        </w:rPr>
      </w:pPr>
      <w:hyperlink w:anchor="_Toc446402971" w:history="1">
        <w:r w:rsidRPr="00784A34">
          <w:rPr>
            <w:rStyle w:val="Hipervnculo"/>
            <w:noProof/>
          </w:rPr>
          <w:t>V.1. Nafarroaren Bruselako ordezkaritzaren gastuaren bilakaera (2013-2014)</w:t>
        </w:r>
        <w:r>
          <w:rPr>
            <w:noProof/>
            <w:webHidden/>
          </w:rPr>
          <w:tab/>
        </w:r>
        <w:r>
          <w:rPr>
            <w:noProof/>
            <w:webHidden/>
          </w:rPr>
          <w:fldChar w:fldCharType="begin"/>
        </w:r>
        <w:r>
          <w:rPr>
            <w:noProof/>
            <w:webHidden/>
          </w:rPr>
          <w:instrText xml:space="preserve"> PAGEREF _Toc446402971 \h </w:instrText>
        </w:r>
        <w:r>
          <w:rPr>
            <w:noProof/>
            <w:webHidden/>
          </w:rPr>
        </w:r>
        <w:r>
          <w:rPr>
            <w:noProof/>
            <w:webHidden/>
          </w:rPr>
          <w:fldChar w:fldCharType="separate"/>
        </w:r>
        <w:r>
          <w:rPr>
            <w:noProof/>
            <w:webHidden/>
          </w:rPr>
          <w:t>11</w:t>
        </w:r>
        <w:r>
          <w:rPr>
            <w:noProof/>
            <w:webHidden/>
          </w:rPr>
          <w:fldChar w:fldCharType="end"/>
        </w:r>
      </w:hyperlink>
    </w:p>
    <w:p w:rsidR="00B86B42" w:rsidRDefault="00B86B42">
      <w:pPr>
        <w:pStyle w:val="TDC2"/>
        <w:rPr>
          <w:rFonts w:asciiTheme="minorHAnsi" w:eastAsiaTheme="minorEastAsia" w:hAnsiTheme="minorHAnsi" w:cstheme="minorBidi"/>
          <w:noProof/>
          <w:szCs w:val="22"/>
          <w:lang w:val="es-ES" w:eastAsia="es-ES" w:bidi="ar-SA"/>
        </w:rPr>
      </w:pPr>
      <w:hyperlink w:anchor="_Toc446402972" w:history="1">
        <w:r w:rsidRPr="00784A34">
          <w:rPr>
            <w:rStyle w:val="Hipervnculo"/>
            <w:noProof/>
          </w:rPr>
          <w:t>V.2. NBOaren gastuen azterketa</w:t>
        </w:r>
        <w:r>
          <w:rPr>
            <w:noProof/>
            <w:webHidden/>
          </w:rPr>
          <w:tab/>
        </w:r>
        <w:r>
          <w:rPr>
            <w:noProof/>
            <w:webHidden/>
          </w:rPr>
          <w:fldChar w:fldCharType="begin"/>
        </w:r>
        <w:r>
          <w:rPr>
            <w:noProof/>
            <w:webHidden/>
          </w:rPr>
          <w:instrText xml:space="preserve"> PAGEREF _Toc446402972 \h </w:instrText>
        </w:r>
        <w:r>
          <w:rPr>
            <w:noProof/>
            <w:webHidden/>
          </w:rPr>
        </w:r>
        <w:r>
          <w:rPr>
            <w:noProof/>
            <w:webHidden/>
          </w:rPr>
          <w:fldChar w:fldCharType="separate"/>
        </w:r>
        <w:r>
          <w:rPr>
            <w:noProof/>
            <w:webHidden/>
          </w:rPr>
          <w:t>12</w:t>
        </w:r>
        <w:r>
          <w:rPr>
            <w:noProof/>
            <w:webHidden/>
          </w:rPr>
          <w:fldChar w:fldCharType="end"/>
        </w:r>
      </w:hyperlink>
    </w:p>
    <w:p w:rsidR="00B86B42" w:rsidRDefault="00B86B42">
      <w:pPr>
        <w:pStyle w:val="TDC2"/>
        <w:rPr>
          <w:rFonts w:asciiTheme="minorHAnsi" w:eastAsiaTheme="minorEastAsia" w:hAnsiTheme="minorHAnsi" w:cstheme="minorBidi"/>
          <w:noProof/>
          <w:szCs w:val="22"/>
          <w:lang w:val="es-ES" w:eastAsia="es-ES" w:bidi="ar-SA"/>
        </w:rPr>
      </w:pPr>
      <w:hyperlink w:anchor="_Toc446402973" w:history="1">
        <w:r w:rsidRPr="00784A34">
          <w:rPr>
            <w:rStyle w:val="Hipervnculo"/>
            <w:noProof/>
          </w:rPr>
          <w:t>V.3. Nafarroaren Bruselako Ordezkaritzaren jarduerei buruzko azterketa.</w:t>
        </w:r>
        <w:r>
          <w:rPr>
            <w:noProof/>
            <w:webHidden/>
          </w:rPr>
          <w:tab/>
        </w:r>
        <w:r>
          <w:rPr>
            <w:noProof/>
            <w:webHidden/>
          </w:rPr>
          <w:fldChar w:fldCharType="begin"/>
        </w:r>
        <w:r>
          <w:rPr>
            <w:noProof/>
            <w:webHidden/>
          </w:rPr>
          <w:instrText xml:space="preserve"> PAGEREF _Toc446402973 \h </w:instrText>
        </w:r>
        <w:r>
          <w:rPr>
            <w:noProof/>
            <w:webHidden/>
          </w:rPr>
        </w:r>
        <w:r>
          <w:rPr>
            <w:noProof/>
            <w:webHidden/>
          </w:rPr>
          <w:fldChar w:fldCharType="separate"/>
        </w:r>
        <w:r>
          <w:rPr>
            <w:noProof/>
            <w:webHidden/>
          </w:rPr>
          <w:t>14</w:t>
        </w:r>
        <w:r>
          <w:rPr>
            <w:noProof/>
            <w:webHidden/>
          </w:rPr>
          <w:fldChar w:fldCharType="end"/>
        </w:r>
      </w:hyperlink>
    </w:p>
    <w:p w:rsidR="002D7A42" w:rsidRDefault="0014728F">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BC2996">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bookmarkStart w:id="0" w:name="_GoBack"/>
      <w:bookmarkEnd w:id="0"/>
    </w:p>
    <w:p w:rsidR="002F488B" w:rsidRPr="00341874" w:rsidRDefault="002F488B" w:rsidP="002F488B">
      <w:pPr>
        <w:pStyle w:val="atitulo1"/>
      </w:pPr>
      <w:bookmarkStart w:id="1" w:name="_Toc291067874"/>
      <w:bookmarkStart w:id="2" w:name="_Toc121293081"/>
      <w:bookmarkStart w:id="3" w:name="_Toc121292758"/>
      <w:bookmarkStart w:id="4" w:name="_Toc432757078"/>
      <w:bookmarkStart w:id="5" w:name="_Toc437411095"/>
      <w:bookmarkStart w:id="6" w:name="_Toc440523185"/>
      <w:bookmarkStart w:id="7" w:name="_Toc446402964"/>
      <w:r>
        <w:lastRenderedPageBreak/>
        <w:t>I. Sarrera</w:t>
      </w:r>
      <w:bookmarkEnd w:id="1"/>
      <w:bookmarkEnd w:id="2"/>
      <w:bookmarkEnd w:id="3"/>
      <w:bookmarkEnd w:id="4"/>
      <w:bookmarkEnd w:id="5"/>
      <w:bookmarkEnd w:id="6"/>
      <w:bookmarkEnd w:id="7"/>
    </w:p>
    <w:p w:rsidR="000D394A" w:rsidRDefault="002F488B" w:rsidP="002F488B">
      <w:pPr>
        <w:pStyle w:val="texto"/>
        <w:tabs>
          <w:tab w:val="clear" w:pos="2835"/>
          <w:tab w:val="clear" w:pos="3969"/>
          <w:tab w:val="clear" w:pos="5103"/>
          <w:tab w:val="clear" w:pos="6237"/>
          <w:tab w:val="clear" w:pos="7371"/>
        </w:tabs>
      </w:pPr>
      <w:r>
        <w:t>2015eko irailaren 21ean, Nafarroako Parlamentuko Eledunen Batzarrak on</w:t>
      </w:r>
      <w:r>
        <w:t>e</w:t>
      </w:r>
      <w:r>
        <w:t>tsi zuen Kontuen Ganberari eskatzea, Podemos-Ahal Dugu taldearen ekimenez, txosten bat egin zezala honako gai honi buruz:</w:t>
      </w:r>
    </w:p>
    <w:p w:rsidR="002F488B" w:rsidRPr="000D394A" w:rsidRDefault="002F488B" w:rsidP="002F488B">
      <w:pPr>
        <w:pStyle w:val="texto"/>
        <w:tabs>
          <w:tab w:val="clear" w:pos="2835"/>
          <w:tab w:val="clear" w:pos="3969"/>
          <w:tab w:val="clear" w:pos="5103"/>
          <w:tab w:val="clear" w:pos="6237"/>
          <w:tab w:val="clear" w:pos="7371"/>
        </w:tabs>
        <w:rPr>
          <w:szCs w:val="26"/>
        </w:rPr>
      </w:pPr>
      <w:r>
        <w:rPr>
          <w:i/>
        </w:rPr>
        <w:t>"...Nafarroaren Bruselako bulegoari buruz, sortu zenetik gaur arte egin d</w:t>
      </w:r>
      <w:r>
        <w:rPr>
          <w:i/>
        </w:rPr>
        <w:t>i</w:t>
      </w:r>
      <w:r>
        <w:rPr>
          <w:i/>
        </w:rPr>
        <w:t>tuen jarduketei buruz eta haiei lotutako kostuei buruz, bai eta jarduketa horien eraginkortasunari buruz ere..."</w:t>
      </w:r>
    </w:p>
    <w:p w:rsidR="002F488B" w:rsidRPr="00FE18A4" w:rsidRDefault="002F488B" w:rsidP="002F488B">
      <w:pPr>
        <w:pStyle w:val="texto"/>
      </w:pPr>
      <w:r>
        <w:t>Lan hori azaroan eta abenduan egin zuen auditoriako teknikari batek eta a</w:t>
      </w:r>
      <w:r>
        <w:t>u</w:t>
      </w:r>
      <w:r>
        <w:t>ditore batek osatutako lantalde batek, Kontuen Ganberaren zerbitzu juridiko</w:t>
      </w:r>
      <w:r>
        <w:t>e</w:t>
      </w:r>
      <w:r>
        <w:t>kin, informatikoekin eta administratiboekin lankidetzan.</w:t>
      </w:r>
    </w:p>
    <w:p w:rsidR="002F488B" w:rsidRPr="00FE18A4" w:rsidRDefault="002F488B" w:rsidP="002F488B">
      <w:pPr>
        <w:pStyle w:val="texto"/>
      </w:pPr>
      <w:r>
        <w:t>Txostenak bost atal dauzka, sarrera hau barne; bigarrenean, Nafarroaren Bruselako Ordezkaritzari (aurrerantzean, NBO) buruzko deskribapen orokor bat egiten da; hirugarren eta laugarrenean, txostenaren helburuak, norainokoa eta mugak azaltzen dira; azkenik, bosgarrenean, gure lanaren ondorioak eta g</w:t>
      </w:r>
      <w:r>
        <w:t>o</w:t>
      </w:r>
      <w:r>
        <w:t xml:space="preserve">mendioak deskribatzen dira. </w:t>
      </w:r>
    </w:p>
    <w:p w:rsidR="002F488B" w:rsidRPr="00FE18A4" w:rsidRDefault="002F488B" w:rsidP="002F488B">
      <w:pPr>
        <w:pStyle w:val="texto"/>
      </w:pPr>
      <w:r>
        <w:t>Lan hau egiteko eman diguten laguntzarengatik, eskerrak eman nahi dizkiegu NBOko langileei eta "Ogasuna eta Finantza Politika", "Lehendakaritza, Funtzio Publikoa, Barnea eta Justizia", "Garapen Ekonomikoa" eta "Herritarrekiko eta Erakunde Harremanak" departamentuetako langileei.</w:t>
      </w:r>
    </w:p>
    <w:p w:rsidR="002F488B" w:rsidRPr="00FE18A4" w:rsidRDefault="002F488B" w:rsidP="002F488B">
      <w:pPr>
        <w:pStyle w:val="texto"/>
      </w:pPr>
    </w:p>
    <w:p w:rsidR="002F488B" w:rsidRDefault="002F488B" w:rsidP="002F488B">
      <w:pPr>
        <w:pStyle w:val="texto"/>
      </w:pPr>
    </w:p>
    <w:p w:rsidR="002F488B" w:rsidRPr="004B2F01" w:rsidRDefault="002F488B" w:rsidP="002F488B">
      <w:pPr>
        <w:pStyle w:val="texto"/>
      </w:pPr>
    </w:p>
    <w:p w:rsidR="002F488B" w:rsidRDefault="002F488B" w:rsidP="002F488B">
      <w:pPr>
        <w:spacing w:after="0"/>
        <w:ind w:firstLine="0"/>
        <w:jc w:val="left"/>
        <w:rPr>
          <w:spacing w:val="6"/>
          <w:sz w:val="26"/>
          <w:szCs w:val="24"/>
        </w:rPr>
      </w:pPr>
      <w:r>
        <w:br w:type="page"/>
      </w:r>
    </w:p>
    <w:p w:rsidR="00E435FC" w:rsidRPr="00977F0F" w:rsidRDefault="00E435FC" w:rsidP="00E435FC">
      <w:pPr>
        <w:pStyle w:val="atitulo1"/>
        <w:rPr>
          <w:rFonts w:cs="Arial"/>
        </w:rPr>
      </w:pPr>
      <w:bookmarkStart w:id="8" w:name="_Toc121292759"/>
      <w:bookmarkStart w:id="9" w:name="_Toc121293082"/>
      <w:bookmarkStart w:id="10" w:name="_Toc291067875"/>
      <w:bookmarkStart w:id="11" w:name="_Toc432757079"/>
      <w:bookmarkStart w:id="12" w:name="_Toc437411096"/>
      <w:bookmarkStart w:id="13" w:name="_Toc440523186"/>
      <w:bookmarkStart w:id="14" w:name="_Toc446402965"/>
      <w:r>
        <w:lastRenderedPageBreak/>
        <w:t xml:space="preserve">II. </w:t>
      </w:r>
      <w:bookmarkEnd w:id="8"/>
      <w:bookmarkEnd w:id="9"/>
      <w:bookmarkEnd w:id="10"/>
      <w:bookmarkEnd w:id="11"/>
      <w:r>
        <w:t>Nafarroaren Bruselako Ordezkaritza</w:t>
      </w:r>
      <w:bookmarkEnd w:id="12"/>
      <w:bookmarkEnd w:id="13"/>
      <w:bookmarkEnd w:id="14"/>
    </w:p>
    <w:p w:rsidR="00E435FC" w:rsidRPr="00327922" w:rsidRDefault="00E435FC" w:rsidP="00E435FC">
      <w:pPr>
        <w:pStyle w:val="atitulo2"/>
      </w:pPr>
      <w:bookmarkStart w:id="15" w:name="_Toc437411097"/>
      <w:bookmarkStart w:id="16" w:name="_Toc440523187"/>
      <w:bookmarkStart w:id="17" w:name="_Toc446402966"/>
      <w:r>
        <w:t>II.1. Aurrekariak, sorrera eta eginkizunak</w:t>
      </w:r>
      <w:bookmarkEnd w:id="15"/>
      <w:bookmarkEnd w:id="16"/>
      <w:bookmarkEnd w:id="17"/>
    </w:p>
    <w:p w:rsidR="00E435FC" w:rsidRDefault="00E435FC" w:rsidP="00E435FC">
      <w:pPr>
        <w:pStyle w:val="texto"/>
        <w:tabs>
          <w:tab w:val="clear" w:pos="2835"/>
          <w:tab w:val="clear" w:pos="3969"/>
          <w:tab w:val="clear" w:pos="5103"/>
          <w:tab w:val="clear" w:pos="6237"/>
          <w:tab w:val="clear" w:pos="7371"/>
        </w:tabs>
      </w:pPr>
      <w:r>
        <w:t>Azaroaren 5eko 216/1987 Foru Dekretuak, zeinak Ekonomia eta Ogasun D</w:t>
      </w:r>
      <w:r>
        <w:t>e</w:t>
      </w:r>
      <w:r>
        <w:t>partamentuaren egitura organikoa ezarri baitzuen, lehenengo aldiz aurreikusi zuen Nafarroako Gobernuak eginkizun eta eskumen batzuk zituela Europar B</w:t>
      </w:r>
      <w:r>
        <w:t>a</w:t>
      </w:r>
      <w:r>
        <w:t>tasunarekiko harremanen arloan. Dekretu horrek eragin zuen "Batasuneko Af</w:t>
      </w:r>
      <w:r>
        <w:t>e</w:t>
      </w:r>
      <w:r>
        <w:t>retarako Atala" sortzea, Ekonomia Zerbitzuari atxikia.</w:t>
      </w:r>
    </w:p>
    <w:p w:rsidR="00E435FC" w:rsidRDefault="00E435FC" w:rsidP="00E435FC">
      <w:pPr>
        <w:pStyle w:val="texto"/>
        <w:tabs>
          <w:tab w:val="clear" w:pos="2835"/>
          <w:tab w:val="clear" w:pos="3969"/>
          <w:tab w:val="clear" w:pos="5103"/>
          <w:tab w:val="clear" w:pos="6237"/>
          <w:tab w:val="clear" w:pos="7371"/>
        </w:tabs>
      </w:pPr>
      <w:r>
        <w:t>1992an, atal hori Lehendakaritza Departamentuko Idazkaritza Nagusiaren menpe egotera pasatu zen, eta "Kanpo Ekintzarako Atala" izena eman zitzaion.</w:t>
      </w:r>
    </w:p>
    <w:p w:rsidR="00E435FC" w:rsidRDefault="00E435FC" w:rsidP="00E435FC">
      <w:pPr>
        <w:pStyle w:val="texto"/>
        <w:tabs>
          <w:tab w:val="clear" w:pos="2835"/>
          <w:tab w:val="clear" w:pos="3969"/>
          <w:tab w:val="clear" w:pos="5103"/>
          <w:tab w:val="clear" w:pos="6237"/>
          <w:tab w:val="clear" w:pos="7371"/>
        </w:tabs>
      </w:pPr>
      <w:r>
        <w:t xml:space="preserve">1993an hasi zen Nafarroako Gobernua Bruselan presentzia izaten, enpresa belgikar batekin aholkularitza-kontratu bat sinatuz. Ordurako, Espainiako beste autonomia erkidego batzuek bazuten ordezkaritzarik Bruselan. </w:t>
      </w:r>
    </w:p>
    <w:p w:rsidR="00E435FC" w:rsidRDefault="00E435FC" w:rsidP="00E435FC">
      <w:pPr>
        <w:pStyle w:val="texto"/>
        <w:tabs>
          <w:tab w:val="clear" w:pos="2835"/>
          <w:tab w:val="clear" w:pos="3969"/>
          <w:tab w:val="clear" w:pos="5103"/>
          <w:tab w:val="clear" w:pos="6237"/>
          <w:tab w:val="clear" w:pos="7371"/>
        </w:tabs>
      </w:pPr>
      <w:r>
        <w:t>1995ean, Sociedad de Desarrollo Exterior de Navarra SL (Sodexna) sortu zen. Hartan Nafincok ehuneko 60ko partaidetza zuen eta Sodena Sozietate P</w:t>
      </w:r>
      <w:r>
        <w:t>u</w:t>
      </w:r>
      <w:r>
        <w:t>blikoak ehuneko 40ko partaidetza. Haren eginkizunak gero NBOari eman z</w:t>
      </w:r>
      <w:r>
        <w:t>i</w:t>
      </w:r>
      <w:r>
        <w:t>tzaizkionak dira, eta hurrengo orrialdean azalduko ditugu.</w:t>
      </w:r>
    </w:p>
    <w:p w:rsidR="00E435FC" w:rsidRDefault="00E435FC" w:rsidP="00E435FC">
      <w:pPr>
        <w:pStyle w:val="texto"/>
        <w:tabs>
          <w:tab w:val="clear" w:pos="2835"/>
          <w:tab w:val="clear" w:pos="3969"/>
          <w:tab w:val="clear" w:pos="5103"/>
          <w:tab w:val="clear" w:pos="6237"/>
          <w:tab w:val="clear" w:pos="7371"/>
        </w:tabs>
      </w:pPr>
      <w:r>
        <w:t>Jasota dago 1996an sozietate horretan hiru pertsonak lan egiten zutela: ard</w:t>
      </w:r>
      <w:r>
        <w:t>u</w:t>
      </w:r>
      <w:r>
        <w:t>radun edo ordezkaria (zeinak izen hori jada jasotzen baitzuen), ordezkariaren laguntzaile bat eta idazkari bat. Sozietate horren jarduera Nafarroako Gobe</w:t>
      </w:r>
      <w:r>
        <w:t>r</w:t>
      </w:r>
      <w:r>
        <w:t>nuak finantzatzen zuen hitzarmen baten bitartez, eta, horretaz gainera, aipat</w:t>
      </w:r>
      <w:r>
        <w:t>u</w:t>
      </w:r>
      <w:r>
        <w:t xml:space="preserve">tako langileek Bruselan zeukaten bulegoaren alokairua ordaintzen zuen. </w:t>
      </w:r>
    </w:p>
    <w:p w:rsidR="00E435FC" w:rsidRDefault="00E435FC" w:rsidP="00E435FC">
      <w:pPr>
        <w:pStyle w:val="texto"/>
        <w:tabs>
          <w:tab w:val="clear" w:pos="2835"/>
          <w:tab w:val="clear" w:pos="3969"/>
          <w:tab w:val="clear" w:pos="5103"/>
          <w:tab w:val="clear" w:pos="6237"/>
          <w:tab w:val="clear" w:pos="7371"/>
        </w:tabs>
      </w:pPr>
      <w:r>
        <w:t>1996an, Kanpo Ekintzarako Atala "zerbitzu" bilakatu zen, eta Ekonomia D</w:t>
      </w:r>
      <w:r>
        <w:t>e</w:t>
      </w:r>
      <w:r>
        <w:t>partamentuari atxiki zitzaion.</w:t>
      </w:r>
    </w:p>
    <w:p w:rsidR="00E435FC" w:rsidRDefault="00E435FC" w:rsidP="00E435FC">
      <w:pPr>
        <w:pStyle w:val="texto"/>
        <w:tabs>
          <w:tab w:val="clear" w:pos="2835"/>
          <w:tab w:val="clear" w:pos="3969"/>
          <w:tab w:val="clear" w:pos="5103"/>
          <w:tab w:val="clear" w:pos="6237"/>
          <w:tab w:val="clear" w:pos="7371"/>
        </w:tabs>
      </w:pPr>
      <w:r>
        <w:t>Otsailaren 15eko 38/1999 Foru Dekretuak ezartzen du zerbitzu horrek pi</w:t>
      </w:r>
      <w:r>
        <w:t>x</w:t>
      </w:r>
      <w:r>
        <w:t>kanaka joan behar duela hartzen Sodexnari esleitutako eginkizunak, eta honako lanpostuak ematen dizkio "Kanpo Ekintzarako Zerbitzuari":</w:t>
      </w:r>
    </w:p>
    <w:p w:rsidR="00E435FC" w:rsidRPr="00E435FC" w:rsidRDefault="00E435FC"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Gobernuaren Bruselako ordezkaria, behin-behineko izaera iz</w:t>
      </w:r>
      <w:r>
        <w:t>a</w:t>
      </w:r>
      <w:r>
        <w:t>nen duena eta izendapen askekoa. Nafarroako Aurrekontu Orokorrei buruzko Foru Legeak urtero ezartzen dituen ordainsariak izanen ditu.</w:t>
      </w:r>
    </w:p>
    <w:p w:rsidR="00E435FC" w:rsidRPr="00E435FC" w:rsidRDefault="000279E3"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 mailako tituludun bat, zeinari ordainsari osagarri batzuk ezartzen ba</w:t>
      </w:r>
      <w:r>
        <w:t>i</w:t>
      </w:r>
      <w:r>
        <w:t>tzaizkio.</w:t>
      </w:r>
    </w:p>
    <w:p w:rsidR="00E435FC" w:rsidRPr="00E435FC" w:rsidRDefault="000279E3" w:rsidP="00152E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D mailako administrari laguntzaile bat, bere ordainsari osagarriekin.</w:t>
      </w:r>
    </w:p>
    <w:p w:rsidR="00E435FC" w:rsidRDefault="00E435FC" w:rsidP="00E435FC">
      <w:pPr>
        <w:pStyle w:val="texto"/>
        <w:tabs>
          <w:tab w:val="clear" w:pos="2835"/>
          <w:tab w:val="clear" w:pos="3969"/>
          <w:tab w:val="clear" w:pos="5103"/>
          <w:tab w:val="clear" w:pos="6237"/>
          <w:tab w:val="clear" w:pos="7371"/>
        </w:tabs>
      </w:pPr>
      <w:r>
        <w:t>Horrenbestez, dekretu horrekin, 1999an, ez zen berez NBOa sortu, eta ez z</w:t>
      </w:r>
      <w:r>
        <w:t>i</w:t>
      </w:r>
      <w:r>
        <w:t>tzaizkion eginkizun edo eskumen batzuk esleitu; arestian aipatutako lanpostuak sortu besterik ez zen egin.</w:t>
      </w:r>
    </w:p>
    <w:p w:rsidR="00E435FC" w:rsidRDefault="00E435FC" w:rsidP="00E435FC">
      <w:pPr>
        <w:pStyle w:val="texto"/>
        <w:tabs>
          <w:tab w:val="clear" w:pos="2835"/>
          <w:tab w:val="clear" w:pos="3969"/>
          <w:tab w:val="clear" w:pos="5103"/>
          <w:tab w:val="clear" w:pos="6237"/>
          <w:tab w:val="clear" w:pos="7371"/>
        </w:tabs>
      </w:pPr>
      <w:r>
        <w:t>2003an, lehendik zegoen "Kanpo Ekintzarako Zerbitzuaz" gainera, "Eur</w:t>
      </w:r>
      <w:r>
        <w:t>o</w:t>
      </w:r>
      <w:r>
        <w:t xml:space="preserve">pako Eraikuntza Prozesuan Parte Hartzeko Zerbitzua" sortu zen. </w:t>
      </w:r>
    </w:p>
    <w:p w:rsidR="00E435FC" w:rsidRDefault="00E435FC" w:rsidP="00E435FC">
      <w:pPr>
        <w:pStyle w:val="texto"/>
        <w:tabs>
          <w:tab w:val="clear" w:pos="2835"/>
          <w:tab w:val="clear" w:pos="3969"/>
          <w:tab w:val="clear" w:pos="5103"/>
          <w:tab w:val="clear" w:pos="6237"/>
          <w:tab w:val="clear" w:pos="7371"/>
        </w:tabs>
      </w:pPr>
      <w:r>
        <w:lastRenderedPageBreak/>
        <w:t>2007an, lehenengo aldiz, 118/2007 Foru Dekretuak berariaz atxikitzen dio NBOa Kanpo Ekintzarako Zerbitzuko Nazioarteko Garapeneko Zuzendaritza Nagusiari, zerbitzu mailarekin, baina ez zen horri buruz beste ezer ere arautu.</w:t>
      </w:r>
    </w:p>
    <w:p w:rsidR="00E435FC" w:rsidRDefault="00E435FC" w:rsidP="00E435FC">
      <w:pPr>
        <w:pStyle w:val="texto"/>
        <w:tabs>
          <w:tab w:val="clear" w:pos="2835"/>
          <w:tab w:val="clear" w:pos="3969"/>
          <w:tab w:val="clear" w:pos="5103"/>
          <w:tab w:val="clear" w:pos="6237"/>
          <w:tab w:val="clear" w:pos="7371"/>
        </w:tabs>
      </w:pPr>
      <w:r>
        <w:t>2011n, desagertu egin zen 2003an sortutako zerbitzuetako bat, eta "Nazioa</w:t>
      </w:r>
      <w:r>
        <w:t>r</w:t>
      </w:r>
      <w:r>
        <w:t xml:space="preserve">teko Proiekzioaren Zerbitzua" izenekoari eutsi zitzaion bakarrik. </w:t>
      </w:r>
    </w:p>
    <w:p w:rsidR="00E435FC" w:rsidRDefault="00E435FC" w:rsidP="00E435FC">
      <w:pPr>
        <w:pStyle w:val="texto"/>
        <w:tabs>
          <w:tab w:val="clear" w:pos="2835"/>
          <w:tab w:val="clear" w:pos="3969"/>
          <w:tab w:val="clear" w:pos="5103"/>
          <w:tab w:val="clear" w:pos="6237"/>
          <w:tab w:val="clear" w:pos="7371"/>
        </w:tabs>
      </w:pPr>
      <w:r>
        <w:t>Urtarrilaren 16ko 4/2013 Foru Dekretuak jarraitzen du NBOa Ekonomia, Ogasun, Industria eta Enplegu Departamentuari atxikitzen, eta, gainera, leh</w:t>
      </w:r>
      <w:r>
        <w:t>e</w:t>
      </w:r>
      <w:r>
        <w:t>nengo aldiz, berariaz aipatzen ditu aren eginkizunak; honakoak, hain zuzen:</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"...Europar Batasunaren aurrean Nafarroaren interesak ordezkatzea, eta horiek sustatu eta b</w:t>
      </w:r>
      <w:r>
        <w:rPr>
          <w:i/>
          <w:sz w:val="20"/>
        </w:rPr>
        <w:t>a</w:t>
      </w:r>
      <w:r>
        <w:rPr>
          <w:i/>
          <w:sz w:val="20"/>
        </w:rPr>
        <w:t>bestea, Nafarroako Foru Komunitateko Administrazioaren beste organo batzuei esleitutako eskum</w:t>
      </w:r>
      <w:r>
        <w:rPr>
          <w:i/>
          <w:sz w:val="20"/>
        </w:rPr>
        <w:t>e</w:t>
      </w:r>
      <w:r>
        <w:rPr>
          <w:i/>
          <w:sz w:val="20"/>
        </w:rPr>
        <w:t>nak galarazi gabe.</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Espainiako Erreinuak Europar Batasunean duen ordezkaritza iraunkorrarekin eta Espainiako beste autonomia erkidego batzuen bulegoekin edo beste estatu kide batzuetako antzeko entitateekin lankidetzan aritzea, Bruselan kokatuak daudenekin.</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Nafarroako Foru Komunitateko Administrazioaren eta Batasuneko erakundeen arteko harrem</w:t>
      </w:r>
      <w:r>
        <w:rPr>
          <w:i/>
          <w:sz w:val="20"/>
        </w:rPr>
        <w:t>a</w:t>
      </w:r>
      <w:r>
        <w:rPr>
          <w:i/>
          <w:sz w:val="20"/>
        </w:rPr>
        <w:t>nak koordinatzea, Nafarroarentzat interesekoak diren proiektuen eta programen jarraipena egiteko.</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Nafarroako Foru Komunitatea atzerrian sustatzen eta proiektatzen laguntzea.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Nafarroako Foru Komunitatearen interes sozioekonomikoen alde jardutea, Batasuneko ekintzek edo programek horiengan eragina badute.</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Batasuneko politikei eta programei buruz informatzea eta aholku ematea.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Europar Batasuneko erakundeek erabakiak hartzeko jarraitutako prozesua jarraitzea eta er</w:t>
      </w:r>
      <w:r>
        <w:rPr>
          <w:i/>
          <w:sz w:val="20"/>
        </w:rPr>
        <w:t>a</w:t>
      </w:r>
      <w:r>
        <w:rPr>
          <w:i/>
          <w:sz w:val="20"/>
        </w:rPr>
        <w:t>kunde horiek araudia sortzeko prozesuetan informazioa lortzea, Nafarroako Foru Komunitatearen interesei eragiten dien neurrian.</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Europar Batasuneko Eskualdeen Batzordearen lanen jarraipena.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Nafarroako Foru Komunitateko sektore publiko eta pribatuarentzat aukerak bilatzea enpresaren eta finantzen arloan.</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Aholkularitzarako logistika zentroa den aldetik, Nafarroako Foru Komunitateko entitate publiko eta pribatuentzako aholkularitza teknikoa ematea.</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Politika Ekonomiko eta Enpresarialaren zuzendari nagusiak agindutako edo indarreko xedap</w:t>
      </w:r>
      <w:r>
        <w:rPr>
          <w:i/>
          <w:sz w:val="20"/>
        </w:rPr>
        <w:t>e</w:t>
      </w:r>
      <w:r>
        <w:rPr>
          <w:i/>
          <w:sz w:val="20"/>
        </w:rPr>
        <w:t>nek esleitutako beste edozein zeregin.</w:t>
      </w:r>
    </w:p>
    <w:p w:rsidR="00E435FC" w:rsidRPr="00E435FC" w:rsidRDefault="00E435FC" w:rsidP="00E435FC">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Pr>
          <w:i/>
          <w:sz w:val="20"/>
        </w:rPr>
        <w:t>"...Europar Batasunaren aurrean Nafarroaren interesak ordezkatzea, eta horiek sustatu eta b</w:t>
      </w:r>
      <w:r>
        <w:rPr>
          <w:i/>
          <w:sz w:val="20"/>
        </w:rPr>
        <w:t>a</w:t>
      </w:r>
      <w:r>
        <w:rPr>
          <w:i/>
          <w:sz w:val="20"/>
        </w:rPr>
        <w:t>bestea, Nafarroako Foru Komunitateko Administrazioaren beste organo batzuei esleitutako eskum</w:t>
      </w:r>
      <w:r>
        <w:rPr>
          <w:i/>
          <w:sz w:val="20"/>
        </w:rPr>
        <w:t>e</w:t>
      </w:r>
      <w:r>
        <w:rPr>
          <w:i/>
          <w:sz w:val="20"/>
        </w:rPr>
        <w:t>nak galarazi gabe..."</w:t>
      </w:r>
    </w:p>
    <w:p w:rsidR="00E435FC" w:rsidRPr="00E435FC" w:rsidRDefault="000279E3" w:rsidP="00E435FC">
      <w:pPr>
        <w:pStyle w:val="texto"/>
      </w:pPr>
      <w:r>
        <w:t>NBOak Ekonomia Departamentuari atxikita jarraitu zuen 2015eko ekainera arte. Une horretan, Nafarroako Gobernuaren egitura nabarmen aldatu zen, maiatzean hauteskundeak egin ondoren. Hartara, Nazioarteko Proiekzioaren Zerbitzua Garapen Ekonomikorako Departamentuan sartu zen, eta NBOa,  b</w:t>
      </w:r>
      <w:r>
        <w:t>e</w:t>
      </w:r>
      <w:r>
        <w:t>rriz, Herritarrekiko eta Erakundeekiko Harremanetako Departamentuan. Ga</w:t>
      </w:r>
      <w:r>
        <w:t>i</w:t>
      </w:r>
      <w:r>
        <w:t>nera, 129/2015 Foru Dekretuak NBOari Zuzendaritza Nagusiaren maila (orain arte zeukan zerbitzuaren mailaren ordez) ematen dio, eta arestian aipatutako eginkizun berak esleitzen dizkio.</w:t>
      </w:r>
    </w:p>
    <w:p w:rsidR="00E435FC" w:rsidRPr="00E435FC" w:rsidRDefault="00E435FC" w:rsidP="00E435FC">
      <w:pPr>
        <w:pStyle w:val="texto"/>
        <w:spacing w:after="240"/>
      </w:pPr>
      <w:r>
        <w:lastRenderedPageBreak/>
        <w:t>Gaur egun badago, eta aztertutako aldi osoan zehar egon da, Espainiako a</w:t>
      </w:r>
      <w:r>
        <w:t>u</w:t>
      </w:r>
      <w:r>
        <w:t>tonomia erkidego guztien ordezkaritzarik Bruselan. Europako Erregioen B</w:t>
      </w:r>
      <w:r>
        <w:t>a</w:t>
      </w:r>
      <w:r>
        <w:t>tzordearen bulego erregionalen erregistroaren arabera, Europar Batasunaren kide diren 28 estatuen 242 bulego daude.</w:t>
      </w:r>
    </w:p>
    <w:p w:rsidR="00E435FC" w:rsidRPr="00CA5B44" w:rsidRDefault="00E435FC" w:rsidP="00E435FC">
      <w:pPr>
        <w:pStyle w:val="atitulo2"/>
      </w:pPr>
      <w:bookmarkStart w:id="18" w:name="_Toc433976368"/>
      <w:bookmarkStart w:id="19" w:name="_Toc437411098"/>
      <w:bookmarkStart w:id="20" w:name="_Toc440523188"/>
      <w:bookmarkStart w:id="21" w:name="_Toc446402967"/>
      <w:r>
        <w:t>II.2. Ordezkaritzaren gastuak</w:t>
      </w:r>
      <w:bookmarkEnd w:id="18"/>
      <w:bookmarkEnd w:id="19"/>
      <w:bookmarkEnd w:id="20"/>
      <w:bookmarkEnd w:id="21"/>
    </w:p>
    <w:p w:rsidR="00E435FC" w:rsidRDefault="00E435FC" w:rsidP="00E435FC">
      <w:pPr>
        <w:pStyle w:val="texto"/>
        <w:tabs>
          <w:tab w:val="clear" w:pos="2835"/>
          <w:tab w:val="clear" w:pos="3969"/>
          <w:tab w:val="clear" w:pos="5103"/>
          <w:tab w:val="clear" w:pos="6237"/>
          <w:tab w:val="clear" w:pos="7371"/>
        </w:tabs>
      </w:pPr>
      <w:r>
        <w:t>NBOaren gastuak, funtsean, langile-gastuek eta ordezkaritzaren funtzion</w:t>
      </w:r>
      <w:r>
        <w:t>a</w:t>
      </w:r>
      <w:r>
        <w:t>mendurako gastuek osatuta daude.</w:t>
      </w:r>
    </w:p>
    <w:p w:rsidR="00E435FC" w:rsidRPr="00DA6A17" w:rsidRDefault="00E435FC" w:rsidP="000D394A">
      <w:pPr>
        <w:pStyle w:val="atitulo3"/>
        <w:spacing w:before="240"/>
      </w:pPr>
      <w:r>
        <w:t>Langile-gastuak</w:t>
      </w:r>
    </w:p>
    <w:p w:rsidR="00E435FC" w:rsidRDefault="00E435FC" w:rsidP="00E435FC">
      <w:pPr>
        <w:pStyle w:val="texto"/>
        <w:tabs>
          <w:tab w:val="clear" w:pos="2835"/>
          <w:tab w:val="clear" w:pos="3969"/>
          <w:tab w:val="clear" w:pos="5103"/>
          <w:tab w:val="clear" w:pos="6237"/>
          <w:tab w:val="clear" w:pos="7371"/>
        </w:tabs>
      </w:pPr>
      <w:r>
        <w:t xml:space="preserve">Ordezkariaren eta administrari laguntzailearen lanpostuak etengabe egon dira beteta; A mailako tituludunari dagokiona, berriz, ez da sekula bete; izan ere, 2008tik lanpostua ez da agertzen plantilla organikoan. </w:t>
      </w:r>
    </w:p>
    <w:p w:rsidR="00E435FC" w:rsidRDefault="00E435FC" w:rsidP="00E435FC">
      <w:pPr>
        <w:pStyle w:val="texto"/>
        <w:tabs>
          <w:tab w:val="clear" w:pos="2835"/>
          <w:tab w:val="clear" w:pos="3969"/>
          <w:tab w:val="clear" w:pos="5103"/>
          <w:tab w:val="clear" w:pos="6237"/>
          <w:tab w:val="clear" w:pos="7371"/>
        </w:tabs>
        <w:spacing w:after="100"/>
      </w:pPr>
      <w:r>
        <w:t>Nafarroako ordezkariaren lansariak Nafarroako Aurrekontu Orokorrei b</w:t>
      </w:r>
      <w:r>
        <w:t>u</w:t>
      </w:r>
      <w:r>
        <w:t xml:space="preserve">ruzko Foru Legean ezartzen dira. 2012-2015 aldian urtean 75.410 eurokoak dira; horretaz gainera, langilea funtzionarioa bada, araudi indardunaren arabera egokitu dakizkiokeen graduaren eta antzinatasunaren ordainsariak edukiko ditu. </w:t>
      </w:r>
    </w:p>
    <w:p w:rsidR="00E435FC" w:rsidRDefault="00E435FC" w:rsidP="00E435FC">
      <w:pPr>
        <w:pStyle w:val="texto"/>
        <w:tabs>
          <w:tab w:val="clear" w:pos="2835"/>
          <w:tab w:val="clear" w:pos="3969"/>
          <w:tab w:val="clear" w:pos="5103"/>
          <w:tab w:val="clear" w:pos="6237"/>
          <w:tab w:val="clear" w:pos="7371"/>
        </w:tabs>
        <w:spacing w:after="120"/>
      </w:pPr>
      <w:r>
        <w:t>Langile administratiboarena, 2007ra arte, D mailako lanpostu batekin bete izan da, sorreran ageri zen bezala. Urte horretatik aurrera, berriz, lanpostu hori C mailakoa izatera pasa zen. Lanpostu horri lotutako ordainsari osagarriak eh</w:t>
      </w:r>
      <w:r>
        <w:t>u</w:t>
      </w:r>
      <w:r>
        <w:t>neko 97,2koak izan dira 2003-2015 aldiko urte guztietan, lanpostuaren maila zein den ere.</w:t>
      </w:r>
    </w:p>
    <w:p w:rsidR="00E435FC" w:rsidRDefault="00E435FC" w:rsidP="000279E3">
      <w:pPr>
        <w:pStyle w:val="texto"/>
        <w:tabs>
          <w:tab w:val="clear" w:pos="2835"/>
          <w:tab w:val="clear" w:pos="3969"/>
          <w:tab w:val="clear" w:pos="5103"/>
          <w:tab w:val="clear" w:pos="6237"/>
          <w:tab w:val="clear" w:pos="7371"/>
        </w:tabs>
        <w:spacing w:after="120"/>
      </w:pPr>
      <w:r>
        <w:t>Aurreko guztiaz gainera, 2003-2010 aldian, Nafarroako Gobernuak, Naf</w:t>
      </w:r>
      <w:r>
        <w:t>a</w:t>
      </w:r>
      <w:r>
        <w:t>rroako Unibertsitate Publikoarekin lankidetzan, Europar Batasunaren inguruko gaietako gradu ondoko ikasleen prestakuntzarako beken deialdia egin zuen. Bekaren iraupena urtebetekoa zen, eta eginkizunetako batzuk Iruñean eta beste batzuk NBOan bete beharrekoak ziren. NBOak emandako datuen arabera, 23 izan dira aipatutako aldian zerbitzuak eman dituzten bekadunak. 2011tik a</w:t>
      </w:r>
      <w:r>
        <w:t>u</w:t>
      </w:r>
      <w:r>
        <w:t>rrera, berriz, ez da beka mota horrengatiko gasturik jaso.</w:t>
      </w:r>
    </w:p>
    <w:p w:rsidR="00E435FC" w:rsidRPr="00B27767" w:rsidRDefault="00E435FC" w:rsidP="000D394A">
      <w:pPr>
        <w:pStyle w:val="atitulo3"/>
        <w:spacing w:before="240"/>
      </w:pPr>
      <w:r>
        <w:t>Funtzionamendu gastuak</w:t>
      </w:r>
    </w:p>
    <w:p w:rsidR="00E435FC" w:rsidRDefault="00E435FC" w:rsidP="00E435FC">
      <w:pPr>
        <w:pStyle w:val="texto"/>
        <w:tabs>
          <w:tab w:val="clear" w:pos="2835"/>
          <w:tab w:val="clear" w:pos="3969"/>
          <w:tab w:val="clear" w:pos="5103"/>
          <w:tab w:val="clear" w:pos="6237"/>
          <w:tab w:val="clear" w:pos="7371"/>
        </w:tabs>
      </w:pPr>
      <w:r>
        <w:t>2003an, NBOaren funtzionamendu gastuak kontabilizatzeko berariazko ko</w:t>
      </w:r>
      <w:r>
        <w:t>n</w:t>
      </w:r>
      <w:r>
        <w:t>tusail bat zegoen; 2004tik aurrera eta 2012ra arte, berriz, aurrekoaz gainera, beste kontusail bat dago NBOaren egoitzaren alokairuak sortutako gastuak ko</w:t>
      </w:r>
      <w:r>
        <w:t>n</w:t>
      </w:r>
      <w:r>
        <w:t xml:space="preserve">tabilizatzeko. </w:t>
      </w:r>
    </w:p>
    <w:p w:rsidR="00E435FC" w:rsidRDefault="00E435FC" w:rsidP="00E435FC">
      <w:pPr>
        <w:pStyle w:val="texto"/>
        <w:tabs>
          <w:tab w:val="clear" w:pos="2835"/>
          <w:tab w:val="clear" w:pos="3969"/>
          <w:tab w:val="clear" w:pos="5103"/>
          <w:tab w:val="clear" w:pos="6237"/>
          <w:tab w:val="clear" w:pos="7371"/>
        </w:tabs>
      </w:pPr>
      <w:r>
        <w:t>2003ko eta 2004ko zati bateko alokairu gastuak NBOaren berariazko kont</w:t>
      </w:r>
      <w:r>
        <w:t>u</w:t>
      </w:r>
      <w:r>
        <w:t xml:space="preserve">sail batean ageri beharrean, Kanpo Ekintzarako Zerbitzuaren kontusail batean erregistratu dira. 2012tik aurrera, NBOak lehengo egoitza utzi eta Espainiaren Europar Batasuneko Ordezkaritza Iraunkorraren (EEBOI, hemendik aurrera) </w:t>
      </w:r>
      <w:r>
        <w:lastRenderedPageBreak/>
        <w:t>egoitzara aldatu zen, eta kontzeptu horrengatiko gastua eta, horrenbestez, ko</w:t>
      </w:r>
      <w:r>
        <w:t>n</w:t>
      </w:r>
      <w:r>
        <w:t>tusaila, desagertu egin ziren.</w:t>
      </w:r>
    </w:p>
    <w:p w:rsidR="00E435FC" w:rsidRDefault="00E435FC" w:rsidP="00E435FC">
      <w:pPr>
        <w:pStyle w:val="texto"/>
        <w:tabs>
          <w:tab w:val="clear" w:pos="2835"/>
          <w:tab w:val="clear" w:pos="3969"/>
          <w:tab w:val="clear" w:pos="5103"/>
          <w:tab w:val="clear" w:pos="6237"/>
          <w:tab w:val="clear" w:pos="7371"/>
        </w:tabs>
      </w:pPr>
      <w:r>
        <w:t xml:space="preserve">Ez dugu aurkitu NBOaren gastuak erregistratzen duen kontusail gehiagorik. </w:t>
      </w:r>
    </w:p>
    <w:p w:rsidR="00E435FC" w:rsidRDefault="00E435FC" w:rsidP="00E435FC">
      <w:pPr>
        <w:pStyle w:val="texto"/>
        <w:tabs>
          <w:tab w:val="clear" w:pos="2835"/>
          <w:tab w:val="clear" w:pos="3969"/>
          <w:tab w:val="clear" w:pos="5103"/>
          <w:tab w:val="clear" w:pos="6237"/>
          <w:tab w:val="clear" w:pos="7371"/>
        </w:tabs>
      </w:pPr>
      <w:r>
        <w:t>Gastu horien aurrekontu-kudeaketarako prozedura Nafarroako Gobernuaren aurrekontu orokorrak arautzen dituzten foru legeetan jasota dago. Honakoa z</w:t>
      </w:r>
      <w:r>
        <w:t>e</w:t>
      </w:r>
      <w:r>
        <w:t>hazten dute foru lege horiek, hain zuzen:</w:t>
      </w:r>
    </w:p>
    <w:p w:rsidR="00E435FC" w:rsidRDefault="00E435FC" w:rsidP="00E435FC">
      <w:pPr>
        <w:pStyle w:val="texto"/>
        <w:numPr>
          <w:ilvl w:val="0"/>
          <w:numId w:val="11"/>
        </w:numPr>
        <w:tabs>
          <w:tab w:val="clear" w:pos="2835"/>
          <w:tab w:val="clear" w:pos="3969"/>
          <w:tab w:val="clear" w:pos="5103"/>
          <w:tab w:val="clear" w:pos="6237"/>
          <w:tab w:val="clear" w:pos="7371"/>
        </w:tabs>
        <w:spacing w:after="120"/>
        <w:ind w:left="0" w:firstLine="284"/>
      </w:pPr>
      <w:r>
        <w:t>Nafarroako Gobernuak Bruselan duen ordezkaritzaren jardunerako behar diren gastu guztiak kutxa finkoko aurrerakinekin edo, hala bada, justifikatu b</w:t>
      </w:r>
      <w:r>
        <w:t>e</w:t>
      </w:r>
      <w:r>
        <w:t>harreko ordain-aginduekin ordainduko dira.</w:t>
      </w:r>
    </w:p>
    <w:p w:rsidR="00E435FC" w:rsidRDefault="00E435FC" w:rsidP="00E435FC">
      <w:pPr>
        <w:pStyle w:val="texto"/>
        <w:tabs>
          <w:tab w:val="clear" w:pos="2835"/>
          <w:tab w:val="clear" w:pos="3969"/>
          <w:tab w:val="clear" w:pos="5103"/>
          <w:tab w:val="clear" w:pos="6237"/>
          <w:tab w:val="clear" w:pos="7371"/>
        </w:tabs>
      </w:pPr>
      <w:r>
        <w:t>Horri dagokionez, kontuan hartu beharra dago justifikatu beharreko kutxa finkoko aurrerakinak eta ordain-aginduak 8/1988 Foru Legea indargabetu zuen Nafarroako Ogasun Publikoari buruzko 13/2007 Foru Legean araututa daudela.</w:t>
      </w:r>
    </w:p>
    <w:p w:rsidR="00E435FC" w:rsidRDefault="00E435FC" w:rsidP="00E435FC">
      <w:pPr>
        <w:pStyle w:val="texto"/>
        <w:numPr>
          <w:ilvl w:val="0"/>
          <w:numId w:val="11"/>
        </w:numPr>
        <w:tabs>
          <w:tab w:val="clear" w:pos="2835"/>
          <w:tab w:val="clear" w:pos="3969"/>
          <w:tab w:val="clear" w:pos="5103"/>
          <w:tab w:val="clear" w:pos="6237"/>
          <w:tab w:val="clear" w:pos="7371"/>
        </w:tabs>
        <w:ind w:left="0" w:firstLine="284"/>
      </w:pPr>
      <w:r>
        <w:t>Nafarroako Gobernuaren Bruselako ordezkariak arestian esandako ga</w:t>
      </w:r>
      <w:r>
        <w:t>s</w:t>
      </w:r>
      <w:r>
        <w:t>tuak eta ordainketak baimendu ahalko ditu, baina horretarako dagokion zuze</w:t>
      </w:r>
      <w:r>
        <w:t>n</w:t>
      </w:r>
      <w:r>
        <w:t>daritza nagusiaren baimena beharko du, baldin eta gastu eta ordainketa horiek 3.000 eurotik 12.000 eurora bitarte egiten duten kopuruak gainditzen badituzte, aztertutako aldian.</w:t>
      </w:r>
    </w:p>
    <w:p w:rsidR="00E435FC" w:rsidRDefault="00E435FC" w:rsidP="00E435FC">
      <w:pPr>
        <w:pStyle w:val="texto"/>
        <w:numPr>
          <w:ilvl w:val="0"/>
          <w:numId w:val="11"/>
        </w:numPr>
        <w:tabs>
          <w:tab w:val="clear" w:pos="2835"/>
          <w:tab w:val="clear" w:pos="3969"/>
          <w:tab w:val="clear" w:pos="5103"/>
          <w:tab w:val="clear" w:pos="6237"/>
          <w:tab w:val="clear" w:pos="7371"/>
        </w:tabs>
        <w:ind w:left="0" w:firstLine="284"/>
      </w:pPr>
      <w:r>
        <w:t xml:space="preserve">2011tik aurrera, Nafarroako Gobernuko Kontu-hartzailetza Orokorrak gainbegiratuko ditu NBOaren justifikazioak eta egindako gastuak.  </w:t>
      </w:r>
    </w:p>
    <w:p w:rsidR="00E435FC" w:rsidRDefault="00E435FC" w:rsidP="00E435FC">
      <w:pPr>
        <w:pStyle w:val="texto"/>
        <w:tabs>
          <w:tab w:val="clear" w:pos="2835"/>
          <w:tab w:val="clear" w:pos="3969"/>
          <w:tab w:val="clear" w:pos="5103"/>
          <w:tab w:val="clear" w:pos="6237"/>
          <w:tab w:val="clear" w:pos="7371"/>
        </w:tabs>
        <w:spacing w:after="240"/>
      </w:pPr>
      <w:r>
        <w:t xml:space="preserve">NBOaren 2014ko gastuak 154.697 eurokoak izan ziren; horietatik, ehuneko 86 langile-gastuak dira, eta gainerako ehuneko 14a, berriz, funtzionamendu gastuak. 2013arekin eta 2012arekin alderatuta, ehuneko bat eta ehuneko 33 egin dute behera, hurrenez hurren. 2012ko gastuekiko jaitsiera hain nabarmen horren arrazoia izan zen NBOa EEBOIaren egoitzara aldatzea; hain zuzen ere, aldaketa horrek berarekin ekarri zuen alokairu-gastuak (76.730 euro) kentzea eta funtzionamendu gastuetarako kopuru askoz txikiagoa jartzea (8.829 euro), txosten honetako V.2 atalean azaldu bezala. </w:t>
      </w:r>
    </w:p>
    <w:p w:rsidR="00477C53" w:rsidRDefault="00E435FC" w:rsidP="00E435FC">
      <w:pPr>
        <w:pStyle w:val="atitulo1"/>
      </w:pPr>
      <w:r>
        <w:br w:type="page"/>
      </w:r>
    </w:p>
    <w:p w:rsidR="005E27A0" w:rsidRPr="00341874" w:rsidRDefault="005E27A0" w:rsidP="005E27A0">
      <w:pPr>
        <w:pStyle w:val="atitulo1"/>
      </w:pPr>
      <w:bookmarkStart w:id="22" w:name="_Toc311633164"/>
      <w:bookmarkStart w:id="23" w:name="_Toc311633173"/>
      <w:bookmarkStart w:id="24" w:name="_Toc432757080"/>
      <w:bookmarkStart w:id="25" w:name="_Toc437411099"/>
      <w:bookmarkStart w:id="26" w:name="_Toc440523189"/>
      <w:bookmarkStart w:id="27" w:name="_Toc446402968"/>
      <w:r>
        <w:lastRenderedPageBreak/>
        <w:t xml:space="preserve">III. </w:t>
      </w:r>
      <w:bookmarkEnd w:id="22"/>
      <w:bookmarkEnd w:id="23"/>
      <w:r>
        <w:t>Helburua</w:t>
      </w:r>
      <w:bookmarkEnd w:id="24"/>
      <w:bookmarkEnd w:id="25"/>
      <w:bookmarkEnd w:id="26"/>
      <w:bookmarkEnd w:id="27"/>
    </w:p>
    <w:p w:rsidR="005E27A0" w:rsidRPr="00D87B9C" w:rsidRDefault="005E27A0" w:rsidP="005E27A0">
      <w:pPr>
        <w:pStyle w:val="texto"/>
      </w:pPr>
      <w:r>
        <w:t>Parlamentuko eskaera kontuan hartuta, hauek dira lan honen helburuak:</w:t>
      </w:r>
    </w:p>
    <w:p w:rsidR="005E27A0" w:rsidRPr="00D87B9C"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NBOaren gastuak 2003-2014 aldian izan duen bilakaera aztertzea.</w:t>
      </w:r>
    </w:p>
    <w:p w:rsidR="005E27A0" w:rsidRPr="00D87B9C"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Aipatutako aldi horretako zenbait urtetan NBOak egindako gastuak azte</w:t>
      </w:r>
      <w:r>
        <w:t>r</w:t>
      </w:r>
      <w:r>
        <w:t>tzea.</w:t>
      </w:r>
    </w:p>
    <w:p w:rsidR="005E27A0"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NBOak aipatutako aldian egindako jarduketak eta haien eraginkortasuna aztertzea.</w:t>
      </w:r>
    </w:p>
    <w:p w:rsidR="005E27A0" w:rsidRPr="00D87B9C" w:rsidRDefault="005E27A0" w:rsidP="005E27A0">
      <w:pPr>
        <w:pStyle w:val="texto"/>
      </w:pPr>
      <w:r>
        <w:tab/>
        <w:t>Lana Espainiako Kanpo Kontroleko Organo Publikoak Koordinatzeko B</w:t>
      </w:r>
      <w:r>
        <w:t>a</w:t>
      </w:r>
      <w:r>
        <w:t>tzordeak onetsitako eta Kontuen Ganberaren fiskalizazio-eskuliburuan jasotako sektore publikoaren auditoriari buruzko printzipioei eta arauei jarraituz gauzatu da; horien barruan, "Fiskalizazio edo auditoria finantzarioa betetzeari buruzko oinarrizko printzipioak" izeneko ISSAI-ES 200 araua eta "Fiskalizazio operat</w:t>
      </w:r>
      <w:r>
        <w:t>i</w:t>
      </w:r>
      <w:r>
        <w:t>boaren oinarrizko printzipioak" izeneko 300 araua aplikatu dira</w:t>
      </w:r>
      <w:bookmarkStart w:id="28" w:name="_Toc131822566"/>
      <w:bookmarkStart w:id="29" w:name="_Toc226346794"/>
      <w:r>
        <w:t xml:space="preserve">. </w:t>
      </w:r>
    </w:p>
    <w:bookmarkEnd w:id="28"/>
    <w:bookmarkEnd w:id="29"/>
    <w:p w:rsidR="005E27A0" w:rsidRPr="00D87B9C" w:rsidRDefault="005E27A0" w:rsidP="005E27A0">
      <w:pPr>
        <w:pStyle w:val="texto"/>
      </w:pPr>
    </w:p>
    <w:p w:rsidR="005E27A0" w:rsidRDefault="005E27A0" w:rsidP="005E27A0">
      <w:pPr>
        <w:spacing w:after="0"/>
        <w:ind w:firstLine="0"/>
        <w:jc w:val="left"/>
        <w:rPr>
          <w:spacing w:val="6"/>
          <w:sz w:val="26"/>
          <w:szCs w:val="24"/>
        </w:rPr>
      </w:pPr>
      <w:r>
        <w:br w:type="page"/>
      </w:r>
    </w:p>
    <w:p w:rsidR="005E27A0" w:rsidRPr="001E6C76" w:rsidRDefault="005E27A0" w:rsidP="005E27A0">
      <w:pPr>
        <w:pStyle w:val="atitulo1"/>
      </w:pPr>
      <w:bookmarkStart w:id="30" w:name="_Toc432757081"/>
      <w:bookmarkStart w:id="31" w:name="_Toc437411100"/>
      <w:bookmarkStart w:id="32" w:name="_Toc440523190"/>
      <w:bookmarkStart w:id="33" w:name="_Toc446402969"/>
      <w:r>
        <w:lastRenderedPageBreak/>
        <w:t>IV. Norainokoa eta mugak</w:t>
      </w:r>
      <w:bookmarkEnd w:id="30"/>
      <w:bookmarkEnd w:id="31"/>
      <w:bookmarkEnd w:id="32"/>
      <w:bookmarkEnd w:id="33"/>
    </w:p>
    <w:p w:rsidR="005E27A0" w:rsidRPr="006401D3" w:rsidRDefault="005E27A0" w:rsidP="006401D3">
      <w:pPr>
        <w:pStyle w:val="texto"/>
      </w:pPr>
      <w:r>
        <w:t>Aipatutako helburuak lortzeko, honako informazio hau aztertu dugu: NBOak 2003-2014 aldian langileen arloan eta ondasun arrunt eta zerbitzuetan egindako aurrekontu-gastuen betetzea; aurreko gastuen lagin bat, 2011, 2012, 2013 eta 2014. urteetakoek osatua; NBOak 2003-2014 aldian garatutako jarduerei buruz dagoen informazioa.</w:t>
      </w:r>
    </w:p>
    <w:p w:rsidR="005E27A0" w:rsidRDefault="005E27A0" w:rsidP="006401D3">
      <w:pPr>
        <w:pStyle w:val="texto"/>
      </w:pPr>
      <w:r>
        <w:t>Nafarroako Gobernuaren kontabilitatea gaur egun kudeatzen duen aplikazio informatikoak (SAP izenekoa) ez du aukerarik ematen 2001a baino lehenagoko informazioa ateratzeko; gainera, Lehendakaritzako, Funtzio Publikoko, Ba</w:t>
      </w:r>
      <w:r>
        <w:t>r</w:t>
      </w:r>
      <w:r>
        <w:t>neko eta Justiziako Departamentuak ezin izan dizkigu eman 2003a baino leh</w:t>
      </w:r>
      <w:r>
        <w:t>e</w:t>
      </w:r>
      <w:r>
        <w:t>nagoko langile-gastuak. Inguruabar horiek beraiekin ekarri dute txostenak de</w:t>
      </w:r>
      <w:r>
        <w:t>n</w:t>
      </w:r>
      <w:r>
        <w:t>bora dela-eta duen norainokoa aipatutako aldira murriztea, nahiz eta parl</w:t>
      </w:r>
      <w:r>
        <w:t>a</w:t>
      </w:r>
      <w:r>
        <w:t xml:space="preserve">mentu-eskarian jaso alderdi horiek NBOa sortu zenetik aztertu behar zirela. Gure ustez, ordea, txostenaren ondorioak ez ziren aldatuko aurreko gastuak ere sartuta. </w:t>
      </w:r>
    </w:p>
    <w:p w:rsidR="00D85E20" w:rsidRPr="006401D3" w:rsidRDefault="00D85E20" w:rsidP="006401D3">
      <w:pPr>
        <w:pStyle w:val="texto"/>
      </w:pPr>
      <w:r>
        <w:t>Lana egin dugu NBOak emandako informazioa kontuan hartuta, zeren eta ez baitugu egokitzat jo ordezkaritzaren Bruselako egoitzara joatea.</w:t>
      </w:r>
    </w:p>
    <w:p w:rsidR="005E27A0" w:rsidRPr="006401D3" w:rsidRDefault="005E27A0" w:rsidP="006401D3">
      <w:pPr>
        <w:pStyle w:val="texto"/>
      </w:pPr>
      <w:r>
        <w:t>Lan hau egitean eragin duten mugek honako alderdi hauekin daude lotuta:</w:t>
      </w:r>
    </w:p>
    <w:p w:rsidR="005E27A0" w:rsidRPr="006401D3"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NBOaren jarduketen azterketa: NBOak 2008ko eta 2009ko jardueren oro</w:t>
      </w:r>
      <w:r>
        <w:t>i</w:t>
      </w:r>
      <w:r>
        <w:t>tidazki bat eta 2014ko urtarrilean hasi eta 2015eko ekainera arteko aldiko ja</w:t>
      </w:r>
      <w:r>
        <w:t>r</w:t>
      </w:r>
      <w:r>
        <w:t>duketen laburpen bat eskuratu dizkigu. Gainerako urteetarako, ez dago oroit</w:t>
      </w:r>
      <w:r>
        <w:t>i</w:t>
      </w:r>
      <w:r>
        <w:t xml:space="preserve">dazkirik. </w:t>
      </w:r>
    </w:p>
    <w:p w:rsidR="005E27A0" w:rsidRDefault="005E27A0" w:rsidP="005E27A0">
      <w:pPr>
        <w:pStyle w:val="texto"/>
        <w:tabs>
          <w:tab w:val="clear" w:pos="2835"/>
          <w:tab w:val="clear" w:pos="3969"/>
          <w:tab w:val="clear" w:pos="5103"/>
          <w:tab w:val="clear" w:pos="6237"/>
          <w:tab w:val="clear" w:pos="7371"/>
          <w:tab w:val="left" w:pos="480"/>
          <w:tab w:val="num" w:pos="720"/>
          <w:tab w:val="num" w:pos="1320"/>
          <w:tab w:val="num" w:pos="1948"/>
        </w:tabs>
      </w:pPr>
      <w:r>
        <w:t>Gainera, emandako informazioek ez dute formatu bera, eta horrek zailtas</w:t>
      </w:r>
      <w:r>
        <w:t>u</w:t>
      </w:r>
      <w:r>
        <w:t xml:space="preserve">nak ekarri dizkigu eskuratutako datuak alderatzeko.  </w:t>
      </w:r>
    </w:p>
    <w:p w:rsidR="005E27A0" w:rsidRPr="006401D3" w:rsidRDefault="005E27A0" w:rsidP="006401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Jarduketen eraginkortasuna: NBOa barne hartzen duen aurrekontu-programak ez du ez helburu kuantifikaturik, ez adierazlerik, jarduketaren er</w:t>
      </w:r>
      <w:r>
        <w:t>a</w:t>
      </w:r>
      <w:r>
        <w:t>ginkortasuna eta efizientzia ebaluatzeko.</w:t>
      </w:r>
    </w:p>
    <w:p w:rsidR="005E27A0" w:rsidRDefault="005E27A0" w:rsidP="005E27A0">
      <w:pPr>
        <w:pStyle w:val="texto"/>
        <w:tabs>
          <w:tab w:val="clear" w:pos="2835"/>
          <w:tab w:val="clear" w:pos="3969"/>
          <w:tab w:val="clear" w:pos="5103"/>
          <w:tab w:val="clear" w:pos="6237"/>
          <w:tab w:val="clear" w:pos="7371"/>
          <w:tab w:val="left" w:pos="480"/>
          <w:tab w:val="num" w:pos="720"/>
          <w:tab w:val="num" w:pos="1320"/>
          <w:tab w:val="num" w:pos="1948"/>
        </w:tabs>
      </w:pPr>
      <w:r>
        <w:t>Halaber, NBOari esleitutako eginkizunetatik erator daitezkeen ondorioak neurtzen zailak dira, eta haien inpaktua ez da beti epe laburrekoa izanen. Ga</w:t>
      </w:r>
      <w:r>
        <w:t>i</w:t>
      </w:r>
      <w:r>
        <w:t>nera, NBOak garatutako jarduerei esker lortutako emaitzak Nafarroako Gobe</w:t>
      </w:r>
      <w:r>
        <w:t>r</w:t>
      </w:r>
      <w:r>
        <w:t>nuko beste departamentu batzuetan, toki entitateetan, enpresa pribatuetan eta abarretan nabarmenduko dira, ordezkaritzak aholkua eta informazioa eman b</w:t>
      </w:r>
      <w:r>
        <w:t>a</w:t>
      </w:r>
      <w:r>
        <w:t xml:space="preserve">die. </w:t>
      </w:r>
    </w:p>
    <w:p w:rsidR="00337982" w:rsidRDefault="00337982" w:rsidP="005E27A0">
      <w:pPr>
        <w:pStyle w:val="texto"/>
        <w:tabs>
          <w:tab w:val="clear" w:pos="2835"/>
          <w:tab w:val="clear" w:pos="3969"/>
          <w:tab w:val="clear" w:pos="5103"/>
          <w:tab w:val="clear" w:pos="6237"/>
          <w:tab w:val="clear" w:pos="7371"/>
          <w:tab w:val="left" w:pos="480"/>
          <w:tab w:val="num" w:pos="720"/>
          <w:tab w:val="num" w:pos="1320"/>
          <w:tab w:val="num" w:pos="1948"/>
        </w:tabs>
      </w:pPr>
      <w:r>
        <w:t>Halaber, kontuan hartu beharra dago NBOaren eginkizunak zuzenean lotuta daudela ukiezinen kudeaketarekin (harremanak ezartzea, Gobernuko langileei laguntza ematea, proiektuen finantzaketarako informazioa biltzea, lobbya eta abar).</w:t>
      </w:r>
    </w:p>
    <w:p w:rsidR="005E27A0" w:rsidRDefault="005E27A0" w:rsidP="005E27A0">
      <w:pPr>
        <w:pStyle w:val="texto"/>
        <w:tabs>
          <w:tab w:val="clear" w:pos="2835"/>
          <w:tab w:val="clear" w:pos="3969"/>
          <w:tab w:val="clear" w:pos="5103"/>
          <w:tab w:val="clear" w:pos="6237"/>
          <w:tab w:val="clear" w:pos="7371"/>
          <w:tab w:val="left" w:pos="480"/>
          <w:tab w:val="num" w:pos="1320"/>
          <w:tab w:val="num" w:pos="1948"/>
        </w:tabs>
      </w:pPr>
      <w:r>
        <w:lastRenderedPageBreak/>
        <w:t>Aurreko horrek guztiak nabarmen zailtzen du NBOaren jarduketen eragi</w:t>
      </w:r>
      <w:r>
        <w:t>n</w:t>
      </w:r>
      <w:r>
        <w:t xml:space="preserve">kortasunari buruzko ondorio bat ateratzea. </w:t>
      </w:r>
    </w:p>
    <w:p w:rsidR="005E27A0" w:rsidRPr="002C2BA4" w:rsidRDefault="005E27A0" w:rsidP="005E27A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pPr>
      <w:r>
        <w:t>NBOaren gastuen zenbatespena: egiaztatu dugu azterketaren xede den ald</w:t>
      </w:r>
      <w:r>
        <w:t>i</w:t>
      </w:r>
      <w:r>
        <w:t xml:space="preserve">rako NBOaren gastu-kontusail berariazkoak badaudela. Halaber, 2003an eta 2004ko zati batean, aurkitu dugu NBOaren bulegoaren alokairu-gastuak Kanpo Ekintzarako Zerbitzuaren kontusail batean kontabilizatu direla. </w:t>
      </w:r>
    </w:p>
    <w:p w:rsidR="006401D3" w:rsidRDefault="005E27A0" w:rsidP="006401D3">
      <w:pPr>
        <w:pStyle w:val="texto"/>
        <w:tabs>
          <w:tab w:val="clear" w:pos="2835"/>
          <w:tab w:val="clear" w:pos="3969"/>
          <w:tab w:val="clear" w:pos="5103"/>
          <w:tab w:val="clear" w:pos="6237"/>
          <w:tab w:val="clear" w:pos="7371"/>
          <w:tab w:val="left" w:pos="480"/>
          <w:tab w:val="num" w:pos="1320"/>
          <w:tab w:val="num" w:pos="1948"/>
        </w:tabs>
      </w:pPr>
      <w:r>
        <w:t>Ez dakigu NBOaren beste gasturik baden, beste kontusail batzuetan kontab</w:t>
      </w:r>
      <w:r>
        <w:t>i</w:t>
      </w:r>
      <w:r>
        <w:t>lizatu direnak. Hori gorabehera, uste dugu ez liratekeela munta handiko gastuak izanen, eta ez lituzketela aldatuko gure lanaren atal horri buruz lortutako ond</w:t>
      </w:r>
      <w:r>
        <w:t>o</w:t>
      </w:r>
      <w:r>
        <w:t>rioak.</w:t>
      </w:r>
    </w:p>
    <w:p w:rsidR="005E27A0" w:rsidRDefault="005E27A0" w:rsidP="006401D3">
      <w:pPr>
        <w:pStyle w:val="texto"/>
        <w:tabs>
          <w:tab w:val="clear" w:pos="2835"/>
          <w:tab w:val="clear" w:pos="3969"/>
          <w:tab w:val="clear" w:pos="5103"/>
          <w:tab w:val="clear" w:pos="6237"/>
          <w:tab w:val="clear" w:pos="7371"/>
          <w:tab w:val="left" w:pos="480"/>
          <w:tab w:val="num" w:pos="1320"/>
          <w:tab w:val="num" w:pos="1948"/>
        </w:tabs>
      </w:pPr>
      <w:r>
        <w:br w:type="page"/>
      </w:r>
    </w:p>
    <w:p w:rsidR="00972260" w:rsidRDefault="00972260" w:rsidP="00972260">
      <w:pPr>
        <w:pStyle w:val="atitulo1"/>
      </w:pPr>
      <w:bookmarkStart w:id="34" w:name="_Toc432757082"/>
      <w:bookmarkStart w:id="35" w:name="_Toc437411101"/>
      <w:bookmarkStart w:id="36" w:name="_Toc440523191"/>
      <w:bookmarkStart w:id="37" w:name="_Toc446402970"/>
      <w:r>
        <w:lastRenderedPageBreak/>
        <w:t>V. Ondorioak eta gomendioak</w:t>
      </w:r>
      <w:bookmarkEnd w:id="34"/>
      <w:bookmarkEnd w:id="35"/>
      <w:bookmarkEnd w:id="36"/>
      <w:bookmarkEnd w:id="37"/>
    </w:p>
    <w:p w:rsidR="00972260" w:rsidRDefault="00972260" w:rsidP="00972260">
      <w:pPr>
        <w:pStyle w:val="texto"/>
      </w:pPr>
      <w:r>
        <w:t>Ondoren, egindako lanetik heldu diren ondorio eta gomendio nagusiak au</w:t>
      </w:r>
      <w:r>
        <w:t>r</w:t>
      </w:r>
      <w:r>
        <w:t>keztuko ditugu:</w:t>
      </w:r>
    </w:p>
    <w:p w:rsidR="00972260" w:rsidRPr="00954F1F" w:rsidRDefault="00972260" w:rsidP="00972260">
      <w:pPr>
        <w:pStyle w:val="atitulo2"/>
      </w:pPr>
      <w:bookmarkStart w:id="38" w:name="_Toc430848039"/>
      <w:bookmarkStart w:id="39" w:name="_Toc431210966"/>
      <w:bookmarkStart w:id="40" w:name="_Toc431540920"/>
      <w:bookmarkStart w:id="41" w:name="_Toc431557231"/>
      <w:bookmarkStart w:id="42" w:name="_Toc431557269"/>
      <w:bookmarkStart w:id="43" w:name="_Toc432757083"/>
      <w:bookmarkStart w:id="44" w:name="_Toc437411102"/>
      <w:bookmarkStart w:id="45" w:name="_Toc440523192"/>
      <w:bookmarkStart w:id="46" w:name="_Toc446402971"/>
      <w:r>
        <w:t xml:space="preserve">V.1. Nafarroaren Bruselako ordezkaritzaren gastuaren </w:t>
      </w:r>
      <w:bookmarkEnd w:id="38"/>
      <w:bookmarkEnd w:id="39"/>
      <w:bookmarkEnd w:id="40"/>
      <w:bookmarkEnd w:id="41"/>
      <w:bookmarkEnd w:id="42"/>
      <w:bookmarkEnd w:id="43"/>
      <w:r>
        <w:t>bilakaera (2013-2014)</w:t>
      </w:r>
      <w:bookmarkEnd w:id="44"/>
      <w:bookmarkEnd w:id="45"/>
      <w:bookmarkEnd w:id="46"/>
      <w:r>
        <w:t xml:space="preserve"> </w:t>
      </w:r>
    </w:p>
    <w:p w:rsidR="00972260" w:rsidRDefault="00972260" w:rsidP="00972260">
      <w:pPr>
        <w:pStyle w:val="texto"/>
        <w:spacing w:after="240"/>
      </w:pPr>
      <w:r>
        <w:t>Hurrengo taulan, NBOaren gastuak 2003-2014 aldian izan duen bilakaera erakusten dugu:</w:t>
      </w:r>
    </w:p>
    <w:tbl>
      <w:tblPr>
        <w:tblW w:w="8885"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1324"/>
        <w:gridCol w:w="1559"/>
        <w:gridCol w:w="2221"/>
        <w:gridCol w:w="1890"/>
        <w:gridCol w:w="1891"/>
      </w:tblGrid>
      <w:tr w:rsidR="00972260" w:rsidRPr="00410F05" w:rsidTr="00BD5343">
        <w:trPr>
          <w:trHeight w:val="198"/>
          <w:jc w:val="center"/>
        </w:trPr>
        <w:tc>
          <w:tcPr>
            <w:tcW w:w="1324" w:type="dxa"/>
            <w:vMerge w:val="restart"/>
            <w:shd w:val="clear" w:color="auto" w:fill="8DB3E2" w:themeFill="text2" w:themeFillTint="66"/>
            <w:noWrap/>
            <w:vAlign w:val="center"/>
            <w:hideMark/>
          </w:tcPr>
          <w:p w:rsidR="00972260" w:rsidRPr="000F20D8" w:rsidRDefault="00972260" w:rsidP="00BD5343">
            <w:pPr>
              <w:spacing w:after="0"/>
              <w:ind w:firstLine="0"/>
              <w:jc w:val="left"/>
              <w:rPr>
                <w:rFonts w:ascii="Arial" w:hAnsi="Arial" w:cs="Arial"/>
                <w:color w:val="000000"/>
                <w:sz w:val="18"/>
                <w:szCs w:val="18"/>
              </w:rPr>
            </w:pPr>
            <w:r>
              <w:rPr>
                <w:rFonts w:ascii="Arial" w:hAnsi="Arial"/>
                <w:color w:val="000000"/>
                <w:sz w:val="18"/>
              </w:rPr>
              <w:t>Urtea</w:t>
            </w:r>
          </w:p>
        </w:tc>
        <w:tc>
          <w:tcPr>
            <w:tcW w:w="7561" w:type="dxa"/>
            <w:gridSpan w:val="4"/>
            <w:tcBorders>
              <w:top w:val="single" w:sz="4" w:space="0" w:color="auto"/>
              <w:bottom w:val="single" w:sz="2" w:space="0" w:color="auto"/>
            </w:tcBorders>
            <w:shd w:val="clear" w:color="auto" w:fill="8DB3E2" w:themeFill="text2" w:themeFillTint="66"/>
            <w:vAlign w:val="center"/>
          </w:tcPr>
          <w:p w:rsidR="00972260" w:rsidRPr="00410F05" w:rsidRDefault="00972260" w:rsidP="00972260">
            <w:pPr>
              <w:spacing w:after="0"/>
              <w:ind w:firstLine="0"/>
              <w:jc w:val="center"/>
              <w:rPr>
                <w:rFonts w:ascii="Arial" w:hAnsi="Arial" w:cs="Arial"/>
                <w:color w:val="000000"/>
                <w:sz w:val="18"/>
                <w:szCs w:val="18"/>
              </w:rPr>
            </w:pPr>
            <w:r>
              <w:rPr>
                <w:rFonts w:ascii="Arial" w:hAnsi="Arial"/>
                <w:color w:val="000000"/>
                <w:sz w:val="18"/>
              </w:rPr>
              <w:t>Aitortutako betebehar garbiak</w:t>
            </w:r>
          </w:p>
        </w:tc>
      </w:tr>
      <w:tr w:rsidR="00972260" w:rsidRPr="00410F05" w:rsidTr="00BD5343">
        <w:trPr>
          <w:trHeight w:val="198"/>
          <w:jc w:val="center"/>
        </w:trPr>
        <w:tc>
          <w:tcPr>
            <w:tcW w:w="1324" w:type="dxa"/>
            <w:vMerge/>
            <w:tcBorders>
              <w:bottom w:val="single" w:sz="4" w:space="0" w:color="auto"/>
            </w:tcBorders>
            <w:shd w:val="clear" w:color="auto" w:fill="8DB3E2" w:themeFill="text2" w:themeFillTint="66"/>
            <w:noWrap/>
            <w:vAlign w:val="center"/>
          </w:tcPr>
          <w:p w:rsidR="00972260" w:rsidRPr="00410F05" w:rsidRDefault="00972260" w:rsidP="00BD5343">
            <w:pPr>
              <w:spacing w:after="0"/>
              <w:ind w:firstLine="0"/>
              <w:jc w:val="left"/>
              <w:rPr>
                <w:rFonts w:ascii="Arial" w:hAnsi="Arial" w:cs="Arial"/>
                <w:color w:val="000000"/>
                <w:sz w:val="18"/>
                <w:szCs w:val="18"/>
              </w:rPr>
            </w:pPr>
          </w:p>
        </w:tc>
        <w:tc>
          <w:tcPr>
            <w:tcW w:w="1559"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rPr>
            </w:pPr>
            <w:r>
              <w:rPr>
                <w:rFonts w:ascii="Arial" w:hAnsi="Arial"/>
                <w:color w:val="000000"/>
                <w:sz w:val="18"/>
              </w:rPr>
              <w:t>Langile-gastuak</w:t>
            </w:r>
          </w:p>
        </w:tc>
        <w:tc>
          <w:tcPr>
            <w:tcW w:w="2221" w:type="dxa"/>
            <w:tcBorders>
              <w:top w:val="single" w:sz="2" w:space="0" w:color="auto"/>
              <w:bottom w:val="single" w:sz="4" w:space="0" w:color="auto"/>
            </w:tcBorders>
            <w:shd w:val="clear" w:color="auto" w:fill="8DB3E2" w:themeFill="text2" w:themeFillTint="66"/>
            <w:noWrap/>
            <w:vAlign w:val="center"/>
          </w:tcPr>
          <w:p w:rsidR="00972260" w:rsidRPr="00410F05" w:rsidRDefault="00972260" w:rsidP="00BD5343">
            <w:pPr>
              <w:spacing w:after="0"/>
              <w:ind w:firstLine="0"/>
              <w:jc w:val="right"/>
              <w:rPr>
                <w:rFonts w:ascii="Arial" w:hAnsi="Arial" w:cs="Arial"/>
                <w:color w:val="000000"/>
                <w:sz w:val="18"/>
                <w:szCs w:val="18"/>
              </w:rPr>
            </w:pPr>
            <w:r>
              <w:rPr>
                <w:rFonts w:ascii="Arial" w:hAnsi="Arial"/>
                <w:color w:val="000000"/>
                <w:sz w:val="18"/>
              </w:rPr>
              <w:t>Funtzionamendu gastuak</w:t>
            </w:r>
          </w:p>
        </w:tc>
        <w:tc>
          <w:tcPr>
            <w:tcW w:w="1890"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rPr>
            </w:pPr>
            <w:r>
              <w:rPr>
                <w:rFonts w:ascii="Arial" w:hAnsi="Arial"/>
                <w:color w:val="000000"/>
                <w:sz w:val="18"/>
              </w:rPr>
              <w:t>Alokairu-gastuak</w:t>
            </w:r>
          </w:p>
        </w:tc>
        <w:tc>
          <w:tcPr>
            <w:tcW w:w="1891" w:type="dxa"/>
            <w:tcBorders>
              <w:top w:val="single" w:sz="2" w:space="0" w:color="auto"/>
              <w:bottom w:val="single" w:sz="4" w:space="0" w:color="auto"/>
            </w:tcBorders>
            <w:shd w:val="clear" w:color="auto" w:fill="8DB3E2" w:themeFill="text2" w:themeFillTint="66"/>
            <w:vAlign w:val="center"/>
          </w:tcPr>
          <w:p w:rsidR="00972260" w:rsidRPr="00410F05" w:rsidRDefault="00972260" w:rsidP="00BD5343">
            <w:pPr>
              <w:spacing w:after="0"/>
              <w:ind w:firstLine="0"/>
              <w:jc w:val="right"/>
              <w:rPr>
                <w:rFonts w:ascii="Arial" w:hAnsi="Arial" w:cs="Arial"/>
                <w:color w:val="000000"/>
                <w:sz w:val="18"/>
                <w:szCs w:val="18"/>
              </w:rPr>
            </w:pPr>
            <w:r>
              <w:rPr>
                <w:rFonts w:ascii="Arial" w:hAnsi="Arial"/>
                <w:color w:val="000000"/>
                <w:sz w:val="18"/>
              </w:rPr>
              <w:t>Gastua, guztira</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2003</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102.446</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44.655</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57.125</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204.226</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2004</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105.485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39.943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57.147</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202.575</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2005</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109.597</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43.997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59.786</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213.380</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2006</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112.475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37.053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55.154</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204.682</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2007</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117.782</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45.607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75.078</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238.467</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2008</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123.785</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47.013</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65.194</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235.992</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2009</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128.871</w:t>
            </w:r>
          </w:p>
        </w:tc>
        <w:tc>
          <w:tcPr>
            <w:tcW w:w="2221" w:type="dxa"/>
            <w:tcBorders>
              <w:top w:val="single" w:sz="2" w:space="0" w:color="auto"/>
              <w:bottom w:val="single" w:sz="2" w:space="0" w:color="auto"/>
            </w:tcBorders>
            <w:shd w:val="clear" w:color="auto" w:fill="auto"/>
            <w:noWrap/>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46.774</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71.299</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246.944</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2010</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127.511</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55.646</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68.852</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252.009</w:t>
            </w:r>
          </w:p>
        </w:tc>
      </w:tr>
      <w:tr w:rsidR="00160DBF" w:rsidRPr="000F20D8" w:rsidTr="00DE268D">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2011</w:t>
            </w:r>
          </w:p>
        </w:tc>
        <w:tc>
          <w:tcPr>
            <w:tcW w:w="1559" w:type="dxa"/>
            <w:tcBorders>
              <w:top w:val="single" w:sz="2" w:space="0" w:color="auto"/>
              <w:bottom w:val="single" w:sz="2" w:space="0" w:color="auto"/>
            </w:tcBorders>
            <w:vAlign w:val="bottom"/>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126.448</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47.431</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71.650</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245.529</w:t>
            </w:r>
          </w:p>
        </w:tc>
      </w:tr>
      <w:tr w:rsidR="00160DBF" w:rsidRPr="000F20D8" w:rsidTr="00BD5343">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2012</w:t>
            </w:r>
          </w:p>
        </w:tc>
        <w:tc>
          <w:tcPr>
            <w:tcW w:w="1559"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121.077</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32.208</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76.730</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230.015</w:t>
            </w:r>
          </w:p>
        </w:tc>
      </w:tr>
      <w:tr w:rsidR="00160DBF" w:rsidRPr="000F20D8" w:rsidTr="00BD5343">
        <w:trPr>
          <w:trHeight w:val="198"/>
          <w:jc w:val="center"/>
        </w:trPr>
        <w:tc>
          <w:tcPr>
            <w:tcW w:w="1324" w:type="dxa"/>
            <w:tcBorders>
              <w:top w:val="single" w:sz="2" w:space="0" w:color="auto"/>
              <w:bottom w:val="single" w:sz="2"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2013</w:t>
            </w:r>
          </w:p>
        </w:tc>
        <w:tc>
          <w:tcPr>
            <w:tcW w:w="1559"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104.403</w:t>
            </w:r>
          </w:p>
        </w:tc>
        <w:tc>
          <w:tcPr>
            <w:tcW w:w="2221" w:type="dxa"/>
            <w:tcBorders>
              <w:top w:val="single" w:sz="2" w:space="0" w:color="auto"/>
              <w:bottom w:val="single" w:sz="2"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20.667</w:t>
            </w:r>
          </w:p>
        </w:tc>
        <w:tc>
          <w:tcPr>
            <w:tcW w:w="1890"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32.123</w:t>
            </w:r>
          </w:p>
        </w:tc>
        <w:tc>
          <w:tcPr>
            <w:tcW w:w="1891" w:type="dxa"/>
            <w:tcBorders>
              <w:top w:val="single" w:sz="2" w:space="0" w:color="auto"/>
              <w:bottom w:val="single" w:sz="2"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157.193</w:t>
            </w:r>
          </w:p>
        </w:tc>
      </w:tr>
      <w:tr w:rsidR="00160DBF" w:rsidRPr="000F20D8" w:rsidTr="00BD5343">
        <w:trPr>
          <w:trHeight w:val="198"/>
          <w:jc w:val="center"/>
        </w:trPr>
        <w:tc>
          <w:tcPr>
            <w:tcW w:w="1324" w:type="dxa"/>
            <w:tcBorders>
              <w:top w:val="single" w:sz="2" w:space="0" w:color="auto"/>
              <w:bottom w:val="single" w:sz="4" w:space="0" w:color="auto"/>
            </w:tcBorders>
            <w:shd w:val="clear" w:color="auto" w:fill="auto"/>
            <w:noWrap/>
            <w:vAlign w:val="center"/>
            <w:hideMark/>
          </w:tcPr>
          <w:p w:rsidR="00160DBF" w:rsidRPr="000F20D8" w:rsidRDefault="00160DBF" w:rsidP="00BD5343">
            <w:pPr>
              <w:spacing w:after="0"/>
              <w:ind w:firstLine="0"/>
              <w:jc w:val="left"/>
              <w:rPr>
                <w:rFonts w:ascii="Arial Narrow" w:hAnsi="Arial Narrow" w:cs="Arial"/>
                <w:color w:val="000000"/>
              </w:rPr>
            </w:pPr>
            <w:r>
              <w:rPr>
                <w:rFonts w:ascii="Arial Narrow" w:hAnsi="Arial Narrow"/>
                <w:color w:val="000000"/>
              </w:rPr>
              <w:t>2014</w:t>
            </w:r>
          </w:p>
        </w:tc>
        <w:tc>
          <w:tcPr>
            <w:tcW w:w="1559"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133.594</w:t>
            </w:r>
          </w:p>
        </w:tc>
        <w:tc>
          <w:tcPr>
            <w:tcW w:w="2221" w:type="dxa"/>
            <w:tcBorders>
              <w:top w:val="single" w:sz="2" w:space="0" w:color="auto"/>
              <w:bottom w:val="single" w:sz="4" w:space="0" w:color="auto"/>
            </w:tcBorders>
            <w:shd w:val="clear" w:color="auto" w:fill="auto"/>
            <w:noWrap/>
            <w:vAlign w:val="center"/>
            <w:hideMark/>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21.103</w:t>
            </w:r>
          </w:p>
        </w:tc>
        <w:tc>
          <w:tcPr>
            <w:tcW w:w="1890"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w:t>
            </w:r>
          </w:p>
        </w:tc>
        <w:tc>
          <w:tcPr>
            <w:tcW w:w="1891" w:type="dxa"/>
            <w:tcBorders>
              <w:top w:val="single" w:sz="2" w:space="0" w:color="auto"/>
              <w:bottom w:val="single" w:sz="4" w:space="0" w:color="auto"/>
            </w:tcBorders>
            <w:vAlign w:val="center"/>
          </w:tcPr>
          <w:p w:rsidR="00160DBF" w:rsidRPr="00160DBF" w:rsidRDefault="00160DBF" w:rsidP="00160DBF">
            <w:pPr>
              <w:spacing w:after="0"/>
              <w:ind w:firstLine="0"/>
              <w:jc w:val="right"/>
              <w:rPr>
                <w:rFonts w:ascii="Arial Narrow" w:hAnsi="Arial Narrow" w:cs="Arial"/>
                <w:color w:val="000000"/>
              </w:rPr>
            </w:pPr>
            <w:r>
              <w:rPr>
                <w:rFonts w:ascii="Arial Narrow" w:hAnsi="Arial Narrow"/>
                <w:color w:val="000000"/>
              </w:rPr>
              <w:t>154.697</w:t>
            </w:r>
          </w:p>
        </w:tc>
      </w:tr>
      <w:tr w:rsidR="00160DBF" w:rsidRPr="00F7218F" w:rsidTr="00BD5343">
        <w:trPr>
          <w:trHeight w:val="255"/>
          <w:jc w:val="center"/>
        </w:trPr>
        <w:tc>
          <w:tcPr>
            <w:tcW w:w="1324" w:type="dxa"/>
            <w:tcBorders>
              <w:top w:val="single" w:sz="4" w:space="0" w:color="auto"/>
              <w:bottom w:val="single" w:sz="4" w:space="0" w:color="auto"/>
            </w:tcBorders>
            <w:shd w:val="clear" w:color="auto" w:fill="8DB3E2" w:themeFill="text2" w:themeFillTint="66"/>
            <w:noWrap/>
            <w:vAlign w:val="center"/>
          </w:tcPr>
          <w:p w:rsidR="00160DBF" w:rsidRPr="00F7218F" w:rsidRDefault="00160DBF" w:rsidP="00BD5343">
            <w:pPr>
              <w:spacing w:after="0"/>
              <w:ind w:firstLine="0"/>
              <w:jc w:val="left"/>
              <w:rPr>
                <w:rFonts w:ascii="Arial" w:hAnsi="Arial" w:cs="Arial"/>
                <w:color w:val="000000"/>
                <w:sz w:val="18"/>
                <w:szCs w:val="18"/>
              </w:rPr>
            </w:pPr>
            <w:r>
              <w:rPr>
                <w:rFonts w:ascii="Arial" w:hAnsi="Arial"/>
                <w:color w:val="000000"/>
                <w:sz w:val="18"/>
              </w:rPr>
              <w:t>Guztira</w:t>
            </w:r>
          </w:p>
        </w:tc>
        <w:tc>
          <w:tcPr>
            <w:tcW w:w="1559"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rPr>
            </w:pPr>
            <w:r>
              <w:rPr>
                <w:rFonts w:ascii="Arial" w:hAnsi="Arial"/>
                <w:color w:val="000000"/>
                <w:sz w:val="18"/>
              </w:rPr>
              <w:t>1.413.474</w:t>
            </w:r>
          </w:p>
        </w:tc>
        <w:tc>
          <w:tcPr>
            <w:tcW w:w="2221" w:type="dxa"/>
            <w:tcBorders>
              <w:top w:val="single" w:sz="4" w:space="0" w:color="auto"/>
              <w:bottom w:val="single" w:sz="4" w:space="0" w:color="auto"/>
            </w:tcBorders>
            <w:shd w:val="clear" w:color="auto" w:fill="8DB3E2" w:themeFill="text2" w:themeFillTint="66"/>
            <w:noWrap/>
            <w:vAlign w:val="center"/>
          </w:tcPr>
          <w:p w:rsidR="00160DBF" w:rsidRPr="00160DBF" w:rsidRDefault="00160DBF" w:rsidP="00160DBF">
            <w:pPr>
              <w:spacing w:after="0"/>
              <w:ind w:firstLine="0"/>
              <w:jc w:val="right"/>
              <w:rPr>
                <w:rFonts w:ascii="Arial" w:hAnsi="Arial" w:cs="Arial"/>
                <w:color w:val="000000"/>
                <w:sz w:val="18"/>
                <w:szCs w:val="18"/>
              </w:rPr>
            </w:pPr>
            <w:r>
              <w:rPr>
                <w:rFonts w:ascii="Arial" w:hAnsi="Arial"/>
                <w:color w:val="000000"/>
                <w:sz w:val="18"/>
              </w:rPr>
              <w:t>482.097</w:t>
            </w:r>
          </w:p>
        </w:tc>
        <w:tc>
          <w:tcPr>
            <w:tcW w:w="1890"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rPr>
            </w:pPr>
            <w:r>
              <w:rPr>
                <w:rFonts w:ascii="Arial" w:hAnsi="Arial"/>
                <w:color w:val="000000"/>
                <w:sz w:val="18"/>
              </w:rPr>
              <w:t>690.138</w:t>
            </w:r>
          </w:p>
        </w:tc>
        <w:tc>
          <w:tcPr>
            <w:tcW w:w="1891" w:type="dxa"/>
            <w:tcBorders>
              <w:top w:val="single" w:sz="4" w:space="0" w:color="auto"/>
              <w:bottom w:val="single" w:sz="4" w:space="0" w:color="auto"/>
            </w:tcBorders>
            <w:shd w:val="clear" w:color="auto" w:fill="8DB3E2" w:themeFill="text2" w:themeFillTint="66"/>
            <w:vAlign w:val="center"/>
          </w:tcPr>
          <w:p w:rsidR="00160DBF" w:rsidRPr="00160DBF" w:rsidRDefault="00160DBF" w:rsidP="00160DBF">
            <w:pPr>
              <w:spacing w:after="0"/>
              <w:ind w:firstLine="0"/>
              <w:jc w:val="right"/>
              <w:rPr>
                <w:rFonts w:ascii="Arial" w:hAnsi="Arial" w:cs="Arial"/>
                <w:color w:val="000000"/>
                <w:sz w:val="18"/>
                <w:szCs w:val="18"/>
              </w:rPr>
            </w:pPr>
            <w:r>
              <w:rPr>
                <w:rFonts w:ascii="Arial" w:hAnsi="Arial"/>
                <w:color w:val="000000"/>
                <w:sz w:val="18"/>
              </w:rPr>
              <w:t>2.585.709</w:t>
            </w:r>
          </w:p>
        </w:tc>
      </w:tr>
    </w:tbl>
    <w:p w:rsidR="00045B84" w:rsidRDefault="00972260" w:rsidP="00BD5343">
      <w:pPr>
        <w:pStyle w:val="texto"/>
        <w:spacing w:before="240"/>
      </w:pPr>
      <w:r>
        <w:t>Ikusten den bezala, aztertutako aldian NBOaren gastuek 2,6 milioi euro egin dute, batez besteko 215.476 urteko gastuarekin. Langile-gastuak guztizko ga</w:t>
      </w:r>
      <w:r>
        <w:t>s</w:t>
      </w:r>
      <w:r>
        <w:t xml:space="preserve">tuaren ehuneko 55 dira; alokairu-gastuak ehuneko 27 dira, eta funtzionamendu gastuek gainerako ehuneko 18a egiten dute. </w:t>
      </w:r>
    </w:p>
    <w:p w:rsidR="00045B84" w:rsidRDefault="00045B84" w:rsidP="00B17D34">
      <w:pPr>
        <w:pStyle w:val="texto"/>
        <w:tabs>
          <w:tab w:val="clear" w:pos="2835"/>
          <w:tab w:val="clear" w:pos="3969"/>
          <w:tab w:val="clear" w:pos="5103"/>
          <w:tab w:val="clear" w:pos="6237"/>
          <w:tab w:val="clear" w:pos="7371"/>
        </w:tabs>
        <w:spacing w:before="240"/>
      </w:pPr>
      <w:r>
        <w:t xml:space="preserve">Nabarmentzekoa da guztizko gastuak 2013an eta 2014an behera egin duela aurreko urtetako gastuaren aldean, funtsean 2013ko jaitsiera nabarmenarengatik eta 2014an alokairu-gastua desagertzeagatik. </w:t>
      </w:r>
    </w:p>
    <w:p w:rsidR="00972260" w:rsidRDefault="00972260" w:rsidP="00BD5343">
      <w:pPr>
        <w:pStyle w:val="texto"/>
      </w:pPr>
      <w:r>
        <w:t>Azterketaren xede den aldiko funtzionamendu gastuen ehuneko 94 justifikatu beharreko funtsen sistemaren bidez arautu da; eta gainerako ehuneko seia k</w:t>
      </w:r>
      <w:r>
        <w:t>a</w:t>
      </w:r>
      <w:r>
        <w:t xml:space="preserve">suko zuzendaritza nagusiak zuzenean baimendutako gastuak dira. </w:t>
      </w:r>
    </w:p>
    <w:p w:rsidR="00972260" w:rsidRDefault="00972260" w:rsidP="00BD5343">
      <w:pPr>
        <w:pStyle w:val="texto"/>
      </w:pPr>
      <w:r>
        <w:t>Justifikatu beharreko funtsei dagokienez, NBOak jasandako gastuen labu</w:t>
      </w:r>
      <w:r>
        <w:t>r</w:t>
      </w:r>
      <w:r>
        <w:t>pen bat igortzen dio aldizka Nafarroako Gobernuari, jatorrizko fakturarekin, banku-laburpenekin eta ordezkaritzako arduradunak emandako ordainketa-baimenarekin. Ekonomian eskuduna den departamentuak fakturak gastuen l</w:t>
      </w:r>
      <w:r>
        <w:t>a</w:t>
      </w:r>
      <w:r>
        <w:t xml:space="preserve">burpenarekin eta banku-laburpenekin alderatzen ditu. </w:t>
      </w:r>
    </w:p>
    <w:p w:rsidR="00BD5343" w:rsidRDefault="00BD5343" w:rsidP="00B64D7F">
      <w:pPr>
        <w:pStyle w:val="texto"/>
      </w:pPr>
      <w:r>
        <w:t>Halaber, kontu-hartzailetzak laginketak egiten ditu aldez aurreko fiskalizaz</w:t>
      </w:r>
      <w:r>
        <w:t>i</w:t>
      </w:r>
      <w:r>
        <w:t xml:space="preserve">oari lotuta ez dauden gastu txikiei buruz; horien artean, Kanpo Ekintzarako Zerbitzuak zuzenean baimendutako gastuak egon daitezke. </w:t>
      </w:r>
      <w:r>
        <w:br w:type="page"/>
      </w:r>
    </w:p>
    <w:p w:rsidR="00B45056" w:rsidRPr="00051744" w:rsidRDefault="00B45056" w:rsidP="00B45056">
      <w:pPr>
        <w:pStyle w:val="atitulo2"/>
        <w:rPr>
          <w:i/>
        </w:rPr>
      </w:pPr>
      <w:bookmarkStart w:id="47" w:name="_Toc430848038"/>
      <w:bookmarkStart w:id="48" w:name="_Toc431210965"/>
      <w:bookmarkStart w:id="49" w:name="_Toc431540919"/>
      <w:bookmarkStart w:id="50" w:name="_Toc431557230"/>
      <w:bookmarkStart w:id="51" w:name="_Toc431557268"/>
      <w:bookmarkStart w:id="52" w:name="_Toc432757084"/>
      <w:bookmarkStart w:id="53" w:name="_Toc437411103"/>
      <w:bookmarkStart w:id="54" w:name="_Toc440523193"/>
      <w:bookmarkStart w:id="55" w:name="_Toc446402972"/>
      <w:r>
        <w:lastRenderedPageBreak/>
        <w:t xml:space="preserve">V.2. </w:t>
      </w:r>
      <w:bookmarkEnd w:id="47"/>
      <w:bookmarkEnd w:id="48"/>
      <w:bookmarkEnd w:id="49"/>
      <w:bookmarkEnd w:id="50"/>
      <w:bookmarkEnd w:id="51"/>
      <w:bookmarkEnd w:id="52"/>
      <w:r>
        <w:t>NBOaren gastuen azterketa</w:t>
      </w:r>
      <w:bookmarkEnd w:id="53"/>
      <w:bookmarkEnd w:id="54"/>
      <w:bookmarkEnd w:id="55"/>
    </w:p>
    <w:p w:rsidR="00B45056" w:rsidRDefault="00B45056" w:rsidP="00B45056">
      <w:pPr>
        <w:pStyle w:val="texto"/>
      </w:pPr>
      <w:r>
        <w:t xml:space="preserve">Egiaztatu dugu aztertutako laginean, NBOaren gastu guztiek osatzen duten horretan, 2011-2014 aldiko gastu guztiak justifikatuta eta oinarrituta daudela, eta egoki kontabilizatu eta izapidetu direla. </w:t>
      </w:r>
    </w:p>
    <w:p w:rsidR="00B45056" w:rsidRDefault="00B45056" w:rsidP="00B45056">
      <w:pPr>
        <w:pStyle w:val="texto"/>
      </w:pPr>
      <w:r>
        <w:t>Egindako fiskalizaziotik hainbat alderdi nabarmendu nahi ditugu. Hona:</w:t>
      </w:r>
    </w:p>
    <w:p w:rsidR="00B45056" w:rsidRPr="00B459C9" w:rsidRDefault="00B45056" w:rsidP="00B459C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80" w:after="180"/>
        <w:ind w:left="0" w:firstLine="289"/>
        <w:rPr>
          <w:rFonts w:cs="Arial"/>
        </w:rPr>
      </w:pPr>
      <w:r>
        <w:t>NBOaren funtzionamendu gastuak, justifikatu beharreko funtsen sistem</w:t>
      </w:r>
      <w:r>
        <w:t>a</w:t>
      </w:r>
      <w:r>
        <w:t xml:space="preserve">ren bidezkoak, honako kontzeptu hauen arabera sailka daitezke: </w:t>
      </w:r>
    </w:p>
    <w:tbl>
      <w:tblPr>
        <w:tblW w:w="8725" w:type="dxa"/>
        <w:jc w:val="center"/>
        <w:tblCellMar>
          <w:left w:w="70" w:type="dxa"/>
          <w:right w:w="70" w:type="dxa"/>
        </w:tblCellMar>
        <w:tblLook w:val="04A0" w:firstRow="1" w:lastRow="0" w:firstColumn="1" w:lastColumn="0" w:noHBand="0" w:noVBand="1"/>
      </w:tblPr>
      <w:tblGrid>
        <w:gridCol w:w="3961"/>
        <w:gridCol w:w="733"/>
        <w:gridCol w:w="733"/>
        <w:gridCol w:w="733"/>
        <w:gridCol w:w="733"/>
        <w:gridCol w:w="851"/>
        <w:gridCol w:w="1072"/>
      </w:tblGrid>
      <w:tr w:rsidR="00B45056" w:rsidRPr="00DB0015" w:rsidTr="00B459C9">
        <w:trPr>
          <w:trHeight w:val="198"/>
          <w:jc w:val="center"/>
        </w:trPr>
        <w:tc>
          <w:tcPr>
            <w:tcW w:w="3961"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firstLine="0"/>
              <w:jc w:val="left"/>
              <w:rPr>
                <w:rFonts w:ascii="Arial" w:hAnsi="Arial" w:cs="Arial"/>
                <w:sz w:val="18"/>
                <w:szCs w:val="18"/>
              </w:rPr>
            </w:pPr>
            <w:r>
              <w:rPr>
                <w:rFonts w:ascii="Arial" w:hAnsi="Arial"/>
                <w:sz w:val="18"/>
              </w:rPr>
              <w:t>Kontzeptua</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rPr>
            </w:pPr>
            <w:r>
              <w:rPr>
                <w:rFonts w:ascii="Arial" w:hAnsi="Arial"/>
                <w:sz w:val="18"/>
              </w:rPr>
              <w:t>2011</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rPr>
            </w:pPr>
            <w:r>
              <w:rPr>
                <w:rFonts w:ascii="Arial" w:hAnsi="Arial"/>
                <w:sz w:val="18"/>
              </w:rPr>
              <w:t>2012</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rPr>
            </w:pPr>
            <w:r>
              <w:rPr>
                <w:rFonts w:ascii="Arial" w:hAnsi="Arial"/>
                <w:sz w:val="18"/>
              </w:rPr>
              <w:t>2013</w:t>
            </w:r>
          </w:p>
        </w:tc>
        <w:tc>
          <w:tcPr>
            <w:tcW w:w="733" w:type="dxa"/>
            <w:vMerge w:val="restart"/>
            <w:tcBorders>
              <w:top w:val="single" w:sz="4"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sz w:val="18"/>
                <w:szCs w:val="18"/>
              </w:rPr>
            </w:pPr>
            <w:r>
              <w:rPr>
                <w:rFonts w:ascii="Arial" w:hAnsi="Arial"/>
                <w:sz w:val="18"/>
              </w:rPr>
              <w:t>2014</w:t>
            </w:r>
          </w:p>
        </w:tc>
        <w:tc>
          <w:tcPr>
            <w:tcW w:w="1832" w:type="dxa"/>
            <w:gridSpan w:val="2"/>
            <w:tcBorders>
              <w:top w:val="single" w:sz="4" w:space="0" w:color="auto"/>
              <w:bottom w:val="single" w:sz="2" w:space="0" w:color="auto"/>
            </w:tcBorders>
            <w:shd w:val="clear" w:color="auto" w:fill="8DB3E2" w:themeFill="text2" w:themeFillTint="66"/>
            <w:noWrap/>
            <w:vAlign w:val="center"/>
            <w:hideMark/>
          </w:tcPr>
          <w:p w:rsidR="00B45056" w:rsidRPr="00DB0015" w:rsidRDefault="00B45056" w:rsidP="00B45056">
            <w:pPr>
              <w:spacing w:after="0"/>
              <w:ind w:firstLine="0"/>
              <w:jc w:val="center"/>
              <w:rPr>
                <w:rFonts w:ascii="Arial" w:hAnsi="Arial" w:cs="Arial"/>
                <w:sz w:val="18"/>
                <w:szCs w:val="18"/>
              </w:rPr>
            </w:pPr>
            <w:r>
              <w:rPr>
                <w:rFonts w:ascii="Arial" w:hAnsi="Arial"/>
                <w:sz w:val="18"/>
              </w:rPr>
              <w:t>Guztira, 2011-2014</w:t>
            </w:r>
          </w:p>
        </w:tc>
      </w:tr>
      <w:tr w:rsidR="00B45056" w:rsidRPr="00DB0015" w:rsidTr="00B459C9">
        <w:trPr>
          <w:trHeight w:val="198"/>
          <w:jc w:val="center"/>
        </w:trPr>
        <w:tc>
          <w:tcPr>
            <w:tcW w:w="3961"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056">
            <w:pPr>
              <w:spacing w:after="0"/>
              <w:ind w:firstLine="0"/>
              <w:jc w:val="left"/>
              <w:rPr>
                <w:rFonts w:ascii="Arial" w:hAnsi="Arial" w:cs="Arial"/>
                <w:sz w:val="18"/>
                <w:szCs w:val="18"/>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rPr>
            </w:pPr>
          </w:p>
        </w:tc>
        <w:tc>
          <w:tcPr>
            <w:tcW w:w="733" w:type="dxa"/>
            <w:vMerge/>
            <w:tcBorders>
              <w:top w:val="single" w:sz="4" w:space="0" w:color="auto"/>
              <w:bottom w:val="single" w:sz="4" w:space="0" w:color="auto"/>
            </w:tcBorders>
            <w:shd w:val="clear" w:color="auto" w:fill="8DB3E2" w:themeFill="text2" w:themeFillTint="66"/>
            <w:vAlign w:val="center"/>
            <w:hideMark/>
          </w:tcPr>
          <w:p w:rsidR="00B45056" w:rsidRPr="00DB0015" w:rsidRDefault="00B45056" w:rsidP="00B459C9">
            <w:pPr>
              <w:spacing w:after="0"/>
              <w:ind w:left="-94" w:right="-48" w:firstLine="0"/>
              <w:jc w:val="right"/>
              <w:rPr>
                <w:rFonts w:ascii="Arial" w:hAnsi="Arial" w:cs="Arial"/>
                <w:sz w:val="18"/>
                <w:szCs w:val="18"/>
              </w:rPr>
            </w:pPr>
          </w:p>
        </w:tc>
        <w:tc>
          <w:tcPr>
            <w:tcW w:w="851" w:type="dxa"/>
            <w:tcBorders>
              <w:top w:val="single" w:sz="2"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sz w:val="18"/>
                <w:szCs w:val="18"/>
              </w:rPr>
            </w:pPr>
            <w:r>
              <w:rPr>
                <w:rFonts w:ascii="Arial" w:hAnsi="Arial"/>
                <w:sz w:val="18"/>
              </w:rPr>
              <w:t>Kopurua</w:t>
            </w:r>
          </w:p>
        </w:tc>
        <w:tc>
          <w:tcPr>
            <w:tcW w:w="981" w:type="dxa"/>
            <w:tcBorders>
              <w:top w:val="single" w:sz="2" w:space="0" w:color="auto"/>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sz w:val="18"/>
                <w:szCs w:val="18"/>
              </w:rPr>
            </w:pPr>
            <w:r>
              <w:rPr>
                <w:rFonts w:ascii="Arial" w:hAnsi="Arial"/>
                <w:sz w:val="18"/>
              </w:rPr>
              <w:t>Guztizkoaren gaineko %</w:t>
            </w:r>
          </w:p>
        </w:tc>
      </w:tr>
      <w:tr w:rsidR="00B45056" w:rsidRPr="00DB0015" w:rsidTr="00B459C9">
        <w:trPr>
          <w:trHeight w:val="198"/>
          <w:jc w:val="center"/>
        </w:trPr>
        <w:tc>
          <w:tcPr>
            <w:tcW w:w="3961" w:type="dxa"/>
            <w:tcBorders>
              <w:top w:val="single" w:sz="4"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Kanonak eta tasak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1.789</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1.789</w:t>
            </w:r>
          </w:p>
        </w:tc>
        <w:tc>
          <w:tcPr>
            <w:tcW w:w="981" w:type="dxa"/>
            <w:tcBorders>
              <w:top w:val="single" w:sz="4"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1,6</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Ezin inbentaria daitekeen bulego materiala eta m</w:t>
            </w:r>
            <w:r>
              <w:rPr>
                <w:rFonts w:ascii="Arial Narrow" w:hAnsi="Arial Narrow"/>
              </w:rPr>
              <w:t>a</w:t>
            </w:r>
            <w:r>
              <w:rPr>
                <w:rFonts w:ascii="Arial Narrow" w:hAnsi="Arial Narrow"/>
              </w:rPr>
              <w:t xml:space="preserve">terial informatikoa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838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602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1.439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Prentsa, aldizkariak, liburuak eta bestelako argita</w:t>
            </w:r>
            <w:r>
              <w:rPr>
                <w:rFonts w:ascii="Arial Narrow" w:hAnsi="Arial Narrow"/>
              </w:rPr>
              <w:t>l</w:t>
            </w:r>
            <w:r>
              <w:rPr>
                <w:rFonts w:ascii="Arial Narrow" w:hAnsi="Arial Narrow"/>
              </w:rPr>
              <w:t>penak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3.393</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2.038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1.690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7.121</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6,3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Elikagaiak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86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315</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410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Bestelako hornidura bereziak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1.175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245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1.420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Telefono, posta, telegrama, telex eta telefax bidezko komunikazioak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3.422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1.938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994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1.446</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7.800</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6,9</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Komunikazioak eta datuen transmisioa</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4.274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4.336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66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549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9.225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8,1</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Garraio-gastuak eta pleitak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574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328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208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139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1.249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1,1</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Eraikin eta lokaletako aseguru-primak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109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116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225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Aseguru-primak Bestelako ibilgetua</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231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236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467</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Protokoloko eta ordezkaritza-lanetako eginkizunak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1.804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1.047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271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979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4.102</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3,6</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Bestelako gastu askotarikoak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7.716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7.725</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2.700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2.725</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20.866</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18,3</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Garbiketa eta txukuntasun zerbitzuak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3.956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3.391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7.347</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6,5</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Informatika zerbitzuak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787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61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997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61</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1.904</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1,7</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 xml:space="preserve">Segurtasun-zerbitzuak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503</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552</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1.055</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0,9</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4E1381">
            <w:pPr>
              <w:spacing w:after="0"/>
              <w:ind w:firstLine="0"/>
              <w:jc w:val="left"/>
              <w:rPr>
                <w:rFonts w:ascii="Arial Narrow" w:hAnsi="Arial Narrow"/>
              </w:rPr>
            </w:pPr>
            <w:r>
              <w:rPr>
                <w:rFonts w:ascii="Arial Narrow" w:hAnsi="Arial Narrow"/>
              </w:rPr>
              <w:t>Catering zerbitzuak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6.298</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1.121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350</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7.769</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6,8</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Hirugarrenek eginiko bestelako lanak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264</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264</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0,2</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Energia elektrikoa</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4.070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1.121</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-159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5.032</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4,4</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Garbiketarako materiala</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780</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187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966</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0,8</w:t>
            </w:r>
          </w:p>
        </w:tc>
      </w:tr>
      <w:tr w:rsidR="00B45056" w:rsidRPr="00DB0015" w:rsidTr="00B459C9">
        <w:trPr>
          <w:trHeight w:val="198"/>
          <w:jc w:val="center"/>
        </w:trPr>
        <w:tc>
          <w:tcPr>
            <w:tcW w:w="3961" w:type="dxa"/>
            <w:tcBorders>
              <w:top w:val="single" w:sz="2" w:space="0" w:color="auto"/>
              <w:bottom w:val="single" w:sz="2"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Dietak, lokomozioa eta bidaia-gastuak</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5.627</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4.919</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576</w:t>
            </w:r>
          </w:p>
        </w:tc>
        <w:tc>
          <w:tcPr>
            <w:tcW w:w="733"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5.009</w:t>
            </w:r>
          </w:p>
        </w:tc>
        <w:tc>
          <w:tcPr>
            <w:tcW w:w="85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16.131</w:t>
            </w:r>
          </w:p>
        </w:tc>
        <w:tc>
          <w:tcPr>
            <w:tcW w:w="981" w:type="dxa"/>
            <w:tcBorders>
              <w:top w:val="single" w:sz="2" w:space="0" w:color="auto"/>
              <w:bottom w:val="single" w:sz="2"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14,2</w:t>
            </w:r>
          </w:p>
        </w:tc>
      </w:tr>
      <w:tr w:rsidR="00B45056" w:rsidRPr="00DB0015" w:rsidTr="00B459C9">
        <w:trPr>
          <w:trHeight w:val="198"/>
          <w:jc w:val="center"/>
        </w:trPr>
        <w:tc>
          <w:tcPr>
            <w:tcW w:w="3961" w:type="dxa"/>
            <w:tcBorders>
              <w:top w:val="single" w:sz="2" w:space="0" w:color="auto"/>
              <w:bottom w:val="single" w:sz="4" w:space="0" w:color="auto"/>
            </w:tcBorders>
            <w:shd w:val="clear" w:color="auto" w:fill="auto"/>
            <w:noWrap/>
            <w:vAlign w:val="center"/>
            <w:hideMark/>
          </w:tcPr>
          <w:p w:rsidR="00B45056" w:rsidRPr="00DB0015" w:rsidRDefault="00B45056" w:rsidP="00B45056">
            <w:pPr>
              <w:spacing w:after="0"/>
              <w:ind w:firstLine="0"/>
              <w:jc w:val="left"/>
              <w:rPr>
                <w:rFonts w:ascii="Arial Narrow" w:hAnsi="Arial Narrow"/>
              </w:rPr>
            </w:pPr>
            <w:r>
              <w:rPr>
                <w:rFonts w:ascii="Arial Narrow" w:hAnsi="Arial Narrow"/>
              </w:rPr>
              <w:t>Espainiaren EBko Ordezkaritza Iraunkorra</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 </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8.400</w:t>
            </w:r>
          </w:p>
        </w:tc>
        <w:tc>
          <w:tcPr>
            <w:tcW w:w="733"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48" w:firstLine="0"/>
              <w:jc w:val="right"/>
              <w:rPr>
                <w:rFonts w:ascii="Arial Narrow" w:hAnsi="Arial Narrow"/>
              </w:rPr>
            </w:pPr>
            <w:r>
              <w:rPr>
                <w:rFonts w:ascii="Arial Narrow" w:hAnsi="Arial Narrow"/>
              </w:rPr>
              <w:t>8.829</w:t>
            </w:r>
          </w:p>
        </w:tc>
        <w:tc>
          <w:tcPr>
            <w:tcW w:w="851"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rPr>
            </w:pPr>
            <w:r>
              <w:rPr>
                <w:rFonts w:ascii="Arial Narrow" w:hAnsi="Arial Narrow"/>
              </w:rPr>
              <w:t>17.229</w:t>
            </w:r>
          </w:p>
        </w:tc>
        <w:tc>
          <w:tcPr>
            <w:tcW w:w="981" w:type="dxa"/>
            <w:tcBorders>
              <w:top w:val="single" w:sz="2" w:space="0" w:color="auto"/>
              <w:bottom w:val="single" w:sz="4" w:space="0" w:color="auto"/>
            </w:tcBorders>
            <w:shd w:val="clear" w:color="auto" w:fill="auto"/>
            <w:noWrap/>
            <w:vAlign w:val="center"/>
            <w:hideMark/>
          </w:tcPr>
          <w:p w:rsidR="00B45056" w:rsidRPr="00DB0015" w:rsidRDefault="00B45056" w:rsidP="00B459C9">
            <w:pPr>
              <w:spacing w:after="0"/>
              <w:ind w:left="-94" w:right="-35" w:firstLine="0"/>
              <w:jc w:val="right"/>
              <w:rPr>
                <w:rFonts w:ascii="Arial Narrow" w:hAnsi="Arial Narrow"/>
                <w:bCs/>
              </w:rPr>
            </w:pPr>
            <w:r>
              <w:rPr>
                <w:rFonts w:ascii="Arial Narrow" w:hAnsi="Arial Narrow"/>
              </w:rPr>
              <w:t>15,1</w:t>
            </w:r>
          </w:p>
        </w:tc>
      </w:tr>
      <w:tr w:rsidR="00B45056" w:rsidRPr="00DB0015" w:rsidTr="00B459C9">
        <w:trPr>
          <w:trHeight w:val="255"/>
          <w:jc w:val="center"/>
        </w:trPr>
        <w:tc>
          <w:tcPr>
            <w:tcW w:w="396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firstLine="0"/>
              <w:jc w:val="left"/>
              <w:rPr>
                <w:rFonts w:ascii="Arial" w:hAnsi="Arial" w:cs="Arial"/>
                <w:bCs/>
                <w:sz w:val="18"/>
                <w:szCs w:val="18"/>
              </w:rPr>
            </w:pPr>
            <w:r>
              <w:rPr>
                <w:rFonts w:ascii="Arial" w:hAnsi="Arial"/>
                <w:sz w:val="18"/>
              </w:rPr>
              <w:t>Guztira</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rPr>
            </w:pPr>
            <w:r>
              <w:rPr>
                <w:rFonts w:ascii="Arial" w:hAnsi="Arial"/>
                <w:sz w:val="18"/>
              </w:rPr>
              <w:t>47.431</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rPr>
            </w:pPr>
            <w:r>
              <w:rPr>
                <w:rFonts w:ascii="Arial" w:hAnsi="Arial"/>
                <w:sz w:val="18"/>
              </w:rPr>
              <w:t>29.991</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rPr>
            </w:pPr>
            <w:r>
              <w:rPr>
                <w:rFonts w:ascii="Arial" w:hAnsi="Arial"/>
                <w:sz w:val="18"/>
              </w:rPr>
              <w:t>15.987</w:t>
            </w:r>
          </w:p>
        </w:tc>
        <w:tc>
          <w:tcPr>
            <w:tcW w:w="733"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48" w:firstLine="0"/>
              <w:jc w:val="right"/>
              <w:rPr>
                <w:rFonts w:ascii="Arial" w:hAnsi="Arial" w:cs="Arial"/>
                <w:bCs/>
                <w:sz w:val="18"/>
                <w:szCs w:val="18"/>
              </w:rPr>
            </w:pPr>
            <w:r>
              <w:rPr>
                <w:rFonts w:ascii="Arial" w:hAnsi="Arial"/>
                <w:sz w:val="18"/>
              </w:rPr>
              <w:t>20.401</w:t>
            </w:r>
          </w:p>
        </w:tc>
        <w:tc>
          <w:tcPr>
            <w:tcW w:w="85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bCs/>
                <w:sz w:val="18"/>
                <w:szCs w:val="18"/>
              </w:rPr>
            </w:pPr>
            <w:r>
              <w:rPr>
                <w:rFonts w:ascii="Arial" w:hAnsi="Arial"/>
                <w:sz w:val="18"/>
              </w:rPr>
              <w:t>113.810</w:t>
            </w:r>
          </w:p>
        </w:tc>
        <w:tc>
          <w:tcPr>
            <w:tcW w:w="981" w:type="dxa"/>
            <w:tcBorders>
              <w:top w:val="nil"/>
              <w:bottom w:val="single" w:sz="4" w:space="0" w:color="auto"/>
            </w:tcBorders>
            <w:shd w:val="clear" w:color="auto" w:fill="8DB3E2" w:themeFill="text2" w:themeFillTint="66"/>
            <w:noWrap/>
            <w:vAlign w:val="center"/>
            <w:hideMark/>
          </w:tcPr>
          <w:p w:rsidR="00B45056" w:rsidRPr="00DB0015" w:rsidRDefault="00B45056" w:rsidP="00B459C9">
            <w:pPr>
              <w:spacing w:after="0"/>
              <w:ind w:left="-94" w:right="-35" w:firstLine="0"/>
              <w:jc w:val="right"/>
              <w:rPr>
                <w:rFonts w:ascii="Arial" w:hAnsi="Arial" w:cs="Arial"/>
                <w:bCs/>
                <w:sz w:val="18"/>
                <w:szCs w:val="18"/>
              </w:rPr>
            </w:pPr>
            <w:r>
              <w:rPr>
                <w:rFonts w:ascii="Arial" w:hAnsi="Arial"/>
                <w:sz w:val="18"/>
              </w:rPr>
              <w:t>100</w:t>
            </w:r>
          </w:p>
        </w:tc>
      </w:tr>
    </w:tbl>
    <w:p w:rsidR="00D85E20" w:rsidRDefault="00D85E20" w:rsidP="00D85E20">
      <w:pPr>
        <w:pStyle w:val="texto"/>
        <w:spacing w:after="0"/>
      </w:pPr>
    </w:p>
    <w:p w:rsidR="00B45056" w:rsidRPr="00B459C9" w:rsidRDefault="00B45056" w:rsidP="00B459C9">
      <w:pPr>
        <w:pStyle w:val="texto"/>
      </w:pPr>
      <w:r>
        <w:t>Askotariko gastuak dira guztizkoan kopuru handiena egiten dutenak, eh</w:t>
      </w:r>
      <w:r>
        <w:t>u</w:t>
      </w:r>
      <w:r>
        <w:t>neko 18 baitira. Lisboako Kontseiluko Europako Eskualdeen Ikerketa eta B</w:t>
      </w:r>
      <w:r>
        <w:t>e</w:t>
      </w:r>
      <w:r>
        <w:t>rrikuntzarako Sareko kide izatearen kuoten ordainketari dagozkio.</w:t>
      </w:r>
    </w:p>
    <w:p w:rsidR="00B45056" w:rsidRPr="00B459C9" w:rsidRDefault="00B45056" w:rsidP="00B459C9">
      <w:pPr>
        <w:pStyle w:val="texto"/>
      </w:pPr>
      <w:r>
        <w:t>EEBOIaren gastuek guztizkoaren ehuneko 15 egiten dute, eta 2013an eta 2014an kontzentratuta daude. 2013tik egoitza erabiltzeari buruzko hitzarmenak zehazten zuen NBOak EEBOIaren funtzionamendurako guztizko gastuak o</w:t>
      </w:r>
      <w:r>
        <w:t>r</w:t>
      </w:r>
      <w:r>
        <w:t>daintzen lagunduko zuela, ordezkaritzak daukan langile kopuruaren arabera (bi dira Nafarroaren kasuan); irizpide hori bera ezarrita dago bertan egoitza duten gainerako bost autonomia erkidegoetarako. Pertsona bakoitzeko eta urteko ka</w:t>
      </w:r>
      <w:r>
        <w:t>l</w:t>
      </w:r>
      <w:r>
        <w:t>kulatu den gehieneko gastua 7.000 eurokoa dela zenbatetsita dago.</w:t>
      </w:r>
    </w:p>
    <w:p w:rsidR="00B45056" w:rsidRPr="00B459C9" w:rsidRDefault="00B45056" w:rsidP="00B459C9">
      <w:pPr>
        <w:pStyle w:val="texto"/>
      </w:pPr>
      <w:r>
        <w:lastRenderedPageBreak/>
        <w:t>Erabilitako kontabilitate-prozedura urteko gastuaren zenbatespenaren hiruh</w:t>
      </w:r>
      <w:r>
        <w:t>i</w:t>
      </w:r>
      <w:r>
        <w:t>leroko kontabilizatzean eta urte amaieran –EEBOIaren gastuaren datu erreal</w:t>
      </w:r>
      <w:r>
        <w:t>e</w:t>
      </w:r>
      <w:r>
        <w:t xml:space="preserve">kin– likidazioa egitean datza. </w:t>
      </w:r>
    </w:p>
    <w:p w:rsidR="00B45056" w:rsidRPr="00B459C9" w:rsidRDefault="004703AF" w:rsidP="00B459C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pPr>
      <w:r>
        <w:t>2012ko azaroan, Nafarroako Gobernuak erabaki zuen NBOa EEBOIaren egoitzara eramatea, dirua aurrezteko neurri gisa. Izan ere, egoitza berri horrek 2013an eta 2014an 8.400 eta 8.829 euroko gastua ekarri zuen, hurrenez hurren; 2012ko alokairuak, ordea, 76.730 euroko gastua izan zuen, kontusail horren guztizko gastua osatzen zuten kontzeptu guztiak kontuan hartuta (alokairu-kontratua, kasuko tasak eta zergak, eraikinaren zamak eta abar).</w:t>
      </w:r>
    </w:p>
    <w:p w:rsidR="004703AF" w:rsidRDefault="00B45056" w:rsidP="00B459C9">
      <w:pPr>
        <w:pStyle w:val="texto"/>
      </w:pPr>
      <w:r>
        <w:tab/>
        <w:t>Alabaina, txosten honen norainokoaren ondorengo egitate hau nabarmendu beharra daukagu: Nafarroako Gobernuaren eta NBOaren egoitzarako lokalaren jabearen arteko alokairu-kontratua 2002. urtean bertan bazegoen, eta hiru u</w:t>
      </w:r>
      <w:r>
        <w:t>r</w:t>
      </w:r>
      <w:r>
        <w:t>teko iraupena zeukan. Kontratu hori automatikoki berritzen zen, zenbait hilab</w:t>
      </w:r>
      <w:r>
        <w:t>e</w:t>
      </w:r>
      <w:r>
        <w:t xml:space="preserve">teren aurrerapenarekin aldeetako batek kontratua amaitu nahi zuela iragartzen ez bazuen. </w:t>
      </w:r>
    </w:p>
    <w:p w:rsidR="00E32533" w:rsidRDefault="00B45056" w:rsidP="00B459C9">
      <w:pPr>
        <w:pStyle w:val="texto"/>
      </w:pPr>
      <w:r>
        <w:t>2012ko azaroan, alokairu kontratua 2015era arte luzatu zen, aldez aurretik aldeetako bakarrak horri ezezkoa eman ez ziolako. 2012ko abenduan, Espa</w:t>
      </w:r>
      <w:r>
        <w:t>i</w:t>
      </w:r>
      <w:r>
        <w:t>niako Kanpo Arazoetarako eta Lankidetzarako Ministerioak autonomia erkid</w:t>
      </w:r>
      <w:r>
        <w:t>e</w:t>
      </w:r>
      <w:r>
        <w:t>goei eskaini zien EEBOIaren egoitzara aldatzea, dirua aurrezteko eta baliagarri zeuden instalazioei probetxua ateratzeko. Nafarroako Gobernuak aurrean zeu</w:t>
      </w:r>
      <w:r>
        <w:t>z</w:t>
      </w:r>
      <w:r>
        <w:t>kan aukerak baloratu zituen, kontuan hartuta bere alokairu kontratua arautzen zuten baldintzak zein ziren; kanpoan aholkua eskatu ondoren, kontratua ama</w:t>
      </w:r>
      <w:r>
        <w:t>i</w:t>
      </w:r>
      <w:r>
        <w:t>tzearen alde egin zuen, zeren eta ulertu baitzuen kontratuko artikulu bat aplik</w:t>
      </w:r>
      <w:r>
        <w:t>a</w:t>
      </w:r>
      <w:r>
        <w:t xml:space="preserve">tuko zela, zeina baitzen lokaleko jabeari sei hilabeteren ordainketari zegokion kalte-ordaina ordaindu behar zitzaiola. </w:t>
      </w:r>
    </w:p>
    <w:p w:rsidR="00B45056" w:rsidRDefault="00E32533" w:rsidP="00B459C9">
      <w:pPr>
        <w:pStyle w:val="texto"/>
      </w:pPr>
      <w:r>
        <w:t>Hori zela eta, aipatutako gobernu-erabakiaren ondoren, 2012ko abenduan Nafarroako Gobernuak lankidetzarako protokolo orokor bat sinatu zuen Espa</w:t>
      </w:r>
      <w:r>
        <w:t>i</w:t>
      </w:r>
      <w:r>
        <w:t xml:space="preserve">niako Kanpo Arazoetarako eta Lankidetzarako Ministerioarekin, Nafarroaren Bruselako ordezkaritza EEBOIra aldatzeko. </w:t>
      </w:r>
    </w:p>
    <w:p w:rsidR="00B45056" w:rsidRDefault="00B45056" w:rsidP="00B459C9">
      <w:pPr>
        <w:pStyle w:val="texto"/>
      </w:pPr>
      <w:r>
        <w:t>Antzinako egoitzaren alokairu-kontratua 2012ko azaroan jada berriz abiatua zenez, lokaleko jabeak egoera hori salatu zuen, aurreko lerrokadetan aipatu d</w:t>
      </w:r>
      <w:r>
        <w:t>u</w:t>
      </w:r>
      <w:r>
        <w:t>gun berritze automatikoaren klausulari aipamen eginez. Higiezin-enpresaren eta Nafarroako Gobernuaren artean zenbait adiskidetze-egintza egin ondoren, e</w:t>
      </w:r>
      <w:r>
        <w:t>n</w:t>
      </w:r>
      <w:r>
        <w:t>presaren demanda baietsi egin zen, eta horrek ekarri zuen lokalaren jabea zen enpresari 193.507 euroko kopurua ordaindu behar izatea, 2015eko azarora a</w:t>
      </w:r>
      <w:r>
        <w:t>r</w:t>
      </w:r>
      <w:r>
        <w:t xml:space="preserve">teko alokairu gastuei dagokion kopurua, kontratua ez betetzeagatik. Azkenean, 2015ean higiezin-enpresari ordaindu zaion zenbatekoa 196.935 eurokoa izan da. </w:t>
      </w:r>
    </w:p>
    <w:p w:rsidR="004703AF" w:rsidRPr="00B459C9" w:rsidRDefault="004703AF" w:rsidP="00B459C9">
      <w:pPr>
        <w:pStyle w:val="texto"/>
      </w:pPr>
      <w:r>
        <w:t xml:space="preserve">Azken batean, Nafarroako Gobernuak NBOa EEBOIaren egoitzara eramanez lortu nahi zuen aurrezpena ez da lortu 2013-2015 aldian, zeren eta urte horietan </w:t>
      </w:r>
      <w:r>
        <w:lastRenderedPageBreak/>
        <w:t>ordaindu behar izan baitira bai antzinako egoitzaren alokairua, kontratua bet</w:t>
      </w:r>
      <w:r>
        <w:t>e</w:t>
      </w:r>
      <w:r>
        <w:t>tzearen inguruko aurreikuspen faltaren ondorioz, bai Kanpo Arazoetarako eta Lankidetzarako Ministerioaren egoitzan egoteagatiko gastuak.</w:t>
      </w:r>
    </w:p>
    <w:p w:rsidR="00B45056" w:rsidRPr="00051744" w:rsidRDefault="00B45056" w:rsidP="00B45056">
      <w:pPr>
        <w:pStyle w:val="atitulo2"/>
        <w:rPr>
          <w:i/>
        </w:rPr>
      </w:pPr>
      <w:bookmarkStart w:id="56" w:name="_Toc431210967"/>
      <w:bookmarkStart w:id="57" w:name="_Toc431540921"/>
      <w:bookmarkStart w:id="58" w:name="_Toc431557232"/>
      <w:bookmarkStart w:id="59" w:name="_Toc431557270"/>
      <w:bookmarkStart w:id="60" w:name="_Toc432757085"/>
      <w:bookmarkStart w:id="61" w:name="_Toc437411104"/>
      <w:bookmarkStart w:id="62" w:name="_Toc440523194"/>
      <w:bookmarkStart w:id="63" w:name="_Toc446402973"/>
      <w:r>
        <w:t xml:space="preserve">V.3. </w:t>
      </w:r>
      <w:bookmarkEnd w:id="56"/>
      <w:bookmarkEnd w:id="57"/>
      <w:bookmarkEnd w:id="58"/>
      <w:bookmarkEnd w:id="59"/>
      <w:bookmarkEnd w:id="60"/>
      <w:r>
        <w:t>Nafarroaren Bruselako Ordezkaritzaren jarduerei buruzko azterketa.</w:t>
      </w:r>
      <w:bookmarkEnd w:id="61"/>
      <w:bookmarkEnd w:id="62"/>
      <w:bookmarkEnd w:id="63"/>
    </w:p>
    <w:p w:rsidR="00337982" w:rsidRDefault="00337982" w:rsidP="00B45056">
      <w:pPr>
        <w:pStyle w:val="texto"/>
      </w:pPr>
      <w:r>
        <w:t xml:space="preserve">NBOak 2008an, 2009an, 2014an eta 2015eko urtarriletik ekainera bitartean egindako jarduerei buruzko informazioa eman digu.  </w:t>
      </w:r>
    </w:p>
    <w:p w:rsidR="00B45056" w:rsidRDefault="00B45056" w:rsidP="00B45056">
      <w:pPr>
        <w:pStyle w:val="texto"/>
      </w:pPr>
      <w:r>
        <w:t>Informazioa ez da formatu jakin baten arabera aurkezten, eta urte bakoitzean modu desberdinean neurtzen da. Horrek urteen arteko alderaketa zailtzen du. Daturi exhaustiboenak 2009. urteari buruzkoak dira. Nabarmendu beharra dago kasu guztietan jarduerari buruzko datuak ematen direla, baina ez direla datu h</w:t>
      </w:r>
      <w:r>
        <w:t>o</w:t>
      </w:r>
      <w:r>
        <w:t xml:space="preserve">riek jarduera horren emaitzarekin lotzen; horrek eraginkortasunaren ebaluazioa zailtzen du. </w:t>
      </w:r>
    </w:p>
    <w:p w:rsidR="00B45056" w:rsidRDefault="00B45056" w:rsidP="0042275C">
      <w:pPr>
        <w:pStyle w:val="texto"/>
        <w:spacing w:after="240"/>
      </w:pPr>
      <w:r>
        <w:t>Adibidez, ondoren NBOak 2009. urteari buruz emandako datu batzuk au</w:t>
      </w:r>
      <w:r>
        <w:t>r</w:t>
      </w:r>
      <w:r>
        <w:t>keztuko ditugu.</w:t>
      </w:r>
    </w:p>
    <w:tbl>
      <w:tblPr>
        <w:tblStyle w:val="Tablaconcuadrcula"/>
        <w:tblW w:w="9458" w:type="dxa"/>
        <w:jc w:val="center"/>
        <w:tblInd w:w="439" w:type="dxa"/>
        <w:tblBorders>
          <w:left w:val="none" w:sz="0" w:space="0" w:color="auto"/>
          <w:right w:val="none" w:sz="0" w:space="0" w:color="auto"/>
          <w:insideV w:val="none" w:sz="0" w:space="0" w:color="auto"/>
        </w:tblBorders>
        <w:tblLook w:val="04A0" w:firstRow="1" w:lastRow="0" w:firstColumn="1" w:lastColumn="0" w:noHBand="0" w:noVBand="1"/>
      </w:tblPr>
      <w:tblGrid>
        <w:gridCol w:w="1686"/>
        <w:gridCol w:w="1366"/>
        <w:gridCol w:w="927"/>
        <w:gridCol w:w="177"/>
        <w:gridCol w:w="1628"/>
        <w:gridCol w:w="599"/>
        <w:gridCol w:w="505"/>
        <w:gridCol w:w="1466"/>
        <w:gridCol w:w="1104"/>
      </w:tblGrid>
      <w:tr w:rsidR="00E7172B" w:rsidRPr="00B752CC" w:rsidTr="00E7172B">
        <w:trPr>
          <w:trHeight w:val="255"/>
          <w:jc w:val="center"/>
        </w:trPr>
        <w:tc>
          <w:tcPr>
            <w:tcW w:w="1951" w:type="dxa"/>
            <w:tcBorders>
              <w:bottom w:val="single" w:sz="4" w:space="0" w:color="auto"/>
            </w:tcBorders>
            <w:shd w:val="clear" w:color="auto" w:fill="8DB3E2" w:themeFill="text2" w:themeFillTint="66"/>
            <w:vAlign w:val="center"/>
          </w:tcPr>
          <w:p w:rsidR="00B45056" w:rsidRPr="00B752CC" w:rsidRDefault="00B45056" w:rsidP="00B45056">
            <w:pPr>
              <w:pStyle w:val="texto"/>
              <w:spacing w:after="0"/>
              <w:ind w:firstLine="0"/>
              <w:rPr>
                <w:rFonts w:ascii="Arial" w:hAnsi="Arial" w:cs="Arial"/>
                <w:sz w:val="18"/>
                <w:szCs w:val="18"/>
              </w:rPr>
            </w:pPr>
          </w:p>
        </w:tc>
        <w:tc>
          <w:tcPr>
            <w:tcW w:w="2255" w:type="dxa"/>
            <w:gridSpan w:val="2"/>
            <w:tcBorders>
              <w:bottom w:val="single" w:sz="4" w:space="0" w:color="auto"/>
            </w:tcBorders>
            <w:shd w:val="clear" w:color="auto" w:fill="8DB3E2" w:themeFill="text2" w:themeFillTint="66"/>
            <w:vAlign w:val="center"/>
          </w:tcPr>
          <w:p w:rsidR="00B45056" w:rsidRPr="00B752CC" w:rsidRDefault="00B45056" w:rsidP="00576C94">
            <w:pPr>
              <w:pStyle w:val="texto"/>
              <w:spacing w:after="0"/>
              <w:ind w:right="122" w:firstLine="0"/>
              <w:jc w:val="center"/>
              <w:rPr>
                <w:rFonts w:ascii="Arial" w:hAnsi="Arial" w:cs="Arial"/>
                <w:sz w:val="18"/>
                <w:szCs w:val="18"/>
              </w:rPr>
            </w:pPr>
            <w:r>
              <w:rPr>
                <w:rFonts w:ascii="Arial" w:hAnsi="Arial"/>
                <w:sz w:val="18"/>
              </w:rPr>
              <w:t>Nafarroako Gobe</w:t>
            </w:r>
            <w:r>
              <w:rPr>
                <w:rFonts w:ascii="Arial" w:hAnsi="Arial"/>
                <w:sz w:val="18"/>
              </w:rPr>
              <w:t>r</w:t>
            </w:r>
            <w:r>
              <w:rPr>
                <w:rFonts w:ascii="Arial" w:hAnsi="Arial"/>
                <w:sz w:val="18"/>
              </w:rPr>
              <w:t>nuari</w:t>
            </w:r>
          </w:p>
        </w:tc>
        <w:tc>
          <w:tcPr>
            <w:tcW w:w="2949" w:type="dxa"/>
            <w:gridSpan w:val="4"/>
            <w:tcBorders>
              <w:bottom w:val="single" w:sz="4" w:space="0" w:color="auto"/>
            </w:tcBorders>
            <w:shd w:val="clear" w:color="auto" w:fill="8DB3E2" w:themeFill="text2" w:themeFillTint="66"/>
            <w:vAlign w:val="center"/>
          </w:tcPr>
          <w:p w:rsidR="00B45056" w:rsidRDefault="00B45056" w:rsidP="00576C94">
            <w:pPr>
              <w:pStyle w:val="texto"/>
              <w:spacing w:after="0"/>
              <w:ind w:firstLine="0"/>
              <w:jc w:val="center"/>
              <w:rPr>
                <w:rFonts w:ascii="Arial" w:hAnsi="Arial" w:cs="Arial"/>
                <w:sz w:val="18"/>
                <w:szCs w:val="18"/>
              </w:rPr>
            </w:pPr>
            <w:r>
              <w:rPr>
                <w:rFonts w:ascii="Arial" w:hAnsi="Arial"/>
                <w:sz w:val="18"/>
              </w:rPr>
              <w:t>Beste batzuei (udalak, enpr</w:t>
            </w:r>
            <w:r>
              <w:rPr>
                <w:rFonts w:ascii="Arial" w:hAnsi="Arial"/>
                <w:sz w:val="18"/>
              </w:rPr>
              <w:t>e</w:t>
            </w:r>
            <w:r>
              <w:rPr>
                <w:rFonts w:ascii="Arial" w:hAnsi="Arial"/>
                <w:sz w:val="18"/>
              </w:rPr>
              <w:t>sak eta abar)</w:t>
            </w:r>
          </w:p>
        </w:tc>
        <w:tc>
          <w:tcPr>
            <w:tcW w:w="2303" w:type="dxa"/>
            <w:gridSpan w:val="2"/>
            <w:tcBorders>
              <w:bottom w:val="single" w:sz="4" w:space="0" w:color="auto"/>
            </w:tcBorders>
            <w:shd w:val="clear" w:color="auto" w:fill="8DB3E2" w:themeFill="text2" w:themeFillTint="66"/>
            <w:vAlign w:val="center"/>
          </w:tcPr>
          <w:p w:rsidR="00B45056" w:rsidRPr="00B752CC" w:rsidRDefault="00B45056" w:rsidP="00B45056">
            <w:pPr>
              <w:pStyle w:val="texto"/>
              <w:spacing w:after="0"/>
              <w:ind w:firstLine="0"/>
              <w:jc w:val="center"/>
              <w:rPr>
                <w:rFonts w:ascii="Arial" w:hAnsi="Arial" w:cs="Arial"/>
                <w:sz w:val="18"/>
                <w:szCs w:val="18"/>
              </w:rPr>
            </w:pPr>
            <w:r>
              <w:rPr>
                <w:rFonts w:ascii="Arial" w:hAnsi="Arial"/>
                <w:sz w:val="18"/>
              </w:rPr>
              <w:t>Guztira</w:t>
            </w:r>
          </w:p>
        </w:tc>
      </w:tr>
      <w:tr w:rsidR="00E7172B" w:rsidRPr="00E7172B" w:rsidTr="00E7172B">
        <w:trPr>
          <w:trHeight w:val="198"/>
          <w:jc w:val="center"/>
        </w:trPr>
        <w:tc>
          <w:tcPr>
            <w:tcW w:w="1951" w:type="dxa"/>
            <w:tcBorders>
              <w:bottom w:val="single" w:sz="4" w:space="0" w:color="auto"/>
            </w:tcBorders>
            <w:vAlign w:val="center"/>
          </w:tcPr>
          <w:p w:rsidR="00B45056" w:rsidRPr="00B752CC" w:rsidRDefault="00B45056" w:rsidP="00B45056">
            <w:pPr>
              <w:pStyle w:val="texto"/>
              <w:spacing w:after="0"/>
              <w:ind w:firstLine="0"/>
              <w:rPr>
                <w:rFonts w:ascii="Arial Narrow" w:hAnsi="Arial Narrow"/>
                <w:sz w:val="20"/>
                <w:szCs w:val="20"/>
              </w:rPr>
            </w:pPr>
          </w:p>
        </w:tc>
        <w:tc>
          <w:tcPr>
            <w:tcW w:w="1426" w:type="dxa"/>
            <w:tcBorders>
              <w:bottom w:val="single" w:sz="4" w:space="0" w:color="auto"/>
            </w:tcBorders>
            <w:vAlign w:val="center"/>
          </w:tcPr>
          <w:p w:rsidR="00B45056" w:rsidRPr="00E7172B" w:rsidRDefault="00B45056" w:rsidP="0042275C">
            <w:pPr>
              <w:pStyle w:val="texto"/>
              <w:spacing w:after="0"/>
              <w:ind w:left="-124" w:right="-94" w:firstLine="0"/>
              <w:jc w:val="right"/>
              <w:rPr>
                <w:rFonts w:ascii="Arial" w:hAnsi="Arial" w:cs="Arial"/>
                <w:sz w:val="16"/>
                <w:szCs w:val="16"/>
              </w:rPr>
            </w:pPr>
            <w:r>
              <w:rPr>
                <w:rFonts w:ascii="Arial" w:hAnsi="Arial"/>
                <w:sz w:val="16"/>
              </w:rPr>
              <w:t>Proiektuei buruz</w:t>
            </w:r>
          </w:p>
        </w:tc>
        <w:tc>
          <w:tcPr>
            <w:tcW w:w="1001" w:type="dxa"/>
            <w:gridSpan w:val="2"/>
            <w:tcBorders>
              <w:bottom w:val="single" w:sz="4" w:space="0" w:color="auto"/>
            </w:tcBorders>
            <w:vAlign w:val="center"/>
          </w:tcPr>
          <w:p w:rsidR="00B45056" w:rsidRPr="00E7172B" w:rsidRDefault="00B45056" w:rsidP="0042275C">
            <w:pPr>
              <w:pStyle w:val="texto"/>
              <w:spacing w:after="0"/>
              <w:ind w:left="-388" w:right="388" w:firstLine="0"/>
              <w:jc w:val="right"/>
              <w:rPr>
                <w:rFonts w:ascii="Arial" w:hAnsi="Arial" w:cs="Arial"/>
                <w:sz w:val="16"/>
                <w:szCs w:val="16"/>
              </w:rPr>
            </w:pPr>
            <w:r>
              <w:rPr>
                <w:rFonts w:ascii="Arial" w:hAnsi="Arial"/>
                <w:sz w:val="16"/>
              </w:rPr>
              <w:t>Gainerakoa</w:t>
            </w:r>
          </w:p>
        </w:tc>
        <w:tc>
          <w:tcPr>
            <w:tcW w:w="1771" w:type="dxa"/>
            <w:tcBorders>
              <w:bottom w:val="single" w:sz="4" w:space="0" w:color="auto"/>
            </w:tcBorders>
            <w:vAlign w:val="center"/>
          </w:tcPr>
          <w:p w:rsidR="00B45056" w:rsidRPr="00E7172B" w:rsidRDefault="00B45056" w:rsidP="0042275C">
            <w:pPr>
              <w:pStyle w:val="texto"/>
              <w:spacing w:after="0"/>
              <w:ind w:right="244" w:firstLine="0"/>
              <w:jc w:val="right"/>
              <w:rPr>
                <w:rFonts w:ascii="Arial" w:hAnsi="Arial" w:cs="Arial"/>
                <w:sz w:val="16"/>
                <w:szCs w:val="16"/>
              </w:rPr>
            </w:pPr>
            <w:r>
              <w:rPr>
                <w:rFonts w:ascii="Arial" w:hAnsi="Arial"/>
                <w:sz w:val="16"/>
              </w:rPr>
              <w:t>Proiektuei buruz</w:t>
            </w:r>
          </w:p>
        </w:tc>
        <w:tc>
          <w:tcPr>
            <w:tcW w:w="1006" w:type="dxa"/>
            <w:gridSpan w:val="2"/>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rPr>
            </w:pPr>
            <w:r>
              <w:rPr>
                <w:rFonts w:ascii="Arial" w:hAnsi="Arial"/>
                <w:sz w:val="16"/>
              </w:rPr>
              <w:t>Gainerakoa</w:t>
            </w:r>
          </w:p>
        </w:tc>
        <w:tc>
          <w:tcPr>
            <w:tcW w:w="1639" w:type="dxa"/>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rPr>
            </w:pPr>
            <w:r>
              <w:rPr>
                <w:rFonts w:ascii="Arial" w:hAnsi="Arial"/>
                <w:sz w:val="16"/>
              </w:rPr>
              <w:t>Proiektuei b</w:t>
            </w:r>
            <w:r>
              <w:rPr>
                <w:rFonts w:ascii="Arial" w:hAnsi="Arial"/>
                <w:sz w:val="16"/>
              </w:rPr>
              <w:t>u</w:t>
            </w:r>
            <w:r>
              <w:rPr>
                <w:rFonts w:ascii="Arial" w:hAnsi="Arial"/>
                <w:sz w:val="16"/>
              </w:rPr>
              <w:t>ruz</w:t>
            </w:r>
          </w:p>
        </w:tc>
        <w:tc>
          <w:tcPr>
            <w:tcW w:w="664" w:type="dxa"/>
            <w:tcBorders>
              <w:bottom w:val="single" w:sz="4" w:space="0" w:color="auto"/>
            </w:tcBorders>
            <w:vAlign w:val="center"/>
          </w:tcPr>
          <w:p w:rsidR="00B45056" w:rsidRPr="00E7172B" w:rsidRDefault="00B45056" w:rsidP="0042275C">
            <w:pPr>
              <w:pStyle w:val="texto"/>
              <w:spacing w:after="0"/>
              <w:ind w:firstLine="0"/>
              <w:jc w:val="right"/>
              <w:rPr>
                <w:rFonts w:ascii="Arial" w:hAnsi="Arial" w:cs="Arial"/>
                <w:sz w:val="16"/>
                <w:szCs w:val="16"/>
              </w:rPr>
            </w:pPr>
            <w:r>
              <w:rPr>
                <w:rFonts w:ascii="Arial" w:hAnsi="Arial"/>
                <w:sz w:val="16"/>
              </w:rPr>
              <w:t>Gainerakoa</w:t>
            </w:r>
          </w:p>
        </w:tc>
      </w:tr>
      <w:tr w:rsidR="00E7172B" w:rsidRPr="00E7172B" w:rsidTr="00E7172B">
        <w:trPr>
          <w:trHeight w:val="198"/>
          <w:jc w:val="center"/>
        </w:trPr>
        <w:tc>
          <w:tcPr>
            <w:tcW w:w="1951" w:type="dxa"/>
            <w:tcBorders>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rPr>
            </w:pPr>
            <w:r>
              <w:rPr>
                <w:rFonts w:ascii="Arial Narrow" w:hAnsi="Arial Narrow"/>
                <w:sz w:val="18"/>
              </w:rPr>
              <w:t xml:space="preserve">Igorritako txosten kopurua </w:t>
            </w:r>
          </w:p>
        </w:tc>
        <w:tc>
          <w:tcPr>
            <w:tcW w:w="1426" w:type="dxa"/>
            <w:tcBorders>
              <w:bottom w:val="single" w:sz="2"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rPr>
            </w:pPr>
            <w:r>
              <w:rPr>
                <w:rFonts w:ascii="Arial Narrow" w:hAnsi="Arial Narrow"/>
                <w:sz w:val="18"/>
              </w:rPr>
              <w:t>74</w:t>
            </w:r>
          </w:p>
        </w:tc>
        <w:tc>
          <w:tcPr>
            <w:tcW w:w="1001" w:type="dxa"/>
            <w:gridSpan w:val="2"/>
            <w:tcBorders>
              <w:bottom w:val="single" w:sz="2"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rPr>
            </w:pPr>
            <w:r>
              <w:rPr>
                <w:rFonts w:ascii="Arial Narrow" w:hAnsi="Arial Narrow"/>
                <w:sz w:val="18"/>
              </w:rPr>
              <w:t>631</w:t>
            </w:r>
          </w:p>
        </w:tc>
        <w:tc>
          <w:tcPr>
            <w:tcW w:w="1771" w:type="dxa"/>
            <w:tcBorders>
              <w:bottom w:val="single" w:sz="2"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rPr>
            </w:pPr>
            <w:r>
              <w:rPr>
                <w:rFonts w:ascii="Arial Narrow" w:hAnsi="Arial Narrow"/>
                <w:sz w:val="18"/>
              </w:rPr>
              <w:t>49</w:t>
            </w:r>
          </w:p>
        </w:tc>
        <w:tc>
          <w:tcPr>
            <w:tcW w:w="1006" w:type="dxa"/>
            <w:gridSpan w:val="2"/>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57</w:t>
            </w:r>
          </w:p>
        </w:tc>
        <w:tc>
          <w:tcPr>
            <w:tcW w:w="1639" w:type="dxa"/>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123</w:t>
            </w:r>
          </w:p>
        </w:tc>
        <w:tc>
          <w:tcPr>
            <w:tcW w:w="664" w:type="dxa"/>
            <w:tcBorders>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688</w:t>
            </w:r>
          </w:p>
        </w:tc>
      </w:tr>
      <w:tr w:rsidR="00E7172B" w:rsidRPr="00E7172B" w:rsidTr="00E7172B">
        <w:trPr>
          <w:trHeight w:val="198"/>
          <w:jc w:val="center"/>
        </w:trPr>
        <w:tc>
          <w:tcPr>
            <w:tcW w:w="1951" w:type="dxa"/>
            <w:tcBorders>
              <w:top w:val="single" w:sz="2" w:space="0" w:color="auto"/>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rPr>
            </w:pPr>
            <w:r>
              <w:rPr>
                <w:rFonts w:ascii="Arial Narrow" w:hAnsi="Arial Narrow"/>
                <w:sz w:val="18"/>
              </w:rPr>
              <w:t xml:space="preserve">Jasotako kontsulta kopurua </w:t>
            </w:r>
          </w:p>
        </w:tc>
        <w:tc>
          <w:tcPr>
            <w:tcW w:w="1426" w:type="dxa"/>
            <w:tcBorders>
              <w:top w:val="single" w:sz="2" w:space="0" w:color="auto"/>
              <w:bottom w:val="single" w:sz="2"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rPr>
            </w:pPr>
            <w:r>
              <w:rPr>
                <w:rFonts w:ascii="Arial Narrow" w:hAnsi="Arial Narrow"/>
                <w:sz w:val="18"/>
              </w:rPr>
              <w:t>19</w:t>
            </w:r>
          </w:p>
        </w:tc>
        <w:tc>
          <w:tcPr>
            <w:tcW w:w="1001" w:type="dxa"/>
            <w:gridSpan w:val="2"/>
            <w:tcBorders>
              <w:top w:val="single" w:sz="2" w:space="0" w:color="auto"/>
              <w:bottom w:val="single" w:sz="2"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rPr>
            </w:pPr>
            <w:r>
              <w:rPr>
                <w:rFonts w:ascii="Arial Narrow" w:hAnsi="Arial Narrow"/>
                <w:sz w:val="18"/>
              </w:rPr>
              <w:t>189</w:t>
            </w:r>
          </w:p>
        </w:tc>
        <w:tc>
          <w:tcPr>
            <w:tcW w:w="1771" w:type="dxa"/>
            <w:tcBorders>
              <w:top w:val="single" w:sz="2" w:space="0" w:color="auto"/>
              <w:bottom w:val="single" w:sz="2"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rPr>
            </w:pPr>
            <w:r>
              <w:rPr>
                <w:rFonts w:ascii="Arial Narrow" w:hAnsi="Arial Narrow"/>
                <w:sz w:val="18"/>
              </w:rPr>
              <w:t>32</w:t>
            </w:r>
          </w:p>
        </w:tc>
        <w:tc>
          <w:tcPr>
            <w:tcW w:w="1006" w:type="dxa"/>
            <w:gridSpan w:val="2"/>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119</w:t>
            </w:r>
          </w:p>
        </w:tc>
        <w:tc>
          <w:tcPr>
            <w:tcW w:w="1639" w:type="dxa"/>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51</w:t>
            </w:r>
          </w:p>
        </w:tc>
        <w:tc>
          <w:tcPr>
            <w:tcW w:w="664" w:type="dxa"/>
            <w:tcBorders>
              <w:top w:val="single" w:sz="2" w:space="0" w:color="auto"/>
              <w:bottom w:val="single" w:sz="2"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308</w:t>
            </w:r>
          </w:p>
        </w:tc>
      </w:tr>
      <w:tr w:rsidR="00E7172B" w:rsidRPr="00E7172B" w:rsidTr="00E7172B">
        <w:trPr>
          <w:trHeight w:val="198"/>
          <w:jc w:val="center"/>
        </w:trPr>
        <w:tc>
          <w:tcPr>
            <w:tcW w:w="1951" w:type="dxa"/>
            <w:tcBorders>
              <w:top w:val="single" w:sz="2" w:space="0" w:color="auto"/>
              <w:bottom w:val="single" w:sz="4" w:space="0" w:color="auto"/>
            </w:tcBorders>
            <w:vAlign w:val="center"/>
          </w:tcPr>
          <w:p w:rsidR="00B45056" w:rsidRPr="00E7172B" w:rsidRDefault="00B45056" w:rsidP="00B45056">
            <w:pPr>
              <w:pStyle w:val="texto"/>
              <w:spacing w:after="0"/>
              <w:ind w:firstLine="0"/>
              <w:rPr>
                <w:rFonts w:ascii="Arial Narrow" w:hAnsi="Arial Narrow"/>
                <w:sz w:val="18"/>
                <w:szCs w:val="18"/>
              </w:rPr>
            </w:pPr>
            <w:r>
              <w:rPr>
                <w:rFonts w:ascii="Arial Narrow" w:hAnsi="Arial Narrow"/>
                <w:sz w:val="18"/>
              </w:rPr>
              <w:t xml:space="preserve">Bazkideak bilatzea </w:t>
            </w:r>
          </w:p>
        </w:tc>
        <w:tc>
          <w:tcPr>
            <w:tcW w:w="1426" w:type="dxa"/>
            <w:tcBorders>
              <w:top w:val="single" w:sz="2" w:space="0" w:color="auto"/>
              <w:bottom w:val="single" w:sz="4" w:space="0" w:color="auto"/>
            </w:tcBorders>
            <w:vAlign w:val="center"/>
          </w:tcPr>
          <w:p w:rsidR="00B45056" w:rsidRPr="00E7172B" w:rsidRDefault="00B45056" w:rsidP="0042275C">
            <w:pPr>
              <w:pStyle w:val="texto"/>
              <w:spacing w:after="0"/>
              <w:ind w:left="-124" w:right="-94" w:firstLine="0"/>
              <w:jc w:val="right"/>
              <w:rPr>
                <w:rFonts w:ascii="Arial Narrow" w:hAnsi="Arial Narrow"/>
                <w:sz w:val="18"/>
                <w:szCs w:val="18"/>
              </w:rPr>
            </w:pPr>
            <w:r>
              <w:rPr>
                <w:rFonts w:ascii="Arial Narrow" w:hAnsi="Arial Narrow"/>
                <w:sz w:val="18"/>
              </w:rPr>
              <w:t>37</w:t>
            </w:r>
          </w:p>
        </w:tc>
        <w:tc>
          <w:tcPr>
            <w:tcW w:w="1001" w:type="dxa"/>
            <w:gridSpan w:val="2"/>
            <w:tcBorders>
              <w:top w:val="single" w:sz="2" w:space="0" w:color="auto"/>
              <w:bottom w:val="single" w:sz="4" w:space="0" w:color="auto"/>
            </w:tcBorders>
            <w:vAlign w:val="center"/>
          </w:tcPr>
          <w:p w:rsidR="00B45056" w:rsidRPr="00E7172B" w:rsidRDefault="00B45056" w:rsidP="0042275C">
            <w:pPr>
              <w:pStyle w:val="texto"/>
              <w:spacing w:after="0"/>
              <w:ind w:left="-388" w:right="388" w:firstLine="0"/>
              <w:jc w:val="right"/>
              <w:rPr>
                <w:rFonts w:ascii="Arial Narrow" w:hAnsi="Arial Narrow"/>
                <w:sz w:val="18"/>
                <w:szCs w:val="18"/>
              </w:rPr>
            </w:pPr>
            <w:r>
              <w:rPr>
                <w:rFonts w:ascii="Arial Narrow" w:hAnsi="Arial Narrow"/>
                <w:sz w:val="18"/>
              </w:rPr>
              <w:t>-</w:t>
            </w:r>
          </w:p>
        </w:tc>
        <w:tc>
          <w:tcPr>
            <w:tcW w:w="1771" w:type="dxa"/>
            <w:tcBorders>
              <w:top w:val="single" w:sz="2" w:space="0" w:color="auto"/>
              <w:bottom w:val="single" w:sz="4" w:space="0" w:color="auto"/>
            </w:tcBorders>
            <w:vAlign w:val="center"/>
          </w:tcPr>
          <w:p w:rsidR="00B45056" w:rsidRPr="00E7172B" w:rsidRDefault="00B45056" w:rsidP="0042275C">
            <w:pPr>
              <w:pStyle w:val="texto"/>
              <w:spacing w:after="0"/>
              <w:ind w:right="244" w:firstLine="0"/>
              <w:jc w:val="right"/>
              <w:rPr>
                <w:rFonts w:ascii="Arial Narrow" w:hAnsi="Arial Narrow"/>
                <w:sz w:val="18"/>
                <w:szCs w:val="18"/>
              </w:rPr>
            </w:pPr>
            <w:r>
              <w:rPr>
                <w:rFonts w:ascii="Arial Narrow" w:hAnsi="Arial Narrow"/>
                <w:sz w:val="18"/>
              </w:rPr>
              <w:t>10</w:t>
            </w:r>
          </w:p>
        </w:tc>
        <w:tc>
          <w:tcPr>
            <w:tcW w:w="1006" w:type="dxa"/>
            <w:gridSpan w:val="2"/>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w:t>
            </w:r>
          </w:p>
        </w:tc>
        <w:tc>
          <w:tcPr>
            <w:tcW w:w="1639" w:type="dxa"/>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47</w:t>
            </w:r>
          </w:p>
        </w:tc>
        <w:tc>
          <w:tcPr>
            <w:tcW w:w="664" w:type="dxa"/>
            <w:tcBorders>
              <w:top w:val="single" w:sz="2" w:space="0" w:color="auto"/>
              <w:bottom w:val="single" w:sz="4" w:space="0" w:color="auto"/>
            </w:tcBorders>
            <w:vAlign w:val="center"/>
          </w:tcPr>
          <w:p w:rsidR="00B45056" w:rsidRPr="00E7172B" w:rsidRDefault="00B45056" w:rsidP="0042275C">
            <w:pPr>
              <w:pStyle w:val="texto"/>
              <w:spacing w:after="0"/>
              <w:ind w:firstLine="0"/>
              <w:jc w:val="right"/>
              <w:rPr>
                <w:rFonts w:ascii="Arial Narrow" w:hAnsi="Arial Narrow"/>
                <w:sz w:val="18"/>
                <w:szCs w:val="18"/>
              </w:rPr>
            </w:pPr>
            <w:r>
              <w:rPr>
                <w:rFonts w:ascii="Arial Narrow" w:hAnsi="Arial Narrow"/>
                <w:sz w:val="18"/>
              </w:rPr>
              <w:t>-</w:t>
            </w:r>
          </w:p>
        </w:tc>
      </w:tr>
      <w:tr w:rsidR="00B45056" w:rsidRPr="00E7172B" w:rsidTr="00E7172B">
        <w:trPr>
          <w:trHeight w:val="255"/>
          <w:jc w:val="center"/>
        </w:trPr>
        <w:tc>
          <w:tcPr>
            <w:tcW w:w="9458" w:type="dxa"/>
            <w:gridSpan w:val="9"/>
            <w:tcBorders>
              <w:bottom w:val="single" w:sz="4" w:space="0" w:color="auto"/>
            </w:tcBorders>
            <w:vAlign w:val="center"/>
          </w:tcPr>
          <w:p w:rsidR="00B45056" w:rsidRPr="00E7172B" w:rsidRDefault="00B45056" w:rsidP="00B45056">
            <w:pPr>
              <w:pStyle w:val="texto"/>
              <w:spacing w:after="0"/>
              <w:ind w:firstLine="0"/>
              <w:rPr>
                <w:rFonts w:ascii="Arial Narrow" w:hAnsi="Arial Narrow"/>
                <w:sz w:val="18"/>
                <w:szCs w:val="18"/>
              </w:rPr>
            </w:pPr>
          </w:p>
        </w:tc>
      </w:tr>
      <w:tr w:rsidR="00B45056" w:rsidRPr="00E7172B" w:rsidTr="00E7172B">
        <w:trPr>
          <w:trHeight w:val="198"/>
          <w:jc w:val="center"/>
        </w:trPr>
        <w:tc>
          <w:tcPr>
            <w:tcW w:w="6695" w:type="dxa"/>
            <w:gridSpan w:val="6"/>
            <w:tcBorders>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rPr>
            </w:pPr>
            <w:r>
              <w:rPr>
                <w:rFonts w:ascii="Arial Narrow" w:hAnsi="Arial Narrow"/>
                <w:sz w:val="18"/>
              </w:rPr>
              <w:t>Europar Batasuneko Eskualdeen Batzordeari igorritako txosten kopurua</w:t>
            </w:r>
          </w:p>
        </w:tc>
        <w:tc>
          <w:tcPr>
            <w:tcW w:w="2763" w:type="dxa"/>
            <w:gridSpan w:val="3"/>
            <w:tcBorders>
              <w:bottom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rPr>
            </w:pPr>
            <w:r>
              <w:rPr>
                <w:rFonts w:ascii="Arial Narrow" w:hAnsi="Arial Narrow"/>
                <w:sz w:val="18"/>
              </w:rPr>
              <w:t>40</w:t>
            </w:r>
          </w:p>
        </w:tc>
      </w:tr>
      <w:tr w:rsidR="00B45056" w:rsidRPr="00E7172B" w:rsidTr="00E7172B">
        <w:trPr>
          <w:trHeight w:val="198"/>
          <w:jc w:val="center"/>
        </w:trPr>
        <w:tc>
          <w:tcPr>
            <w:tcW w:w="6695" w:type="dxa"/>
            <w:gridSpan w:val="6"/>
            <w:tcBorders>
              <w:top w:val="single" w:sz="2" w:space="0" w:color="auto"/>
              <w:bottom w:val="single" w:sz="2" w:space="0" w:color="auto"/>
            </w:tcBorders>
            <w:vAlign w:val="center"/>
          </w:tcPr>
          <w:p w:rsidR="00B45056" w:rsidRPr="00E7172B" w:rsidRDefault="00B45056" w:rsidP="00B45056">
            <w:pPr>
              <w:pStyle w:val="texto"/>
              <w:spacing w:after="0"/>
              <w:ind w:firstLine="0"/>
              <w:rPr>
                <w:rFonts w:ascii="Arial Narrow" w:hAnsi="Arial Narrow"/>
                <w:sz w:val="18"/>
                <w:szCs w:val="18"/>
              </w:rPr>
            </w:pPr>
            <w:r>
              <w:rPr>
                <w:rFonts w:ascii="Arial Narrow" w:hAnsi="Arial Narrow"/>
                <w:sz w:val="18"/>
              </w:rPr>
              <w:t>Europar Batasuneko Eskualdeen Batzordean babestutako zuzenketak</w:t>
            </w:r>
          </w:p>
        </w:tc>
        <w:tc>
          <w:tcPr>
            <w:tcW w:w="2763" w:type="dxa"/>
            <w:gridSpan w:val="3"/>
            <w:tcBorders>
              <w:top w:val="single" w:sz="2" w:space="0" w:color="auto"/>
              <w:bottom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rPr>
            </w:pPr>
            <w:r>
              <w:rPr>
                <w:rFonts w:ascii="Arial Narrow" w:hAnsi="Arial Narrow"/>
                <w:sz w:val="18"/>
              </w:rPr>
              <w:t>105</w:t>
            </w:r>
          </w:p>
        </w:tc>
      </w:tr>
      <w:tr w:rsidR="00B45056" w:rsidRPr="00E7172B" w:rsidTr="00E7172B">
        <w:trPr>
          <w:trHeight w:val="198"/>
          <w:jc w:val="center"/>
        </w:trPr>
        <w:tc>
          <w:tcPr>
            <w:tcW w:w="6695" w:type="dxa"/>
            <w:gridSpan w:val="6"/>
            <w:tcBorders>
              <w:top w:val="single" w:sz="2" w:space="0" w:color="auto"/>
            </w:tcBorders>
            <w:vAlign w:val="center"/>
          </w:tcPr>
          <w:p w:rsidR="00B45056" w:rsidRPr="00E7172B" w:rsidRDefault="00B45056" w:rsidP="00E7172B">
            <w:pPr>
              <w:pStyle w:val="texto"/>
              <w:spacing w:after="0"/>
              <w:ind w:firstLine="0"/>
              <w:rPr>
                <w:rFonts w:ascii="Arial Narrow" w:hAnsi="Arial Narrow"/>
                <w:sz w:val="18"/>
                <w:szCs w:val="18"/>
              </w:rPr>
            </w:pPr>
            <w:r>
              <w:rPr>
                <w:rFonts w:ascii="Arial Narrow" w:hAnsi="Arial Narrow"/>
                <w:sz w:val="18"/>
              </w:rPr>
              <w:t>Nafarroako Europar Batasuneko Eskualdeen Batzordean aurkeztutako zuzenketak</w:t>
            </w:r>
          </w:p>
        </w:tc>
        <w:tc>
          <w:tcPr>
            <w:tcW w:w="2763" w:type="dxa"/>
            <w:gridSpan w:val="3"/>
            <w:tcBorders>
              <w:top w:val="single" w:sz="2" w:space="0" w:color="auto"/>
            </w:tcBorders>
            <w:vAlign w:val="center"/>
          </w:tcPr>
          <w:p w:rsidR="00B45056" w:rsidRPr="00E7172B" w:rsidRDefault="00B45056" w:rsidP="00B45056">
            <w:pPr>
              <w:pStyle w:val="texto"/>
              <w:spacing w:after="0"/>
              <w:ind w:firstLine="0"/>
              <w:jc w:val="right"/>
              <w:rPr>
                <w:rFonts w:ascii="Arial Narrow" w:hAnsi="Arial Narrow"/>
                <w:sz w:val="18"/>
                <w:szCs w:val="18"/>
              </w:rPr>
            </w:pPr>
            <w:r>
              <w:rPr>
                <w:rFonts w:ascii="Arial Narrow" w:hAnsi="Arial Narrow"/>
                <w:sz w:val="18"/>
              </w:rPr>
              <w:t>6</w:t>
            </w:r>
          </w:p>
        </w:tc>
      </w:tr>
    </w:tbl>
    <w:p w:rsidR="00B45056" w:rsidRDefault="00B45056" w:rsidP="00085FE4">
      <w:pPr>
        <w:pStyle w:val="texto"/>
        <w:spacing w:before="240"/>
      </w:pPr>
      <w:r>
        <w:t>Aurreko jarduerari dagokionez, aipatu beharra dago ez dugula egiaztatu b</w:t>
      </w:r>
      <w:r>
        <w:t>e</w:t>
      </w:r>
      <w:r>
        <w:t>netan gauzatu ote zen; NBOak emandako informazioa da, besterik ez. Gainera, aipatu bezala, ez dugu informaziorik NBOak aurrera eraman duen jardueraren ondorioei buruz, eta jarduera hori, neurri handia batean informazio-hartzaileen menpe dago (Nafarroako Gobernuko departamentuak, udalak, enpresak eta abar).</w:t>
      </w:r>
    </w:p>
    <w:p w:rsidR="00337982" w:rsidRPr="00085FE4" w:rsidRDefault="00337982" w:rsidP="00337982">
      <w:pPr>
        <w:pStyle w:val="texto"/>
      </w:pPr>
      <w:r>
        <w:t>Bai egiaztatu ahal izan ditugu NBOak garatutako jarduera batzuk; esate bat</w:t>
      </w:r>
      <w:r>
        <w:t>e</w:t>
      </w:r>
      <w:r>
        <w:t>rako, sareetako parte-hartzea (Vanguard Initiative, ERRIN, European Regions for Research and Innovation; CRPM, Europako Itsasaldeko Eskualde Perifer</w:t>
      </w:r>
      <w:r>
        <w:t>i</w:t>
      </w:r>
      <w:r>
        <w:t>koen Konferentzia; eta ARFE, Europako Erregio Mugakideen Elkartea), bai eta Europako Ministroen Kontseiluetan, Europako Erregioen Batzordearen Open Days deitutakoetan eta abarrekoetan izandako parte-hartzea ere.</w:t>
      </w:r>
    </w:p>
    <w:p w:rsidR="00B45056" w:rsidRPr="00085FE4" w:rsidRDefault="00B45056" w:rsidP="00085FE4">
      <w:pPr>
        <w:pStyle w:val="texto"/>
      </w:pPr>
      <w:r>
        <w:t>Azken batean, aurreko guztiari gehituz gero NBOak aurrera eramandako ja</w:t>
      </w:r>
      <w:r>
        <w:t>r</w:t>
      </w:r>
      <w:r>
        <w:t xml:space="preserve">dueren eraginkortasuna neurtzeko helburu kuantifikaturik eta adierazlerik ez dagoela, nahikoa zail gertatzen da haien eraginkortasunari buruzko ondoriorik </w:t>
      </w:r>
      <w:r>
        <w:lastRenderedPageBreak/>
        <w:t>ateratzea, kontuan hartuta, gainera, ordezkaritzaren helburuak eta eginkizunak ukiezinen kudeaketarekin lotuta daudela.</w:t>
      </w:r>
    </w:p>
    <w:p w:rsidR="00B45056" w:rsidRPr="00085FE4" w:rsidRDefault="007866D4" w:rsidP="00085FE4">
      <w:pPr>
        <w:pStyle w:val="texto"/>
      </w:pPr>
      <w:r>
        <w:t>Atera ditugun ondorioak kontuan hartuz, bada, aholku hauek ematen ditugu:</w:t>
      </w:r>
    </w:p>
    <w:p w:rsidR="00B45056" w:rsidRDefault="00B45056" w:rsidP="00B4505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NBOak aurrera eramaten dituen jardueren oroitidazki bat modu jarraituan eta ezarritako eredu baten arabera egitea.</w:t>
      </w:r>
    </w:p>
    <w:p w:rsidR="0017136A" w:rsidRPr="0017136A" w:rsidRDefault="00B45056" w:rsidP="0017136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rPr>
          <w:i/>
        </w:rPr>
        <w:t>Helburu kuantifikatuak eta adierazleak ezartzea, NBOak aurrera erama</w:t>
      </w:r>
      <w:r>
        <w:rPr>
          <w:i/>
        </w:rPr>
        <w:t>n</w:t>
      </w:r>
      <w:r>
        <w:rPr>
          <w:i/>
        </w:rPr>
        <w:t>dako jardueraren eraginkortasuna ebaluatzeko.</w:t>
      </w:r>
    </w:p>
    <w:p w:rsidR="00252808" w:rsidRPr="00C27760" w:rsidRDefault="00252808" w:rsidP="00252808">
      <w:pPr>
        <w:pStyle w:val="texto"/>
        <w:spacing w:before="240"/>
      </w:pPr>
      <w:r>
        <w:t>Txosten hau auditore Karen Moreno Orduña andreak proposatuta egin da, bera izan baita lan honen arduraduna, araudi indardunak ezarritako izapideak bete ondoren.</w:t>
      </w:r>
    </w:p>
    <w:p w:rsidR="00252808" w:rsidRPr="00C27760" w:rsidRDefault="00252808" w:rsidP="00252808">
      <w:pPr>
        <w:pStyle w:val="texto"/>
        <w:ind w:firstLine="0"/>
        <w:jc w:val="center"/>
      </w:pPr>
      <w:r>
        <w:t>Iruñean, 2016ko urtarrilaren 14an</w:t>
      </w:r>
    </w:p>
    <w:p w:rsidR="00252808" w:rsidRPr="00995F15" w:rsidRDefault="00252808" w:rsidP="00252808">
      <w:pPr>
        <w:tabs>
          <w:tab w:val="center" w:pos="6237"/>
          <w:tab w:val="center" w:pos="7371"/>
        </w:tabs>
        <w:ind w:firstLine="0"/>
        <w:jc w:val="center"/>
        <w:rPr>
          <w:spacing w:val="6"/>
          <w:sz w:val="26"/>
          <w:szCs w:val="24"/>
        </w:rPr>
      </w:pPr>
      <w:r>
        <w:rPr>
          <w:spacing w:val="6"/>
          <w:sz w:val="26"/>
        </w:rPr>
        <w:t>Lehendakaria: Helio Robleda Cabezas.</w:t>
      </w:r>
    </w:p>
    <w:p w:rsidR="00564F2D" w:rsidRPr="00252808" w:rsidRDefault="00564F2D" w:rsidP="00252808">
      <w:pPr>
        <w:pStyle w:val="texto"/>
        <w:ind w:firstLine="0"/>
        <w:jc w:val="center"/>
      </w:pPr>
    </w:p>
    <w:sectPr w:rsidR="00564F2D" w:rsidRPr="00252808"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20" w:rsidRDefault="00D85E20">
      <w:r>
        <w:separator/>
      </w:r>
    </w:p>
    <w:p w:rsidR="00D85E20" w:rsidRDefault="00D85E20"/>
    <w:p w:rsidR="00D85E20" w:rsidRDefault="00D85E20"/>
    <w:p w:rsidR="00D85E20" w:rsidRDefault="00D85E20"/>
  </w:endnote>
  <w:endnote w:type="continuationSeparator" w:id="0">
    <w:p w:rsidR="00D85E20" w:rsidRDefault="00D85E20">
      <w:r>
        <w:continuationSeparator/>
      </w:r>
    </w:p>
    <w:p w:rsidR="00D85E20" w:rsidRDefault="00D85E20"/>
    <w:p w:rsidR="00D85E20" w:rsidRDefault="00D85E20"/>
    <w:p w:rsidR="00D85E20" w:rsidRDefault="00D8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Trajan">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5E20" w:rsidRDefault="00D85E2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Pr="00F03814" w:rsidRDefault="00D85E20"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6FFC9309" wp14:editId="47A1B68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5E20" w:rsidRPr="00F74E38" w:rsidRDefault="00D85E20" w:rsidP="00F03814">
    <w:pPr>
      <w:pStyle w:val="Piedepgina"/>
      <w:tabs>
        <w:tab w:val="clear" w:pos="4252"/>
        <w:tab w:val="clear" w:pos="8504"/>
        <w:tab w:val="center" w:pos="4560"/>
      </w:tabs>
      <w:ind w:right="360"/>
      <w:jc w:val="left"/>
      <w:rPr>
        <w:rStyle w:val="Nmerodepgina"/>
      </w:rPr>
    </w:pPr>
  </w:p>
  <w:p w:rsidR="00D85E20" w:rsidRPr="00C13453" w:rsidRDefault="00D85E2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Pr="00F03814" w:rsidRDefault="00D85E2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30D8D9A6" wp14:editId="0A2290A5">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86B42">
      <w:rPr>
        <w:rStyle w:val="Nmerodepgina"/>
        <w:noProof/>
        <w:szCs w:val="24"/>
      </w:rPr>
      <w:t>15</w:t>
    </w:r>
    <w:r w:rsidRPr="001D4F09">
      <w:rPr>
        <w:rStyle w:val="Nmerodepgina"/>
        <w:szCs w:val="24"/>
      </w:rPr>
      <w:fldChar w:fldCharType="end"/>
    </w:r>
    <w:r>
      <w:rPr>
        <w:rStyle w:val="Nmerodepgina"/>
      </w:rPr>
      <w:t xml:space="preserve"> -</w:t>
    </w:r>
  </w:p>
  <w:p w:rsidR="00D85E20" w:rsidRPr="00C13453" w:rsidRDefault="00D85E20" w:rsidP="00D2472C">
    <w:pPr>
      <w:pStyle w:val="BorradorProvisional"/>
      <w:ind w:left="0"/>
      <w:jc w:val="center"/>
    </w:pPr>
  </w:p>
  <w:p w:rsidR="00D85E20" w:rsidRDefault="00D85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20" w:rsidRDefault="00D85E20">
      <w:r>
        <w:separator/>
      </w:r>
    </w:p>
    <w:p w:rsidR="00D85E20" w:rsidRDefault="00D85E20"/>
    <w:p w:rsidR="00D85E20" w:rsidRDefault="00D85E20"/>
    <w:p w:rsidR="00D85E20" w:rsidRDefault="00D85E20"/>
  </w:footnote>
  <w:footnote w:type="continuationSeparator" w:id="0">
    <w:p w:rsidR="00D85E20" w:rsidRDefault="00D85E20">
      <w:r>
        <w:continuationSeparator/>
      </w:r>
    </w:p>
    <w:p w:rsidR="00D85E20" w:rsidRDefault="00D85E20"/>
    <w:p w:rsidR="00D85E20" w:rsidRDefault="00D85E20"/>
    <w:p w:rsidR="00D85E20" w:rsidRDefault="00D85E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7C36BE">
    <w:pPr>
      <w:pStyle w:val="Encabezado"/>
      <w:pBdr>
        <w:bottom w:val="single" w:sz="4" w:space="1" w:color="auto"/>
      </w:pBdr>
      <w:spacing w:after="40"/>
      <w:ind w:firstLine="0"/>
      <w:jc w:val="left"/>
    </w:pPr>
    <w:r>
      <w:rPr>
        <w:b/>
        <w:noProof/>
        <w:lang w:val="es-ES" w:eastAsia="es-ES" w:bidi="ar-SA"/>
      </w:rPr>
      <w:drawing>
        <wp:inline distT="0" distB="0" distL="0" distR="0" wp14:anchorId="65913E77" wp14:editId="10164F8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85E20" w:rsidRPr="0059650E" w:rsidRDefault="00D85E20" w:rsidP="00891D73">
    <w:pPr>
      <w:pStyle w:val="Encabezado"/>
      <w:pBdr>
        <w:bottom w:val="single" w:sz="4" w:space="1" w:color="auto"/>
      </w:pBdr>
      <w:ind w:firstLine="0"/>
    </w:pPr>
    <w:r>
      <w:t>Nafarroaren Bruselako ordezkaritzari buruzko fiskalizazio-txostena (2003-2014)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rsidP="006A2D41">
    <w:pPr>
      <w:pStyle w:val="Encabezado"/>
      <w:ind w:firstLine="0"/>
      <w:jc w:val="left"/>
    </w:pPr>
    <w:r>
      <w:rPr>
        <w:noProof/>
        <w:lang w:val="es-ES" w:eastAsia="es-ES" w:bidi="ar-SA"/>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20" w:rsidRDefault="00D85E20"/>
  <w:p w:rsidR="00D85E20" w:rsidRDefault="00D85E20"/>
  <w:p w:rsidR="00D85E20" w:rsidRDefault="00D85E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FE6"/>
    <w:multiLevelType w:val="hybridMultilevel"/>
    <w:tmpl w:val="5740B6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1974AA7"/>
    <w:multiLevelType w:val="hybridMultilevel"/>
    <w:tmpl w:val="6A6882C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26BD6731"/>
    <w:multiLevelType w:val="hybridMultilevel"/>
    <w:tmpl w:val="0EA8C1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1"/>
  </w:num>
  <w:num w:numId="7">
    <w:abstractNumId w:val="1"/>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8B"/>
    <w:rsid w:val="000019D8"/>
    <w:rsid w:val="00006736"/>
    <w:rsid w:val="00006A97"/>
    <w:rsid w:val="0001123B"/>
    <w:rsid w:val="00012A7F"/>
    <w:rsid w:val="00017A3A"/>
    <w:rsid w:val="000279E3"/>
    <w:rsid w:val="00036E42"/>
    <w:rsid w:val="0004373B"/>
    <w:rsid w:val="000448FA"/>
    <w:rsid w:val="00045B84"/>
    <w:rsid w:val="00053A42"/>
    <w:rsid w:val="0005517D"/>
    <w:rsid w:val="0006133D"/>
    <w:rsid w:val="00063585"/>
    <w:rsid w:val="00071CD0"/>
    <w:rsid w:val="00075692"/>
    <w:rsid w:val="00085FE4"/>
    <w:rsid w:val="00087B8D"/>
    <w:rsid w:val="00093D67"/>
    <w:rsid w:val="00093E60"/>
    <w:rsid w:val="000A18B7"/>
    <w:rsid w:val="000A2C1E"/>
    <w:rsid w:val="000A4697"/>
    <w:rsid w:val="000B2728"/>
    <w:rsid w:val="000B3943"/>
    <w:rsid w:val="000B4477"/>
    <w:rsid w:val="000C0704"/>
    <w:rsid w:val="000C2B07"/>
    <w:rsid w:val="000C344E"/>
    <w:rsid w:val="000C39CC"/>
    <w:rsid w:val="000C7566"/>
    <w:rsid w:val="000D188E"/>
    <w:rsid w:val="000D394A"/>
    <w:rsid w:val="000D5335"/>
    <w:rsid w:val="000E7B86"/>
    <w:rsid w:val="000F2B66"/>
    <w:rsid w:val="000F3D83"/>
    <w:rsid w:val="000F5BB4"/>
    <w:rsid w:val="00100F12"/>
    <w:rsid w:val="00103589"/>
    <w:rsid w:val="001045C9"/>
    <w:rsid w:val="00107CC1"/>
    <w:rsid w:val="00111A92"/>
    <w:rsid w:val="001145C3"/>
    <w:rsid w:val="001161D2"/>
    <w:rsid w:val="00131DF1"/>
    <w:rsid w:val="00132C38"/>
    <w:rsid w:val="00133984"/>
    <w:rsid w:val="00134A1D"/>
    <w:rsid w:val="001365C4"/>
    <w:rsid w:val="0014147D"/>
    <w:rsid w:val="00141D29"/>
    <w:rsid w:val="0014506A"/>
    <w:rsid w:val="0014728F"/>
    <w:rsid w:val="001521A2"/>
    <w:rsid w:val="00152358"/>
    <w:rsid w:val="00152E18"/>
    <w:rsid w:val="00155BFF"/>
    <w:rsid w:val="00160DBF"/>
    <w:rsid w:val="00160F66"/>
    <w:rsid w:val="001633AF"/>
    <w:rsid w:val="00166A6C"/>
    <w:rsid w:val="0017136A"/>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2808"/>
    <w:rsid w:val="00253E78"/>
    <w:rsid w:val="00262C3C"/>
    <w:rsid w:val="00264C88"/>
    <w:rsid w:val="0026532C"/>
    <w:rsid w:val="0026575D"/>
    <w:rsid w:val="002705B0"/>
    <w:rsid w:val="002717A6"/>
    <w:rsid w:val="00272015"/>
    <w:rsid w:val="00273C10"/>
    <w:rsid w:val="00274B4C"/>
    <w:rsid w:val="00276264"/>
    <w:rsid w:val="00281DCA"/>
    <w:rsid w:val="00290BDC"/>
    <w:rsid w:val="00297B04"/>
    <w:rsid w:val="002A056C"/>
    <w:rsid w:val="002A184C"/>
    <w:rsid w:val="002A66A5"/>
    <w:rsid w:val="002A6EBB"/>
    <w:rsid w:val="002B21E9"/>
    <w:rsid w:val="002B2B87"/>
    <w:rsid w:val="002B4E0F"/>
    <w:rsid w:val="002B5754"/>
    <w:rsid w:val="002C7026"/>
    <w:rsid w:val="002C7E08"/>
    <w:rsid w:val="002D089F"/>
    <w:rsid w:val="002D5635"/>
    <w:rsid w:val="002D65E8"/>
    <w:rsid w:val="002D7A42"/>
    <w:rsid w:val="002D7D32"/>
    <w:rsid w:val="002E02E5"/>
    <w:rsid w:val="002E0478"/>
    <w:rsid w:val="002E0791"/>
    <w:rsid w:val="002E1B92"/>
    <w:rsid w:val="002E7B81"/>
    <w:rsid w:val="002F09FB"/>
    <w:rsid w:val="002F0FE3"/>
    <w:rsid w:val="002F1AF0"/>
    <w:rsid w:val="002F2530"/>
    <w:rsid w:val="002F272A"/>
    <w:rsid w:val="002F3225"/>
    <w:rsid w:val="002F488B"/>
    <w:rsid w:val="002F53B4"/>
    <w:rsid w:val="002F76D6"/>
    <w:rsid w:val="00303506"/>
    <w:rsid w:val="00307057"/>
    <w:rsid w:val="00312819"/>
    <w:rsid w:val="00312E9C"/>
    <w:rsid w:val="00313875"/>
    <w:rsid w:val="003203BF"/>
    <w:rsid w:val="00321369"/>
    <w:rsid w:val="00330787"/>
    <w:rsid w:val="00337493"/>
    <w:rsid w:val="00337982"/>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275C"/>
    <w:rsid w:val="0042324B"/>
    <w:rsid w:val="004234E8"/>
    <w:rsid w:val="00426805"/>
    <w:rsid w:val="00430150"/>
    <w:rsid w:val="004302F9"/>
    <w:rsid w:val="0043229B"/>
    <w:rsid w:val="00435287"/>
    <w:rsid w:val="00440A22"/>
    <w:rsid w:val="0045550E"/>
    <w:rsid w:val="00456456"/>
    <w:rsid w:val="00462367"/>
    <w:rsid w:val="0046490C"/>
    <w:rsid w:val="00470287"/>
    <w:rsid w:val="004703AF"/>
    <w:rsid w:val="00470733"/>
    <w:rsid w:val="004744DB"/>
    <w:rsid w:val="00477C53"/>
    <w:rsid w:val="00485380"/>
    <w:rsid w:val="00493D87"/>
    <w:rsid w:val="004950D4"/>
    <w:rsid w:val="00496370"/>
    <w:rsid w:val="004A0506"/>
    <w:rsid w:val="004A2342"/>
    <w:rsid w:val="004A2F62"/>
    <w:rsid w:val="004B1DB8"/>
    <w:rsid w:val="004B2F01"/>
    <w:rsid w:val="004B4182"/>
    <w:rsid w:val="004B4538"/>
    <w:rsid w:val="004B6FB6"/>
    <w:rsid w:val="004C571D"/>
    <w:rsid w:val="004D35A2"/>
    <w:rsid w:val="004D5FD1"/>
    <w:rsid w:val="004E1381"/>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76C94"/>
    <w:rsid w:val="005800B4"/>
    <w:rsid w:val="0058070B"/>
    <w:rsid w:val="0058296F"/>
    <w:rsid w:val="00594FBF"/>
    <w:rsid w:val="00595E80"/>
    <w:rsid w:val="0059650E"/>
    <w:rsid w:val="00596953"/>
    <w:rsid w:val="005A6030"/>
    <w:rsid w:val="005B57AD"/>
    <w:rsid w:val="005B722E"/>
    <w:rsid w:val="005C02FE"/>
    <w:rsid w:val="005C50AC"/>
    <w:rsid w:val="005C6406"/>
    <w:rsid w:val="005D69D1"/>
    <w:rsid w:val="005E210D"/>
    <w:rsid w:val="005E27A0"/>
    <w:rsid w:val="005F2425"/>
    <w:rsid w:val="005F5EC7"/>
    <w:rsid w:val="005F7207"/>
    <w:rsid w:val="005F7FCF"/>
    <w:rsid w:val="00607691"/>
    <w:rsid w:val="0061062C"/>
    <w:rsid w:val="00613183"/>
    <w:rsid w:val="006133F0"/>
    <w:rsid w:val="00616888"/>
    <w:rsid w:val="006176BE"/>
    <w:rsid w:val="006212CB"/>
    <w:rsid w:val="006279F9"/>
    <w:rsid w:val="006369EE"/>
    <w:rsid w:val="006401D3"/>
    <w:rsid w:val="0064700E"/>
    <w:rsid w:val="00650677"/>
    <w:rsid w:val="00651D2E"/>
    <w:rsid w:val="006736A9"/>
    <w:rsid w:val="00673BC7"/>
    <w:rsid w:val="00674975"/>
    <w:rsid w:val="00675D39"/>
    <w:rsid w:val="0068560B"/>
    <w:rsid w:val="006A1277"/>
    <w:rsid w:val="006A2602"/>
    <w:rsid w:val="006A2D41"/>
    <w:rsid w:val="006A67E1"/>
    <w:rsid w:val="006C36FB"/>
    <w:rsid w:val="006C7D62"/>
    <w:rsid w:val="006D053C"/>
    <w:rsid w:val="006D0B23"/>
    <w:rsid w:val="006D2ED6"/>
    <w:rsid w:val="006D5685"/>
    <w:rsid w:val="006E1987"/>
    <w:rsid w:val="006E23B2"/>
    <w:rsid w:val="006E5207"/>
    <w:rsid w:val="006E55B9"/>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66D4"/>
    <w:rsid w:val="00787852"/>
    <w:rsid w:val="007915BC"/>
    <w:rsid w:val="007967FA"/>
    <w:rsid w:val="00797E7A"/>
    <w:rsid w:val="007A0EA6"/>
    <w:rsid w:val="007A2D9E"/>
    <w:rsid w:val="007B0381"/>
    <w:rsid w:val="007B0F3D"/>
    <w:rsid w:val="007B148D"/>
    <w:rsid w:val="007B18C8"/>
    <w:rsid w:val="007B28DE"/>
    <w:rsid w:val="007B7A5F"/>
    <w:rsid w:val="007C23ED"/>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4DC6"/>
    <w:rsid w:val="008B7A97"/>
    <w:rsid w:val="008C56B9"/>
    <w:rsid w:val="008D05E0"/>
    <w:rsid w:val="008D2600"/>
    <w:rsid w:val="008D3206"/>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5A8A"/>
    <w:rsid w:val="0096400D"/>
    <w:rsid w:val="009645B9"/>
    <w:rsid w:val="00966600"/>
    <w:rsid w:val="009671D9"/>
    <w:rsid w:val="00971352"/>
    <w:rsid w:val="00972260"/>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47AC3"/>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17D34"/>
    <w:rsid w:val="00B2123B"/>
    <w:rsid w:val="00B24F35"/>
    <w:rsid w:val="00B27767"/>
    <w:rsid w:val="00B327BE"/>
    <w:rsid w:val="00B32C88"/>
    <w:rsid w:val="00B34747"/>
    <w:rsid w:val="00B42E49"/>
    <w:rsid w:val="00B45056"/>
    <w:rsid w:val="00B459C9"/>
    <w:rsid w:val="00B50903"/>
    <w:rsid w:val="00B62FFE"/>
    <w:rsid w:val="00B64D7F"/>
    <w:rsid w:val="00B65013"/>
    <w:rsid w:val="00B7123A"/>
    <w:rsid w:val="00B7435C"/>
    <w:rsid w:val="00B76F38"/>
    <w:rsid w:val="00B8085D"/>
    <w:rsid w:val="00B81EFF"/>
    <w:rsid w:val="00B836BB"/>
    <w:rsid w:val="00B84122"/>
    <w:rsid w:val="00B862B0"/>
    <w:rsid w:val="00B86B42"/>
    <w:rsid w:val="00BA2B7C"/>
    <w:rsid w:val="00BB142A"/>
    <w:rsid w:val="00BB34B9"/>
    <w:rsid w:val="00BB35C2"/>
    <w:rsid w:val="00BB553B"/>
    <w:rsid w:val="00BC28D7"/>
    <w:rsid w:val="00BC2996"/>
    <w:rsid w:val="00BC376C"/>
    <w:rsid w:val="00BC6321"/>
    <w:rsid w:val="00BC7817"/>
    <w:rsid w:val="00BD3819"/>
    <w:rsid w:val="00BD5343"/>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63FE5"/>
    <w:rsid w:val="00C74906"/>
    <w:rsid w:val="00C81B40"/>
    <w:rsid w:val="00C81FEA"/>
    <w:rsid w:val="00C83969"/>
    <w:rsid w:val="00C86C95"/>
    <w:rsid w:val="00CA05EB"/>
    <w:rsid w:val="00CA2AC9"/>
    <w:rsid w:val="00CA3515"/>
    <w:rsid w:val="00CA3A05"/>
    <w:rsid w:val="00CB14E9"/>
    <w:rsid w:val="00CB6D90"/>
    <w:rsid w:val="00CB72C3"/>
    <w:rsid w:val="00CC45E4"/>
    <w:rsid w:val="00CD019F"/>
    <w:rsid w:val="00CD27C5"/>
    <w:rsid w:val="00CE4169"/>
    <w:rsid w:val="00CE7894"/>
    <w:rsid w:val="00CF06A1"/>
    <w:rsid w:val="00CF1467"/>
    <w:rsid w:val="00CF2311"/>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5E20"/>
    <w:rsid w:val="00D90AD1"/>
    <w:rsid w:val="00D941F7"/>
    <w:rsid w:val="00DA4DDF"/>
    <w:rsid w:val="00DB0804"/>
    <w:rsid w:val="00DB2FC4"/>
    <w:rsid w:val="00DC382A"/>
    <w:rsid w:val="00DE1923"/>
    <w:rsid w:val="00DE268D"/>
    <w:rsid w:val="00DE2B33"/>
    <w:rsid w:val="00DE638B"/>
    <w:rsid w:val="00DE72EE"/>
    <w:rsid w:val="00DF37E5"/>
    <w:rsid w:val="00E034FE"/>
    <w:rsid w:val="00E041E5"/>
    <w:rsid w:val="00E04888"/>
    <w:rsid w:val="00E0763B"/>
    <w:rsid w:val="00E10302"/>
    <w:rsid w:val="00E17EC5"/>
    <w:rsid w:val="00E26BFD"/>
    <w:rsid w:val="00E27E90"/>
    <w:rsid w:val="00E32533"/>
    <w:rsid w:val="00E33D02"/>
    <w:rsid w:val="00E34F2C"/>
    <w:rsid w:val="00E35D79"/>
    <w:rsid w:val="00E418F9"/>
    <w:rsid w:val="00E435FC"/>
    <w:rsid w:val="00E4641E"/>
    <w:rsid w:val="00E519AE"/>
    <w:rsid w:val="00E57AF7"/>
    <w:rsid w:val="00E6241B"/>
    <w:rsid w:val="00E64FCC"/>
    <w:rsid w:val="00E703B6"/>
    <w:rsid w:val="00E7172B"/>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095C"/>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29F6"/>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594FBF"/>
    <w:pPr>
      <w:tabs>
        <w:tab w:val="right" w:leader="dot" w:pos="8930"/>
      </w:tabs>
      <w:spacing w:after="0"/>
      <w:ind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2F488B"/>
    <w:rPr>
      <w:rFonts w:ascii="Arial" w:hAnsi="Arial"/>
      <w:b/>
      <w:color w:val="000000"/>
      <w:kern w:val="28"/>
      <w:sz w:val="25"/>
      <w:szCs w:val="26"/>
      <w:lang w:val="eu-ES" w:eastAsia="eu-ES"/>
    </w:rPr>
  </w:style>
  <w:style w:type="character" w:customStyle="1" w:styleId="atitulo2Car">
    <w:name w:val="atitulo2 Car"/>
    <w:link w:val="atitulo2"/>
    <w:locked/>
    <w:rsid w:val="00E435FC"/>
    <w:rPr>
      <w:rFonts w:ascii="Arial" w:hAnsi="Arial"/>
      <w:bCs/>
      <w:iCs/>
      <w:color w:val="000000"/>
      <w:spacing w:val="10"/>
      <w:kern w:val="28"/>
      <w:sz w:val="25"/>
      <w:szCs w:val="2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594FBF"/>
    <w:pPr>
      <w:tabs>
        <w:tab w:val="right" w:leader="dot" w:pos="8930"/>
      </w:tabs>
      <w:spacing w:after="0"/>
      <w:ind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2F488B"/>
    <w:rPr>
      <w:rFonts w:ascii="Arial" w:hAnsi="Arial"/>
      <w:b/>
      <w:color w:val="000000"/>
      <w:kern w:val="28"/>
      <w:sz w:val="25"/>
      <w:szCs w:val="26"/>
      <w:lang w:val="eu-ES" w:eastAsia="eu-ES"/>
    </w:rPr>
  </w:style>
  <w:style w:type="character" w:customStyle="1" w:styleId="atitulo2Car">
    <w:name w:val="atitulo2 Car"/>
    <w:link w:val="atitulo2"/>
    <w:locked/>
    <w:rsid w:val="00E435FC"/>
    <w:rPr>
      <w:rFonts w:ascii="Arial" w:hAnsi="Arial"/>
      <w:bCs/>
      <w:iCs/>
      <w:color w:val="000000"/>
      <w:spacing w:val="10"/>
      <w:kern w:val="28"/>
      <w:sz w:val="25"/>
      <w:szCs w:val="2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F8AE-31BC-431B-92F1-C4740211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3055</Words>
  <Characters>23122</Characters>
  <Application>Microsoft Office Word</Application>
  <DocSecurity>0</DocSecurity>
  <Lines>192</Lines>
  <Paragraphs>52</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2</cp:revision>
  <cp:lastPrinted>2016-01-14T07:32:00Z</cp:lastPrinted>
  <dcterms:created xsi:type="dcterms:W3CDTF">2016-03-22T08:40:00Z</dcterms:created>
  <dcterms:modified xsi:type="dcterms:W3CDTF">2016-03-22T08:40:00Z</dcterms:modified>
</cp:coreProperties>
</file>